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84"/>
          <w:sz w:val="24"/>
        </w:rPr>
        <w:t>SEMINAR — MASTER PLAN AND DELIVERY PACKAGE</w:t>
      </w:r>
    </w:p>
    <w:p>
      <w:pPr>
        <w:jc w:val="center"/>
      </w:pPr>
      <w:r>
        <w:rPr>
          <w:b/>
          <w:color w:val="102A43"/>
          <w:sz w:val="46"/>
        </w:rPr>
        <w:t>Asphaltenes: Predicting and Preventing Wellbore Plugging</w:t>
      </w:r>
    </w:p>
    <w:p>
      <w:pPr>
        <w:jc w:val="center"/>
      </w:pPr>
      <w:r>
        <w:rPr>
          <w:color w:val="5A6672"/>
          <w:sz w:val="26"/>
        </w:rPr>
        <w:t>Flow assurance in production wellbores — and the seed of the graduation project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7824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Course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Seminar — BSc Petroleum and Gas Engineering, [University]</w:t>
            </w:r>
          </w:p>
        </w:tc>
      </w:tr>
      <w:tr>
        <w:tc>
          <w:tcPr>
            <w:tcW w:type="dxa" w:w="181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Student</w:t>
            </w:r>
          </w:p>
        </w:tc>
        <w:tc>
          <w:tcPr>
            <w:tcW w:type="dxa" w:w="782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[Your full name] — ID [xxxxxx]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Supervisor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[Prof. name]</w:t>
            </w:r>
          </w:p>
        </w:tc>
      </w:tr>
      <w:tr>
        <w:tc>
          <w:tcPr>
            <w:tcW w:type="dxa" w:w="181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Format</w:t>
            </w:r>
          </w:p>
        </w:tc>
        <w:tc>
          <w:tcPr>
            <w:tcW w:type="dxa" w:w="782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15-minute oral presentation · 23 core slides + 2 backup slides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Topic character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Flow-assurance review of a studied subject + graduation-project preview</w:t>
            </w:r>
          </w:p>
        </w:tc>
      </w:tr>
      <w:tr>
        <w:tc>
          <w:tcPr>
            <w:tcW w:type="dxa" w:w="181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Companion files</w:t>
            </w:r>
          </w:p>
        </w:tc>
        <w:tc>
          <w:tcPr>
            <w:tcW w:type="dxa" w:w="782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Asphaltene_Slides_23plus2.pptx (+300-dpi PDF proof) · 01_Asphaltene_Speaking_Script.docx · 02_Asphaltene_QandA_Pack.docx · 03_Animation_and_Design_Guide.docx · 04_Source_Log.docx · 05_Projector_Preflight.docx · 06_Technical_Accuracy_and_Risk_Register.docx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Delivery month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[Month] 2026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A6672"/>
          <w:sz w:val="20"/>
        </w:rPr>
        <w:t>Note: this package replaces the earlier casing-design package at your request. The casing package remains in the workspace as an alternative.</w:t>
      </w:r>
    </w:p>
    <w:p>
      <w:pPr>
        <w:pStyle w:val="Heading1"/>
      </w:pPr>
      <w:r>
        <w:t>0.  The arithmetic that drives everything</w:t>
      </w:r>
    </w:p>
    <w:p>
      <w:pPr>
        <w:pStyle w:val="Heading2"/>
      </w:pPr>
      <w:r>
        <w:t>0.1  What changed from the original blueprint (and why)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Blueprint element</w:t>
            </w:r>
          </w:p>
        </w:tc>
        <w:tc>
          <w:tcPr>
            <w:tcW w:type="dxa" w:w="6236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This package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Slide-by-slide list only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Full timing architecture, checkpoints, cut list, and a built deck with speaker notes</w:t>
            </w:r>
          </w:p>
        </w:tc>
      </w:tr>
      <w:tr>
        <w:tc>
          <w:tcPr>
            <w:tcW w:type="dxa" w:w="3402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No buffer (parts summed to exactly 15:00)</w:t>
            </w:r>
          </w:p>
        </w:tc>
        <w:tc>
          <w:tcPr>
            <w:tcW w:type="dxa" w:w="623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Speaking ends at ≈14:15–14:25 with a deliberate buffer; references slide is skippable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Slides 22–23 mixed thanks with Q&amp;A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Conclusions and thanks are separate (slide 22), references (23), backup (24–25)</w:t>
            </w:r>
          </w:p>
        </w:tc>
      </w:tr>
      <w:tr>
        <w:tc>
          <w:tcPr>
            <w:tcW w:type="dxa" w:w="3402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'Asphaltenes keep the fluid stable'</w:t>
            </w:r>
          </w:p>
        </w:tc>
        <w:tc>
          <w:tcPr>
            <w:tcW w:type="dxa" w:w="623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Corrected: asphaltenes are KEPT DISPERSED by resins and aromatics — committees test this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'Deposits form near the top where P drops fastest'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Corrected: deposits form where the flowing path crosses the envelope — often deep in the tubing (this became the case study)</w:t>
            </w:r>
          </w:p>
        </w:tc>
      </w:tr>
      <w:tr>
        <w:tc>
          <w:tcPr>
            <w:tcW w:type="dxa" w:w="3402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Generic graduation options</w:t>
            </w:r>
          </w:p>
        </w:tc>
        <w:tc>
          <w:tcPr>
            <w:tcW w:type="dxa" w:w="623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One committed route (modelling) with a declared tool hierarchy so no licence problem can stall the project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Two Q&amp;A questions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31 questions with model answers, including refined versions of the original two</w:t>
            </w:r>
          </w:p>
        </w:tc>
      </w:tr>
    </w:tbl>
    <w:p>
      <w:pPr>
        <w:spacing w:after="40"/>
      </w:pPr>
    </w:p>
    <w:p>
      <w:pPr>
        <w:pStyle w:val="Heading2"/>
      </w:pPr>
      <w:r>
        <w:t>0.2  The two hard numbers</w:t>
      </w:r>
    </w:p>
    <w:p>
      <w:pPr>
        <w:pStyle w:val="ListBullet"/>
        <w:spacing w:after="60"/>
      </w:pPr>
      <w:r>
        <w:rPr>
          <w:sz w:val="20"/>
        </w:rPr>
        <w:t>23 core slides + 2 labelled backup = 25 total: compliant whether your professor counts presented or total slides.</w:t>
      </w:r>
    </w:p>
    <w:p>
      <w:pPr>
        <w:pStyle w:val="ListBullet"/>
        <w:spacing w:after="60"/>
      </w:pPr>
      <w:r>
        <w:rPr>
          <w:sz w:val="20"/>
        </w:rPr>
        <w:t>Speaking budget ≈ 14:25 with ≈ 1,830 measured words at a rehearsed 128–132 wpm — the speaking script is written to that budget and word-counted.</w:t>
      </w:r>
    </w:p>
    <w:p>
      <w:pPr>
        <w:spacing w:after="100"/>
      </w:pPr>
      <w:r>
        <w:rPr>
          <w:b/>
          <w:i w:val="0"/>
          <w:color w:val="102A43"/>
          <w:sz w:val="21"/>
        </w:rPr>
        <w:t xml:space="preserve">The four time checkpoints:  </w:t>
      </w:r>
      <w:r>
        <w:rPr>
          <w:b w:val="0"/>
          <w:i w:val="0"/>
          <w:sz w:val="21"/>
        </w:rPr>
        <w:t>slide 12 at 7:05  ·  slide 13 at 8:00  ·  slide 17 at 10:40  ·  conclusions (slide 22) start by 14:15.</w:t>
      </w:r>
    </w:p>
    <w:p>
      <w:pPr>
        <w:spacing w:after="120"/>
      </w:pPr>
      <w:r>
        <w:rPr>
          <w:b w:val="0"/>
          <w:i/>
          <w:color w:val="A86B00"/>
          <w:sz w:val="20"/>
        </w:rPr>
        <w:t>Customisation rule: replace every [bracketed] placeholder and resolve every [VERIFY] flag BEFORE the first rehearsal.</w:t>
      </w:r>
    </w:p>
    <w:p>
      <w:pPr>
        <w:pStyle w:val="Heading1"/>
      </w:pPr>
      <w:r>
        <w:t>1.  The topic — and its two anchors</w:t>
      </w:r>
    </w:p>
    <w:p>
      <w:pPr>
        <w:spacing w:after="120"/>
      </w:pPr>
      <w:r>
        <w:rPr>
          <w:b w:val="0"/>
          <w:i w:val="0"/>
          <w:sz w:val="20"/>
        </w:rPr>
        <w:t>The deck is built on two verified, citable anchors. Learn them cold; they convert a 'review' into a research narrative: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608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Anchor</w:t>
            </w:r>
          </w:p>
        </w:tc>
        <w:tc>
          <w:tcPr>
            <w:tcW w:type="dxa" w:w="7030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it gives the seminar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The documented deepwater Gulf of Mexico well (JPT/SPE, 2021)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A real case where the chemical injection mandrel sat 3,400 ft ABOVE the point where the flowing pressure crossed the onset — tubing ID choked from 2.3 to 1.35 in. This is the proof that injection-point placement is a design decision, and it is the case your thesis will reproduce.</w:t>
            </w:r>
          </w:p>
        </w:tc>
      </w:tr>
      <w:tr>
        <w:tc>
          <w:tcPr>
            <w:tcW w:type="dxa" w:w="260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Hassi Messaoud (Algeria, SPE-994-PA and successors)</w:t>
            </w:r>
          </w:p>
        </w:tc>
        <w:tc>
          <w:tcPr>
            <w:tcW w:type="dxa" w:w="703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The classic field: deposits 83.4 % asphaltenes; wells losing 20–25 % wellhead pressure in 15–20 days; gauge-ring profiling practice; and the counterintuitive discovery that producing at LOW wellhead pressure drastically reduced cleanouts.</w:t>
            </w:r>
          </w:p>
        </w:tc>
      </w:tr>
    </w:tbl>
    <w:p>
      <w:pPr>
        <w:spacing w:after="40"/>
      </w:pPr>
    </w:p>
    <w:p>
      <w:pPr>
        <w:pStyle w:val="Heading2"/>
      </w:pPr>
      <w:r>
        <w:t>1.3  How the seminar becomes the thesis (chapter mapping)</w:t>
      </w:r>
    </w:p>
    <w:p>
      <w:pPr>
        <w:spacing w:after="120"/>
      </w:pPr>
      <w:r>
        <w:rPr>
          <w:b w:val="0"/>
          <w:i/>
          <w:color w:val="102A43"/>
          <w:sz w:val="20"/>
        </w:rPr>
        <w:t>The project-linkage guarantee: every slide already has a home in the thesis. Nothing presented is wasted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Seminar element</w:t>
            </w:r>
          </w:p>
        </w:tc>
        <w:tc>
          <w:tcPr>
            <w:tcW w:type="dxa" w:w="5386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Thesis destination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Slides 2–4 — problem, definition, impact, cross-section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Chapter 1 — Introduction, problem statement, objectives</w:t>
            </w:r>
          </w:p>
        </w:tc>
      </w:tr>
      <w:tr>
        <w:tc>
          <w:tcPr>
            <w:tcW w:type="dxa" w:w="4252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Slides 7–12 — stability, wax vs asphaltene, mechanism, envelope, screening, triggers</w:t>
            </w:r>
          </w:p>
        </w:tc>
        <w:tc>
          <w:tcPr>
            <w:tcW w:type="dxa" w:w="538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Chapter 2 — Literature review and fluid-characterisation methods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Slides 13–14 — documented GoM case + detection practice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Chapter 3 — Case-study definition, data set, validation targets</w:t>
            </w:r>
          </w:p>
        </w:tc>
      </w:tr>
      <w:tr>
        <w:tc>
          <w:tcPr>
            <w:tcW w:type="dxa" w:w="4252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Slides 15–17 — reactive limits, proactive inhibition, economics</w:t>
            </w:r>
          </w:p>
        </w:tc>
        <w:tc>
          <w:tcPr>
            <w:tcW w:type="dxa" w:w="538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Chapter 4 — Mitigation review and the breakeven model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Slides 18–21 — gap, aim, RQs, methodology, plan, limitations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Chapter 1.4 + Chapter 5 — Methodology and results</w:t>
            </w:r>
          </w:p>
        </w:tc>
      </w:tr>
      <w:tr>
        <w:tc>
          <w:tcPr>
            <w:tcW w:type="dxa" w:w="4252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Slide 22 + Q&amp;A pack + 04_Source_Log.docx + 06_Technical_Accuracy_...docx</w:t>
            </w:r>
          </w:p>
        </w:tc>
        <w:tc>
          <w:tcPr>
            <w:tcW w:type="dxa" w:w="538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Chapter 6 — Conclusions; defence preparation</w:t>
            </w:r>
          </w:p>
        </w:tc>
      </w:tr>
    </w:tbl>
    <w:p>
      <w:pPr>
        <w:spacing w:after="40"/>
      </w:pPr>
    </w:p>
    <w:p>
      <w:pPr>
        <w:pStyle w:val="Heading1"/>
      </w:pPr>
      <w:r>
        <w:t>2.  Timing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Part</w:t>
            </w:r>
          </w:p>
        </w:tc>
        <w:tc>
          <w:tcPr>
            <w:tcW w:type="dxa" w:w="1020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Slides</w:t>
            </w:r>
          </w:p>
        </w:tc>
        <w:tc>
          <w:tcPr>
            <w:tcW w:type="dxa" w:w="1474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Time slot</w:t>
            </w:r>
          </w:p>
        </w:tc>
        <w:tc>
          <w:tcPr>
            <w:tcW w:type="dxa" w:w="5669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Job of this part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 · The problem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1–6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0:00 – 3:05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Hook with four numbers; define asphaltenes correctly; scope; roadmap</w:t>
            </w:r>
          </w:p>
        </w:tc>
      </w:tr>
      <w:tr>
        <w:tc>
          <w:tcPr>
            <w:tcW w:type="dxa" w:w="147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 · The science</w:t>
            </w:r>
          </w:p>
        </w:tc>
        <w:tc>
          <w:tcPr>
            <w:tcW w:type="dxa" w:w="102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7–12</w:t>
            </w:r>
          </w:p>
        </w:tc>
        <w:tc>
          <w:tcPr>
            <w:tcW w:type="dxa" w:w="147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3:05 – 7:05</w:t>
            </w:r>
          </w:p>
        </w:tc>
        <w:tc>
          <w:tcPr>
            <w:tcW w:type="dxa" w:w="5669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Stability balance, wax-vs-asphaltene, mechanism chain, envelope, screening, triggers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 · Field evidence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7:05 – 8:00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The documented case: onset depth vs injection depth</w:t>
            </w:r>
          </w:p>
        </w:tc>
      </w:tr>
      <w:tr>
        <w:tc>
          <w:tcPr>
            <w:tcW w:type="dxa" w:w="147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 · Defenses</w:t>
            </w:r>
          </w:p>
        </w:tc>
        <w:tc>
          <w:tcPr>
            <w:tcW w:type="dxa" w:w="102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14–17</w:t>
            </w:r>
          </w:p>
        </w:tc>
        <w:tc>
          <w:tcPr>
            <w:tcW w:type="dxa" w:w="147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8:00 – 10:40</w:t>
            </w:r>
          </w:p>
        </w:tc>
        <w:tc>
          <w:tcPr>
            <w:tcW w:type="dxa" w:w="5669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Detection, reactive limits, proactive inhibition, economics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 · The project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18–21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10:40 – 13:35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Gap, aim, RQs, methodology, deliverables, plan</w:t>
            </w:r>
          </w:p>
        </w:tc>
      </w:tr>
      <w:tr>
        <w:tc>
          <w:tcPr>
            <w:tcW w:type="dxa" w:w="147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Close</w:t>
            </w:r>
          </w:p>
        </w:tc>
        <w:tc>
          <w:tcPr>
            <w:tcW w:type="dxa" w:w="102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22–23</w:t>
            </w:r>
          </w:p>
        </w:tc>
        <w:tc>
          <w:tcPr>
            <w:tcW w:type="dxa" w:w="147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14:15 – 14:25</w:t>
            </w:r>
          </w:p>
        </w:tc>
        <w:tc>
          <w:tcPr>
            <w:tcW w:type="dxa" w:w="5669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Three messages; references; questions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20"/>
        </w:rPr>
        <w:t>Slide map with per-slide targets and messages: identical structure to the deck footer (target time + cumulative clock on every slide). The cue-card version is Appendix 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75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570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Slide</w:t>
            </w:r>
          </w:p>
        </w:tc>
        <w:tc>
          <w:tcPr>
            <w:tcW w:type="dxa" w:w="643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643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Clock</w:t>
            </w:r>
          </w:p>
        </w:tc>
        <w:tc>
          <w:tcPr>
            <w:tcW w:type="dxa" w:w="5408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The one message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2570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Title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15 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0:15</w:t>
            </w:r>
          </w:p>
        </w:tc>
        <w:tc>
          <w:tcPr>
            <w:tcW w:type="dxa" w:w="540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Who, what, and the thesis promise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257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A billion-dollar problem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45 s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1:00</w:t>
            </w:r>
          </w:p>
        </w:tc>
        <w:tc>
          <w:tcPr>
            <w:tcW w:type="dxa" w:w="540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Four numbers that establish the stakes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2570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What are asphaltenes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35 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1:35</w:t>
            </w:r>
          </w:p>
        </w:tc>
        <w:tc>
          <w:tcPr>
            <w:tcW w:type="dxa" w:w="540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Solubility class; kept dispersed by resins — not 'stabilising' the oil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257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Inside the tubing (image)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35 s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2:10</w:t>
            </w:r>
          </w:p>
        </w:tc>
        <w:tc>
          <w:tcPr>
            <w:tcW w:type="dxa" w:w="540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ID 2.3→1.35 in; WHP losses; invisible until expensive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2570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Objective &amp; scope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35 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2:45</w:t>
            </w:r>
          </w:p>
        </w:tc>
        <w:tc>
          <w:tcPr>
            <w:tcW w:type="dxa" w:w="540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Explain / review / propose; not a field intervention study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257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Roadmap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20 s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3:05</w:t>
            </w:r>
          </w:p>
        </w:tc>
        <w:tc>
          <w:tcPr>
            <w:tcW w:type="dxa" w:w="540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You own the clock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2570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Stability is a balance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35 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3:40</w:t>
            </w:r>
          </w:p>
        </w:tc>
        <w:tc>
          <w:tcPr>
            <w:tcW w:type="dxa" w:w="540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Three levers; CII as screening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257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Asphaltenes vs wax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40 s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4:20</w:t>
            </w:r>
          </w:p>
        </w:tc>
        <w:tc>
          <w:tcPr>
            <w:tcW w:type="dxa" w:w="540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Not a cooling story; amorphous, pressure/composition-driven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2570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Mechanism chain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35 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4:55</w:t>
            </w:r>
          </w:p>
        </w:tc>
        <w:tc>
          <w:tcPr>
            <w:tcW w:type="dxa" w:w="540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Precipitation ≠ deposition — the critical distinction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257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The envelope (chart)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45 s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5:40</w:t>
            </w:r>
          </w:p>
        </w:tc>
        <w:tc>
          <w:tcPr>
            <w:tcW w:type="dxa" w:w="540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AOP, de Boer screening, path crossing = onset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2570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Screening &amp; measurement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40 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6:20</w:t>
            </w:r>
          </w:p>
        </w:tc>
        <w:tc>
          <w:tcPr>
            <w:tcW w:type="dxa" w:w="540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SARA → CII → de Boer → measured AOP curve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257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Triggers + misconception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45 s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7:05</w:t>
            </w:r>
          </w:p>
        </w:tc>
        <w:tc>
          <w:tcPr>
            <w:tcW w:type="dxa" w:w="540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CHECKPOINT 1 — five triggers; deposits form where the path crosses, often deep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type="dxa" w:w="2570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Field case (chart)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55 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8:00</w:t>
            </w:r>
          </w:p>
        </w:tc>
        <w:tc>
          <w:tcPr>
            <w:tcW w:type="dxa" w:w="540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CHECKPOINT 2 — mandrel above onset: 3,400 ft unprotected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type="dxa" w:w="257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Detection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35 s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8:35</w:t>
            </w:r>
          </w:p>
        </w:tc>
        <w:tc>
          <w:tcPr>
            <w:tcW w:type="dxa" w:w="540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ΔP/Q fingerprint; gauge rings; sampling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2570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Reactive toolkit fails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45 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9:20</w:t>
            </w:r>
          </w:p>
        </w:tc>
        <w:tc>
          <w:tcPr>
            <w:tcW w:type="dxa" w:w="540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Every cleanout is NPT and a repeat visit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type="dxa" w:w="257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Proactive inhibition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40 s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10:00</w:t>
            </w:r>
          </w:p>
        </w:tc>
        <w:tc>
          <w:tcPr>
            <w:tcW w:type="dxa" w:w="540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Dispersants keep particles flowing; placement rule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17</w:t>
            </w:r>
          </w:p>
        </w:tc>
        <w:tc>
          <w:tcPr>
            <w:tcW w:type="dxa" w:w="2570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Economics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40 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10:40</w:t>
            </w:r>
          </w:p>
        </w:tc>
        <w:tc>
          <w:tcPr>
            <w:tcW w:type="dxa" w:w="540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CHECKPOINT 3 — breakeven model is the missing piece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18</w:t>
            </w:r>
          </w:p>
        </w:tc>
        <w:tc>
          <w:tcPr>
            <w:tcW w:type="dxa" w:w="257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Gap analysis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40 s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11:20</w:t>
            </w:r>
          </w:p>
        </w:tc>
        <w:tc>
          <w:tcPr>
            <w:tcW w:type="dxa" w:w="540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Prediction is the weak link; documented rigour is the contribution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19</w:t>
            </w:r>
          </w:p>
        </w:tc>
        <w:tc>
          <w:tcPr>
            <w:tcW w:type="dxa" w:w="2570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Proposed project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45 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12:05</w:t>
            </w:r>
          </w:p>
        </w:tc>
        <w:tc>
          <w:tcPr>
            <w:tcW w:type="dxa" w:w="540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Aim, RQs, work packages — one case well, end to end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257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Methodology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50 s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12:55</w:t>
            </w:r>
          </w:p>
        </w:tc>
        <w:tc>
          <w:tcPr>
            <w:tcW w:type="dxa" w:w="540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Screening → modelling → validation → economics; tool hierarchy declared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21</w:t>
            </w:r>
          </w:p>
        </w:tc>
        <w:tc>
          <w:tcPr>
            <w:tcW w:type="dxa" w:w="2570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Deliverables &amp; limits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40 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13:35</w:t>
            </w:r>
          </w:p>
        </w:tc>
        <w:tc>
          <w:tcPr>
            <w:tcW w:type="dxa" w:w="540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Bounded scope; honest limitations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22</w:t>
            </w:r>
          </w:p>
        </w:tc>
        <w:tc>
          <w:tcPr>
            <w:tcW w:type="dxa" w:w="257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Three messages + thanks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40 s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14:15</w:t>
            </w:r>
          </w:p>
        </w:tc>
        <w:tc>
          <w:tcPr>
            <w:tcW w:type="dxa" w:w="540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CONCLUSIONS START HERE — memorised verbatim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23</w:t>
            </w:r>
          </w:p>
        </w:tc>
        <w:tc>
          <w:tcPr>
            <w:tcW w:type="dxa" w:w="2570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References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10 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14:25</w:t>
            </w:r>
          </w:p>
        </w:tc>
        <w:tc>
          <w:tcPr>
            <w:tcW w:type="dxa" w:w="540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One sentence; skippable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24</w:t>
            </w:r>
          </w:p>
        </w:tc>
        <w:tc>
          <w:tcPr>
            <w:tcW w:type="dxa" w:w="257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BACKUP — derivations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backup</w:t>
            </w:r>
          </w:p>
        </w:tc>
        <w:tc>
          <w:tcPr>
            <w:tcW w:type="dxa" w:w="64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540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CII, de Boer, onset model, sensitivity, exclusions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25</w:t>
            </w:r>
          </w:p>
        </w:tc>
        <w:tc>
          <w:tcPr>
            <w:tcW w:type="dxa" w:w="2570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BACKUP — data &amp; tools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backup</w:t>
            </w:r>
          </w:p>
        </w:tc>
        <w:tc>
          <w:tcPr>
            <w:tcW w:type="dxa" w:w="643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5408"/>
          </w:tcPr>
          <w:p>
            <w:pPr>
              <w:spacing w:after="40"/>
            </w:pPr>
            <w:r/>
            <w:r>
              <w:rPr>
                <w:rFonts w:ascii="Calibri" w:hAnsi="Calibri"/>
                <w:sz w:val="17"/>
              </w:rPr>
              <w:t>Sources, NeqSim fallback, validation targets, risk register</w:t>
            </w:r>
          </w:p>
        </w:tc>
      </w:tr>
    </w:tbl>
    <w:p>
      <w:pPr>
        <w:spacing w:after="40"/>
      </w:pPr>
    </w:p>
    <w:p>
      <w:pPr>
        <w:pStyle w:val="Heading2"/>
      </w:pPr>
      <w:r>
        <w:t>2.3  Cut list (decide before the presentation, not during 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5953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On slides 12 / 13 / 17 at 7:05 / 8:00 / 10:40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You are on time — continue as rehearsed</w:t>
            </w:r>
          </w:p>
        </w:tc>
      </w:tr>
      <w:tr>
        <w:tc>
          <w:tcPr>
            <w:tcW w:type="dxa" w:w="368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Up to 20 s behind</w:t>
            </w:r>
          </w:p>
        </w:tc>
        <w:tc>
          <w:tcPr>
            <w:tcW w:type="dxa" w:w="595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Compress slide 11 (three methods only) and slide 15 (three rows only)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30–60 s behind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Speak slide 23 in one sentence or skip; compress slides 14 and 16</w:t>
            </w:r>
          </w:p>
        </w:tc>
      </w:tr>
      <w:tr>
        <w:tc>
          <w:tcPr>
            <w:tcW w:type="dxa" w:w="368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More than 60 s behind</w:t>
            </w:r>
          </w:p>
        </w:tc>
        <w:tc>
          <w:tcPr>
            <w:tcW w:type="dxa" w:w="595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Drop slide 23 entirely; give Part 2 as headlines. NEVER cut slide 22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Ahead of schedule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Expand slide 13 (case study detail) — do not invent new claims</w:t>
            </w:r>
          </w:p>
        </w:tc>
      </w:tr>
    </w:tbl>
    <w:p>
      <w:pPr>
        <w:spacing w:after="40"/>
      </w:pPr>
    </w:p>
    <w:p>
      <w:pPr>
        <w:pStyle w:val="Heading1"/>
      </w:pPr>
      <w:r>
        <w:t>3.  Work plan (six weeks + presentation week)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4762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3969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Deliverable by end of week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Lock the topic with your supervisor; confirm tool licences (PVTsim/Multiflash/OLGA vs NeqSim); resolve [VERIFY] list; start bibliography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Approved title in writing + data/tool decision logged</w:t>
            </w:r>
          </w:p>
        </w:tc>
      </w:tr>
      <w:tr>
        <w:tc>
          <w:tcPr>
            <w:tcW w:type="dxa" w:w="907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762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Write the story: 25 headlines and key messages; build the onset-depth calculation sheet with the case geometry</w:t>
            </w:r>
          </w:p>
        </w:tc>
        <w:tc>
          <w:tcPr>
            <w:tcW w:type="dxa" w:w="3969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Storyboard + working spreadsheet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Build slides 1–13; adapt speaker notes; write half the script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Slides 1–13 + script Part 1–3</w:t>
            </w:r>
          </w:p>
        </w:tc>
      </w:tr>
      <w:tr>
        <w:tc>
          <w:tcPr>
            <w:tcW w:type="dxa" w:w="907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762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Build slides 14–25; finish script; first read-aloud with stopwatch</w:t>
            </w:r>
          </w:p>
        </w:tc>
        <w:tc>
          <w:tcPr>
            <w:tcW w:type="dxa" w:w="3969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Complete deck + complete script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Rehearsals 2–4; fix timings; prepare Q&amp;A pack; memorise every field number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Frozen deck; corrected script; Q&amp;A pack</w:t>
            </w:r>
          </w:p>
        </w:tc>
      </w:tr>
      <w:tr>
        <w:tc>
          <w:tcPr>
            <w:tcW w:type="dxa" w:w="907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762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Dress rehearsal with listeners + question drill; polish; export PDF; submit</w:t>
            </w:r>
          </w:p>
        </w:tc>
        <w:tc>
          <w:tcPr>
            <w:tcW w:type="dxa" w:w="3969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Submitted deck + handout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Deadline week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Light review; 30 minutes early; test projector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15 calm, controlled minutes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sz w:val="20"/>
        </w:rPr>
        <w:t>Content freezes after Week 5. No new ideas in presentation week.</w:t>
      </w:r>
    </w:p>
    <w:p>
      <w:pPr>
        <w:pStyle w:val="ListBullet"/>
        <w:spacing w:after="60"/>
      </w:pPr>
      <w:r>
        <w:rPr>
          <w:sz w:val="20"/>
        </w:rPr>
        <w:t>Rule: any number on a slide must trace to a source on slide 23 — this topic's numbers span fields and years, and the 17's caveat line ('never as a single industry cost') is deliberate.</w:t>
      </w:r>
    </w:p>
    <w:p>
      <w:pPr>
        <w:pStyle w:val="Heading1"/>
      </w:pPr>
      <w:r>
        <w:t>4.  Sources and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669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Sources</w:t>
            </w:r>
          </w:p>
        </w:tc>
        <w:tc>
          <w:tcPr>
            <w:tcW w:type="dxa" w:w="2041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Used on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Reviews (costs &amp; chemistry)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ACS Energy &amp; Fuels (2021); MDPI Processes (2025); Khaleel et al., Fluid Phase Equilibria (2020)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Slides 2, 15–18, 23</w:t>
            </w:r>
          </w:p>
        </w:tc>
      </w:tr>
      <w:tr>
        <w:tc>
          <w:tcPr>
            <w:tcW w:type="dxa" w:w="192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Field cases</w:t>
            </w:r>
          </w:p>
        </w:tc>
        <w:tc>
          <w:tcPr>
            <w:tcW w:type="dxa" w:w="5669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JPT/SPE (2021) deepwater GoM well; Hassi Messaoud SPE-994-PA and successors; west Kuwait Marrat monitoring study</w:t>
            </w:r>
          </w:p>
        </w:tc>
        <w:tc>
          <w:tcPr>
            <w:tcW w:type="dxa" w:w="204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Slides 4, 13–16, 23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Screening &amp; standards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de Boer et al. (1995); CII screening literature; ASTM D6560/IP 143; ASTM D6703; Mullins — Modified Yen Model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Slides 7, 8, 10, 11, 24</w:t>
            </w:r>
          </w:p>
        </w:tc>
      </w:tr>
      <w:tr>
        <w:tc>
          <w:tcPr>
            <w:tcW w:type="dxa" w:w="192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Tools</w:t>
            </w:r>
          </w:p>
        </w:tc>
        <w:tc>
          <w:tcPr>
            <w:tcW w:type="dxa" w:w="5669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Licensed: PVTsim / Multiflash / WinProp-class PVT; OLGA (asphaltene module) or PIPESIM. Open-source: NeqSim (CPA-EoS asphaltene screening). Python for the workflow.</w:t>
            </w:r>
          </w:p>
        </w:tc>
        <w:tc>
          <w:tcPr>
            <w:tcW w:type="dxa" w:w="204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Slides 20, 25</w:t>
            </w:r>
          </w:p>
        </w:tc>
      </w:tr>
    </w:tbl>
    <w:p>
      <w:pPr>
        <w:spacing w:after="40"/>
      </w:pPr>
    </w:p>
    <w:p>
      <w:pPr>
        <w:pStyle w:val="Heading1"/>
      </w:pPr>
      <w:r>
        <w:t>5.  Rehearsal protocol (same five-rehearsal ladder)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4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515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5669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criterion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Script read aloud, seated, no slides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≤ 2 stumbles; no rewriting during the read</w:t>
            </w:r>
          </w:p>
        </w:tc>
      </w:tr>
      <w:tr>
        <w:tc>
          <w:tcPr>
            <w:tcW w:type="dxa" w:w="45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51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Timed, standing, cue card only</w:t>
            </w:r>
          </w:p>
        </w:tc>
        <w:tc>
          <w:tcPr>
            <w:tcW w:type="dxa" w:w="5669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Within ±30 s of 14:25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With slides, clicker, full timing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Every checkpoint within ±15 s</w:t>
            </w:r>
          </w:p>
        </w:tc>
      </w:tr>
      <w:tr>
        <w:tc>
          <w:tcPr>
            <w:tcW w:type="dxa" w:w="45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51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Record on your phone and watch it</w:t>
            </w:r>
          </w:p>
        </w:tc>
        <w:tc>
          <w:tcPr>
            <w:tcW w:type="dxa" w:w="5669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Fillers halved; pace 128–132 wpm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Dress: 2–3 listeners + question drill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14:25 ± 15 s and survive 5 questions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102A43"/>
          <w:sz w:val="20"/>
        </w:rPr>
        <w:t>Memorise verbatim: the opening two sentences, the slide-12 misconception line, the slide-13 punchline ('the well had inhibition — but 3,400 ft of tubing sat below it'), and the three closing messages.</w:t>
      </w:r>
    </w:p>
    <w:p>
      <w:pPr>
        <w:pStyle w:val="Heading1"/>
      </w:pPr>
      <w:r>
        <w:t>6.  Q&amp;A overview</w:t>
      </w:r>
    </w:p>
    <w:p>
      <w:pPr>
        <w:spacing w:after="120"/>
      </w:pPr>
      <w:r>
        <w:rPr>
          <w:b w:val="0"/>
          <w:i w:val="0"/>
          <w:sz w:val="20"/>
        </w:rPr>
        <w:t>The full pack is in 02_Asphaltene_QandA_Pack.docx (31 questions). The six most probable, with soundbites: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75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6463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Two-sentence answer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Why do asphaltenes precipitate when we gas-lift?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The injected light gas lowers the liquid's solvency and can strip the stabilising resin/aromatic fraction, so the colloidal dispersion collapses. It is a composition change, not a temperature one.</w:t>
            </w:r>
          </w:p>
        </w:tc>
      </w:tr>
      <w:tr>
        <w:tc>
          <w:tcPr>
            <w:tcW w:type="dxa" w:w="31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Why not simply choke the well to keep pressure high?</w:t>
            </w:r>
          </w:p>
        </w:tc>
        <w:tc>
          <w:tcPr>
            <w:tcW w:type="dxa" w:w="646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Choking keeps the flowing pressure above the AOP but sacrifices rate and revenue — and Hassi Messaoud showed the opposite lever works too: producing at LOW wellhead pressure reduced cleanouts. The right answer is the P–T path relative to the envelope, which my project quantifies per well.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Are precipitated asphaltenes automatically a deposit?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No — that is the central distinction. Deposition requires adhesion and is balanced by shear removal; many wells produce precipitated asphaltenes with no deposit. Transport modelling is the least mature part of the science.</w:t>
            </w:r>
          </w:p>
        </w:tc>
      </w:tr>
      <w:tr>
        <w:tc>
          <w:tcPr>
            <w:tcW w:type="dxa" w:w="31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Given CO₂ injection and sequestration growth, does this matter more?</w:t>
            </w:r>
          </w:p>
        </w:tc>
        <w:tc>
          <w:tcPr>
            <w:tcW w:type="dxa" w:w="646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Yes — CO₂ is a documented destabiliser of asphaltenic crudes, so the screening and prediction workflow applies directly to CO₂ EOR and storage projects.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Isn't the deposit caused by cooling?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Cooling is the primary trigger for wax, not asphaltenes. Temperature modifies the asphaltene envelope, but pressure and composition dominate — and amorphous deposits do not remelt.</w:t>
            </w:r>
          </w:p>
        </w:tc>
      </w:tr>
      <w:tr>
        <w:tc>
          <w:tcPr>
            <w:tcW w:type="dxa" w:w="31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What data will you use?</w:t>
            </w:r>
          </w:p>
        </w:tc>
        <w:tc>
          <w:tcPr>
            <w:tcW w:type="dxa" w:w="646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Published fluid and field data: the documented GoM case, Hassi Messaoud data, and PVT/SARA reports from the literature, with NeqSim as the open-source modelling fallback if licensed tools are unavailable.</w:t>
            </w:r>
          </w:p>
        </w:tc>
      </w:tr>
    </w:tbl>
    <w:p>
      <w:pPr>
        <w:spacing w:after="40"/>
      </w:pPr>
    </w:p>
    <w:p>
      <w:pPr>
        <w:pStyle w:val="Heading1"/>
      </w:pPr>
      <w:r>
        <w:t>7. 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721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510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</w:t>
            </w:r>
          </w:p>
        </w:tc>
        <w:tc>
          <w:tcPr>
            <w:tcW w:type="dxa" w:w="510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  <w:tc>
          <w:tcPr>
            <w:tcW w:type="dxa" w:w="5896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No live crude sample available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Use published fluid data and declare it; the method is the contribution, not the sample</w:t>
            </w:r>
          </w:p>
        </w:tc>
      </w:tr>
      <w:tr>
        <w:tc>
          <w:tcPr>
            <w:tcW w:type="dxa" w:w="272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Licensed software unavailable</w:t>
            </w:r>
          </w:p>
        </w:tc>
        <w:tc>
          <w:tcPr>
            <w:tcW w:type="dxa" w:w="51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51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58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Declared hierarchy: licensed → NeqSim (open source) → correlations. Project designed to survive any outcome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Case-data conflicts across sources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Document variance; choose conservative values; state the range on the slide</w:t>
            </w:r>
          </w:p>
        </w:tc>
      </w:tr>
      <w:tr>
        <w:tc>
          <w:tcPr>
            <w:tcW w:type="dxa" w:w="272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Running over time</w:t>
            </w:r>
          </w:p>
        </w:tc>
        <w:tc>
          <w:tcPr>
            <w:tcW w:type="dxa" w:w="51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51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58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Checkpoints + cut list; script word-budgeted to 14:25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Committee pushes into deposition-transport modelling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Declared first-order; offered as thesis extension, with sensitivity range</w:t>
            </w:r>
          </w:p>
        </w:tc>
      </w:tr>
      <w:tr>
        <w:tc>
          <w:tcPr>
            <w:tcW w:type="dxa" w:w="272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Topic redirected by supervisor</w:t>
            </w:r>
          </w:p>
        </w:tc>
        <w:tc>
          <w:tcPr>
            <w:tcW w:type="dxa" w:w="51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51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58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The casing/geothermal package in the workspace remains a ready alternative</w:t>
            </w:r>
          </w:p>
        </w:tc>
      </w:tr>
    </w:tbl>
    <w:p>
      <w:pPr>
        <w:spacing w:after="40"/>
      </w:pPr>
    </w:p>
    <w:p>
      <w:pPr>
        <w:pStyle w:val="Heading1"/>
      </w:pPr>
      <w:r>
        <w:t>8.  Pre-submission checklist</w:t>
      </w:r>
    </w:p>
    <w:p>
      <w:pPr>
        <w:pStyle w:val="ListBullet"/>
        <w:spacing w:after="60"/>
      </w:pPr>
      <w:r>
        <w:rPr>
          <w:sz w:val="20"/>
        </w:rPr>
        <w:t>[  ]   All bracketed placeholders replaced.</w:t>
      </w:r>
    </w:p>
    <w:p>
      <w:pPr>
        <w:pStyle w:val="ListBullet"/>
        <w:spacing w:after="60"/>
      </w:pPr>
      <w:r>
        <w:rPr>
          <w:sz w:val="20"/>
        </w:rPr>
        <w:t>[  ]   Every [VERIFY] resolved: exact citations for CII, ASTM standards, AOP screening, cost figures.</w:t>
      </w:r>
    </w:p>
    <w:p>
      <w:pPr>
        <w:pStyle w:val="ListBullet"/>
        <w:spacing w:after="60"/>
      </w:pPr>
      <w:r>
        <w:rPr>
          <w:sz w:val="20"/>
        </w:rPr>
        <w:t>[  ]   Every slide number traceable to slide 23; cost figures carry their field/year context.</w:t>
      </w:r>
    </w:p>
    <w:p>
      <w:pPr>
        <w:pStyle w:val="ListBullet"/>
        <w:spacing w:after="60"/>
      </w:pPr>
      <w:r>
        <w:rPr>
          <w:sz w:val="20"/>
        </w:rPr>
        <w:t>[  ]   Slide count compliant (23 core / 25 with backup); backup labelled.</w:t>
      </w:r>
    </w:p>
    <w:p>
      <w:pPr>
        <w:pStyle w:val="ListBullet"/>
        <w:spacing w:after="60"/>
      </w:pPr>
      <w:r>
        <w:rPr>
          <w:sz w:val="20"/>
        </w:rPr>
        <w:t>[  ]   Deck exported to PDF; script + Q&amp;A printed; USB + cloud copies prepared.</w:t>
      </w:r>
    </w:p>
    <w:p>
      <w:pPr>
        <w:pStyle w:val="ListBullet"/>
        <w:spacing w:after="60"/>
      </w:pPr>
      <w:r>
        <w:rPr>
          <w:sz w:val="20"/>
        </w:rPr>
        <w:t>[  ]   Checkpoints re-measured after final edits (±15 s).</w:t>
      </w:r>
    </w:p>
    <w:p>
      <w:pPr>
        <w:pStyle w:val="ListBullet"/>
        <w:spacing w:after="60"/>
      </w:pPr>
      <w:r>
        <w:rPr>
          <w:sz w:val="20"/>
        </w:rPr>
        <w:t>[  ]   The five memorised lines rehearsed to perfection.</w:t>
      </w:r>
    </w:p>
    <w:p>
      <w:pPr>
        <w:pStyle w:val="ListBullet"/>
        <w:spacing w:after="60"/>
      </w:pPr>
      <w:r>
        <w:rPr>
          <w:sz w:val="20"/>
        </w:rPr>
        <w:t>[  ]   Q&amp;A pack skimmed the evening before and the morning of.</w:t>
      </w:r>
    </w:p>
    <w:p>
      <w:r>
        <w:br w:type="page"/>
      </w:r>
    </w:p>
    <w:p>
      <w:pPr>
        <w:pStyle w:val="Heading1"/>
      </w:pPr>
      <w:r>
        <w:t>Appendix A — Numbers and formulas cheat sheet (keep at the lectern)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94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4082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Relation / value</w:t>
            </w:r>
          </w:p>
        </w:tc>
        <w:tc>
          <w:tcPr>
            <w:tcW w:type="dxa" w:w="3061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 to say aloud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CII (Colloidal Instability Index)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CII = (Saturates + Asphaltenes) / (Resins + Aromatics)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Boundary commonly ≈ 0.9; thresholds are lab-specific</w:t>
            </w:r>
          </w:p>
        </w:tc>
      </w:tr>
      <w:tr>
        <w:tc>
          <w:tcPr>
            <w:tcW w:type="dxa" w:w="249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De Boer screening</w:t>
            </w:r>
          </w:p>
        </w:tc>
        <w:tc>
          <w:tcPr>
            <w:tcW w:type="dxa" w:w="4082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AOP vs bubble point vs reservoir pressure</w:t>
            </w:r>
          </w:p>
        </w:tc>
        <w:tc>
          <w:tcPr>
            <w:tcW w:type="dxa" w:w="306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If AOP &gt; Pb → expect asphaltene problems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AOP position for unstable oils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typically 100–200 bar above the bubble point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Cite the screening literature you use</w:t>
            </w:r>
          </w:p>
        </w:tc>
      </w:tr>
      <w:tr>
        <w:tc>
          <w:tcPr>
            <w:tcW w:type="dxa" w:w="249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Onset depth</w:t>
            </w:r>
          </w:p>
        </w:tc>
        <w:tc>
          <w:tcPr>
            <w:tcW w:type="dxa" w:w="4082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depth where flowing P(d) falls below AOP(T(d))</w:t>
            </w:r>
          </w:p>
        </w:tc>
        <w:tc>
          <w:tcPr>
            <w:tcW w:type="dxa" w:w="306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The number that sets the injection point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Asphaltene definition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insoluble in n-heptane; soluble in toluene (SARA)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ASTM D6560 / IP 143 [verify edition]</w:t>
            </w:r>
          </w:p>
        </w:tc>
      </w:tr>
      <w:tr>
        <w:tc>
          <w:tcPr>
            <w:tcW w:type="dxa" w:w="249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Case well numbers (GoM, JPT/SPE 2021)</w:t>
            </w:r>
          </w:p>
        </w:tc>
        <w:tc>
          <w:tcPr>
            <w:tcW w:type="dxa" w:w="4082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perfs 17,700–18,000 ft · mandrel 14,600 ft · 3,400 ft unprotected · ID 2.3→1.35 in · 750→500 ppm · +16 % / 4 months</w:t>
            </w:r>
          </w:p>
        </w:tc>
        <w:tc>
          <w:tcPr>
            <w:tcW w:type="dxa" w:w="306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Memorise all six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Hassi Messaoud numbers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deposit 83.4 % asphaltenes · 20–25 % WHP loss in 15–20 days · gauge-ring profiling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The classic field; cite SPE-994-PA</w:t>
            </w:r>
          </w:p>
        </w:tc>
      </w:tr>
      <w:tr>
        <w:tc>
          <w:tcPr>
            <w:tcW w:type="dxa" w:w="2494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Cost anchors</w:t>
            </w:r>
          </w:p>
        </w:tc>
        <w:tc>
          <w:tcPr>
            <w:tcW w:type="dxa" w:w="4082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industry-wide billions/yr · ≈ $70 M single-well GoM shut-in · up to $1.2 M/day deferred · inhibitor $31–46 k (ME) vs $330–390 k (GoM) per well/yr</w:t>
            </w:r>
          </w:p>
        </w:tc>
        <w:tc>
          <w:tcPr>
            <w:tcW w:type="dxa" w:w="306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State field and year with each figure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Tools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PVTsim / Multiflash / WinProp · OLGA / PIPESIM · NeqSim (open source, CPA-EoS)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The hierarchy is a project feature, not a backup plan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B — Cue card (25 slides, folded, at the lectern)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75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891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Slide</w:t>
            </w:r>
          </w:p>
        </w:tc>
        <w:tc>
          <w:tcPr>
            <w:tcW w:type="dxa" w:w="696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696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Clock</w:t>
            </w:r>
          </w:p>
        </w:tc>
        <w:tc>
          <w:tcPr>
            <w:tcW w:type="dxa" w:w="4980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The one message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Title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15 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0:15</w:t>
            </w:r>
          </w:p>
        </w:tc>
        <w:tc>
          <w:tcPr>
            <w:tcW w:type="dxa" w:w="4980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Who, what, and the thesis promise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289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A billion-dollar problem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45 s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1:00</w:t>
            </w:r>
          </w:p>
        </w:tc>
        <w:tc>
          <w:tcPr>
            <w:tcW w:type="dxa" w:w="498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Four numbers that establish the stakes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What are asphaltenes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35 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1:35</w:t>
            </w:r>
          </w:p>
        </w:tc>
        <w:tc>
          <w:tcPr>
            <w:tcW w:type="dxa" w:w="4980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Solubility class; kept dispersed by resins — not 'stabilising' the oil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289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Inside the tubing (image)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35 s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2:10</w:t>
            </w:r>
          </w:p>
        </w:tc>
        <w:tc>
          <w:tcPr>
            <w:tcW w:type="dxa" w:w="498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ID 2.3→1.35 in; WHP losses; invisible until expensive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Objective &amp; scope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35 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2:45</w:t>
            </w:r>
          </w:p>
        </w:tc>
        <w:tc>
          <w:tcPr>
            <w:tcW w:type="dxa" w:w="4980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Explain / review / propose; not a field intervention study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289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Roadmap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20 s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3:05</w:t>
            </w:r>
          </w:p>
        </w:tc>
        <w:tc>
          <w:tcPr>
            <w:tcW w:type="dxa" w:w="498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You own the clock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Stability is a balance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35 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3:40</w:t>
            </w:r>
          </w:p>
        </w:tc>
        <w:tc>
          <w:tcPr>
            <w:tcW w:type="dxa" w:w="4980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Three levers; CII as screening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289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Asphaltenes vs wax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40 s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4:20</w:t>
            </w:r>
          </w:p>
        </w:tc>
        <w:tc>
          <w:tcPr>
            <w:tcW w:type="dxa" w:w="498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Not a cooling story; amorphous, pressure/composition-driven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Mechanism chain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35 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4:55</w:t>
            </w:r>
          </w:p>
        </w:tc>
        <w:tc>
          <w:tcPr>
            <w:tcW w:type="dxa" w:w="4980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Precipitation ≠ deposition — the critical distinction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289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The envelope (chart)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45 s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5:40</w:t>
            </w:r>
          </w:p>
        </w:tc>
        <w:tc>
          <w:tcPr>
            <w:tcW w:type="dxa" w:w="498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AOP, de Boer screening, path crossing = onset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Screening &amp; measurement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40 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6:20</w:t>
            </w:r>
          </w:p>
        </w:tc>
        <w:tc>
          <w:tcPr>
            <w:tcW w:type="dxa" w:w="4980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SARA → CII → de Boer → measured AOP curve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289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Triggers + misconception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45 s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7:05</w:t>
            </w:r>
          </w:p>
        </w:tc>
        <w:tc>
          <w:tcPr>
            <w:tcW w:type="dxa" w:w="498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CHECKPOINT 1 — five triggers; deposits form where the path crosses, often deep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Field case (chart)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55 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8:00</w:t>
            </w:r>
          </w:p>
        </w:tc>
        <w:tc>
          <w:tcPr>
            <w:tcW w:type="dxa" w:w="4980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CHECKPOINT 2 — mandrel above onset: 3,400 ft unprotected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289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Detection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35 s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8:35</w:t>
            </w:r>
          </w:p>
        </w:tc>
        <w:tc>
          <w:tcPr>
            <w:tcW w:type="dxa" w:w="498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ΔP/Q fingerprint; gauge rings; sampling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Reactive toolkit fails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45 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9:20</w:t>
            </w:r>
          </w:p>
        </w:tc>
        <w:tc>
          <w:tcPr>
            <w:tcW w:type="dxa" w:w="4980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Every cleanout is NPT and a repeat visit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289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Proactive inhibition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40 s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10:00</w:t>
            </w:r>
          </w:p>
        </w:tc>
        <w:tc>
          <w:tcPr>
            <w:tcW w:type="dxa" w:w="498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Dispersants keep particles flowing; placement rule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17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Economics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40 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10:40</w:t>
            </w:r>
          </w:p>
        </w:tc>
        <w:tc>
          <w:tcPr>
            <w:tcW w:type="dxa" w:w="4980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CHECKPOINT 3 — breakeven model is the missing piece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18</w:t>
            </w:r>
          </w:p>
        </w:tc>
        <w:tc>
          <w:tcPr>
            <w:tcW w:type="dxa" w:w="289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Gap analysis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40 s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11:20</w:t>
            </w:r>
          </w:p>
        </w:tc>
        <w:tc>
          <w:tcPr>
            <w:tcW w:type="dxa" w:w="498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Prediction is the weak link; documented rigour is the contribution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19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Proposed project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45 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12:05</w:t>
            </w:r>
          </w:p>
        </w:tc>
        <w:tc>
          <w:tcPr>
            <w:tcW w:type="dxa" w:w="4980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Aim, RQs, work packages — one case well, end to end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20</w:t>
            </w:r>
          </w:p>
        </w:tc>
        <w:tc>
          <w:tcPr>
            <w:tcW w:type="dxa" w:w="289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Methodology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50 s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12:55</w:t>
            </w:r>
          </w:p>
        </w:tc>
        <w:tc>
          <w:tcPr>
            <w:tcW w:type="dxa" w:w="498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Screening → modelling → validation → economics; tool hierarchy declared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21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Deliverables &amp; limits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40 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13:35</w:t>
            </w:r>
          </w:p>
        </w:tc>
        <w:tc>
          <w:tcPr>
            <w:tcW w:type="dxa" w:w="4980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Bounded scope; honest limitations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22</w:t>
            </w:r>
          </w:p>
        </w:tc>
        <w:tc>
          <w:tcPr>
            <w:tcW w:type="dxa" w:w="289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Three messages + thanks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40 s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14:15</w:t>
            </w:r>
          </w:p>
        </w:tc>
        <w:tc>
          <w:tcPr>
            <w:tcW w:type="dxa" w:w="498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CONCLUSIONS START HERE — memorised verbatim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23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References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10 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14:25</w:t>
            </w:r>
          </w:p>
        </w:tc>
        <w:tc>
          <w:tcPr>
            <w:tcW w:type="dxa" w:w="4980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One sentence; skippable</w:t>
            </w:r>
          </w:p>
        </w:tc>
      </w:tr>
      <w:tr>
        <w:tc>
          <w:tcPr>
            <w:tcW w:type="dxa" w:w="375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24</w:t>
            </w:r>
          </w:p>
        </w:tc>
        <w:tc>
          <w:tcPr>
            <w:tcW w:type="dxa" w:w="289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BACKUP — derivations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backup</w:t>
            </w:r>
          </w:p>
        </w:tc>
        <w:tc>
          <w:tcPr>
            <w:tcW w:type="dxa" w:w="696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498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CII, de Boer, onset model, sensitivity, exclusions</w:t>
            </w:r>
          </w:p>
        </w:tc>
      </w:tr>
      <w:tr>
        <w:tc>
          <w:tcPr>
            <w:tcW w:type="dxa" w:w="375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25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BACKUP — data &amp; tools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backup</w:t>
            </w:r>
          </w:p>
        </w:tc>
        <w:tc>
          <w:tcPr>
            <w:tcW w:type="dxa" w:w="696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4980"/>
          </w:tcPr>
          <w:p>
            <w:pPr>
              <w:spacing w:after="40"/>
            </w:pPr>
            <w:r/>
            <w:r>
              <w:rPr>
                <w:rFonts w:ascii="Calibri" w:hAnsi="Calibri"/>
                <w:sz w:val="16"/>
              </w:rPr>
              <w:t>Sources, NeqSim fallback, validation targets, risk register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672"/>
        <w:sz w:val="16"/>
      </w:rPr>
      <w:t xml:space="preserve">Seminar Master Plan — Asphaltenes: Predicting and Preventing Wellbore Plugging  —  page </w:t>
    </w:r>
    <w:r>
      <w:rPr>
        <w:color w:val="5A6672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7A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