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7A84"/>
          <w:sz w:val="24"/>
        </w:rPr>
        <w:t>WORD-FOR-WORD SPEAKING SCRIPT — 15 MINUTES</w:t>
      </w:r>
    </w:p>
    <w:p>
      <w:pPr>
        <w:jc w:val="center"/>
      </w:pPr>
      <w:r>
        <w:rPr>
          <w:b/>
          <w:color w:val="102A43"/>
          <w:sz w:val="40"/>
        </w:rPr>
        <w:t>Asphaltenes: Predicting and Preventing Wellbore Plugging</w:t>
      </w:r>
    </w:p>
    <w:p>
      <w:pPr>
        <w:jc w:val="center"/>
      </w:pPr>
      <w:r>
        <w:rPr>
          <w:color w:val="5A6672"/>
          <w:sz w:val="22"/>
        </w:rPr>
        <w:t>Companion to Asphaltene_Slides_23plus2.pptx · designed for a 14:25 speaking budget</w:t>
      </w:r>
    </w:p>
    <w:p>
      <w:pPr>
        <w:spacing w:after="120"/>
      </w:pPr>
      <w:r>
        <w:rPr>
          <w:b w:val="0"/>
          <w:i/>
          <w:color w:val="5A6672"/>
          <w:sz w:val="20"/>
        </w:rPr>
        <w:t>How to use: read it, cut it to your voice, then stop reading it — by rehearsal 3 you work from the cue card, with this script as the safety net. Numbers are written phonetically on purpose: you say 'two point three to one point three five', never mumble a decimal. Memorise the five scripted lines flagged in the Master Plan.</w:t>
      </w:r>
    </w:p>
    <w:p>
      <w:pPr>
        <w:pStyle w:val="Heading3"/>
      </w:pPr>
      <w:r>
        <w:t>Slide 1 — Title   (target 15 s · clock 0:15)</w:t>
      </w:r>
    </w:p>
    <w:p>
      <w:pPr>
        <w:spacing w:after="80"/>
      </w:pPr>
      <w:r>
        <w:rPr>
          <w:b/>
          <w:i w:val="0"/>
          <w:color w:val="102A43"/>
          <w:sz w:val="21"/>
        </w:rPr>
        <w:t xml:space="preserve">SAY:  </w:t>
      </w:r>
      <w:r>
        <w:rPr>
          <w:b w:val="0"/>
          <w:i w:val="0"/>
          <w:sz w:val="21"/>
        </w:rPr>
        <w:t>Good morning. My name is [—]. In fifteen minutes I will show you how the heaviest fraction of crude oil can choke a well to death — and how we can predict it before it happens. The title: asphaltenes — predicting and preventing wellbore plugging. Field engineers call them the cholesterol of crude oil. Let me show you why.</w:t>
      </w:r>
    </w:p>
    <w:p>
      <w:pPr>
        <w:spacing w:after="40"/>
      </w:pPr>
      <w:r>
        <w:rPr>
          <w:b/>
          <w:i w:val="0"/>
          <w:color w:val="1F7A84"/>
          <w:sz w:val="20"/>
        </w:rPr>
        <w:t xml:space="preserve">DO:  </w:t>
      </w:r>
      <w:r>
        <w:rPr>
          <w:b w:val="0"/>
          <w:i w:val="0"/>
          <w:sz w:val="20"/>
        </w:rPr>
        <w:t>Introduce yourself; state the title; promise the thesis link.</w:t>
      </w:r>
    </w:p>
    <w:p>
      <w:pPr>
        <w:pStyle w:val="Heading3"/>
      </w:pPr>
      <w:r>
        <w:t>Slide 2 — A billion-dollar problem   (target 45 s · clock 1:00)</w:t>
      </w:r>
    </w:p>
    <w:p>
      <w:pPr>
        <w:spacing w:after="80"/>
      </w:pPr>
      <w:r>
        <w:rPr>
          <w:b/>
          <w:i w:val="0"/>
          <w:color w:val="102A43"/>
          <w:sz w:val="21"/>
        </w:rPr>
        <w:t xml:space="preserve">SAY:  </w:t>
      </w:r>
      <w:r>
        <w:rPr>
          <w:b w:val="0"/>
          <w:i w:val="0"/>
          <w:sz w:val="21"/>
        </w:rPr>
        <w:t>First, the stakes. Four numbers. Asphaltene deposition costs the industry billions of dollars every year. In a documented deepwater Gulf of Mexico well, a single shut-in and cleanup cost about seventy million dollars. Deferred production during a plugging event reaches one point two million per day. And in severe fields, the deposit has been measured at up to two thirds of the tubing radius. This is not exotic — it is managed somewhere every day.</w:t>
      </w:r>
    </w:p>
    <w:p>
      <w:pPr>
        <w:spacing w:after="40"/>
      </w:pPr>
      <w:r>
        <w:rPr>
          <w:b/>
          <w:i w:val="0"/>
          <w:color w:val="1F7A84"/>
          <w:sz w:val="20"/>
        </w:rPr>
        <w:t xml:space="preserve">DO:  </w:t>
      </w:r>
      <w:r>
        <w:rPr>
          <w:b w:val="0"/>
          <w:i w:val="0"/>
          <w:sz w:val="20"/>
        </w:rPr>
        <w:t>Land each figure with a pause. Point at each card.</w:t>
      </w:r>
    </w:p>
    <w:p>
      <w:pPr>
        <w:pStyle w:val="Heading3"/>
      </w:pPr>
      <w:r>
        <w:t>Slide 3 — What are asphaltenes   (target 35 s · clock 1:35)</w:t>
      </w:r>
    </w:p>
    <w:p>
      <w:pPr>
        <w:spacing w:after="80"/>
      </w:pPr>
      <w:r>
        <w:rPr>
          <w:b/>
          <w:i w:val="0"/>
          <w:color w:val="102A43"/>
          <w:sz w:val="21"/>
        </w:rPr>
        <w:t xml:space="preserve">SAY:  </w:t>
      </w:r>
      <w:r>
        <w:rPr>
          <w:b w:val="0"/>
          <w:i w:val="0"/>
          <w:sz w:val="21"/>
        </w:rPr>
        <w:t>So what are they? Asphaltenes are a solubility class — defined operationally: insoluble in n-heptane, soluble in toluene, the heaviest and most polar fraction of the crude. They exist in the oil as nano-aggregates, kept dispersed by a solvating shell of resins and aromatics. That shell is the stability — not the asphaltene itself. Disturb the shell, and the aggregates flocculate and come out of solution.</w:t>
      </w:r>
    </w:p>
    <w:p>
      <w:pPr>
        <w:spacing w:after="40"/>
      </w:pPr>
      <w:r>
        <w:rPr>
          <w:b/>
          <w:i w:val="0"/>
          <w:color w:val="1F7A84"/>
          <w:sz w:val="20"/>
        </w:rPr>
        <w:t xml:space="preserve">DO:  </w:t>
      </w:r>
      <w:r>
        <w:rPr>
          <w:b w:val="0"/>
          <w:i w:val="0"/>
          <w:sz w:val="20"/>
        </w:rPr>
        <w:t>Correct the common inversion: resins stabilise the dispersion.</w:t>
      </w:r>
    </w:p>
    <w:p>
      <w:pPr>
        <w:pStyle w:val="Heading3"/>
      </w:pPr>
      <w:r>
        <w:t>Slide 4 — Inside the tubing   (target 35 s · clock 2:10)</w:t>
      </w:r>
    </w:p>
    <w:p>
      <w:pPr>
        <w:spacing w:after="80"/>
      </w:pPr>
      <w:r>
        <w:rPr>
          <w:b/>
          <w:i w:val="0"/>
          <w:color w:val="102A43"/>
          <w:sz w:val="21"/>
        </w:rPr>
        <w:t xml:space="preserve">SAY:  </w:t>
      </w:r>
      <w:r>
        <w:rPr>
          <w:b w:val="0"/>
          <w:i w:val="0"/>
          <w:sz w:val="21"/>
        </w:rPr>
        <w:t>Here is what that looks like. In the documented Gulf of Mexico case, the effective tubing diameter fell from two point three inches to one point three five — the pipe lost roughly two thirds of its flow area. In severe fields, wells lost twenty to twenty-five percent of wellhead pressure within fifteen to twenty days. First the rate declines, then the well stops flowing altogether — and until the pressure signature is obvious, the deposit is invisible.</w:t>
      </w:r>
    </w:p>
    <w:p>
      <w:pPr>
        <w:spacing w:after="40"/>
      </w:pPr>
      <w:r>
        <w:rPr>
          <w:b/>
          <w:i w:val="0"/>
          <w:color w:val="1F7A84"/>
          <w:sz w:val="20"/>
        </w:rPr>
        <w:t xml:space="preserve">DO:  </w:t>
      </w:r>
      <w:r>
        <w:rPr>
          <w:b w:val="0"/>
          <w:i w:val="0"/>
          <w:sz w:val="20"/>
        </w:rPr>
        <w:t>Point into the image: 'this pipe still has a hole in it — for now.'</w:t>
      </w:r>
    </w:p>
    <w:p>
      <w:pPr>
        <w:spacing w:after="120"/>
      </w:pPr>
      <w:r>
        <w:rPr>
          <w:b/>
          <w:i w:val="0"/>
          <w:color w:val="B43B2E"/>
          <w:sz w:val="20"/>
        </w:rPr>
        <w:t xml:space="preserve">IF BEHIND:  </w:t>
      </w:r>
      <w:r>
        <w:rPr>
          <w:b w:val="0"/>
          <w:i w:val="0"/>
          <w:sz w:val="20"/>
        </w:rPr>
        <w:t>If late: keep the ID number and the 20–25 % figure only.</w:t>
      </w:r>
    </w:p>
    <w:p>
      <w:pPr>
        <w:pStyle w:val="Heading3"/>
      </w:pPr>
      <w:r>
        <w:t>Slide 5 — Objective and scope   (target 35 s · clock 2:45)</w:t>
      </w:r>
    </w:p>
    <w:p>
      <w:pPr>
        <w:spacing w:after="80"/>
      </w:pPr>
      <w:r>
        <w:rPr>
          <w:b/>
          <w:i w:val="0"/>
          <w:color w:val="102A43"/>
          <w:sz w:val="21"/>
        </w:rPr>
        <w:t xml:space="preserve">SAY:  </w:t>
      </w:r>
      <w:r>
        <w:rPr>
          <w:b w:val="0"/>
          <w:i w:val="0"/>
          <w:sz w:val="21"/>
        </w:rPr>
        <w:t>So, three verbs for this seminar. Explain what destabilises asphaltenes. Review today's defenses — and why they are mostly reactive. And propose the project: predicting onset depth and the injection point for a real well. Let me be explicit: this is a flow-assurance review and a feasibility study — not a completed field intervention study. I claim the roadmap, not the destination.</w:t>
      </w:r>
    </w:p>
    <w:p>
      <w:pPr>
        <w:spacing w:after="40"/>
      </w:pPr>
      <w:r>
        <w:rPr>
          <w:b/>
          <w:i w:val="0"/>
          <w:color w:val="1F7A84"/>
          <w:sz w:val="20"/>
        </w:rPr>
        <w:t xml:space="preserve">DO:  </w:t>
      </w:r>
      <w:r>
        <w:rPr>
          <w:b w:val="0"/>
          <w:i w:val="0"/>
          <w:sz w:val="20"/>
        </w:rPr>
        <w:t>The scope sentence is your shield. Say it slowly.</w:t>
      </w:r>
    </w:p>
    <w:p>
      <w:pPr>
        <w:pStyle w:val="Heading3"/>
      </w:pPr>
      <w:r>
        <w:t>Slide 6 — Roadmap   (target 20 s · clock 3:05)</w:t>
      </w:r>
    </w:p>
    <w:p>
      <w:pPr>
        <w:spacing w:after="80"/>
      </w:pPr>
      <w:r>
        <w:rPr>
          <w:b/>
          <w:i w:val="0"/>
          <w:color w:val="102A43"/>
          <w:sz w:val="21"/>
        </w:rPr>
        <w:t xml:space="preserve">SAY:  </w:t>
      </w:r>
      <w:r>
        <w:rPr>
          <w:b w:val="0"/>
          <w:i w:val="0"/>
          <w:sz w:val="21"/>
        </w:rPr>
        <w:t>The structure: five parts. The problem — to minute three. The science of stability — to minute seven. The field evidence — the case study that carries the argument. The defenses, then and now — to about minute eleven. And the graduation project. Then three messages, and your questions. One reminder in advance, at the bottom: this is a flow-assurance review plus a thesis feasibility study — not a completed field intervention.</w:t>
      </w:r>
    </w:p>
    <w:p>
      <w:pPr>
        <w:spacing w:after="40"/>
      </w:pPr>
      <w:r>
        <w:rPr>
          <w:b/>
          <w:i w:val="0"/>
          <w:color w:val="1F7A84"/>
          <w:sz w:val="20"/>
        </w:rPr>
        <w:t xml:space="preserve">DO:  </w:t>
      </w:r>
      <w:r>
        <w:rPr>
          <w:b w:val="0"/>
          <w:i w:val="0"/>
          <w:sz w:val="20"/>
        </w:rPr>
        <w:t>Fast and confident; do not linger. Gesture once at the scope line, then move on.</w:t>
      </w:r>
    </w:p>
    <w:p>
      <w:pPr>
        <w:pStyle w:val="Heading3"/>
      </w:pPr>
      <w:r>
        <w:t>Slide 7 — Stability is a balance   (target 35 s · clock 3:40)</w:t>
      </w:r>
    </w:p>
    <w:p>
      <w:pPr>
        <w:spacing w:after="80"/>
      </w:pPr>
      <w:r>
        <w:rPr>
          <w:b/>
          <w:i w:val="0"/>
          <w:color w:val="102A43"/>
          <w:sz w:val="21"/>
        </w:rPr>
        <w:t xml:space="preserve">SAY:  </w:t>
      </w:r>
      <w:r>
        <w:rPr>
          <w:b w:val="0"/>
          <w:i w:val="0"/>
          <w:sz w:val="21"/>
        </w:rPr>
        <w:t>Why does stable oil become unstable? Two engineering views — colloidal and solubility — and one working rule: asphaltenes are most soluble in aromatic, dense fluids. Screening condenses this into the Colloidal Instability Index: saturates plus asphaltenes, over resins plus aromatics. Higher means less stable. Three levers move the balance: pressure, composition, temperature — in that order.</w:t>
      </w:r>
    </w:p>
    <w:p>
      <w:pPr>
        <w:spacing w:after="40"/>
      </w:pPr>
      <w:r>
        <w:rPr>
          <w:b/>
          <w:i w:val="0"/>
          <w:color w:val="1F7A84"/>
          <w:sz w:val="20"/>
        </w:rPr>
        <w:t xml:space="preserve">DO:  </w:t>
      </w:r>
      <w:r>
        <w:rPr>
          <w:b w:val="0"/>
          <w:i w:val="0"/>
          <w:sz w:val="20"/>
        </w:rPr>
        <w:t>Say the order of importance explicitly: pressure first.</w:t>
      </w:r>
    </w:p>
    <w:p>
      <w:pPr>
        <w:pStyle w:val="Heading3"/>
      </w:pPr>
      <w:r>
        <w:t>Slide 8 — Asphaltenes are not wax   (target 40 s · clock 4:20)</w:t>
      </w:r>
    </w:p>
    <w:p>
      <w:pPr>
        <w:spacing w:after="80"/>
      </w:pPr>
      <w:r>
        <w:rPr>
          <w:b/>
          <w:i w:val="0"/>
          <w:color w:val="102A43"/>
          <w:sz w:val="21"/>
        </w:rPr>
        <w:t xml:space="preserve">SAY:  </w:t>
      </w:r>
      <w:r>
        <w:rPr>
          <w:b w:val="0"/>
          <w:i w:val="0"/>
          <w:sz w:val="21"/>
        </w:rPr>
        <w:t>Now the distinction that matters most in this talk. Wax is a cooling story: temperature falls below the wax appearance temperature, crystals form, and they can be melted away. Asphaltenes are a pressure-and-composition story: pressure falls below the onset, or the composition changes, and amorphous particles separate. Amorphous means they do not remelt — which is exactly why thermal methods that work for wax fail here. Different trigger, different physics, different fix.</w:t>
      </w:r>
    </w:p>
    <w:p>
      <w:pPr>
        <w:spacing w:after="40"/>
      </w:pPr>
      <w:r>
        <w:rPr>
          <w:b/>
          <w:i w:val="0"/>
          <w:color w:val="1F7A84"/>
          <w:sz w:val="20"/>
        </w:rPr>
        <w:t xml:space="preserve">DO:  </w:t>
      </w:r>
      <w:r>
        <w:rPr>
          <w:b w:val="0"/>
          <w:i w:val="0"/>
          <w:sz w:val="20"/>
        </w:rPr>
        <w:t>Three contrasts only; do not read the table.</w:t>
      </w:r>
    </w:p>
    <w:p>
      <w:pPr>
        <w:pStyle w:val="Heading3"/>
      </w:pPr>
      <w:r>
        <w:t>Slide 9 — Mechanism chain   (target 35 s · clock 4:55)</w:t>
      </w:r>
    </w:p>
    <w:p>
      <w:pPr>
        <w:spacing w:after="80"/>
      </w:pPr>
      <w:r>
        <w:rPr>
          <w:b/>
          <w:i w:val="0"/>
          <w:color w:val="102A43"/>
          <w:sz w:val="21"/>
        </w:rPr>
        <w:t xml:space="preserve">SAY:  </w:t>
      </w:r>
      <w:r>
        <w:rPr>
          <w:b w:val="0"/>
          <w:i w:val="0"/>
          <w:sz w:val="21"/>
        </w:rPr>
        <w:t>The chain has four steps. Precipitation — thermodynamic: the oil crosses the envelope. Flocculation — particles stick into clusters. Aggregation — clusters grow. And deposition — particles adhere to steel, balanced by shear removal. And here is the distinction that separates understanding from theory: precipitation is not deposition. Many wells carry precipitated asphaltenes all the way to surface with no deposit at all. Deposition is a transport phenomenon on top of the thermodynamic one — and it is where prediction is weakest today.</w:t>
      </w:r>
    </w:p>
    <w:p>
      <w:pPr>
        <w:spacing w:after="40"/>
      </w:pPr>
      <w:r>
        <w:rPr>
          <w:b/>
          <w:i w:val="0"/>
          <w:color w:val="1F7A84"/>
          <w:sz w:val="20"/>
        </w:rPr>
        <w:t xml:space="preserve">DO:  </w:t>
      </w:r>
      <w:r>
        <w:rPr>
          <w:b w:val="0"/>
          <w:i w:val="0"/>
          <w:sz w:val="20"/>
        </w:rPr>
        <w:t>The red box is the exam-grade point. Slow down.</w:t>
      </w:r>
    </w:p>
    <w:p>
      <w:pPr>
        <w:pStyle w:val="Heading3"/>
      </w:pPr>
      <w:r>
        <w:t>Slide 10 — The envelope   (target 45 s · clock 5:40)</w:t>
      </w:r>
    </w:p>
    <w:p>
      <w:pPr>
        <w:spacing w:after="80"/>
      </w:pPr>
      <w:r>
        <w:rPr>
          <w:b/>
          <w:i w:val="0"/>
          <w:color w:val="102A43"/>
          <w:sz w:val="21"/>
        </w:rPr>
        <w:t xml:space="preserve">SAY:  </w:t>
      </w:r>
      <w:r>
        <w:rPr>
          <w:b w:val="0"/>
          <w:i w:val="0"/>
          <w:sz w:val="21"/>
        </w:rPr>
        <w:t>This chart is the heart of the science. The dashed line is the onset pressure versus temperature — above it the oil is stable; below it, precipitation is possible. Two details. First, the upper onset can sit above the bubble point by hundreds of bar — thousands of psi in severe oils — and precipitation peaks near the bubble point. Second, keep the screens straight: the de Boer plot is a different screen, in-situ density against gas under-saturation; the onset-versus-bubble-point rule comes from the envelope. And the dark line is the flowing path: as oil rises, pressure and temperature fall together until the crossing — the moment the clock starts.</w:t>
      </w:r>
    </w:p>
    <w:p>
      <w:pPr>
        <w:spacing w:after="40"/>
      </w:pPr>
      <w:r>
        <w:rPr>
          <w:b/>
          <w:i w:val="0"/>
          <w:color w:val="1F7A84"/>
          <w:sz w:val="20"/>
        </w:rPr>
        <w:t xml:space="preserve">DO:  </w:t>
      </w:r>
      <w:r>
        <w:rPr>
          <w:b w:val="0"/>
          <w:i w:val="0"/>
          <w:sz w:val="20"/>
        </w:rPr>
        <w:t>Trace the path with the pointer: reservoir, crossing star, wellhead.</w:t>
      </w:r>
    </w:p>
    <w:p>
      <w:pPr>
        <w:pStyle w:val="Heading3"/>
      </w:pPr>
      <w:r>
        <w:t>Slide 11 — Screening and measurement   (target 40 s · clock 6:20)</w:t>
      </w:r>
    </w:p>
    <w:p>
      <w:pPr>
        <w:spacing w:after="80"/>
      </w:pPr>
      <w:r>
        <w:rPr>
          <w:b/>
          <w:i w:val="0"/>
          <w:color w:val="102A43"/>
          <w:sz w:val="21"/>
        </w:rPr>
        <w:t xml:space="preserve">SAY:  </w:t>
      </w:r>
      <w:r>
        <w:rPr>
          <w:b w:val="0"/>
          <w:i w:val="0"/>
          <w:sz w:val="21"/>
        </w:rPr>
        <w:t>How do we get these numbers? In two layers. Screening first: SARA analysis — saturates, aromatics, resins, asphaltenes; the Colloidal Instability Index; and the de Boer plot. Then measurement: heptane titration for onset ranking, and — the anchor for any model — a high-pressure onset measurement in a PVT cell, typically by near-infrared or light scattering, giving onset pressure versus temperature. Screening decides if we worry; measurement calibrates the prediction.</w:t>
      </w:r>
    </w:p>
    <w:p>
      <w:pPr>
        <w:spacing w:after="40"/>
      </w:pPr>
      <w:r>
        <w:rPr>
          <w:b/>
          <w:i w:val="0"/>
          <w:color w:val="1F7A84"/>
          <w:sz w:val="20"/>
        </w:rPr>
        <w:t xml:space="preserve">DO:  </w:t>
      </w:r>
      <w:r>
        <w:rPr>
          <w:b w:val="0"/>
          <w:i w:val="0"/>
          <w:sz w:val="20"/>
        </w:rPr>
        <w:t>Three methods maximum if short: SARA, CII, measured onset curve.</w:t>
      </w:r>
    </w:p>
    <w:p>
      <w:pPr>
        <w:pStyle w:val="Heading3"/>
      </w:pPr>
      <w:r>
        <w:t>Slide 12 — Triggers and the misconception   (target 45 s · clock 7:05)</w:t>
      </w:r>
    </w:p>
    <w:p>
      <w:pPr>
        <w:spacing w:after="80"/>
      </w:pPr>
      <w:r>
        <w:rPr>
          <w:b/>
          <w:i w:val="0"/>
          <w:color w:val="102A43"/>
          <w:sz w:val="21"/>
        </w:rPr>
        <w:t xml:space="preserve">SAY:  </w:t>
      </w:r>
      <w:r>
        <w:rPr>
          <w:b w:val="0"/>
          <w:i w:val="0"/>
          <w:sz w:val="21"/>
        </w:rPr>
        <w:t>What triggers it downhole? The pressure drop is the main trigger. Gas lift changes the solvent — the light gas strips the stabilising shell. Gas breakthrough, CO2 and rich-gas injection shift the envelope. Commingling two stable crudes can create an unstable blend. And a misconception I want to correct: that deposits form at the top of the well, where pressure drops fastest. Not true — the gradient along the tubing is roughly steady, so the deposit forms wherever the flowing path first crosses the envelope. In deep wells that can be hundreds of metres, even kilometres, below the wellhead.</w:t>
      </w:r>
    </w:p>
    <w:p>
      <w:pPr>
        <w:spacing w:after="40"/>
      </w:pPr>
      <w:r>
        <w:rPr>
          <w:b/>
          <w:i w:val="0"/>
          <w:color w:val="1F7A84"/>
          <w:sz w:val="20"/>
        </w:rPr>
        <w:t xml:space="preserve">DO:  </w:t>
      </w:r>
      <w:r>
        <w:rPr>
          <w:b w:val="0"/>
          <w:i w:val="0"/>
          <w:sz w:val="20"/>
        </w:rPr>
        <w:t>CHECKPOINT 1 at seven oh five. The misconception is the pivot of the talk.</w:t>
      </w:r>
    </w:p>
    <w:p>
      <w:pPr>
        <w:pStyle w:val="Heading3"/>
      </w:pPr>
      <w:r>
        <w:t>Slide 13 — The field case   (target 55 s · clock 8:00)</w:t>
      </w:r>
    </w:p>
    <w:p>
      <w:pPr>
        <w:spacing w:after="80"/>
      </w:pPr>
      <w:r>
        <w:rPr>
          <w:b/>
          <w:i w:val="0"/>
          <w:color w:val="102A43"/>
          <w:sz w:val="21"/>
        </w:rPr>
        <w:t xml:space="preserve">SAY:  </w:t>
      </w:r>
      <w:r>
        <w:rPr>
          <w:b w:val="0"/>
          <w:i w:val="0"/>
          <w:sz w:val="21"/>
        </w:rPr>
        <w:t>And here is why that matters — a documented deepwater Gulf of Mexico well. The perforations sit at seventeen thousand seven hundred to eighteen thousand feet; the chemical injection mandrel at fourteen thousand six hundred. The onset pressure of this fluid sits within reservoir conditions — so the bottom three thousand four hundred feet of tubing sat below the mandrel, with no chemical protection at all. While producing, the effective tubing diameter fell from two point three to one point three five inches. The fix was a solvent soak, then continuous inhibitor — seven hundred fifty parts per million initially, stabilised near five hundred. Result: sixteen percent more production over four months. The lesson is geometric: the well had inhibition — the placement was wrong.</w:t>
      </w:r>
    </w:p>
    <w:p>
      <w:pPr>
        <w:spacing w:after="40"/>
      </w:pPr>
      <w:r>
        <w:rPr>
          <w:b/>
          <w:i w:val="0"/>
          <w:color w:val="1F7A84"/>
          <w:sz w:val="20"/>
        </w:rPr>
        <w:t xml:space="preserve">DO:  </w:t>
      </w:r>
      <w:r>
        <w:rPr>
          <w:b w:val="0"/>
          <w:i w:val="0"/>
          <w:sz w:val="20"/>
        </w:rPr>
        <w:t>CHECKPOINT 2 at eight minutes. POINT AT THE ≈300 m BRACKET on the figure while you say the third sentence — the gap between the mandrel and the predicted onset is the argument. The punchline is the last sentence.</w:t>
      </w:r>
    </w:p>
    <w:p>
      <w:pPr>
        <w:pStyle w:val="Heading3"/>
      </w:pPr>
      <w:r>
        <w:t>Slide 14 — Detection   (target 35 s · clock 8:35)</w:t>
      </w:r>
    </w:p>
    <w:p>
      <w:pPr>
        <w:spacing w:after="80"/>
      </w:pPr>
      <w:r>
        <w:rPr>
          <w:b/>
          <w:i w:val="0"/>
          <w:color w:val="102A43"/>
          <w:sz w:val="21"/>
        </w:rPr>
        <w:t xml:space="preserve">SAY:  </w:t>
      </w:r>
      <w:r>
        <w:rPr>
          <w:b w:val="0"/>
          <w:i w:val="0"/>
          <w:sz w:val="21"/>
        </w:rPr>
        <w:t>How do we detect it before the well chokes? The earliest fingerprint is a rising pressure drop for the same rate — delta P over Q. Then the wellhead signature: in severe fields, twenty to twenty-five percent pressure loss within weeks. For direct measurement: wireline gauge rings, run successively, map the deposit profile — the classic Hassi Messaoud practice. And in the deepwater case, produced-fluid sampling with optical analysis tuned the inhibitor dose in near-real time.</w:t>
      </w:r>
    </w:p>
    <w:p>
      <w:pPr>
        <w:spacing w:after="40"/>
      </w:pPr>
      <w:r>
        <w:rPr>
          <w:b/>
          <w:i w:val="0"/>
          <w:color w:val="1F7A84"/>
          <w:sz w:val="20"/>
        </w:rPr>
        <w:t xml:space="preserve">DO:  </w:t>
      </w:r>
      <w:r>
        <w:rPr>
          <w:b w:val="0"/>
          <w:i w:val="0"/>
          <w:sz w:val="20"/>
        </w:rPr>
        <w:t>Name the delta-P/Q fingerprint first — it is the cheapest alarm.</w:t>
      </w:r>
    </w:p>
    <w:p>
      <w:pPr>
        <w:pStyle w:val="Heading3"/>
      </w:pPr>
      <w:r>
        <w:t>Slide 15 — Reactive defenses fail   (target 45 s · clock 9:20)</w:t>
      </w:r>
    </w:p>
    <w:p>
      <w:pPr>
        <w:spacing w:after="80"/>
      </w:pPr>
      <w:r>
        <w:rPr>
          <w:b/>
          <w:i w:val="0"/>
          <w:color w:val="102A43"/>
          <w:sz w:val="21"/>
        </w:rPr>
        <w:t xml:space="preserve">SAY:  </w:t>
      </w:r>
      <w:r>
        <w:rPr>
          <w:b w:val="0"/>
          <w:i w:val="0"/>
          <w:sz w:val="21"/>
        </w:rPr>
        <w:t>The reactive toolkit. Wireline scrapers cut the deposit out; coiled tubing mills the full string; aromatic solvents dissolve it; acid jobs are sometimes used; thermal methods are not a melting story — asphaltene deposits have no melting point, and heat can even weaken the resins that keep them dispersed. Each method works. But look at the pattern: every one is a cleanout. Every cleanout is NPT, deferred production, and a repeat visit scheduled by the physics itself. At Hassi Messaoud, the classic assessment of routine scraping and solvent washing was short and honest: expensive and cumbersome.</w:t>
      </w:r>
    </w:p>
    <w:p>
      <w:pPr>
        <w:spacing w:after="40"/>
      </w:pPr>
      <w:r>
        <w:rPr>
          <w:b/>
          <w:i w:val="0"/>
          <w:color w:val="1F7A84"/>
          <w:sz w:val="20"/>
        </w:rPr>
        <w:t xml:space="preserve">DO:  </w:t>
      </w:r>
      <w:r>
        <w:rPr>
          <w:b w:val="0"/>
          <w:i w:val="0"/>
          <w:sz w:val="20"/>
        </w:rPr>
        <w:t>Three rows maximum: scrapers, solvents, thermal.</w:t>
      </w:r>
    </w:p>
    <w:p>
      <w:pPr>
        <w:pStyle w:val="Heading3"/>
      </w:pPr>
      <w:r>
        <w:t>Slide 16 — Proactive inhibition   (target 40 s · clock 10:00)</w:t>
      </w:r>
    </w:p>
    <w:p>
      <w:pPr>
        <w:spacing w:after="80"/>
      </w:pPr>
      <w:r>
        <w:rPr>
          <w:b/>
          <w:i w:val="0"/>
          <w:color w:val="102A43"/>
          <w:sz w:val="21"/>
        </w:rPr>
        <w:t xml:space="preserve">SAY:  </w:t>
      </w:r>
      <w:r>
        <w:rPr>
          <w:b w:val="0"/>
          <w:i w:val="0"/>
          <w:sz w:val="21"/>
        </w:rPr>
        <w:t>So the proactive answer: don't remove the deposit — prevent it. Inhibitors and dispersants share one principle — a polar head adsorbs on the aggregate, an alkyl tail keeps it suspended — but they differ: inhibitors shift the flocculation onset, dispersants shrink aggregates, and neither dissolves a deposit. They are injected continuously through a capillary string. Dosage is field-specific — hundreds to a few thousand parts per million — and more is not better: over-dosing can increase deposition. The placement rule from the case study: inject below the deepest credible onset depth, with a margin from the sensitivity study.</w:t>
      </w:r>
    </w:p>
    <w:p>
      <w:pPr>
        <w:spacing w:after="40"/>
      </w:pPr>
      <w:r>
        <w:rPr>
          <w:b/>
          <w:i w:val="0"/>
          <w:color w:val="1F7A84"/>
          <w:sz w:val="20"/>
        </w:rPr>
        <w:t xml:space="preserve">DO:  </w:t>
      </w:r>
      <w:r>
        <w:rPr>
          <w:b w:val="0"/>
          <w:i w:val="0"/>
          <w:sz w:val="20"/>
        </w:rPr>
        <w:t>Placement rule is the bridge from case study to project.</w:t>
      </w:r>
    </w:p>
    <w:p>
      <w:pPr>
        <w:pStyle w:val="Heading3"/>
      </w:pPr>
      <w:r>
        <w:t>Slide 17 — Economics   (target 40 s · clock 10:40)</w:t>
      </w:r>
    </w:p>
    <w:p>
      <w:pPr>
        <w:spacing w:after="80"/>
      </w:pPr>
      <w:r>
        <w:rPr>
          <w:b/>
          <w:i w:val="0"/>
          <w:color w:val="102A43"/>
          <w:sz w:val="21"/>
        </w:rPr>
        <w:t xml:space="preserve">SAY:  </w:t>
      </w:r>
      <w:r>
        <w:rPr>
          <w:b w:val="0"/>
          <w:i w:val="0"/>
          <w:sz w:val="21"/>
        </w:rPr>
        <w:t>Now, the money. Reactive costs: cleanouts, treatment up to three million dollars, deferred production up to one point two million per day, and a catastrophic tail — seventy million for one deepwater shut-in. Proactive: inhibitor at roughly thirty to forty-six thousand per well per year in the Middle East, against three hundred thirty to three hundred ninety thousand in the Gulf of Mexico. Honest caveat: these ranges span different fields and years — never quote them as one number. What is missing is the breakeven frequency for this specific well. The thesis supplies it.</w:t>
      </w:r>
    </w:p>
    <w:p>
      <w:pPr>
        <w:spacing w:after="40"/>
      </w:pPr>
      <w:r>
        <w:rPr>
          <w:b/>
          <w:i w:val="0"/>
          <w:color w:val="1F7A84"/>
          <w:sz w:val="20"/>
        </w:rPr>
        <w:t xml:space="preserve">DO:  </w:t>
      </w:r>
      <w:r>
        <w:rPr>
          <w:b w:val="0"/>
          <w:i w:val="0"/>
          <w:sz w:val="20"/>
        </w:rPr>
        <w:t>CHECKPOINT 3 at ten forty. The caveat line builds credibility.</w:t>
      </w:r>
    </w:p>
    <w:p>
      <w:pPr>
        <w:pStyle w:val="Heading3"/>
      </w:pPr>
      <w:r>
        <w:t>Slide 18 — Gap analysis   (target 40 s · clock 11:20)</w:t>
      </w:r>
    </w:p>
    <w:p>
      <w:pPr>
        <w:spacing w:after="80"/>
      </w:pPr>
      <w:r>
        <w:rPr>
          <w:b/>
          <w:i w:val="0"/>
          <w:color w:val="102A43"/>
          <w:sz w:val="21"/>
        </w:rPr>
        <w:t xml:space="preserve">SAY:  </w:t>
      </w:r>
      <w:r>
        <w:rPr>
          <w:b w:val="0"/>
          <w:i w:val="0"/>
          <w:sz w:val="21"/>
        </w:rPr>
        <w:t>So where is the gap? Onset prediction is sensitive to fluid characterisation — small input errors move the depth. Precipitation and deposition are different physics, and transport models are far less mature. Dosage is still chosen by trial and error — the literature calls lab validation inadequate. Injection-point placement is rarely optimised against a predicted onset depth — our case had three thousand four hundred feet unprotected. And no consolidated public workflow runs from screening to economics. That last item is my opportunity.</w:t>
      </w:r>
    </w:p>
    <w:p>
      <w:pPr>
        <w:spacing w:after="40"/>
      </w:pPr>
      <w:r>
        <w:rPr>
          <w:b/>
          <w:i w:val="0"/>
          <w:color w:val="1F7A84"/>
          <w:sz w:val="20"/>
        </w:rPr>
        <w:t xml:space="preserve">DO:  </w:t>
      </w:r>
      <w:r>
        <w:rPr>
          <w:b w:val="0"/>
          <w:i w:val="0"/>
          <w:sz w:val="20"/>
        </w:rPr>
        <w:t>The last line is the pivot from review to research.</w:t>
      </w:r>
    </w:p>
    <w:p>
      <w:pPr>
        <w:pStyle w:val="Heading3"/>
      </w:pPr>
      <w:r>
        <w:t>Slide 19 — Proposed project   (target 45 s · clock 12:05)</w:t>
      </w:r>
    </w:p>
    <w:p>
      <w:pPr>
        <w:spacing w:after="80"/>
      </w:pPr>
      <w:r>
        <w:rPr>
          <w:b/>
          <w:i w:val="0"/>
          <w:color w:val="102A43"/>
          <w:sz w:val="21"/>
        </w:rPr>
        <w:t xml:space="preserve">SAY:  </w:t>
      </w:r>
      <w:r>
        <w:rPr>
          <w:b w:val="0"/>
          <w:i w:val="0"/>
          <w:sz w:val="21"/>
        </w:rPr>
        <w:t>So this is the project. The aim: build and document a transparent workflow — screening, then PVT modelling, then wellbore analysis — that predicts asphaltene onset depth, selects the inhibitor injection point, and quantifies the economics, validated against a documented field case. Three research questions: how sensitive is the predicted depth to fluid characterisation; what injection point and dosage window keep the whole tubing above the onset; and at what cleanout frequency does inhibition break even. Four work packages, from SARA screening to the economics model.</w:t>
      </w:r>
    </w:p>
    <w:p>
      <w:pPr>
        <w:spacing w:after="40"/>
      </w:pPr>
      <w:r>
        <w:rPr>
          <w:b/>
          <w:i w:val="0"/>
          <w:color w:val="1F7A84"/>
          <w:sz w:val="20"/>
        </w:rPr>
        <w:t xml:space="preserve">DO:  </w:t>
      </w:r>
      <w:r>
        <w:rPr>
          <w:b w:val="0"/>
          <w:i w:val="0"/>
          <w:sz w:val="20"/>
        </w:rPr>
        <w:t>Read the aim slowly; one line per research question.</w:t>
      </w:r>
    </w:p>
    <w:p>
      <w:pPr>
        <w:pStyle w:val="Heading3"/>
      </w:pPr>
      <w:r>
        <w:t>Slide 20 — Methodology   (target 50 s · clock 12:55)</w:t>
      </w:r>
    </w:p>
    <w:p>
      <w:pPr>
        <w:spacing w:after="80"/>
      </w:pPr>
      <w:r>
        <w:rPr>
          <w:b/>
          <w:i w:val="0"/>
          <w:color w:val="102A43"/>
          <w:sz w:val="21"/>
        </w:rPr>
        <w:t xml:space="preserve">SAY:  </w:t>
      </w:r>
      <w:r>
        <w:rPr>
          <w:b w:val="0"/>
          <w:i w:val="0"/>
          <w:sz w:val="21"/>
        </w:rPr>
        <w:t>The method is four steps, each with an output. Screen: SARA, CII and de Boer on published fluid data — a stability verdict. Model: the onset curve versus temperature, using a CPA or PC-SAFT-class equation of state tuned to measured onset data — the envelope. Predict: the wellbore pressure-temperature profile, the crossing depth, and sensitivity to plus or minus fifty to a hundred bar — onset depth with a margin. Decide: injection point, dosage window and the breakeven model — a decision matrix for the field. Tools: licensed software if the department has it; NeqSim, the open-source fallback, otherwise.</w:t>
      </w:r>
    </w:p>
    <w:p>
      <w:pPr>
        <w:spacing w:after="40"/>
      </w:pPr>
      <w:r>
        <w:rPr>
          <w:b/>
          <w:i w:val="0"/>
          <w:color w:val="1F7A84"/>
          <w:sz w:val="20"/>
        </w:rPr>
        <w:t xml:space="preserve">DO:  </w:t>
      </w:r>
      <w:r>
        <w:rPr>
          <w:b w:val="0"/>
          <w:i w:val="0"/>
          <w:sz w:val="20"/>
        </w:rPr>
        <w:t>Four steps, four outputs. Walk the three tool-hierarchy chips along the bottom — they prevent the software question. Sensitivity is already quantified: fifty bar on the onset shifts the depth by two hundred and fifty metres, and in the gas-lift scenario the whole tubing goes unstable — the dose, not the placement, does the work.</w:t>
      </w:r>
    </w:p>
    <w:p>
      <w:pPr>
        <w:pStyle w:val="Heading3"/>
      </w:pPr>
      <w:r>
        <w:t>Slide 21 — Deliverables and limits   (target 40 s · clock 13:35)</w:t>
      </w:r>
    </w:p>
    <w:p>
      <w:pPr>
        <w:spacing w:after="80"/>
      </w:pPr>
      <w:r>
        <w:rPr>
          <w:b/>
          <w:i w:val="0"/>
          <w:color w:val="102A43"/>
          <w:sz w:val="21"/>
        </w:rPr>
        <w:t xml:space="preserve">SAY:  </w:t>
      </w:r>
      <w:r>
        <w:rPr>
          <w:b w:val="0"/>
          <w:i w:val="0"/>
          <w:sz w:val="21"/>
        </w:rPr>
        <w:t>The deliverables: the thesis, the documented workflow, the case-study report, the breakeven model, and a practical decision matrix. The limitations and ethics, stated up front: literature-based fluids — no live sample unless a partner provides one; a single case, so conditional conclusions; deposition transport kept first-order; steady-state wellbore profiles; indicative costs; and solvent chemistries compared on paper only — no uncontrolled handling of aromatic solvents and no vendor recommendation. And a sixteen-week plan. Two semesters is enough — precisely because the scope is this narrow.</w:t>
      </w:r>
    </w:p>
    <w:p>
      <w:pPr>
        <w:spacing w:after="40"/>
      </w:pPr>
      <w:r>
        <w:rPr>
          <w:b/>
          <w:i w:val="0"/>
          <w:color w:val="1F7A84"/>
          <w:sz w:val="20"/>
        </w:rPr>
        <w:t xml:space="preserve">DO:  </w:t>
      </w:r>
      <w:r>
        <w:rPr>
          <w:b w:val="0"/>
          <w:i w:val="0"/>
          <w:sz w:val="20"/>
        </w:rPr>
        <w:t>Limitations delivered confidently, not as an apology.</w:t>
      </w:r>
    </w:p>
    <w:p>
      <w:pPr>
        <w:pStyle w:val="Heading3"/>
      </w:pPr>
      <w:r>
        <w:t>Slide 22 — Three messages   (target 40 s · clock 14:15)</w:t>
      </w:r>
    </w:p>
    <w:p>
      <w:pPr>
        <w:spacing w:after="80"/>
      </w:pPr>
      <w:r>
        <w:rPr>
          <w:b/>
          <w:i w:val="0"/>
          <w:color w:val="102A43"/>
          <w:sz w:val="21"/>
        </w:rPr>
        <w:t xml:space="preserve">SAY:  </w:t>
      </w:r>
      <w:r>
        <w:rPr>
          <w:b w:val="0"/>
          <w:i w:val="0"/>
          <w:sz w:val="21"/>
        </w:rPr>
        <w:t>So — three messages. One: asphaltene plugging is a pressure-and-composition story, not a cooling story — and precipitation is not deposition. Two: the decisive number is the depth where the flowing path crosses the onset envelope — it sets the injection point, the mitigation strategy, and the money. Three: my graduation project builds a transparent screening-to-economics workflow for that depth, validated on a documented field case. Thank you for your attention — I am happy to take your questions.</w:t>
      </w:r>
    </w:p>
    <w:p>
      <w:pPr>
        <w:spacing w:after="40"/>
      </w:pPr>
      <w:r>
        <w:rPr>
          <w:b/>
          <w:i w:val="0"/>
          <w:color w:val="1F7A84"/>
          <w:sz w:val="20"/>
        </w:rPr>
        <w:t xml:space="preserve">DO:  </w:t>
      </w:r>
      <w:r>
        <w:rPr>
          <w:b w:val="0"/>
          <w:i w:val="0"/>
          <w:sz w:val="20"/>
        </w:rPr>
        <w:t>CONCLUSIONS START HERE. Memorised verbatim. Practise each of the three as a standalone 15-second soundbite, out of order — an examiner may ask for any one of them. Then stop talking.</w:t>
      </w:r>
    </w:p>
    <w:p>
      <w:pPr>
        <w:pStyle w:val="Heading3"/>
      </w:pPr>
      <w:r>
        <w:t>Slide 23 — References   (target 10 s · clock 14:25)</w:t>
      </w:r>
    </w:p>
    <w:p>
      <w:pPr>
        <w:spacing w:after="80"/>
      </w:pPr>
      <w:r>
        <w:rPr>
          <w:b/>
          <w:i w:val="0"/>
          <w:color w:val="102A43"/>
          <w:sz w:val="21"/>
        </w:rPr>
        <w:t xml:space="preserve">SAY:  </w:t>
      </w:r>
      <w:r>
        <w:rPr>
          <w:b w:val="0"/>
          <w:i w:val="0"/>
          <w:sz w:val="21"/>
        </w:rPr>
        <w:t>My references are on this slide, and the detailed list is in the handout.</w:t>
      </w:r>
    </w:p>
    <w:p>
      <w:pPr>
        <w:spacing w:after="40"/>
      </w:pPr>
      <w:r>
        <w:rPr>
          <w:b/>
          <w:i w:val="0"/>
          <w:color w:val="1F7A84"/>
          <w:sz w:val="20"/>
        </w:rPr>
        <w:t xml:space="preserve">DO:  </w:t>
      </w:r>
      <w:r>
        <w:rPr>
          <w:b w:val="0"/>
          <w:i w:val="0"/>
          <w:sz w:val="20"/>
        </w:rPr>
        <w:t>One sentence. Skip entirely if behind schedule.</w:t>
      </w:r>
    </w:p>
    <w:p>
      <w:pPr>
        <w:spacing w:after="120"/>
      </w:pPr>
      <w:r>
        <w:rPr>
          <w:b/>
          <w:i w:val="0"/>
          <w:color w:val="B43B2E"/>
          <w:sz w:val="20"/>
        </w:rPr>
        <w:t xml:space="preserve">IF BEHIND:  </w:t>
      </w:r>
      <w:r>
        <w:rPr>
          <w:b w:val="0"/>
          <w:i w:val="0"/>
          <w:sz w:val="20"/>
        </w:rPr>
        <w:t>If behind: skip.</w:t>
      </w:r>
    </w:p>
    <w:p>
      <w:pPr>
        <w:pStyle w:val="Heading2"/>
      </w:pPr>
      <w:r>
        <w:t>Final counts</w:t>
      </w:r>
    </w:p>
    <w:p>
      <w:pPr>
        <w:spacing w:after="120"/>
      </w:pPr>
      <w:r>
        <w:rPr>
          <w:b w:val="0"/>
          <w:i w:val="0"/>
          <w:sz w:val="21"/>
        </w:rPr>
        <w:t>Spoken words in this script: 1839. At a rehearsed pace of 128–132 words/minute this is ≈ 14.1 minutes of speech; with pauses for numbers the delivery lands at ≈ 14:20–14:45 — inside the hard stop, with the references slide available to sacrifice if needed.</w:t>
      </w:r>
    </w:p>
    <w:p>
      <w:pPr>
        <w:spacing w:after="120"/>
      </w:pPr>
      <w:r>
        <w:rPr>
          <w:b/>
          <w:i w:val="0"/>
          <w:color w:val="102A43"/>
          <w:sz w:val="21"/>
        </w:rPr>
        <w:t>Checkpoints to verify with a stopwatch in rehearsal: slide 12 at 7:05 · slide 13 at 8:00 · slide 17 at 10:40 · slide 22 at 14:15. If any checkpoint is more than 20 seconds late, apply the cut list — never improvise a shortened version live.</w:t>
      </w:r>
    </w:p>
    <w:sectPr w:rsidR="00FC693F" w:rsidRPr="0006063C" w:rsidSect="00034616">
      <w:footerReference w:type="default" r:id="rId9"/>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672"/>
        <w:sz w:val="16"/>
      </w:rPr>
      <w:t xml:space="preserve">Speaking Script — Asphaltenes seminar  —  page </w:t>
    </w:r>
    <w:r>
      <w:rPr>
        <w:color w:val="5A6672"/>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7A84"/>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02A4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