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7A84"/>
          <w:sz w:val="24"/>
        </w:rPr>
        <w:t>Q&amp;A DEFENCE PACK — 31 QUESTIONS WITH MODEL ANSWERS</w:t>
      </w:r>
    </w:p>
    <w:p>
      <w:pPr>
        <w:jc w:val="center"/>
      </w:pPr>
      <w:r>
        <w:rPr>
          <w:b/>
          <w:color w:val="102A43"/>
          <w:sz w:val="40"/>
        </w:rPr>
        <w:t>Asphaltenes: Predicting and Preventing Wellbore Plugging</w:t>
      </w:r>
    </w:p>
    <w:p>
      <w:pPr>
        <w:pStyle w:val="Heading2"/>
      </w:pPr>
      <w:r>
        <w:t>How to run the question session</w:t>
      </w:r>
    </w:p>
    <w:p>
      <w:pPr>
        <w:pStyle w:val="ListBullet"/>
        <w:spacing w:after="60"/>
      </w:pPr>
      <w:r>
        <w:rPr>
          <w:sz w:val="20"/>
        </w:rPr>
        <w:t>Answer in TWO sentences, then stop. The next question is often easier than the answer you would have improvised.</w:t>
      </w:r>
    </w:p>
    <w:p>
      <w:pPr>
        <w:pStyle w:val="ListBullet"/>
        <w:spacing w:after="60"/>
      </w:pPr>
      <w:r>
        <w:rPr>
          <w:sz w:val="20"/>
        </w:rPr>
        <w:t>Never bluff a number. Correct sentence: “I don't have that figure in front of me — I will verify it and send it to you.” Then do it, the same day.</w:t>
      </w:r>
    </w:p>
    <w:p>
      <w:pPr>
        <w:pStyle w:val="ListBullet"/>
        <w:spacing w:after="60"/>
      </w:pPr>
      <w:r>
        <w:rPr>
          <w:sz w:val="20"/>
        </w:rPr>
        <w:t>If a question leaves your scope, bridge: “That is outside my declared scope — what I can tell you is…” then one solid in-scope fact.</w:t>
      </w:r>
    </w:p>
    <w:p>
      <w:pPr>
        <w:pStyle w:val="ListBullet"/>
        <w:spacing w:after="60"/>
      </w:pPr>
      <w:r>
        <w:rPr>
          <w:sz w:val="20"/>
        </w:rPr>
        <w:t>If hostile: agree with the strongest part of the point, then state what your work does cover. Never argue.</w:t>
      </w:r>
    </w:p>
    <w:p>
      <w:pPr>
        <w:pStyle w:val="ListBullet"/>
        <w:spacing w:after="60"/>
      </w:pPr>
      <w:r>
        <w:rPr>
          <w:sz w:val="20"/>
        </w:rPr>
        <w:t>Keep a pen at the lectern; writing a question down buys two seconds of thinking time.</w:t>
      </w:r>
    </w:p>
    <w:p>
      <w:pPr>
        <w:pStyle w:val="Heading1"/>
      </w:pPr>
      <w:r>
        <w:t>A.  Chemistry and mechanisms</w:t>
      </w:r>
    </w:p>
    <w:p>
      <w:pPr>
        <w:pStyle w:val="Heading3"/>
      </w:pPr>
      <w:r>
        <w:t>Q1.  What exactly are asphaltenes — one molecule?</w:t>
      </w:r>
    </w:p>
    <w:p>
      <w:pPr>
        <w:spacing w:after="80"/>
      </w:pPr>
      <w:r>
        <w:rPr>
          <w:b/>
          <w:i w:val="0"/>
          <w:color w:val="1F7A84"/>
          <w:sz w:val="21"/>
        </w:rPr>
        <w:t xml:space="preserve">Model answer:  </w:t>
      </w:r>
      <w:r>
        <w:rPr>
          <w:b w:val="0"/>
          <w:i w:val="0"/>
          <w:sz w:val="21"/>
        </w:rPr>
        <w:t>No — they are a solubility class, defined operationally: insoluble in n-heptane and soluble in toluene, quantified by SARA analysis (ASTM D6560 / IP 143). Chemically they are the heaviest, most polar, most aromatic fraction of the crude, existing as nano-aggregates rather than single molecules.</w:t>
      </w:r>
    </w:p>
    <w:p>
      <w:pPr>
        <w:pStyle w:val="Heading3"/>
      </w:pPr>
      <w:r>
        <w:t>Q2.  Why do asphaltenes precipitate when we gas-lift the well?</w:t>
      </w:r>
    </w:p>
    <w:p>
      <w:pPr>
        <w:spacing w:after="80"/>
      </w:pPr>
      <w:r>
        <w:rPr>
          <w:b/>
          <w:i w:val="0"/>
          <w:color w:val="1F7A84"/>
          <w:sz w:val="21"/>
        </w:rPr>
        <w:t xml:space="preserve">Model answer:  </w:t>
      </w:r>
      <w:r>
        <w:rPr>
          <w:b w:val="0"/>
          <w:i w:val="0"/>
          <w:sz w:val="21"/>
        </w:rPr>
        <w:t>The injected light gas lowers the liquid phase's solvency and can strip the stabilising resin/aromatic fraction — the colloid loses its protective shell, so aggregates flocculate and drop out. It is a composition change: gas lift makes the oil a poorer solvent for its own heaviest fraction.</w:t>
      </w:r>
    </w:p>
    <w:p>
      <w:pPr>
        <w:pStyle w:val="Heading3"/>
      </w:pPr>
      <w:r>
        <w:t>Q3.  Does temperature cause it, like wax?</w:t>
      </w:r>
    </w:p>
    <w:p>
      <w:pPr>
        <w:spacing w:after="80"/>
      </w:pPr>
      <w:r>
        <w:rPr>
          <w:b/>
          <w:i w:val="0"/>
          <w:color w:val="1F7A84"/>
          <w:sz w:val="21"/>
        </w:rPr>
        <w:t xml:space="preserve">Model answer:  </w:t>
      </w:r>
      <w:r>
        <w:rPr>
          <w:b w:val="0"/>
          <w:i w:val="0"/>
          <w:sz w:val="21"/>
        </w:rPr>
        <w:t>Not primarily. For wax, temperature falling below the WAT is the trigger; for asphaltenes the trigger is pressure falling below the onset, or a composition change — temperature modifies the envelope rather than driving the event. And because asphaltene deposits are amorphous, they do not remelt, so thermal methods that work on wax fail here.</w:t>
      </w:r>
    </w:p>
    <w:p>
      <w:pPr>
        <w:pStyle w:val="Heading3"/>
      </w:pPr>
      <w:r>
        <w:t>Q4.  What is the difference between precipitation and deposition?</w:t>
      </w:r>
    </w:p>
    <w:p>
      <w:pPr>
        <w:spacing w:after="80"/>
      </w:pPr>
      <w:r>
        <w:rPr>
          <w:b/>
          <w:i w:val="0"/>
          <w:color w:val="1F7A84"/>
          <w:sz w:val="21"/>
        </w:rPr>
        <w:t xml:space="preserve">Model answer:  </w:t>
      </w:r>
      <w:r>
        <w:rPr>
          <w:b w:val="0"/>
          <w:i w:val="0"/>
          <w:sz w:val="21"/>
        </w:rPr>
        <w:t>Precipitation is thermodynamic — asphaltenes leave solution when the oil crosses the envelope. Deposition is a transport phenomenon on top of it: flocculated particles must reach the wall, adhere, and survive shear removal. Many wells produce precipitated asphaltenes with no deposit — which is exactly why deposition prediction is the weakest link.</w:t>
      </w:r>
    </w:p>
    <w:p>
      <w:pPr>
        <w:pStyle w:val="Heading3"/>
      </w:pPr>
      <w:r>
        <w:t>Q5.  What is the Colloidal Instability Index?</w:t>
      </w:r>
    </w:p>
    <w:p>
      <w:pPr>
        <w:spacing w:after="80"/>
      </w:pPr>
      <w:r>
        <w:rPr>
          <w:b/>
          <w:i w:val="0"/>
          <w:color w:val="1F7A84"/>
          <w:sz w:val="21"/>
        </w:rPr>
        <w:t xml:space="preserve">Model answer:  </w:t>
      </w:r>
      <w:r>
        <w:rPr>
          <w:b w:val="0"/>
          <w:i w:val="0"/>
          <w:sz w:val="21"/>
        </w:rPr>
        <w:t>A screening index: CII = (Saturates + Asphaltenes) / (Resins + Aromatics). Higher CII means less stable crude; the commonly cited threshold is around 0.9, though the exact boundary is laboratory-specific — which is why I always pair it with a measured onset curve.</w:t>
      </w:r>
    </w:p>
    <w:p>
      <w:pPr>
        <w:pStyle w:val="Heading3"/>
      </w:pPr>
      <w:r>
        <w:t>Q6.  What is the de Boer plot and why use it?</w:t>
      </w:r>
    </w:p>
    <w:p>
      <w:pPr>
        <w:spacing w:after="80"/>
      </w:pPr>
      <w:r>
        <w:rPr>
          <w:b/>
          <w:i w:val="0"/>
          <w:color w:val="1F7A84"/>
          <w:sz w:val="21"/>
        </w:rPr>
        <w:t xml:space="preserve">Model answer:  </w:t>
      </w:r>
      <w:r>
        <w:rPr>
          <w:b w:val="0"/>
          <w:i w:val="0"/>
          <w:sz w:val="21"/>
        </w:rPr>
        <w:t>It is a cross-plot of in-situ oil density (x) against the degree of gas under-saturation — reservoir pressure minus bubble-point pressure (y) — with three risk zones: severe, moderate and minimal. The 1995 paper concludes that risk is greatest for LIGHT, undersaturated crudes with only a small asphaltene content. It needs nothing but a PVT report, which is why it is still used as a pre-screen.</w:t>
      </w:r>
    </w:p>
    <w:p>
      <w:pPr>
        <w:spacing w:after="120"/>
      </w:pPr>
      <w:r>
        <w:rPr>
          <w:b/>
          <w:i w:val="0"/>
          <w:color w:val="A86B00"/>
          <w:sz w:val="19"/>
        </w:rPr>
        <w:t xml:space="preserve">Caution:  </w:t>
      </w:r>
      <w:r>
        <w:rPr>
          <w:b w:val="0"/>
          <w:i w:val="0"/>
          <w:sz w:val="19"/>
        </w:rPr>
        <w:t>Caution: do NOT describe it as an AOP-versus-bubble-point cross-plot — that is a common and easily-caught error. If challenged: 'the de Boer plot uses density and under-saturation; the onset-above-bubble-point observation is a separate envelope-based screen, and I keep the two distinct.'</w:t>
      </w:r>
    </w:p>
    <w:p>
      <w:pPr>
        <w:pStyle w:val="Heading3"/>
      </w:pPr>
      <w:r>
        <w:t>Q7.  Why is the onset pressure often above the bubble point?</w:t>
      </w:r>
    </w:p>
    <w:p>
      <w:pPr>
        <w:spacing w:after="80"/>
      </w:pPr>
      <w:r>
        <w:rPr>
          <w:b/>
          <w:i w:val="0"/>
          <w:color w:val="1F7A84"/>
          <w:sz w:val="21"/>
        </w:rPr>
        <w:t xml:space="preserve">Model answer:  </w:t>
      </w:r>
      <w:r>
        <w:rPr>
          <w:b w:val="0"/>
          <w:i w:val="0"/>
          <w:sz w:val="21"/>
        </w:rPr>
        <w:t>Because asphaltene stability collapses before the lightest fractions come out of solution — the fluid loses solvency as pressure drops and the colloidal shell fails first. The size of that window is fluid-specific: hundreds of bar in many oils, thousands of psi in severe ones. Precipitation peaks as pressure approaches the bubble point, and some asphaltenes re-dissolve below it.</w:t>
      </w:r>
    </w:p>
    <w:p>
      <w:pPr>
        <w:spacing w:after="120"/>
      </w:pPr>
      <w:r>
        <w:rPr>
          <w:b/>
          <w:i w:val="0"/>
          <w:color w:val="A86B00"/>
          <w:sz w:val="19"/>
        </w:rPr>
        <w:t xml:space="preserve">Caution:  </w:t>
      </w:r>
      <w:r>
        <w:rPr>
          <w:b w:val="0"/>
          <w:i w:val="0"/>
          <w:sz w:val="19"/>
        </w:rPr>
        <w:t>Caution: never quote '100–200 bar' as a general figure — published windows span a few hundred bar to several thousand psi. Say 'fluid-specific — hundreds of bar or more'.</w:t>
      </w:r>
    </w:p>
    <w:p>
      <w:pPr>
        <w:pStyle w:val="Heading3"/>
      </w:pPr>
      <w:r>
        <w:t>Q8.  What about CO₂ injection — does it make this worse?</w:t>
      </w:r>
    </w:p>
    <w:p>
      <w:pPr>
        <w:spacing w:after="80"/>
      </w:pPr>
      <w:r>
        <w:rPr>
          <w:b/>
          <w:i w:val="0"/>
          <w:color w:val="1F7A84"/>
          <w:sz w:val="21"/>
        </w:rPr>
        <w:t xml:space="preserve">Model answer:  </w:t>
      </w:r>
      <w:r>
        <w:rPr>
          <w:b w:val="0"/>
          <w:i w:val="0"/>
          <w:sz w:val="21"/>
        </w:rPr>
        <w:t>Yes. CO₂ is a well-documented destabiliser: it changes the solvent character of the oil and shifts the onset envelope upward, so CO₂ EOR and CO₂ storage projects on asphaltenic fields must screen for it. My workflow applies directly to those projects — it is one of the reasons the topic is current.</w:t>
      </w:r>
    </w:p>
    <w:p>
      <w:pPr>
        <w:pStyle w:val="Heading3"/>
      </w:pPr>
      <w:r>
        <w:t>Q9.  Are there 'lower onset pressures' — a second envelope?</w:t>
      </w:r>
    </w:p>
    <w:p>
      <w:pPr>
        <w:spacing w:after="80"/>
      </w:pPr>
      <w:r>
        <w:rPr>
          <w:b/>
          <w:i w:val="0"/>
          <w:color w:val="1F7A84"/>
          <w:sz w:val="21"/>
        </w:rPr>
        <w:t xml:space="preserve">Model answer:  </w:t>
      </w:r>
      <w:r>
        <w:rPr>
          <w:b w:val="0"/>
          <w:i w:val="0"/>
          <w:sz w:val="21"/>
        </w:rPr>
        <w:t>Yes — some fluids show a second, lower onset region at low pressure, which is why the full envelope can be closed rather than monotonic. It sits outside the scope of this seminar but is noted on the backup slide; the thesis will state whether the case fluid shows it.</w:t>
      </w:r>
    </w:p>
    <w:p>
      <w:pPr>
        <w:pStyle w:val="Heading1"/>
      </w:pPr>
      <w:r>
        <w:t>B.  Field operations and defenses</w:t>
      </w:r>
    </w:p>
    <w:p>
      <w:pPr>
        <w:pStyle w:val="Heading3"/>
      </w:pPr>
      <w:r>
        <w:t>Q10.  What happens if we just choke the well to keep pressure high?</w:t>
      </w:r>
    </w:p>
    <w:p>
      <w:pPr>
        <w:spacing w:after="80"/>
      </w:pPr>
      <w:r>
        <w:rPr>
          <w:b/>
          <w:i w:val="0"/>
          <w:color w:val="1F7A84"/>
          <w:sz w:val="21"/>
        </w:rPr>
        <w:t xml:space="preserve">Model answer:  </w:t>
      </w:r>
      <w:r>
        <w:rPr>
          <w:b w:val="0"/>
          <w:i w:val="0"/>
          <w:sz w:val="21"/>
        </w:rPr>
        <w:t>Choking keeps the flowing pressure above the onset but sacrifices rate — so it trades production for prevention, and the economics usually suffer. The more interesting answer is that Hassi Messaoud found the opposite lever as well: producing at low wellhead pressure drastically reduced the number of cleanouts, because it changed the P–T path and flow regime. The honest conclusion is that the right operating window is well-specific — which is exactly what my project quantifies.</w:t>
      </w:r>
    </w:p>
    <w:p>
      <w:pPr>
        <w:pStyle w:val="Heading3"/>
      </w:pPr>
      <w:r>
        <w:t>Q11.  Why do the deposits form so deep, not at the wellhead?</w:t>
      </w:r>
    </w:p>
    <w:p>
      <w:pPr>
        <w:spacing w:after="80"/>
      </w:pPr>
      <w:r>
        <w:rPr>
          <w:b/>
          <w:i w:val="0"/>
          <w:color w:val="1F7A84"/>
          <w:sz w:val="21"/>
        </w:rPr>
        <w:t xml:space="preserve">Model answer:  </w:t>
      </w:r>
      <w:r>
        <w:rPr>
          <w:b w:val="0"/>
          <w:i w:val="0"/>
          <w:sz w:val="21"/>
        </w:rPr>
        <w:t>Because the pressure gradient along the tubing is roughly steady — there is no special 'fastest drop' point. The deposit appears where the flowing P–T path first crosses the onset envelope, and in deep, hot, high-GOR wells that crossing can sit hundreds of metres or more below the wellhead. The documented Gulf of Mexico case is the proof — the deposit zone lay below the chemical injection mandrel.</w:t>
      </w:r>
    </w:p>
    <w:p>
      <w:pPr>
        <w:pStyle w:val="Heading3"/>
      </w:pPr>
      <w:r>
        <w:t>Q12.  Why do solvent washes only give a temporary fix?</w:t>
      </w:r>
    </w:p>
    <w:p>
      <w:pPr>
        <w:spacing w:after="80"/>
      </w:pPr>
      <w:r>
        <w:rPr>
          <w:b/>
          <w:i w:val="0"/>
          <w:color w:val="1F7A84"/>
          <w:sz w:val="21"/>
        </w:rPr>
        <w:t xml:space="preserve">Model answer:  </w:t>
      </w:r>
      <w:r>
        <w:rPr>
          <w:b w:val="0"/>
          <w:i w:val="0"/>
          <w:sz w:val="21"/>
        </w:rPr>
        <w:t>A solvent dissolves what is already there but changes nothing about why it formed — the flowing conditions remain below the onset, so deposition restarts as soon as production resumes. Add HSE exposure (BTEX), flammability and cost, and it becomes a maintenance cycle rather than a solution. Prevention means keeping the particles dispersed, not removing them after the fact.</w:t>
      </w:r>
    </w:p>
    <w:p>
      <w:pPr>
        <w:pStyle w:val="Heading3"/>
      </w:pPr>
      <w:r>
        <w:t>Q13.  Are inhibitor chemicals just solvents by another name?</w:t>
      </w:r>
    </w:p>
    <w:p>
      <w:pPr>
        <w:spacing w:after="80"/>
      </w:pPr>
      <w:r>
        <w:rPr>
          <w:b/>
          <w:i w:val="0"/>
          <w:color w:val="1F7A84"/>
          <w:sz w:val="21"/>
        </w:rPr>
        <w:t xml:space="preserve">Model answer:  </w:t>
      </w:r>
      <w:r>
        <w:rPr>
          <w:b w:val="0"/>
          <w:i w:val="0"/>
          <w:sz w:val="21"/>
        </w:rPr>
        <w:t>No — that is the key distinction. Solvents dissolve existing deposits; inhibitors and dispersants keep asphaltenes suspended so they never deposit. Within the prevention family there is a further distinction worth making: strictly, INHIBITORS shift the flocculation onset, while DISPERSANTS reduce the size of aggregates already formed — an inhibitor can act as a dispersant, but not necessarily the reverse (Kelland, 2009).</w:t>
      </w:r>
    </w:p>
    <w:p>
      <w:pPr>
        <w:spacing w:after="120"/>
      </w:pPr>
      <w:r>
        <w:rPr>
          <w:b/>
          <w:i w:val="0"/>
          <w:color w:val="A86B00"/>
          <w:sz w:val="19"/>
        </w:rPr>
        <w:t xml:space="preserve">Caution:  </w:t>
      </w:r>
      <w:r>
        <w:rPr>
          <w:b w:val="0"/>
          <w:i w:val="0"/>
          <w:sz w:val="19"/>
        </w:rPr>
        <w:t>Caution: if you call them all 'dispersants', an examiner may correct you. Answer: 'both are prevention chemistry; the difference is onset-shift versus aggregate-size reduction.'</w:t>
      </w:r>
    </w:p>
    <w:p>
      <w:pPr>
        <w:pStyle w:val="Heading3"/>
      </w:pPr>
      <w:r>
        <w:t>Q14.  What determines the inhibitor dose?</w:t>
      </w:r>
    </w:p>
    <w:p>
      <w:pPr>
        <w:spacing w:after="80"/>
      </w:pPr>
      <w:r>
        <w:rPr>
          <w:b/>
          <w:i w:val="0"/>
          <w:color w:val="1F7A84"/>
          <w:sz w:val="21"/>
        </w:rPr>
        <w:t xml:space="preserve">Model answer:  </w:t>
      </w:r>
      <w:r>
        <w:rPr>
          <w:b w:val="0"/>
          <w:i w:val="0"/>
          <w:sz w:val="21"/>
        </w:rPr>
        <w:t>Fluid-specific lab work plus field monitoring: minimum dosage is found by titration/optical-tube testing and refined with field sampling. In the documented case the well started at 750 ppm and stabilised around 500 ppm. Dosing below the effective threshold usually means deposition continues slowly — which is why the case study used continuous sampling to tune it.</w:t>
      </w:r>
    </w:p>
    <w:p>
      <w:pPr>
        <w:pStyle w:val="Heading3"/>
      </w:pPr>
      <w:r>
        <w:t>Q15.  Where should the injection point be placed?</w:t>
      </w:r>
    </w:p>
    <w:p>
      <w:pPr>
        <w:spacing w:after="80"/>
      </w:pPr>
      <w:r>
        <w:rPr>
          <w:b/>
          <w:i w:val="0"/>
          <w:color w:val="1F7A84"/>
          <w:sz w:val="21"/>
        </w:rPr>
        <w:t xml:space="preserve">Model answer:  </w:t>
      </w:r>
      <w:r>
        <w:rPr>
          <w:b w:val="0"/>
          <w:i w:val="0"/>
          <w:sz w:val="21"/>
        </w:rPr>
        <w:t>Below the deepest credible onset depth — onset plus a margin sized by the sensitivity study, not by habit. The requirement is to dose the oil before it enters the unstable window. In the documented case the mandrel sat about 300 m ABOVE the predicted onset, so the deepest 3,400 ft had no protection. And where the sensitivity shows the whole tubing going unstable — the gas-lift scenario — placement alone cannot protect, so the dose window does the work.</w:t>
      </w:r>
    </w:p>
    <w:p>
      <w:pPr>
        <w:pStyle w:val="Heading3"/>
      </w:pPr>
      <w:r>
        <w:t>Q16.  How do we know it is asphaltene and not wax or scale?</w:t>
      </w:r>
    </w:p>
    <w:p>
      <w:pPr>
        <w:spacing w:after="80"/>
      </w:pPr>
      <w:r>
        <w:rPr>
          <w:b/>
          <w:i w:val="0"/>
          <w:color w:val="1F7A84"/>
          <w:sz w:val="21"/>
        </w:rPr>
        <w:t xml:space="preserve">Model answer:  </w:t>
      </w:r>
      <w:r>
        <w:rPr>
          <w:b w:val="0"/>
          <w:i w:val="0"/>
          <w:sz w:val="21"/>
        </w:rPr>
        <w:t>Sample the deposit: asphaltene deposits are dark, hard and solvent-soluble in aromatics; wax is soft and melts; scale is mineral. Production signatures also differ in temperature sensitivity. The well-integrity literature recommends confirming with deposit analysis before choosing treatment — the wrong diagnosis means the wrong chemistry.</w:t>
      </w:r>
    </w:p>
    <w:p>
      <w:pPr>
        <w:pStyle w:val="Heading3"/>
      </w:pPr>
      <w:r>
        <w:t>Q17.  What about mechanical cleanouts — are they obsolete?</w:t>
      </w:r>
    </w:p>
    <w:p>
      <w:pPr>
        <w:spacing w:after="80"/>
      </w:pPr>
      <w:r>
        <w:rPr>
          <w:b/>
          <w:i w:val="0"/>
          <w:color w:val="1F7A84"/>
          <w:sz w:val="21"/>
        </w:rPr>
        <w:t xml:space="preserve">Model answer:  </w:t>
      </w:r>
      <w:r>
        <w:rPr>
          <w:b w:val="0"/>
          <w:i w:val="0"/>
          <w:sz w:val="21"/>
        </w:rPr>
        <w:t>No — they remain necessary for severe blockages, and coiled-tubing cleanouts were still part of the documented GoM well's surveillance strategy alongside continuous inhibition. But as a replacement for prevention they are uneconomic: each cleanout is NPT and deferred production, and the deposit returns.</w:t>
      </w:r>
    </w:p>
    <w:p>
      <w:pPr>
        <w:pStyle w:val="Heading1"/>
      </w:pPr>
      <w:r>
        <w:t>C.  Thesis scope, data, tools and validation</w:t>
      </w:r>
    </w:p>
    <w:p>
      <w:pPr>
        <w:pStyle w:val="Heading3"/>
      </w:pPr>
      <w:r>
        <w:t>Q18.  Is one case study enough for a graduation project?</w:t>
      </w:r>
    </w:p>
    <w:p>
      <w:pPr>
        <w:spacing w:after="80"/>
      </w:pPr>
      <w:r>
        <w:rPr>
          <w:b/>
          <w:i w:val="0"/>
          <w:color w:val="1F7A84"/>
          <w:sz w:val="21"/>
        </w:rPr>
        <w:t xml:space="preserve">Model answer:  </w:t>
      </w:r>
      <w:r>
        <w:rPr>
          <w:b w:val="0"/>
          <w:i w:val="0"/>
          <w:sz w:val="21"/>
        </w:rPr>
        <w:t>The case study validates the method; the method is the contribution. One fully documented and reproducible prediction workflow, plus a sensitivity analysis around it, is a defensible Bachelor's scope — and I state the boundary honestly rather than pretending broader coverage.</w:t>
      </w:r>
    </w:p>
    <w:p>
      <w:pPr>
        <w:pStyle w:val="Heading3"/>
      </w:pPr>
      <w:r>
        <w:t>Q19.  What data will you actually use?</w:t>
      </w:r>
    </w:p>
    <w:p>
      <w:pPr>
        <w:spacing w:after="80"/>
      </w:pPr>
      <w:r>
        <w:rPr>
          <w:b/>
          <w:i w:val="0"/>
          <w:color w:val="1F7A84"/>
          <w:sz w:val="21"/>
        </w:rPr>
        <w:t xml:space="preserve">Model answer:  </w:t>
      </w:r>
      <w:r>
        <w:rPr>
          <w:b w:val="0"/>
          <w:i w:val="0"/>
          <w:sz w:val="21"/>
        </w:rPr>
        <w:t>Published fluid and field data: the documented Gulf of Mexico case, Hassi Messaoud data, and PVT/SARA reports from the literature, with NeqSim as an open-source modelling fallback. Week 1 locks the data set and verifies availability before modelling starts — so the project cannot stall on data.</w:t>
      </w:r>
    </w:p>
    <w:p>
      <w:pPr>
        <w:pStyle w:val="Heading3"/>
      </w:pPr>
      <w:r>
        <w:t>Q20.  What software will you use — and what if licences don't exist?</w:t>
      </w:r>
    </w:p>
    <w:p>
      <w:pPr>
        <w:spacing w:after="80"/>
      </w:pPr>
      <w:r>
        <w:rPr>
          <w:b/>
          <w:i w:val="0"/>
          <w:color w:val="1F7A84"/>
          <w:sz w:val="21"/>
        </w:rPr>
        <w:t xml:space="preserve">Model answer:  </w:t>
      </w:r>
      <w:r>
        <w:rPr>
          <w:b w:val="0"/>
          <w:i w:val="0"/>
          <w:sz w:val="21"/>
        </w:rPr>
        <w:t>The hierarchy is declared in advance: licensed PVT and flow-assurance tools if the department has them (PVTsim/Multiflash-class for onset, OLGA/PIPESIM-class for wellbore), otherwise NeqSim — an open-source CPA equation-of-state toolkit with asphaltene screening — plus correlation-based screening as the floor. That is a designed feature of the project, not a fallback plan.</w:t>
      </w:r>
    </w:p>
    <w:p>
      <w:pPr>
        <w:pStyle w:val="Heading3"/>
      </w:pPr>
      <w:r>
        <w:t>Q21.  How will you validate the predictions?</w:t>
      </w:r>
    </w:p>
    <w:p>
      <w:pPr>
        <w:spacing w:after="80"/>
      </w:pPr>
      <w:r>
        <w:rPr>
          <w:b/>
          <w:i w:val="0"/>
          <w:color w:val="1F7A84"/>
          <w:sz w:val="21"/>
        </w:rPr>
        <w:t xml:space="preserve">Model answer:  </w:t>
      </w:r>
      <w:r>
        <w:rPr>
          <w:b w:val="0"/>
          <w:i w:val="0"/>
          <w:sz w:val="21"/>
        </w:rPr>
        <w:t>Three layers. Reproduce the documented case's observed behavior — onset below the existing mandrel, the ID-reduction trend, dosage within the field window — within a stated tolerance. Cross-check onset against an independent model or correlation. And check internal consistency: the predicted depth must respond correctly to pressure and GOR changes.</w:t>
      </w:r>
    </w:p>
    <w:p>
      <w:pPr>
        <w:pStyle w:val="Heading3"/>
      </w:pPr>
      <w:r>
        <w:t>Q22.  What is genuinely new here — isn't this textbook material?</w:t>
      </w:r>
    </w:p>
    <w:p>
      <w:pPr>
        <w:spacing w:after="80"/>
      </w:pPr>
      <w:r>
        <w:rPr>
          <w:b/>
          <w:i w:val="0"/>
          <w:color w:val="1F7A84"/>
          <w:sz w:val="21"/>
        </w:rPr>
        <w:t xml:space="preserve">Model answer:  </w:t>
      </w:r>
      <w:r>
        <w:rPr>
          <w:b w:val="0"/>
          <w:i w:val="0"/>
          <w:sz w:val="21"/>
        </w:rPr>
        <w:t>At Bachelor's level, novelty is documented rigour applied to a documented gap. The specific contribution is a transparent, parameterised workflow that connects SARA screening, an EoS onset model, wellbore crossing-depth prediction, injection-point placement and breakeven economics — applied end to end on a real published case with an auditable trail. That consolidated artifact is not publicly available.</w:t>
      </w:r>
    </w:p>
    <w:p>
      <w:pPr>
        <w:pStyle w:val="Heading3"/>
      </w:pPr>
      <w:r>
        <w:t>Q23.  You're not modelling deposition thickness — why not?</w:t>
      </w:r>
    </w:p>
    <w:p>
      <w:pPr>
        <w:spacing w:after="80"/>
      </w:pPr>
      <w:r>
        <w:rPr>
          <w:b/>
          <w:i w:val="0"/>
          <w:color w:val="1F7A84"/>
          <w:sz w:val="21"/>
        </w:rPr>
        <w:t xml:space="preserve">Model answer:  </w:t>
      </w:r>
      <w:r>
        <w:rPr>
          <w:b w:val="0"/>
          <w:i w:val="0"/>
          <w:sz w:val="21"/>
        </w:rPr>
        <w:t>Because deposition-transport modelling depends on kinetic and adhesion parameters that must be measured, and my scope is honest about that boundary. I model the thermodynamic onset depth — the quantity that decides injection placement — and treat deposition growth as first-order plus sensitivity. It is declared, not accidental.</w:t>
      </w:r>
    </w:p>
    <w:p>
      <w:pPr>
        <w:pStyle w:val="Heading3"/>
      </w:pPr>
      <w:r>
        <w:t>Q24.  What is the main risk to your schedule?</w:t>
      </w:r>
    </w:p>
    <w:p>
      <w:pPr>
        <w:spacing w:after="80"/>
      </w:pPr>
      <w:r>
        <w:rPr>
          <w:b/>
          <w:i w:val="0"/>
          <w:color w:val="1F7A84"/>
          <w:sz w:val="21"/>
        </w:rPr>
        <w:t xml:space="preserve">Model answer:  </w:t>
      </w:r>
      <w:r>
        <w:rPr>
          <w:b w:val="0"/>
          <w:i w:val="0"/>
          <w:sz w:val="21"/>
        </w:rPr>
        <w:t>Data and licences — both mitigated in Week 1 (data locked; tool hierarchy declared). The second risk is scope creep into deposition-transport physics, mitigated by the frozen scope statement and the 16-week plan with a weekly deliverable.</w:t>
      </w:r>
    </w:p>
    <w:p>
      <w:pPr>
        <w:pStyle w:val="Heading3"/>
      </w:pPr>
      <w:r>
        <w:t>Q25.  Why does this belong in a petroleum engineering degree?</w:t>
      </w:r>
    </w:p>
    <w:p>
      <w:pPr>
        <w:spacing w:after="80"/>
      </w:pPr>
      <w:r>
        <w:rPr>
          <w:b/>
          <w:i w:val="0"/>
          <w:color w:val="1F7A84"/>
          <w:sz w:val="21"/>
        </w:rPr>
        <w:t xml:space="preserve">Model answer:  </w:t>
      </w:r>
      <w:r>
        <w:rPr>
          <w:b w:val="0"/>
          <w:i w:val="0"/>
          <w:sz w:val="21"/>
        </w:rPr>
        <w:t>Because flow assurance is core petroleum engineering: it decides whether the well you designed and completed actually produces. This project connects production chemistry, PVT thermodynamics and wellbore hydraulics in one workflow — precisely the skill set the industry hires for.</w:t>
      </w:r>
    </w:p>
    <w:p>
      <w:pPr>
        <w:pStyle w:val="Heading1"/>
      </w:pPr>
      <w:r>
        <w:t>D.  Sources and the numbers (Q&amp;A armour)</w:t>
      </w:r>
    </w:p>
    <w:p>
      <w:pPr>
        <w:pStyle w:val="Heading3"/>
      </w:pPr>
      <w:r>
        <w:t>Q26.  Two reviews give different countries for the same inhibitor-cost figure. Which is right?</w:t>
      </w:r>
    </w:p>
    <w:p>
      <w:pPr>
        <w:spacing w:after="80"/>
      </w:pPr>
      <w:r>
        <w:rPr>
          <w:b/>
          <w:i w:val="0"/>
          <w:color w:val="1F7A84"/>
          <w:sz w:val="21"/>
        </w:rPr>
        <w:t xml:space="preserve">Model answer:  </w:t>
      </w:r>
      <w:r>
        <w:rPr>
          <w:b w:val="0"/>
          <w:i w:val="0"/>
          <w:sz w:val="21"/>
        </w:rPr>
        <w:t>The ranges trace to Cenegy's 2001 worldwide inhibitor survey. Fluid Phase Equilibria (2020) and the Elsevier monograph (2021) assign the low range to the Middle East and the high range to the Gulf of Mexico; the Energy &amp; Fuels review (2021) states the reverse. I quote the majority attribution on the slide and flag the discrepancy — and confirming Cenegy's original wording is a Week-1 library task in my source log.</w:t>
      </w:r>
    </w:p>
    <w:p>
      <w:pPr>
        <w:spacing w:after="120"/>
      </w:pPr>
      <w:r>
        <w:rPr>
          <w:b/>
          <w:i w:val="0"/>
          <w:color w:val="A86B00"/>
          <w:sz w:val="19"/>
        </w:rPr>
        <w:t xml:space="preserve">Caution:  </w:t>
      </w:r>
      <w:r>
        <w:rPr>
          <w:b w:val="0"/>
          <w:i w:val="0"/>
          <w:sz w:val="19"/>
        </w:rPr>
        <w:t>This answer is stronger than picking a side: it demonstrates source discipline. Keep 04_Source_Log.docx at the lectern.</w:t>
      </w:r>
    </w:p>
    <w:p>
      <w:pPr>
        <w:pStyle w:val="Heading3"/>
      </w:pPr>
      <w:r>
        <w:t>Q27.  How do you define asphaltenes — and with which standards?</w:t>
      </w:r>
    </w:p>
    <w:p>
      <w:pPr>
        <w:spacing w:after="80"/>
      </w:pPr>
      <w:r>
        <w:rPr>
          <w:b/>
          <w:i w:val="0"/>
          <w:color w:val="1F7A84"/>
          <w:sz w:val="21"/>
        </w:rPr>
        <w:t xml:space="preserve">Model answer:  </w:t>
      </w:r>
      <w:r>
        <w:rPr>
          <w:b w:val="0"/>
          <w:i w:val="0"/>
          <w:sz w:val="21"/>
        </w:rPr>
        <w:t>Operationally, not chemically: insoluble in n-heptane, soluble in toluene — quantified by ASTM D6560 / IP 143, with SARA fractionation by ASTM D2007-class methods and onset titrations by ASTM D6703 (automated Heithaus). I cite the edition years I actually consult.</w:t>
      </w:r>
    </w:p>
    <w:p>
      <w:pPr>
        <w:pStyle w:val="Heading3"/>
      </w:pPr>
      <w:r>
        <w:t>Q28.  Why did the field case dose at 750 ppm and then drop to ~500 ppm?</w:t>
      </w:r>
    </w:p>
    <w:p>
      <w:pPr>
        <w:spacing w:after="80"/>
      </w:pPr>
      <w:r>
        <w:rPr>
          <w:b/>
          <w:i w:val="0"/>
          <w:color w:val="1F7A84"/>
          <w:sz w:val="21"/>
        </w:rPr>
        <w:t xml:space="preserve">Model answer:  </w:t>
      </w:r>
      <w:r>
        <w:rPr>
          <w:b w:val="0"/>
          <w:i w:val="0"/>
          <w:sz w:val="21"/>
        </w:rPr>
        <w:t>750 ppm was the high-dose start used to re-stabilise the well after the soak; continuous produced-fluid monitoring showed the stabilised dose could be reduced to about 500 ppm without losing protection. Dosing below the effective threshold lets deposition continue slowly — which is why the thesis treats the dosage window as an output, not an assumption.</w:t>
      </w:r>
    </w:p>
    <w:p>
      <w:pPr>
        <w:pStyle w:val="Heading3"/>
      </w:pPr>
      <w:r>
        <w:t>Q29.  Isn't the de Boer plot just AOP plotted against bubble point?</w:t>
      </w:r>
    </w:p>
    <w:p>
      <w:pPr>
        <w:spacing w:after="80"/>
      </w:pPr>
      <w:r>
        <w:rPr>
          <w:b/>
          <w:i w:val="0"/>
          <w:color w:val="1F7A84"/>
          <w:sz w:val="21"/>
        </w:rPr>
        <w:t xml:space="preserve">Model answer:  </w:t>
      </w:r>
      <w:r>
        <w:rPr>
          <w:b w:val="0"/>
          <w:i w:val="0"/>
          <w:sz w:val="21"/>
        </w:rPr>
        <w:t>No — that is a widespread shorthand, and it is wrong. The de Boer plot is in-situ density versus gas under-saturation (P_res minus Pb), with three risk zones. The onset-above-bubble-point rule is a separate, envelope-based screen. I keep both in the workflow precisely because they can disagree, and disagreement is itself information.</w:t>
      </w:r>
    </w:p>
    <w:p>
      <w:pPr>
        <w:spacing w:after="120"/>
      </w:pPr>
      <w:r>
        <w:rPr>
          <w:b/>
          <w:i w:val="0"/>
          <w:color w:val="A86B00"/>
          <w:sz w:val="19"/>
        </w:rPr>
        <w:t xml:space="preserve">Caution:  </w:t>
      </w:r>
      <w:r>
        <w:rPr>
          <w:b w:val="0"/>
          <w:i w:val="0"/>
          <w:sz w:val="19"/>
        </w:rPr>
        <w:t>Caution: this is the most likely 'gotcha' in the session — the correction is already printed on backup slide 24, so you can point at it.</w:t>
      </w:r>
    </w:p>
    <w:p>
      <w:pPr>
        <w:pStyle w:val="Heading3"/>
      </w:pPr>
      <w:r>
        <w:t>Q30.  Steam has been used successfully on asphaltene damage — doesn't that contradict your thermal claim?</w:t>
      </w:r>
    </w:p>
    <w:p>
      <w:pPr>
        <w:spacing w:after="80"/>
      </w:pPr>
      <w:r>
        <w:rPr>
          <w:b/>
          <w:i w:val="0"/>
          <w:color w:val="1F7A84"/>
          <w:sz w:val="21"/>
        </w:rPr>
        <w:t xml:space="preserve">Model answer:  </w:t>
      </w:r>
      <w:r>
        <w:rPr>
          <w:b w:val="0"/>
          <w:i w:val="0"/>
          <w:sz w:val="21"/>
        </w:rPr>
        <w:t>It is a fair challenge. Reports exist of high permeability recovery after ~497 °C steam treatment — but note what the same work flags: at that temperature asphaltene does not melt, it decomposes into solid-like material that can itself damage the formation. Thermal energy is not dissolving the deposit the way it melts wax; reported successes come from other mechanisms, and heat can even weaken the resins that keep asphaltenes dispersed. My claim on the slide is narrow and defensible: thermal is not the asphaltene tool the way it is the wax tool.</w:t>
      </w:r>
    </w:p>
    <w:p>
      <w:pPr>
        <w:spacing w:after="120"/>
      </w:pPr>
      <w:r>
        <w:rPr>
          <w:b/>
          <w:i w:val="0"/>
          <w:color w:val="A86B00"/>
          <w:sz w:val="19"/>
        </w:rPr>
        <w:t xml:space="preserve">Caution:  </w:t>
      </w:r>
      <w:r>
        <w:rPr>
          <w:b w:val="0"/>
          <w:i w:val="0"/>
          <w:sz w:val="19"/>
        </w:rPr>
        <w:t>Caution: do not claim thermal 'never works' — claim it is not a melting mechanism and is not the standard remedy.</w:t>
      </w:r>
    </w:p>
    <w:p>
      <w:pPr>
        <w:pStyle w:val="Heading3"/>
      </w:pPr>
      <w:r>
        <w:t>Q31.  If a little inhibitor helps, doesn't more help more?</w:t>
      </w:r>
    </w:p>
    <w:p>
      <w:pPr>
        <w:spacing w:after="80"/>
      </w:pPr>
      <w:r>
        <w:rPr>
          <w:b/>
          <w:i w:val="0"/>
          <w:color w:val="1F7A84"/>
          <w:sz w:val="21"/>
        </w:rPr>
        <w:t xml:space="preserve">Model answer:  </w:t>
      </w:r>
      <w:r>
        <w:rPr>
          <w:b w:val="0"/>
          <w:i w:val="0"/>
          <w:sz w:val="21"/>
        </w:rPr>
        <w:t>No — and this is a real operational trap. In heptane-rich (strongly destabilised) systems, over-dosing above the recommended concentration has been reported to INCREASE deposition, and at high concentration inhibitor molecules can self-aggregate and lose adsorption efficiency. That is why the thesis delivers a dosage WINDOW with a placement margin, not a single number.</w:t>
      </w:r>
    </w:p>
    <w:p>
      <w:pPr>
        <w:spacing w:after="120"/>
      </w:pPr>
      <w:r>
        <w:rPr>
          <w:b/>
          <w:i w:val="0"/>
          <w:color w:val="A86B00"/>
          <w:sz w:val="19"/>
        </w:rPr>
        <w:t xml:space="preserve">Caution:  </w:t>
      </w:r>
      <w:r>
        <w:rPr>
          <w:b w:val="0"/>
          <w:i w:val="0"/>
          <w:sz w:val="19"/>
        </w:rPr>
        <w:t>Caution: if asked for a number, give the documented case only — 750 ppm initial, stabilised near 500 ppm — and label it as that well's outcome.</w:t>
      </w:r>
    </w:p>
    <w:p>
      <w:pPr>
        <w:pStyle w:val="Heading2"/>
      </w:pPr>
      <w:r>
        <w:t>The three questions to hope for</w:t>
      </w:r>
    </w:p>
    <w:p>
      <w:pPr>
        <w:pStyle w:val="ListBullet"/>
        <w:spacing w:after="60"/>
      </w:pPr>
      <w:r>
        <w:rPr>
          <w:sz w:val="20"/>
        </w:rPr>
        <w:t>Q2 (gas lift) — you have a clean two-sentence physics answer.</w:t>
      </w:r>
    </w:p>
    <w:p>
      <w:pPr>
        <w:pStyle w:val="ListBullet"/>
        <w:spacing w:after="60"/>
      </w:pPr>
      <w:r>
        <w:rPr>
          <w:sz w:val="20"/>
        </w:rPr>
        <w:t>Q10 (choking) — you have the standard answer AND the Hassi Messaoud counter-answer; this shows depth.</w:t>
      </w:r>
    </w:p>
    <w:p>
      <w:pPr>
        <w:pStyle w:val="ListBullet"/>
        <w:spacing w:after="60"/>
      </w:pPr>
      <w:r>
        <w:rPr>
          <w:sz w:val="20"/>
        </w:rPr>
        <w:t>Q22 (what is new) — 'documented rigour plus a consolidated public workflow', with the case study as proof.</w:t>
      </w:r>
    </w:p>
    <w:p>
      <w:pPr>
        <w:spacing w:after="120"/>
      </w:pPr>
      <w:r>
        <w:rPr>
          <w:b/>
          <w:i w:val="0"/>
          <w:color w:val="102A43"/>
          <w:sz w:val="21"/>
        </w:rPr>
        <w:t>Read this pack ONCE the evening before and ONCE the morning of the seminar. The rules: two sentences, then stop; never bluff a number; redirect, never argue.</w:t>
      </w:r>
    </w:p>
    <w:sectPr w:rsidR="00FC693F" w:rsidRPr="0006063C" w:rsidSect="00034616">
      <w:footerReference w:type="default" r:id="rId9"/>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672"/>
        <w:sz w:val="16"/>
      </w:rPr>
      <w:t xml:space="preserve">Q&amp;A Defence Pack — Asphaltenes  —  page </w:t>
    </w:r>
    <w:r>
      <w:rPr>
        <w:color w:val="5A6672"/>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7A84"/>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02A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