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4"/>
          <w:sz w:val="24"/>
        </w:rPr>
        <w:t>ANIMATION MAP &amp; DESIGN GUIDE</w:t>
      </w:r>
    </w:p>
    <w:p>
      <w:pPr>
        <w:jc w:val="center"/>
      </w:pPr>
      <w:r>
        <w:rPr>
          <w:b/>
          <w:color w:val="102A43"/>
          <w:sz w:val="36"/>
        </w:rPr>
        <w:t>Asphaltene deck — boardroom styling, build order and software workflow</w:t>
      </w:r>
    </w:p>
    <w:p>
      <w:pPr>
        <w:pStyle w:val="Heading1"/>
      </w:pPr>
      <w:r>
        <w:t>1.  About the software (honest answer to your question)</w:t>
      </w:r>
    </w:p>
    <w:p>
      <w:pPr>
        <w:spacing w:after="120"/>
      </w:pPr>
      <w:r>
        <w:rPr>
          <w:b w:val="0"/>
          <w:i w:val="0"/>
          <w:sz w:val="21"/>
        </w:rPr>
        <w:t>The deck was generated programmatically as a native PowerPoint file (Python + python-pptx from a build script), not drawn in PowerPoint, Canva, or LaTeX. What that means for you:</w:t>
      </w:r>
    </w:p>
    <w:p>
      <w:pPr>
        <w:pStyle w:val="ListBullet"/>
        <w:spacing w:after="60"/>
      </w:pPr>
      <w:r>
        <w:rPr>
          <w:sz w:val="21"/>
        </w:rPr>
        <w:t>You receive a standard .pptx — it opens in PowerPoint and is fully editable (every shape, text box, table and picture is a native object).</w:t>
      </w:r>
    </w:p>
    <w:p>
      <w:pPr>
        <w:pStyle w:val="ListBullet"/>
        <w:spacing w:after="60"/>
      </w:pPr>
      <w:r>
        <w:rPr>
          <w:sz w:val="21"/>
        </w:rPr>
        <w:t>Why not LaTeX/Beamer: Beamer cannot be edited by your supervisor, and university committees increasingly expect an editable PPTX.</w:t>
      </w:r>
    </w:p>
    <w:p>
      <w:pPr>
        <w:pStyle w:val="ListBullet"/>
        <w:spacing w:after="60"/>
      </w:pPr>
      <w:r>
        <w:rPr>
          <w:sz w:val="21"/>
        </w:rPr>
        <w:t>Why not Canva: Canva exports are layout-locked, degrade on projector aspect ratios, and cannot hold native chart objects.</w:t>
      </w:r>
    </w:p>
    <w:p>
      <w:pPr>
        <w:pStyle w:val="ListBullet"/>
        <w:spacing w:after="60"/>
      </w:pPr>
      <w:r>
        <w:rPr>
          <w:sz w:val="21"/>
        </w:rPr>
        <w:t>The one honest trade-off: click-build animations cannot be written reliably by the generator (hand-injected timing XML corrupts slides more often than it works). Slide transitions and builds must be applied once, in PowerPoint, using the map in §2 — budget 15 minutes.</w:t>
      </w:r>
    </w:p>
    <w:p>
      <w:pPr>
        <w:pStyle w:val="ListBullet"/>
        <w:spacing w:after="60"/>
      </w:pPr>
      <w:r>
        <w:rPr>
          <w:sz w:val="21"/>
        </w:rPr>
        <w:t>The figures (charts, cross-section, colloid schematic) are exported at 200 dpi as standalone PNGs in _build/figs/ — reuse them in the thesis and in the thesis defence.</w:t>
      </w:r>
    </w:p>
    <w:p>
      <w:pPr>
        <w:pStyle w:val="Heading1"/>
      </w:pPr>
      <w:r>
        <w:t>2.  Animation map (apply in PowerPoint: Animations → Appear / Fade, 'On Click')</w:t>
      </w:r>
    </w:p>
    <w:p>
      <w:pPr>
        <w:spacing w:after="120"/>
      </w:pPr>
      <w:r>
        <w:rPr>
          <w:b w:val="0"/>
          <w:i/>
          <w:color w:val="5A6672"/>
          <w:sz w:val="20"/>
        </w:rPr>
        <w:t>Principle: one build per idea you speak. Never animate decoration; animate content the audience should receive with your 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20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3427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build</w:t>
            </w:r>
          </w:p>
        </w:tc>
        <w:tc>
          <w:tcPr>
            <w:tcW w:type="dxa" w:w="1928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When to trigger</w:t>
            </w:r>
          </w:p>
        </w:tc>
        <w:tc>
          <w:tcPr>
            <w:tcW w:type="dxa" w:w="2463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182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3 — What are asphaltenes</w:t>
            </w:r>
          </w:p>
        </w:tc>
        <w:tc>
          <w:tcPr>
            <w:tcW w:type="dxa" w:w="342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Cover the 2nd and 3rd panels of the colloid schematic with white rectangles; reveal panel 2, then panel 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On your words 'destabilised' and 'flocculated'</w:t>
            </w:r>
          </w:p>
        </w:tc>
        <w:tc>
          <w:tcPr>
            <w:tcW w:type="dxa" w:w="2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highest-value build in the deck: the audience watches the shell strip away as you explain it</w:t>
            </w:r>
          </w:p>
        </w:tc>
      </w:tr>
      <w:tr>
        <w:tc>
          <w:tcPr>
            <w:tcW w:type="dxa" w:w="18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4 — Cross-section</w:t>
            </w:r>
          </w:p>
        </w:tc>
        <w:tc>
          <w:tcPr>
            <w:tcW w:type="dxa" w:w="342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the 'AFTER' half of the drawing (group the deposit ring + its callouts)</w:t>
            </w:r>
          </w:p>
        </w:tc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After describing the clean bore</w:t>
            </w:r>
          </w:p>
        </w:tc>
        <w:tc>
          <w:tcPr>
            <w:tcW w:type="dxa" w:w="2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Before/after is a story; showing both at once kills it</w:t>
            </w:r>
          </w:p>
        </w:tc>
      </w:tr>
      <w:tr>
        <w:tc>
          <w:tcPr>
            <w:tcW w:type="dxa" w:w="182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9 — Mechanism chain</w:t>
            </w:r>
          </w:p>
        </w:tc>
        <w:tc>
          <w:tcPr>
            <w:tcW w:type="dxa" w:w="342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the four step boxes one at a time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One per step as you speak it</w:t>
            </w:r>
          </w:p>
        </w:tc>
        <w:tc>
          <w:tcPr>
            <w:tcW w:type="dxa" w:w="2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Forces the jury to follow your pacing, not read ahead</w:t>
            </w:r>
          </w:p>
        </w:tc>
      </w:tr>
      <w:tr>
        <w:tc>
          <w:tcPr>
            <w:tcW w:type="dxa" w:w="18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10 — Envelope chart</w:t>
            </w:r>
          </w:p>
        </w:tc>
        <w:tc>
          <w:tcPr>
            <w:tcW w:type="dxa" w:w="342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in three clicks: (1) axes + AOP orange line, (2) bubble point + shaded zone, (3) flowing path with arrow + the star</w:t>
            </w:r>
          </w:p>
        </w:tc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Each layer with its explanation</w:t>
            </w:r>
          </w:p>
        </w:tc>
        <w:tc>
          <w:tcPr>
            <w:tcW w:type="dxa" w:w="2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path crossing the star is the moment the talk clicks — let them see it happen</w:t>
            </w:r>
          </w:p>
        </w:tc>
      </w:tr>
      <w:tr>
        <w:tc>
          <w:tcPr>
            <w:tcW w:type="dxa" w:w="182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12 — Triggers</w:t>
            </w:r>
          </w:p>
        </w:tc>
        <w:tc>
          <w:tcPr>
            <w:tcW w:type="dxa" w:w="342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the four trigger boxes first; keep the misconception box hidden until its cue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Misconception box after the four triggers</w:t>
            </w:r>
          </w:p>
        </w:tc>
        <w:tc>
          <w:tcPr>
            <w:tcW w:type="dxa" w:w="2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A reveal makes a correction feel like a discovery, not a lecture</w:t>
            </w:r>
          </w:p>
        </w:tc>
      </w:tr>
      <w:tr>
        <w:tc>
          <w:tcPr>
            <w:tcW w:type="dxa" w:w="18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13 — Case study</w:t>
            </w:r>
          </w:p>
        </w:tc>
        <w:tc>
          <w:tcPr>
            <w:tcW w:type="dxa" w:w="342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chart layers; then the amber unprotected-interval band last</w:t>
            </w:r>
          </w:p>
        </w:tc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Band last — it is the punchline</w:t>
            </w:r>
          </w:p>
        </w:tc>
        <w:tc>
          <w:tcPr>
            <w:tcW w:type="dxa" w:w="2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The 3,400 ft band appearing over the star is the visual proof</w:t>
            </w:r>
          </w:p>
        </w:tc>
      </w:tr>
      <w:tr>
        <w:tc>
          <w:tcPr>
            <w:tcW w:type="dxa" w:w="182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16 — Proactive</w:t>
            </w:r>
          </w:p>
        </w:tc>
        <w:tc>
          <w:tcPr>
            <w:tcW w:type="dxa" w:w="342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the placement rule bullet last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With its sentence</w:t>
            </w:r>
          </w:p>
        </w:tc>
        <w:tc>
          <w:tcPr>
            <w:tcW w:type="dxa" w:w="2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It links the case study to your project</w:t>
            </w:r>
          </w:p>
        </w:tc>
      </w:tr>
      <w:tr>
        <w:tc>
          <w:tcPr>
            <w:tcW w:type="dxa" w:w="1820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17 — Economics</w:t>
            </w:r>
          </w:p>
        </w:tc>
        <w:tc>
          <w:tcPr>
            <w:tcW w:type="dxa" w:w="342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Reveal the breakeven box after the table</w:t>
            </w:r>
          </w:p>
        </w:tc>
        <w:tc>
          <w:tcPr>
            <w:tcW w:type="dxa" w:w="1928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When you say 'the missing number'</w:t>
            </w:r>
          </w:p>
        </w:tc>
        <w:tc>
          <w:tcPr>
            <w:tcW w:type="dxa" w:w="2463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Turns data into a research question</w:t>
            </w:r>
          </w:p>
        </w:tc>
      </w:tr>
      <w:tr>
        <w:tc>
          <w:tcPr>
            <w:tcW w:type="dxa" w:w="1820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22 — Three messages</w:t>
            </w:r>
          </w:p>
        </w:tc>
        <w:tc>
          <w:tcPr>
            <w:tcW w:type="dxa" w:w="3427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Fade each message on click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One per message</w:t>
            </w:r>
          </w:p>
        </w:tc>
        <w:tc>
          <w:tcPr>
            <w:tcW w:type="dxa" w:w="2463"/>
          </w:tcPr>
          <w:p>
            <w:pPr>
              <w:spacing w:after="40"/>
            </w:pPr>
            <w:r/>
            <w:r>
              <w:rPr>
                <w:rFonts w:ascii="Calibri" w:hAnsi="Calibri"/>
                <w:sz w:val="18"/>
              </w:rPr>
              <w:t>Your close — control the pacing absolutely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B43B2E"/>
          <w:sz w:val="20"/>
        </w:rPr>
        <w:t>Do NOT animate: titles, kickers, footers, section labels, table rows (except slides 9 and 17), or any transition longer than 0.3 s.</w:t>
      </w:r>
    </w:p>
    <w:p>
      <w:pPr>
        <w:pStyle w:val="Heading1"/>
      </w:pPr>
      <w:r>
        <w:t>3.  Design system already applied (so you can defend 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597"/>
            <w:shd w:val="clear" w:color="auto" w:fill="102A4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Specification in this deck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Background / text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White background (lecture-hall friendly); deep navy #102A43 text — never pure black</w:t>
            </w:r>
          </w:p>
        </w:tc>
      </w:tr>
      <w:tr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Alert colour</w:t>
            </w:r>
          </w:p>
        </w:tc>
        <w:tc>
          <w:tcPr>
            <w:tcW w:type="dxa" w:w="759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Safety-orange #E8630A used ONLY for the AOP line, the onset star, the instability zone and the deposit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Secondary colour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Teal #2E9BA6 = the benign/stabilising elements (resins, injection point, stable reservoir)</w:t>
            </w:r>
          </w:p>
        </w:tc>
      </w:tr>
      <w:tr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Action titles</w:t>
            </w:r>
          </w:p>
        </w:tc>
        <w:tc>
          <w:tcPr>
            <w:tcW w:type="dxa" w:w="759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Every slide title is the takeaway sentence, 22–24 pt bold (see §4)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Section indicator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Top-left kicker on every slide ('PART 2 · THE SCIENCE') — placed at the top so the eye catches it on entry, acting as the progress bar</w:t>
            </w:r>
          </w:p>
        </w:tc>
      </w:tr>
      <w:tr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Footers</w:t>
            </w:r>
          </w:p>
        </w:tc>
        <w:tc>
          <w:tcPr>
            <w:tcW w:type="dxa" w:w="759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Slide number, target seconds and cumulative clock — your on-stage timing instrument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Charts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No background gridlines; orange dashed AOP; blue bubble point; navy bold flowing path with arrowhead; depth axis increases DOWNWARD</w:t>
            </w:r>
          </w:p>
        </w:tc>
      </w:tr>
      <w:tr>
        <w:tc>
          <w:tcPr>
            <w:tcW w:type="dxa" w:w="2041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Equations</w:t>
            </w:r>
          </w:p>
        </w:tc>
        <w:tc>
          <w:tcPr>
            <w:tcW w:type="dxa" w:w="7597"/>
            <w:shd w:val="clear" w:color="auto" w:fill="F1F5F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Native text runs, colour-coded: orange numerator = destabilising, teal denominator = natural dispersant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Body type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12–14 pt for the audience-facing text, 22–24 pt titles. The 10-foot rule beats an arbitrary point size: this deck passes it</w:t>
            </w:r>
          </w:p>
        </w:tc>
      </w:tr>
    </w:tbl>
    <w:p>
      <w:pPr>
        <w:spacing w:after="40"/>
      </w:pPr>
    </w:p>
    <w:p>
      <w:pPr>
        <w:pStyle w:val="Heading1"/>
      </w:pPr>
      <w:r>
        <w:t>4.  The 10-foot test (your pre-flight check)</w:t>
      </w:r>
    </w:p>
    <w:p>
      <w:pPr>
        <w:spacing w:after="120"/>
      </w:pPr>
      <w:r>
        <w:rPr>
          <w:b w:val="0"/>
          <w:i w:val="0"/>
          <w:sz w:val="21"/>
        </w:rPr>
        <w:t>Print slides 3, 4, 10, 13 and 17, tape them to the wall, and stand 3 metres away. You must be able to read, from that distance: the action title, the axis labels, and the single number each slide exists for. If you cannot, do not shrink the point size — delete a bullet. Every slide in this deck was designed so that exactly one fact survives the squint test.</w:t>
      </w:r>
    </w:p>
    <w:p>
      <w:pPr>
        <w:pStyle w:val="Heading1"/>
      </w:pPr>
      <w:r>
        <w:t>5.  If you want to extend the design yourself in PowerPoint</w:t>
      </w:r>
    </w:p>
    <w:p>
      <w:pPr>
        <w:pStyle w:val="ListBullet"/>
        <w:spacing w:after="60"/>
      </w:pPr>
      <w:r>
        <w:rPr>
          <w:sz w:val="20"/>
        </w:rPr>
        <w:t>Slide Master (View → Slide Master): edit the kicker or footer text once to change it on all 25 slides.</w:t>
      </w:r>
    </w:p>
    <w:p>
      <w:pPr>
        <w:pStyle w:val="ListBullet"/>
        <w:spacing w:after="60"/>
      </w:pPr>
      <w:r>
        <w:rPr>
          <w:sz w:val="20"/>
        </w:rPr>
        <w:t>Colour discipline: add the four brand colours (navy, orange, teal, amber) to your Theme Colours so every new shape matches automatically.</w:t>
      </w:r>
    </w:p>
    <w:p>
      <w:pPr>
        <w:pStyle w:val="ListBullet"/>
        <w:spacing w:after="60"/>
      </w:pPr>
      <w:r>
        <w:rPr>
          <w:sz w:val="20"/>
        </w:rPr>
        <w:t>Any new chart you add: orange dashed for AOP/onset, navy bold for the flowing path, no gridlines, depth downward.</w:t>
      </w:r>
    </w:p>
    <w:p>
      <w:pPr>
        <w:pStyle w:val="ListBullet"/>
        <w:spacing w:after="60"/>
      </w:pPr>
      <w:r>
        <w:rPr>
          <w:sz w:val="20"/>
        </w:rPr>
        <w:t>Keep the sentence-as-title habit: if you add a slide, its title should be a claim, not a label.</w:t>
      </w:r>
    </w:p>
    <w:p>
      <w:pPr>
        <w:pStyle w:val="Heading1"/>
      </w:pPr>
      <w:r>
        <w:t>6.  Locked design system (tokens, archetypes, type scale)</w:t>
      </w:r>
    </w:p>
    <w:p>
      <w:pPr>
        <w:spacing w:after="100"/>
      </w:pPr>
      <w:r>
        <w:rPr>
          <w:b w:val="0"/>
          <w:i w:val="0"/>
          <w:sz w:val="19"/>
        </w:rPr>
        <w:t>This is the specification the deck is built to. Every slide is generated by shared builder functions that enforce these values — the 'master layout' equivalent for a programmatically built deck.</w:t>
      </w:r>
    </w:p>
    <w:p>
      <w:pPr>
        <w:pStyle w:val="Heading2"/>
      </w:pPr>
      <w:r>
        <w:t>6.1  Colour tokens (use these hex values; nothing else)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020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Hex</w:t>
            </w:r>
          </w:p>
        </w:tc>
        <w:tc>
          <w:tcPr>
            <w:tcW w:type="dxa" w:w="5443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Used for</w:t>
            </w:r>
          </w:p>
        </w:tc>
        <w:tc>
          <w:tcPr>
            <w:tcW w:type="dxa" w:w="2268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Contrast vs white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NAVY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#1B365D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titles, table headers, box borders, depth axis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12.1:1 — AAA</w:t>
            </w:r>
          </w:p>
        </w:tc>
      </w:tr>
      <w:tr>
        <w:tc>
          <w:tcPr>
            <w:tcW w:type="dxa" w:w="113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TEAL</w:t>
            </w:r>
          </w:p>
        </w:tc>
        <w:tc>
          <w:tcPr>
            <w:tcW w:type="dxa" w:w="1020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#0D7377</w:t>
            </w:r>
          </w:p>
        </w:tc>
        <w:tc>
          <w:tcPr>
            <w:tcW w:type="dxa" w:w="5443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section kickers, benign/stabilising elements, primary box borders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5.3:1 — AA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ORANGE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#E07A3D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the AOP line, onset star, deposit, call-out borders, ICONS (graphics only)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2.6:1 — graphic use only</w:t>
            </w:r>
          </w:p>
        </w:tc>
      </w:tr>
      <w:tr>
        <w:tc>
          <w:tcPr>
            <w:tcW w:type="dxa" w:w="113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AMB_D</w:t>
            </w:r>
          </w:p>
        </w:tc>
        <w:tc>
          <w:tcPr>
            <w:tcW w:type="dxa" w:w="1020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#B35A18</w:t>
            </w:r>
          </w:p>
        </w:tc>
        <w:tc>
          <w:tcPr>
            <w:tcW w:type="dxa" w:w="5443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orange-family SMALL TEXT (captions, attributions)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5.4:1 — AA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TEXT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#1A1A1A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body text (never pure black)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17.4:1 — AAA</w:t>
            </w:r>
          </w:p>
        </w:tc>
      </w:tr>
      <w:tr>
        <w:tc>
          <w:tcPr>
            <w:tcW w:type="dxa" w:w="113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GRAY</w:t>
            </w:r>
          </w:p>
        </w:tc>
        <w:tc>
          <w:tcPr>
            <w:tcW w:type="dxa" w:w="1020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#4A5568</w:t>
            </w:r>
          </w:p>
        </w:tc>
        <w:tc>
          <w:tcPr>
            <w:tcW w:type="dxa" w:w="5443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captions, footers, secondary notes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7.6:1 — AAA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LIGHT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#F8FAFC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box fill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13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LIGHT2</w:t>
            </w:r>
          </w:p>
        </w:tc>
        <w:tc>
          <w:tcPr>
            <w:tcW w:type="dxa" w:w="1020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#E8EFF5</w:t>
            </w:r>
          </w:p>
        </w:tc>
        <w:tc>
          <w:tcPr>
            <w:tcW w:type="dxa" w:w="5443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alternate table rows, muted fills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RED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#B43B2E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the precipitation/deposition distinction, error reframes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/>
                <w:sz w:val="16"/>
              </w:rPr>
              <w:t>6.1:1 — AA</w:t>
            </w:r>
          </w:p>
        </w:tc>
      </w:tr>
    </w:tbl>
    <w:p>
      <w:pPr>
        <w:spacing w:after="20"/>
      </w:pPr>
    </w:p>
    <w:p>
      <w:pPr>
        <w:pStyle w:val="Heading2"/>
      </w:pPr>
      <w:r>
        <w:t>6.2  Layout archetypes (every slide declares 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Archetype</w:t>
            </w:r>
          </w:p>
        </w:tc>
        <w:tc>
          <w:tcPr>
            <w:tcW w:type="dxa" w:w="5896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Geometry</w:t>
            </w:r>
          </w:p>
        </w:tc>
        <w:tc>
          <w:tcPr>
            <w:tcW w:type="dxa" w:w="249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Slides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A-title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Full-bleed accent bar left; title block; summary card right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B-cards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+ 3–4 equal cards on a fixed grid (gap 0.16 in)</w:t>
            </w:r>
          </w:p>
        </w:tc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2, 5, 9, 20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C-split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+ text column left / figure or box column right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3, 4, 6, 7, 10, 12–14, 16, 18, 19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D-table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+ full-width table + callout strip beneath</w:t>
            </w:r>
          </w:p>
        </w:tc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8, 11, 15, 17, 21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E-fullwidth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+ two-column reference/text block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23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F-closing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+ three stacked message bands + thank-you strip</w:t>
            </w:r>
          </w:p>
        </w:tc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22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G-backup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Header labelled BACKUP + dense reference content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24, 25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  <w:sz w:val="19"/>
        </w:rPr>
        <w:t>Grid: content band runs from x = 0.62 in to x = 12.86 in on EVERY slide — an automated audit confirms 25/25 slides comply. Card grids end at the same right edge as titles. Headers are identical: kicker (11.5 pt bold teal) → action title (22–24 pt bold navy) → 1.15 x 0.055 in orange rule. Footers are identical: left = short title, right = slide number + target seconds + cumulative clock (or 'BACKUP — show only if asked').</w:t>
      </w:r>
    </w:p>
    <w:p>
      <w:pPr>
        <w:pStyle w:val="Heading2"/>
      </w:pPr>
      <w:r>
        <w:t>6.3  Type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928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5896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Action title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22–24 pt bold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One weight only; sentence case; a claim, not a label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Section kicker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11.5 pt bold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All caps, teal, top-left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Card / box headings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13–16 pt bold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Navy or the card's accent colour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Body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12.5–14.5 pt regular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Auto-lifted 1 pt by the builder so no body text sits below ~12.5 pt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Table body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12–13 pt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Capped at 13 pt; row height auto-padded</w:t>
            </w:r>
          </w:p>
        </w:tc>
      </w:tr>
      <w:tr>
        <w:tc>
          <w:tcPr>
            <w:tcW w:type="dxa" w:w="2041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Captions / footnotes</w:t>
            </w:r>
          </w:p>
        </w:tc>
        <w:tc>
          <w:tcPr>
            <w:tcW w:type="dxa" w:w="19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9.5–10 pt italic gray</w:t>
            </w:r>
          </w:p>
        </w:tc>
        <w:tc>
          <w:tcPr>
            <w:tcW w:type="dxa" w:w="5896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Never below 9.5 pt — this is the projection floor</w:t>
            </w:r>
          </w:p>
        </w:tc>
      </w:tr>
    </w:tbl>
    <w:p>
      <w:pPr>
        <w:spacing w:after="20"/>
      </w:pPr>
    </w:p>
    <w:p>
      <w:pPr>
        <w:pStyle w:val="Heading2"/>
      </w:pPr>
      <w:r>
        <w:t>6.4  Icons (5 built, one stroke weight, transparent 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Icon</w:t>
            </w:r>
          </w:p>
        </w:tc>
        <w:tc>
          <w:tcPr>
            <w:tcW w:type="dxa" w:w="2948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102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Placed on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Flask with droplets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precipitation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slide 9, step 1</w:t>
            </w:r>
          </w:p>
        </w:tc>
      </w:tr>
      <w:tr>
        <w:tc>
          <w:tcPr>
            <w:tcW w:type="dxa" w:w="181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Clumping cores</w:t>
            </w:r>
          </w:p>
        </w:tc>
        <w:tc>
          <w:tcPr>
            <w:tcW w:type="dxa" w:w="294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flocculation / aggregation</w:t>
            </w:r>
          </w:p>
        </w:tc>
        <w:tc>
          <w:tcPr>
            <w:tcW w:type="dxa" w:w="510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slide 9, steps 2–3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Well schematic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deposition in the wellbore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slide 9, step 4</w:t>
            </w:r>
          </w:p>
        </w:tc>
      </w:tr>
      <w:tr>
        <w:tc>
          <w:tcPr>
            <w:tcW w:type="dxa" w:w="181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Injection mandrel</w:t>
            </w:r>
          </w:p>
        </w:tc>
        <w:tc>
          <w:tcPr>
            <w:tcW w:type="dxa" w:w="294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capillary chemical injection</w:t>
            </w:r>
          </w:p>
        </w:tc>
        <w:tc>
          <w:tcPr>
            <w:tcW w:type="dxa" w:w="510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available in _build/figs/ for the thesis (not placed — it collided with body text on slide 16)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Breakeven chart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economics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slide 17 call-out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  <w:sz w:val="19"/>
        </w:rPr>
        <w:t>All icons share one stroke weight, the palette's teal/navy/orange, and no fills except accent dots. No clip-art, no emoji, no gradient.</w:t>
      </w:r>
    </w:p>
    <w:p>
      <w:pPr>
        <w:pStyle w:val="Heading2"/>
      </w:pPr>
      <w:r>
        <w:t>6.5  Animation decision (final)</w:t>
      </w:r>
    </w:p>
    <w:p>
      <w:pPr>
        <w:spacing w:after="100"/>
      </w:pPr>
      <w:r>
        <w:rPr>
          <w:b w:val="0"/>
          <w:i w:val="0"/>
          <w:sz w:val="19"/>
        </w:rPr>
        <w:t>Only two builds are specified, both sequential reveals that match the spoken sequence:</w:t>
      </w:r>
    </w:p>
    <w:p>
      <w:pPr>
        <w:pStyle w:val="ListBullet"/>
        <w:spacing w:after="40"/>
      </w:pPr>
      <w:r>
        <w:rPr>
          <w:sz w:val="19"/>
        </w:rPr>
        <w:t>Slide 9 — reveal the four mechanism cards one at a time (precipitation → flocculation → aggregation → deposition).</w:t>
      </w:r>
    </w:p>
    <w:p>
      <w:pPr>
        <w:pStyle w:val="ListBullet"/>
        <w:spacing w:after="40"/>
      </w:pPr>
      <w:r>
        <w:rPr>
          <w:sz w:val="19"/>
        </w:rPr>
        <w:t>Slide 10 — reveal the envelope chart in three layers: AOP line, then bubble point + unstable zone, then the flowing path with the onset star.</w:t>
      </w:r>
    </w:p>
    <w:p>
      <w:pPr>
        <w:spacing w:after="100"/>
      </w:pPr>
      <w:r>
        <w:rPr>
          <w:b/>
          <w:i w:val="0"/>
          <w:color w:val="1B365D"/>
          <w:sz w:val="19"/>
        </w:rPr>
        <w:t>No fly-ins, no decorative motion, no auto-play anywhere in the deck.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Animation &amp; Design Guide — Asphaltenes seminar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7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