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4"/>
          <w:sz w:val="22"/>
        </w:rPr>
        <w:t>SOURCE LOG — EVERY NUMBER ON THE SLIDES, TRACED TO ITS PAPER</w:t>
      </w:r>
    </w:p>
    <w:p>
      <w:pPr>
        <w:jc w:val="center"/>
      </w:pPr>
      <w:r>
        <w:rPr>
          <w:b/>
          <w:color w:val="102A43"/>
          <w:sz w:val="30"/>
        </w:rPr>
        <w:t>Asphaltenes: Predicting and Preventing Wellbore Plugging</w:t>
      </w:r>
    </w:p>
    <w:p>
      <w:pPr>
        <w:jc w:val="center"/>
      </w:pPr>
      <w:r>
        <w:rPr>
          <w:i/>
          <w:color w:val="5A6672"/>
          <w:sz w:val="18"/>
        </w:rPr>
        <w:t>Print this and keep it at the lectern. If an examiner challenges any figure, hand them this page — not a guess.</w:t>
      </w:r>
    </w:p>
    <w:p>
      <w:pPr>
        <w:spacing w:after="120"/>
      </w:pPr>
      <w:r>
        <w:rPr>
          <w:b w:val="0"/>
          <w:i/>
          <w:color w:val="A86B00"/>
          <w:sz w:val="16"/>
        </w:rPr>
        <w:t>Status key:   [V] = quote verified verbatim from an accessible full text or publisher abstract during this build.   [L] = full-text / page-number confirmation recommended at the university library in Week 1 (marked on the item). UPDATED after the technical cross-check: the de Boer definition and the ASTM D6703 entry were CORRECTED (rows marked above); the D6560/IP 143 editions are confirmed. The full verification record is 06_Technical_Accuracy_and_Risk_Register.docx, Part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shd w:val="clear" w:color="auto" w:fill="102A4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Slide</w:t>
            </w:r>
          </w:p>
        </w:tc>
        <w:tc>
          <w:tcPr>
            <w:tcW w:type="dxa" w:w="1928"/>
            <w:shd w:val="clear" w:color="auto" w:fill="102A4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Claim on the slide</w:t>
            </w:r>
          </w:p>
        </w:tc>
        <w:tc>
          <w:tcPr>
            <w:tcW w:type="dxa" w:w="2268"/>
            <w:shd w:val="clear" w:color="auto" w:fill="102A4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876"/>
            <w:shd w:val="clear" w:color="auto" w:fill="102A4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Exact wording (verbatim)</w:t>
            </w:r>
          </w:p>
        </w:tc>
        <w:tc>
          <w:tcPr>
            <w:tcW w:type="dxa" w:w="567"/>
            <w:shd w:val="clear" w:color="auto" w:fill="102A4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2, 17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“billions of dollars every year” — industry-wide cost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Farooq, U.; Lædre, S.; Gawel, K. Review of Asphaltenes in an Electric Field. Energy &amp; Fuels 2021, 35(9), 7285–7304. doi:10.1021/acs.energyfuels.0c03962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“Asphaltene deposition costs the oil industry billions of dollars every year, including reduction of production capacity, wells shut-in, and implications of the management techniques.”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2, 17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 $70 M: one deepwater GoM well, shut-in + cleanup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Farooq, U.; Lædre, S.; Gawel, K. (2021), Energy &amp; Fuels, 35(9), 7285–7304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“it was reported from an oil field in the Gulf of Mexico that the cost of a well shut-in for a cleanup operation due to asphaltene deposition was approximately $70 million/well.”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17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up to $100 M if deposit forms at the SCSSV; removal $0.3–3.5 M/well; sidetrack ≈ $50 M; downtime ≈ $700 k/day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Asphaltene Deposition Control by Chemical Inhibitors, 1st ed.; Gulf Professional/Elsevier, 2021; Ch.1 (economic analysis)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rig intervention costs were estimated to be equal to $70 million per well… could even increase to $100 million per well if the deposits are formed at the surface-controlled subsurface safety valve.” Table: removal $300,000–3,500,000/well; sidetrack $50,000,000/well; downtime $700,000/day (7,000 BPD).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2, 17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up to ≈ $1.2 M/day deferred production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Stratiev, D. et al. Mitigation of Asphaltene Deposit Formation via Chemical Additives: A Review. Processes 2025, 13(1), 141. doi:10.3390/pr13010141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financial loss due to lost production can be as high as USD 1.2 M/day, even with the scenario of a USD 30/bbl oil price.”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17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treatment documented up to ≈ $3 M/well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Stratiev, D. et al. (2025), Processes, 13(1), 141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cost of treatment of asphaltene deposits in the well can be as high as USD 3 M.”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17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inhibitor: $31–46 k/well/yr (Middle East); $330–390 k/well/yr (GoM) — attribution conflict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Khaleel, A.T.; Abutaqiya, M.I.L.; Sisco, C.J.; Vargas, F.M. Mitigation of Asphaltene Deposition by Re-injection of Dead Oil. Fluid Phase Equilibria 2020, 514, 112552. doi:10.1016/j.fluid.2020.112552 (citing Cenegy, 2001)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“These chemicals are also expensive, costing between $31,000 – $46,000 per well per year for fields in the Middle East and $330,000 – $390,000 per well per year for fields in the Gulf of Mexico.” CONFLICT: Farooq et al. (2021) reverse the geography. The Elsevier monograph (2021) supports the majority attribution.  [L] confirm Cenegy’s original wording + SPE number.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 [L]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2, 4, 15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20–25 % wellhead pressure lost in 15–20 days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Haskett, C.E.; Tartera, M. SPE-994-PA / J. Pet. Technol. 1965, 17(4), 387–391. doi:10.2118/994-PA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“Wells often lost 20 to 25 per cent of the wellhead pressure in 15 to 20 days, causing considerable loss in production.”  [L] page number from full text.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 [L]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15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deposit composition: 83.4 % asphaltenes, 3.3 % carbenes, 13.3 % resins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Haskett &amp; Tartera (1965), SPE-994-PA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“These deposits consisted of 83.4 per cent asphaltenes, 3.3 per cent carbenes, and 13.3 per cent resins and heavy fractions of oil, and were a plastic, tacky consistency.”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15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reactive cleanup described as “expensive and cumbersome”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Haskett &amp; Tartera (1965), SPE-994-PA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“This method, while satisfactory for cleaning the tubings, was expensive and cumbersome.”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up to ⅔ of tubing radius: measured deposits, Hassi Messaoud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Haskett &amp; Tartera (1965) measurements, as restated in later SPE field-case literature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deposit in five different wells of the Hassi Messaoud field was measured, and found to reach approximately two-thirds of the inner-tubing radius (Haskett and Tartera 1965).”  [L] cite the restating paper you actually consult.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 [L]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4, 13, 16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GoM geometry: perfs 17,700–18,000 ft; mandrel 14,600 ft; 3,400 ft unprotected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Wylde, J.; Punase, A. Asphaltenes: A Complex and Challenging Flow Assurance Issue To Measure and Quantify Risk. J. Pet. Technol., 30 Apr 2020 (Clariant Oil Services)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well was perforated between 17,700 and 18,000 ft, while the downhole chemical injection mandrel was situated at 14,600 ft, resulting in 3,400 ft of unprotected tubing.”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4, 13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tubing ID 2.30 → 1.35 in (≈ ⅔ of flow area lost)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Wylde &amp; Punase (2020), from their transient multiphase flow model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“…which indicated reduction of the production tubing internal diameter from 2.3 to 1.35 in.”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13, 16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dosage 750 → ≈ 500 ppm; +16 % production over 4 months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Wylde &amp; Punase (2020)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“a solvent soak for 2 days… continuous AI-1 injection at a high dose rate of 750 ppm”; “a decrease in the readings to around 21 at 500-ppm dosage”; “16% overall increase in production (including overall shut-in time) over a 4-month period.”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3, 7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CII = (Saturates + Asphaltenes) / (Resins + Aromatics); ≥ 0.9 unstable, &lt; 0.7 stable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Yen, A.; Yin, Y.R.; Asomaning, S. SPE 65376 (2001); thresholds after Asomaning (2003) — confirmed independently in three sources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“If oil has a CII value below 0.7, it is defined as stable and if the CII is higher than 0.9 is considered as unstable.” Thresholds remain laboratory-specific.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10, 24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UAOP sits above the bubble point; instability windows of thousands of psi (2,600–3,800 psi case)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Fuel 2021, “Critical analysis of different techniques used to screen asphaltene stability in crude oils” [author list to confirm] + flow-assurance reference text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“asphaltenes start to precipitate out from the crude oil at a pressure above the bubble point pressure and this pressure is termed as Upper Asphaltene Onset Pressure (UAOP).” / “some oils have an instability window of several thousand pounds per square inch… from 2600 to 3800 psi.”  [L] author list + pages.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 [L]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10, 24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CORRECTED in the pack: the de Boer plot is a cross-plot of in-situ oil density (x) vs gas under-saturation, P_res − Pb (y), with severe / moderate / minimal risk zones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de Boer, R.B.; Leerlooyer, K.; Eigner, M.R.P.; van Bergen, A.R.D. SPE Prod. Facil. 1995, 10(1), 55–61. doi:10.2118/24987-PA (restated identically in the J. Pet. Explor. Prod. Technol. 2018 onset-methods review and in J. Pet. Sci. Eng. 2022 SARA/CII correlation work)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“It essentially evaluates the loss of asphaltene solubility as a reservoir fluid sample is depressurized. This PVT screen is a cross-plot of in situ density and the degree of under-saturation with respect to gas (the difference between reservoir and saturation pressures).” Paper conclusion: risk is greatest for “light crudes that are undersaturated with gas”. The onset-versus-bubble-point rule is a SEPARATE envelope screen.  [L] only the page number remains open.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 [L]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18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“laboratory methods… are inadequate” critique of inhibitor testing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Khaleel, A.T. et al. (2020), Fluid Phase Equilibria, 514, 112552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laboratory methods used to validate the effectiveness of these chemicals are inadequate and the chemicals are often ineffective or actually worsen the problem when applied in the field.”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3, 12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definition: insoluble in n-heptane, soluble in toluene (ASTM D6560 / IP 143)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Wylde &amp; Punase (2020) + ASTM D6560 / IP 143 scope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“Asphaltenes represent a highly polar component of crude oil, insoluble in n-alkanes and soluble in aromatic solvents.” ASTM D6560-22 / IP 143:21 = Determination of Asphaltenes (Heptane Insolubles); D2007 = clay-gel SARA; D4124 = four fractions; D3279 = n-heptane insolubles; D6703-19 = Automated Heithaus Titrimetry — CORRECTED: D6703 is not a general precipitation test. The standard itself records that benzene was dropped as the aromatic solvent for health reasons.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Nano-aggregates ≈ 2 nm, clusters ≈ 5 nm, molecular weight ≈ 750 g/mol (Yen–Mullins)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Mullins, O.C. Energy &amp; Fuels 2010, 24(4), 2179–2207; reviewed in Mullins et al. Energy &amp; Fuels 2012, doi:10.1021/ef300185p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“The most probable asphaltene molecular weight is ∼750 g/mol, with the island molecular architecture dominant… asphaltene molecules form nanoaggregates with an aggregation number less than 10. At higher concentrations, nanoaggregates form clusters…” Island-vs-archipelago remains an open debate — wording in the pack stays neutral.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15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Thermal methods are not a melting route; ~497 °C steam questioned in the literature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Mohammed, I.; Mahmoud, M.; Al Shehri, D.; El-Husseini, A.; Alade, O. J. Pet. Sci. Eng. 2021, 197, 107956, doi:10.1016/j.petrol.2020.107956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“begs the question of the state of asphaltene as it does not melt but decompose into solid-like material which can pose problems within the formation”; “…the thermal methods are less efficient.” Counter-example anticipated in Q30.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15, 21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BTEX HSE exposure flagged as a workplace-safety topic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ACS Omega 2023, doi:10.1021/acsomega.3c03149; xylene clean-up field review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“BTX chemicals … are acutely toxic and harmful to the environment”; “BTX solvents have low flash point, high acute toxicity and low biodegradability”; xylene clean-up “has limited effectiveness in addition to undesirable HSE effects.”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16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Inhibitor vs dispersant: onset-shift vs aggregate-size reduction; neither dissolves a deposit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Kelland, M.A. Production Chemicals for the Oil and Gas Industry, CRC Press 2009 (via AADE-24-FTCE-073)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“Inhibitors typically affect the flocculation onset point, whereas dispersants usually reduce the size of aggregates formed. Inhibitors can also act as dispersants, but in general the inverse is not true.”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16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Over-dosing can increase deposition — dose window, not dose maximum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J. Pet. Sci. Eng. 2019, doi:10.1016/j.petrol.2019.106484</w:t>
            </w:r>
          </w:p>
        </w:tc>
        <w:tc>
          <w:tcPr>
            <w:tcW w:type="dxa" w:w="48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“at high heptane vol%, inhibitor over-treatment (above recommended dose) increases deposition”; inhibitor self-aggregation reduces adsorption efficiency at excessive concentration.</w:t>
            </w:r>
          </w:p>
        </w:tc>
        <w:tc>
          <w:tcPr>
            <w:tcW w:type="dxa" w:w="567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20, 25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NeqSim open-source CPA-EoS asphaltene screening (project fallback)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NeqSim — Equinor, Apache-2.0 licence, v3.22. github.com/equinor/neqsim (pip install neqsim)</w:t>
            </w:r>
          </w:p>
        </w:tc>
        <w:tc>
          <w:tcPr>
            <w:tcW w:type="dxa" w:w="4876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“NeqSim — Non-Equilibrium Simulator. An open-source Java toolkit for thermodynamic calculations and process simulation.” Asphaltene stability via CPA EoS.</w:t>
            </w:r>
          </w:p>
        </w:tc>
        <w:tc>
          <w:tcPr>
            <w:tcW w:type="dxa" w:w="567"/>
            <w:shd w:val="clear" w:color="auto" w:fill="F4F7F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[V]</w:t>
            </w:r>
          </w:p>
        </w:tc>
      </w:tr>
    </w:tbl>
    <w:p>
      <w:pPr>
        <w:spacing w:after="20"/>
      </w:pPr>
    </w:p>
    <w:p>
      <w:pPr>
        <w:pStyle w:val="Heading1"/>
      </w:pPr>
      <w:r>
        <w:t>Week-1 library checklist (close every [L] before the first rehearsal)</w:t>
      </w:r>
    </w:p>
    <w:p>
      <w:pPr>
        <w:pStyle w:val="ListBullet"/>
        <w:spacing w:after="40"/>
      </w:pPr>
      <w:r>
        <w:rPr>
          <w:sz w:val="17"/>
        </w:rPr>
        <w:t>Download SPE-994-PA (Haskett &amp; Tartera, 1965) from OnePetro; log page numbers for the two verbatim quotes (20–25 % WHP loss; “expensive and cumbersome”) and the deposit composition.</w:t>
      </w:r>
    </w:p>
    <w:p>
      <w:pPr>
        <w:pStyle w:val="ListBullet"/>
        <w:spacing w:after="40"/>
      </w:pPr>
      <w:r>
        <w:rPr>
          <w:sz w:val="17"/>
        </w:rPr>
        <w:t>Confirm the Fuel (2021) “Critical analysis of different techniques…” author list, volume/page, and DOI.</w:t>
      </w:r>
    </w:p>
    <w:p>
      <w:pPr>
        <w:pStyle w:val="ListBullet"/>
        <w:spacing w:after="40"/>
      </w:pPr>
      <w:r>
        <w:rPr>
          <w:sz w:val="17"/>
        </w:rPr>
        <w:t>ASTM editions — CLOSED for citation: D6560-22 / IP 143:21, D2007, D4124, D3279, D6703-19 confirmed. Only action left: note which editions your library physically holds.</w:t>
      </w:r>
    </w:p>
    <w:p>
      <w:pPr>
        <w:pStyle w:val="ListBullet"/>
        <w:spacing w:after="40"/>
      </w:pPr>
      <w:r>
        <w:rPr>
          <w:sz w:val="17"/>
        </w:rPr>
        <w:t>Verify Cenegy (2001) SPE number and wording on OnePetro — it is the origin of the inhibitor-cost ranges and the source of the attribution conflict flagged above.</w:t>
      </w:r>
    </w:p>
    <w:p>
      <w:pPr>
        <w:pStyle w:val="ListBullet"/>
        <w:spacing w:after="40"/>
      </w:pPr>
      <w:r>
        <w:rPr>
          <w:sz w:val="17"/>
        </w:rPr>
        <w:t>Confirm the department’s software licences (PVTsim / Multiflash / OLGA-or-PIPESIM) and NeqSim install (pip install neqsim) — this is action item, not a citation.</w:t>
      </w:r>
    </w:p>
    <w:p>
      <w:pPr>
        <w:pStyle w:val="Heading1"/>
      </w:pPr>
      <w:r>
        <w:t>How to use this sheet in the defence</w:t>
      </w:r>
    </w:p>
    <w:p>
      <w:pPr>
        <w:spacing w:after="80"/>
      </w:pPr>
      <w:r>
        <w:rPr>
          <w:b w:val="0"/>
          <w:i w:val="0"/>
          <w:sz w:val="18"/>
        </w:rPr>
        <w:t>Rule: never defend a number from memory alone — point to the line in this table. If a figure is challenged beyond the quote (e.g. “but which field?”), the honest answer is: “the review summarises it from Cenegy’s 2001 worldwide survey; the exact original wording is my Week-1 library task — I will send it to you.” That sentence is stronger than an improvised defence and it is exactly what a good researcher says.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7A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