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7377"/>
          <w:sz w:val="22"/>
        </w:rPr>
        <w:t>PROJECTOR &amp; ACCESSIBILITY PREFLIGHT</w:t>
      </w:r>
    </w:p>
    <w:p>
      <w:pPr>
        <w:jc w:val="center"/>
      </w:pPr>
      <w:r>
        <w:rPr>
          <w:b/>
          <w:color w:val="1B365D"/>
          <w:sz w:val="30"/>
        </w:rPr>
        <w:t>Asphaltenes deck — test before the room fills, not during the talk</w:t>
      </w:r>
    </w:p>
    <w:p>
      <w:pPr>
        <w:pStyle w:val="Heading1"/>
      </w:pPr>
      <w:r>
        <w:t>1.  The 20-minute preflight (arrive 30 minutes early)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474"/>
            <w:shd w:val="clear" w:color="auto" w:fill="1B365D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Step</w:t>
            </w:r>
          </w:p>
        </w:tc>
        <w:tc>
          <w:tcPr>
            <w:tcW w:type="dxa" w:w="4762"/>
            <w:shd w:val="clear" w:color="auto" w:fill="1B365D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Do this</w:t>
            </w:r>
          </w:p>
        </w:tc>
        <w:tc>
          <w:tcPr>
            <w:tcW w:type="dxa" w:w="3628"/>
            <w:shd w:val="clear" w:color="auto" w:fill="1B365D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Pass criterion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1 · Laptop check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Open the PPTX (not the PDF) and advance through all 25 slides once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Every slide renders; no missing images; fonts substituted cleanly</w:t>
            </w:r>
          </w:p>
        </w:tc>
      </w:tr>
      <w:tr>
        <w:tc>
          <w:tcPr>
            <w:tcW w:type="dxa" w:w="1474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2 · Projector check</w:t>
            </w:r>
          </w:p>
        </w:tc>
        <w:tc>
          <w:tcPr>
            <w:tcW w:type="dxa" w:w="4762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Duplicated display at native resolution; check the aspect ratio setting</w:t>
            </w:r>
          </w:p>
        </w:tc>
        <w:tc>
          <w:tcPr>
            <w:tcW w:type="dxa" w:w="3628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16:9 fills the screen with NO letterboxing bars top/bottom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3 · Brightness check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Close the blinds as they will be during your talk; look at slide 17 (table) and slide 13 (chart)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Table text legible; the orange AOP line is clearly orange, not muddy brown</w:t>
            </w:r>
          </w:p>
        </w:tc>
      </w:tr>
      <w:tr>
        <w:tc>
          <w:tcPr>
            <w:tcW w:type="dxa" w:w="1474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4 · 10-foot test</w:t>
            </w:r>
          </w:p>
        </w:tc>
        <w:tc>
          <w:tcPr>
            <w:tcW w:type="dxa" w:w="4762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Stand 3 m back and read: the action title, the axis labels, and the one number each of slides 3/4/10/13/17 exists for</w:t>
            </w:r>
          </w:p>
        </w:tc>
        <w:tc>
          <w:tcPr>
            <w:tcW w:type="dxa" w:w="3628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All legible without leaning in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5 · Colour check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Look at slides 3 and 4: can you distinguish teal (benign) from orange (danger) instantly?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Yes — if not, projector saturation is low: raise contrast or move closer to the screen</w:t>
            </w:r>
          </w:p>
        </w:tc>
      </w:tr>
      <w:tr>
        <w:tc>
          <w:tcPr>
            <w:tcW w:type="dxa" w:w="1474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6 · Animations</w:t>
            </w:r>
          </w:p>
        </w:tc>
        <w:tc>
          <w:tcPr>
            <w:tcW w:type="dxa" w:w="4762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Run the two builds (slide 9, slide 10) once each</w:t>
            </w:r>
          </w:p>
        </w:tc>
        <w:tc>
          <w:tcPr>
            <w:tcW w:type="dxa" w:w="3628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Reveal on click; nothing auto-plays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7 · Backup drill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Unplug HDMI; open the PDF from the USB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PDF opens full-screen; arrow keys advance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b w:val="0"/>
          <w:i/>
          <w:color w:val="B35A18"/>
          <w:sz w:val="19"/>
        </w:rPr>
        <w:t>If a projector cannot render the palette faithfully, the fallback is content-first: the deck survives in greyscale — titles are dark, boxes are bordered, the AOP line is dashed. Colour is reinforcement, never the only carrier of meaning.</w:t>
      </w:r>
    </w:p>
    <w:p>
      <w:pPr>
        <w:pStyle w:val="Heading1"/>
      </w:pPr>
      <w:r>
        <w:t>2.  Contrast audit (design-time, already satisfied)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494"/>
            <w:shd w:val="clear" w:color="auto" w:fill="1B365D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1474"/>
            <w:shd w:val="clear" w:color="auto" w:fill="1B365D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Foreground</w:t>
            </w:r>
          </w:p>
        </w:tc>
        <w:tc>
          <w:tcPr>
            <w:tcW w:type="dxa" w:w="1474"/>
            <w:shd w:val="clear" w:color="auto" w:fill="1B365D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Background</w:t>
            </w:r>
          </w:p>
        </w:tc>
        <w:tc>
          <w:tcPr>
            <w:tcW w:type="dxa" w:w="1247"/>
            <w:shd w:val="clear" w:color="auto" w:fill="1B365D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Ratio</w:t>
            </w:r>
          </w:p>
        </w:tc>
        <w:tc>
          <w:tcPr>
            <w:tcW w:type="dxa" w:w="3175"/>
            <w:shd w:val="clear" w:color="auto" w:fill="1B365D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WCAG AA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Body text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#1A1A1A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#FFFFFF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17.4:1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AAA (needs 7:1)</w:t>
            </w:r>
          </w:p>
        </w:tc>
      </w:tr>
      <w:tr>
        <w:tc>
          <w:tcPr>
            <w:tcW w:type="dxa" w:w="2494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Titles / table headers</w:t>
            </w:r>
          </w:p>
        </w:tc>
        <w:tc>
          <w:tcPr>
            <w:tcW w:type="dxa" w:w="1474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#1B365D</w:t>
            </w:r>
          </w:p>
        </w:tc>
        <w:tc>
          <w:tcPr>
            <w:tcW w:type="dxa" w:w="1474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#FFFFFF</w:t>
            </w:r>
          </w:p>
        </w:tc>
        <w:tc>
          <w:tcPr>
            <w:tcW w:type="dxa" w:w="1247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12.1:1</w:t>
            </w:r>
          </w:p>
        </w:tc>
        <w:tc>
          <w:tcPr>
            <w:tcW w:type="dxa" w:w="3175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AAA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Section labels (kicker)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#0D7377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#FFFFFF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5.3:1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AA (needs 4.5:1)</w:t>
            </w:r>
          </w:p>
        </w:tc>
      </w:tr>
      <w:tr>
        <w:tc>
          <w:tcPr>
            <w:tcW w:type="dxa" w:w="2494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Captions / footers</w:t>
            </w:r>
          </w:p>
        </w:tc>
        <w:tc>
          <w:tcPr>
            <w:tcW w:type="dxa" w:w="1474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#4A5568</w:t>
            </w:r>
          </w:p>
        </w:tc>
        <w:tc>
          <w:tcPr>
            <w:tcW w:type="dxa" w:w="1474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#FFFFFF</w:t>
            </w:r>
          </w:p>
        </w:tc>
        <w:tc>
          <w:tcPr>
            <w:tcW w:type="dxa" w:w="1247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7.6:1</w:t>
            </w:r>
          </w:p>
        </w:tc>
        <w:tc>
          <w:tcPr>
            <w:tcW w:type="dxa" w:w="3175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AAA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Small orange text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#B35A18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#FFFFFF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5.4:1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AA — darker shade used deliberately instead of #E07A3D</w:t>
            </w:r>
          </w:p>
        </w:tc>
      </w:tr>
      <w:tr>
        <w:tc>
          <w:tcPr>
            <w:tcW w:type="dxa" w:w="2494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Table header text</w:t>
            </w:r>
          </w:p>
        </w:tc>
        <w:tc>
          <w:tcPr>
            <w:tcW w:type="dxa" w:w="1474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#FFFFFF</w:t>
            </w:r>
          </w:p>
        </w:tc>
        <w:tc>
          <w:tcPr>
            <w:tcW w:type="dxa" w:w="1474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#1B365D</w:t>
            </w:r>
          </w:p>
        </w:tc>
        <w:tc>
          <w:tcPr>
            <w:tcW w:type="dxa" w:w="1247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12.1:1</w:t>
            </w:r>
          </w:p>
        </w:tc>
        <w:tc>
          <w:tcPr>
            <w:tcW w:type="dxa" w:w="3175"/>
            <w:shd w:val="clear" w:color="auto" w:fill="F4F7F9"/>
          </w:tcPr>
          <w:p>
            <w:pPr>
              <w:spacing w:after="20"/>
            </w:pPr>
            <w:r/>
            <w:r>
              <w:rPr>
                <w:rFonts w:ascii="Calibri" w:hAnsi="Calibri"/>
                <w:sz w:val="17"/>
              </w:rPr>
              <w:t>AAA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b w:val="0"/>
          <w:i w:val="0"/>
          <w:color w:val="4A5568"/>
          <w:sz w:val="19"/>
        </w:rPr>
        <w:t>Note on #E07A3D: it fails AA as small text (2.6:1) and passes as a graphic element. The deck therefore uses it only for lines, borders, icons and markers — and substitutes #B35A18 whenever orange must carry words.</w:t>
      </w:r>
    </w:p>
    <w:p>
      <w:pPr>
        <w:pStyle w:val="Heading1"/>
      </w:pPr>
      <w:r>
        <w:t>3.  Export record</w:t>
      </w:r>
    </w:p>
    <w:p>
      <w:pPr>
        <w:pStyle w:val="ListBullet"/>
        <w:spacing w:after="40"/>
      </w:pPr>
      <w:r>
        <w:rPr>
          <w:sz w:val="19"/>
        </w:rPr>
        <w:t>PDF proof: Asphaltene_Slides_23plus2.pdf — 25 pages, 960 x 540 pt (16:9), exported from the final PPTX build.</w:t>
      </w:r>
    </w:p>
    <w:p>
      <w:pPr>
        <w:pStyle w:val="ListBullet"/>
        <w:spacing w:after="40"/>
      </w:pPr>
      <w:r>
        <w:rPr>
          <w:sz w:val="19"/>
        </w:rPr>
        <w:t>Figures: 300 dpi PNGs in _build/figs/ — reuse in the thesis and the thesis defence without re-rendering.</w:t>
      </w:r>
    </w:p>
    <w:p>
      <w:pPr>
        <w:pStyle w:val="ListBullet"/>
        <w:spacing w:after="40"/>
      </w:pPr>
      <w:r>
        <w:rPr>
          <w:sz w:val="19"/>
        </w:rPr>
        <w:t>Embedded fonts: Calibri throughout (universally available on Windows/Office). If you reconfigure the build, avoid rare fonts.</w:t>
      </w:r>
    </w:p>
    <w:p>
      <w:pPr>
        <w:pStyle w:val="ListBullet"/>
        <w:spacing w:after="40"/>
      </w:pPr>
      <w:r>
        <w:rPr>
          <w:sz w:val="19"/>
        </w:rPr>
        <w:t>Open and test on the ACTUAL lecture-hall machine if you can get 10 minutes with it — projector colour rendition varies more than laptop screens.</w:t>
      </w:r>
    </w:p>
    <w:sectPr w:rsidR="00FC693F" w:rsidRPr="0006063C" w:rsidSect="00034616">
      <w:footerReference w:type="default" r:id="rId9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5568"/>
        <w:sz w:val="16"/>
      </w:rPr>
      <w:t>Projector &amp; Accessibility Preflight — Asphaltenes seminar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1B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0D737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