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7A84"/>
          <w:sz w:val="22"/>
        </w:rPr>
        <w:t>TECHNICAL ACCURACY CROSS-CHECK &amp; RISK REGISTER</w:t>
      </w:r>
    </w:p>
    <w:p>
      <w:pPr>
        <w:jc w:val="center"/>
      </w:pPr>
      <w:r>
        <w:rPr>
          <w:b/>
          <w:color w:val="102A43"/>
          <w:sz w:val="30"/>
        </w:rPr>
        <w:t>Asphaltenes: Predicting and Preventing Wellbore Plugging</w:t>
      </w:r>
    </w:p>
    <w:p>
      <w:pPr>
        <w:jc w:val="center"/>
      </w:pPr>
      <w:r>
        <w:rPr>
          <w:i/>
          <w:color w:val="5A6672"/>
          <w:sz w:val="18"/>
        </w:rPr>
        <w:t>Companion to 04_Source_Log.docx. Part A re-checks every load-bearing technical claim against the original paper; Part B lists what was changed as a result; Parts C–E are the risk, sensitivity and HSE/ethics records.</w:t>
      </w:r>
    </w:p>
    <w:p>
      <w:pPr>
        <w:spacing w:after="120"/>
      </w:pPr>
      <w:r>
        <w:rPr>
          <w:b w:val="0"/>
          <w:i/>
          <w:color w:val="A86B00"/>
          <w:sz w:val="16"/>
        </w:rPr>
        <w:t>Verdict key:   CONFIRMED = the claim as stated in the pack is supported by the original source.   REFINED = supported but imprecise as first written; wording tightened.   CORRECTED = the pack said something the original source does not support; wording replaced.</w:t>
      </w:r>
    </w:p>
    <w:p>
      <w:pPr>
        <w:pStyle w:val="Heading1"/>
      </w:pPr>
      <w:r>
        <w:t>Part A — Verification register (claim → verdict → evidence → action)</w:t>
      </w:r>
    </w:p>
    <w:tbl>
      <w:tblPr>
        <w:tblStyle w:val="TableGrid"/>
        <w:tblW w:type="auto" w:w="0"/>
        <w:jc w:val="center"/>
        <w:tblLook w:firstColumn="1" w:firstRow="1" w:lastColumn="0" w:lastRow="0" w:noHBand="0" w:noVBand="1" w:val="04A0"/>
      </w:tblPr>
      <w:tblGrid>
        <w:gridCol w:w="2130"/>
        <w:gridCol w:w="2130"/>
        <w:gridCol w:w="2130"/>
        <w:gridCol w:w="2130"/>
        <w:gridCol w:w="2130"/>
      </w:tblGrid>
      <w:tr>
        <w:tc>
          <w:tcPr>
            <w:tcW w:type="dxa" w:w="538"/>
            <w:shd w:val="clear" w:color="auto" w:fill="102A43"/>
          </w:tcPr>
          <w:p>
            <w:pPr>
              <w:spacing w:after="20" w:line="240" w:lineRule="auto"/>
            </w:pPr>
            <w:r/>
            <w:r>
              <w:rPr>
                <w:rFonts w:ascii="Calibri" w:hAnsi="Calibri"/>
                <w:b/>
                <w:color w:val="FFFFFF"/>
                <w:sz w:val="14"/>
              </w:rPr>
              <w:t>#</w:t>
            </w:r>
          </w:p>
        </w:tc>
        <w:tc>
          <w:tcPr>
            <w:tcW w:type="dxa" w:w="2473"/>
            <w:shd w:val="clear" w:color="auto" w:fill="102A43"/>
          </w:tcPr>
          <w:p>
            <w:pPr>
              <w:spacing w:after="20" w:line="240" w:lineRule="auto"/>
            </w:pPr>
            <w:r/>
            <w:r>
              <w:rPr>
                <w:rFonts w:ascii="Calibri" w:hAnsi="Calibri"/>
                <w:b/>
                <w:color w:val="FFFFFF"/>
                <w:sz w:val="14"/>
              </w:rPr>
              <w:t>Claim in the pack</w:t>
            </w:r>
          </w:p>
        </w:tc>
        <w:tc>
          <w:tcPr>
            <w:tcW w:type="dxa" w:w="1022"/>
            <w:shd w:val="clear" w:color="auto" w:fill="102A43"/>
          </w:tcPr>
          <w:p>
            <w:pPr>
              <w:spacing w:after="20" w:line="240" w:lineRule="auto"/>
            </w:pPr>
            <w:r/>
            <w:r>
              <w:rPr>
                <w:rFonts w:ascii="Calibri" w:hAnsi="Calibri"/>
                <w:b/>
                <w:color w:val="FFFFFF"/>
                <w:sz w:val="14"/>
              </w:rPr>
              <w:t>Verdict</w:t>
            </w:r>
          </w:p>
        </w:tc>
        <w:tc>
          <w:tcPr>
            <w:tcW w:type="dxa" w:w="4087"/>
            <w:shd w:val="clear" w:color="auto" w:fill="102A43"/>
          </w:tcPr>
          <w:p>
            <w:pPr>
              <w:spacing w:after="20" w:line="240" w:lineRule="auto"/>
            </w:pPr>
            <w:r/>
            <w:r>
              <w:rPr>
                <w:rFonts w:ascii="Calibri" w:hAnsi="Calibri"/>
                <w:b/>
                <w:color w:val="FFFFFF"/>
                <w:sz w:val="14"/>
              </w:rPr>
              <w:t>Evidence from the original source</w:t>
            </w:r>
          </w:p>
        </w:tc>
        <w:tc>
          <w:tcPr>
            <w:tcW w:type="dxa" w:w="2312"/>
            <w:shd w:val="clear" w:color="auto" w:fill="102A43"/>
          </w:tcPr>
          <w:p>
            <w:pPr>
              <w:spacing w:after="20" w:line="240" w:lineRule="auto"/>
            </w:pPr>
            <w:r/>
            <w:r>
              <w:rPr>
                <w:rFonts w:ascii="Calibri" w:hAnsi="Calibri"/>
                <w:b/>
                <w:color w:val="FFFFFF"/>
                <w:sz w:val="14"/>
              </w:rPr>
              <w:t>Action taken</w:t>
            </w:r>
          </w:p>
        </w:tc>
      </w:tr>
      <w:tr>
        <w:tc>
          <w:tcPr>
            <w:tcW w:type="dxa" w:w="538"/>
          </w:tcPr>
          <w:p>
            <w:pPr>
              <w:spacing w:after="20" w:line="240" w:lineRule="auto"/>
            </w:pPr>
            <w:r/>
            <w:r>
              <w:rPr>
                <w:rFonts w:ascii="Calibri" w:hAnsi="Calibri"/>
                <w:sz w:val="14"/>
              </w:rPr>
              <w:t>A1</w:t>
            </w:r>
          </w:p>
        </w:tc>
        <w:tc>
          <w:tcPr>
            <w:tcW w:type="dxa" w:w="2473"/>
          </w:tcPr>
          <w:p>
            <w:pPr>
              <w:spacing w:after="20" w:line="240" w:lineRule="auto"/>
            </w:pPr>
            <w:r/>
            <w:r>
              <w:rPr>
                <w:rFonts w:ascii="Calibri" w:hAnsi="Calibri"/>
                <w:sz w:val="14"/>
              </w:rPr>
              <w:t>CII = (Saturates + Asphaltenes) / (Resins + Aromatics); ≥ 0.9 unstable, 0.7–0.9 uncertain, &lt; 0.7 stable [slide 7, Q5]</w:t>
            </w:r>
          </w:p>
        </w:tc>
        <w:tc>
          <w:tcPr>
            <w:tcW w:type="dxa" w:w="1022"/>
          </w:tcPr>
          <w:p>
            <w:pPr>
              <w:spacing w:after="20" w:line="240" w:lineRule="auto"/>
            </w:pPr>
            <w:r/>
            <w:r>
              <w:rPr>
                <w:rFonts w:ascii="Calibri" w:hAnsi="Calibri"/>
                <w:sz w:val="14"/>
              </w:rPr>
              <w:t>CONFIRMED</w:t>
            </w:r>
          </w:p>
        </w:tc>
        <w:tc>
          <w:tcPr>
            <w:tcW w:type="dxa" w:w="4087"/>
          </w:tcPr>
          <w:p>
            <w:pPr>
              <w:spacing w:after="20" w:line="240" w:lineRule="auto"/>
            </w:pPr>
            <w:r/>
            <w:r>
              <w:rPr>
                <w:rFonts w:ascii="Calibri" w:hAnsi="Calibri"/>
                <w:sz w:val="14"/>
              </w:rPr>
              <w:t>Formula and threshold scale reproduced identically across the indexing literature, e.g. “the sum of asphaltene and saturates (flocculants) divided by the sum of aromatics and resins (peptizers)”; “if CII ≥ 0.9 … unstable; 0.7 ≤ CII ≤ 0.9 … uncertain; CII ≤ 0.7 … stable.” Origin credited to Yen et al.; thresholds from Asomaning (2003).</w:t>
            </w:r>
          </w:p>
        </w:tc>
        <w:tc>
          <w:tcPr>
            <w:tcW w:type="dxa" w:w="2312"/>
          </w:tcPr>
          <w:p>
            <w:pPr>
              <w:spacing w:after="20" w:line="240" w:lineRule="auto"/>
            </w:pPr>
            <w:r/>
            <w:r>
              <w:rPr>
                <w:rFonts w:ascii="Calibri" w:hAnsi="Calibri"/>
                <w:sz w:val="14"/>
              </w:rPr>
              <w:t>Slide 7 now names the origin: “CII [5] (Yen et al.; thresholds after Asomaning)”. Caveat retained.</w:t>
            </w:r>
          </w:p>
        </w:tc>
      </w:tr>
      <w:tr>
        <w:tc>
          <w:tcPr>
            <w:tcW w:type="dxa" w:w="538"/>
            <w:shd w:val="clear" w:color="auto" w:fill="F4F7F9"/>
          </w:tcPr>
          <w:p>
            <w:pPr>
              <w:spacing w:after="20" w:line="240" w:lineRule="auto"/>
            </w:pPr>
            <w:r/>
            <w:r>
              <w:rPr>
                <w:rFonts w:ascii="Calibri" w:hAnsi="Calibri"/>
                <w:sz w:val="14"/>
              </w:rPr>
              <w:t>A2</w:t>
            </w:r>
          </w:p>
        </w:tc>
        <w:tc>
          <w:tcPr>
            <w:tcW w:type="dxa" w:w="2473"/>
            <w:shd w:val="clear" w:color="auto" w:fill="F4F7F9"/>
          </w:tcPr>
          <w:p>
            <w:pPr>
              <w:spacing w:after="20" w:line="240" w:lineRule="auto"/>
            </w:pPr>
            <w:r/>
            <w:r>
              <w:rPr>
                <w:rFonts w:ascii="Calibri" w:hAnsi="Calibri"/>
                <w:sz w:val="14"/>
              </w:rPr>
              <w:t>CII thresholds are laboratory-specific and CII alone is not a verdict [slide 7 notes, Q5, Q22]</w:t>
            </w:r>
          </w:p>
        </w:tc>
        <w:tc>
          <w:tcPr>
            <w:tcW w:type="dxa" w:w="1022"/>
            <w:shd w:val="clear" w:color="auto" w:fill="F4F7F9"/>
          </w:tcPr>
          <w:p>
            <w:pPr>
              <w:spacing w:after="20" w:line="240" w:lineRule="auto"/>
            </w:pPr>
            <w:r/>
            <w:r>
              <w:rPr>
                <w:rFonts w:ascii="Calibri" w:hAnsi="Calibri"/>
                <w:sz w:val="14"/>
              </w:rPr>
              <w:t>CONFIRMED</w:t>
            </w:r>
          </w:p>
        </w:tc>
        <w:tc>
          <w:tcPr>
            <w:tcW w:type="dxa" w:w="4087"/>
            <w:shd w:val="clear" w:color="auto" w:fill="F4F7F9"/>
          </w:tcPr>
          <w:p>
            <w:pPr>
              <w:spacing w:after="20" w:line="240" w:lineRule="auto"/>
            </w:pPr>
            <w:r/>
            <w:r>
              <w:rPr>
                <w:rFonts w:ascii="Calibri" w:hAnsi="Calibri"/>
                <w:sz w:val="14"/>
              </w:rPr>
              <w:t>Asomaning’s evaluation was based on oils characterised by two different SARA routes (liquid chromatography ASTM D2007 and IP 143), and later work (ACS Omega 2020) found CII thresholds “greatly differ from real field results” for some crudes. A widely-cited textbook variant even uses CII &gt; 1 as the flag — the scale is not universal.</w:t>
            </w:r>
          </w:p>
        </w:tc>
        <w:tc>
          <w:tcPr>
            <w:tcW w:type="dxa" w:w="2312"/>
            <w:shd w:val="clear" w:color="auto" w:fill="F4F7F9"/>
          </w:tcPr>
          <w:p>
            <w:pPr>
              <w:spacing w:after="20" w:line="240" w:lineRule="auto"/>
            </w:pPr>
            <w:r/>
            <w:r>
              <w:rPr>
                <w:rFonts w:ascii="Calibri" w:hAnsi="Calibri"/>
                <w:sz w:val="14"/>
              </w:rPr>
              <w:t>Kept as a stated caveat on slide 7. CII is presented as ONE of three screens, never as a pass/fail.</w:t>
            </w:r>
          </w:p>
        </w:tc>
      </w:tr>
      <w:tr>
        <w:tc>
          <w:tcPr>
            <w:tcW w:type="dxa" w:w="538"/>
          </w:tcPr>
          <w:p>
            <w:pPr>
              <w:spacing w:after="20" w:line="240" w:lineRule="auto"/>
            </w:pPr>
            <w:r/>
            <w:r>
              <w:rPr>
                <w:rFonts w:ascii="Calibri" w:hAnsi="Calibri"/>
                <w:sz w:val="14"/>
              </w:rPr>
              <w:t>A3</w:t>
            </w:r>
          </w:p>
        </w:tc>
        <w:tc>
          <w:tcPr>
            <w:tcW w:type="dxa" w:w="2473"/>
          </w:tcPr>
          <w:p>
            <w:pPr>
              <w:spacing w:after="20" w:line="240" w:lineRule="auto"/>
            </w:pPr>
            <w:r/>
            <w:r>
              <w:rPr>
                <w:rFonts w:ascii="Calibri" w:hAnsi="Calibri"/>
                <w:sz w:val="14"/>
              </w:rPr>
              <w:t>“De Boer screening: plot AOP against bubble point …” [backup slide 24] and “if the onset is above the bubble point, expect problems — that is the de Boer criterion” [slide 10 script]</w:t>
            </w:r>
          </w:p>
        </w:tc>
        <w:tc>
          <w:tcPr>
            <w:tcW w:type="dxa" w:w="1022"/>
          </w:tcPr>
          <w:p>
            <w:pPr>
              <w:spacing w:after="20" w:line="240" w:lineRule="auto"/>
            </w:pPr>
            <w:r/>
            <w:r>
              <w:rPr>
                <w:rFonts w:ascii="Calibri" w:hAnsi="Calibri"/>
                <w:sz w:val="14"/>
              </w:rPr>
              <w:t>CORRECTED</w:t>
            </w:r>
          </w:p>
        </w:tc>
        <w:tc>
          <w:tcPr>
            <w:tcW w:type="dxa" w:w="4087"/>
          </w:tcPr>
          <w:p>
            <w:pPr>
              <w:spacing w:after="20" w:line="240" w:lineRule="auto"/>
            </w:pPr>
            <w:r/>
            <w:r>
              <w:rPr>
                <w:rFonts w:ascii="Calibri" w:hAnsi="Calibri"/>
                <w:sz w:val="14"/>
              </w:rPr>
              <w:t>The de Boer plot is a cross-plot of IN-SITU OIL DENSITY (x) against the DEGREE OF GAS UNDER-SATURATION, i.e. (reservoir pressure − bubble-point pressure) (y), with three risk zones (severe / moderate / minimal). de Boer et al. (1995) conclude that risk is greatest for LIGHT, gas-undersaturated crudes with low asphaltene content. It is not an AOP-versus-Pb cross-plot.</w:t>
            </w:r>
          </w:p>
        </w:tc>
        <w:tc>
          <w:tcPr>
            <w:tcW w:type="dxa" w:w="2312"/>
          </w:tcPr>
          <w:p>
            <w:pPr>
              <w:spacing w:after="20" w:line="240" w:lineRule="auto"/>
            </w:pPr>
            <w:r/>
            <w:r>
              <w:rPr>
                <w:rFonts w:ascii="Calibri" w:hAnsi="Calibri"/>
                <w:sz w:val="14"/>
              </w:rPr>
              <w:t>Slide 10, the script, backup slide 24 and Q6 rewritten. The AOP-above-Pb observation is retained as a separate envelope fact — not attributed to the de Boer plot.</w:t>
            </w:r>
          </w:p>
        </w:tc>
      </w:tr>
      <w:tr>
        <w:tc>
          <w:tcPr>
            <w:tcW w:type="dxa" w:w="538"/>
            <w:shd w:val="clear" w:color="auto" w:fill="F4F7F9"/>
          </w:tcPr>
          <w:p>
            <w:pPr>
              <w:spacing w:after="20" w:line="240" w:lineRule="auto"/>
            </w:pPr>
            <w:r/>
            <w:r>
              <w:rPr>
                <w:rFonts w:ascii="Calibri" w:hAnsi="Calibri"/>
                <w:sz w:val="14"/>
              </w:rPr>
              <w:t>A4</w:t>
            </w:r>
          </w:p>
        </w:tc>
        <w:tc>
          <w:tcPr>
            <w:tcW w:type="dxa" w:w="2473"/>
            <w:shd w:val="clear" w:color="auto" w:fill="F4F7F9"/>
          </w:tcPr>
          <w:p>
            <w:pPr>
              <w:spacing w:after="20" w:line="240" w:lineRule="auto"/>
            </w:pPr>
            <w:r/>
            <w:r>
              <w:rPr>
                <w:rFonts w:ascii="Calibri" w:hAnsi="Calibri"/>
                <w:sz w:val="14"/>
              </w:rPr>
              <w:t>Precipitation increases as pressure falls and peaks near the bubble point; below Pb some asphaltenes re-dissolve [slide 10 bullet, Q9]</w:t>
            </w:r>
          </w:p>
        </w:tc>
        <w:tc>
          <w:tcPr>
            <w:tcW w:type="dxa" w:w="1022"/>
            <w:shd w:val="clear" w:color="auto" w:fill="F4F7F9"/>
          </w:tcPr>
          <w:p>
            <w:pPr>
              <w:spacing w:after="20" w:line="240" w:lineRule="auto"/>
            </w:pPr>
            <w:r/>
            <w:r>
              <w:rPr>
                <w:rFonts w:ascii="Calibri" w:hAnsi="Calibri"/>
                <w:sz w:val="14"/>
              </w:rPr>
              <w:t>CONFIRMED</w:t>
            </w:r>
          </w:p>
        </w:tc>
        <w:tc>
          <w:tcPr>
            <w:tcW w:type="dxa" w:w="4087"/>
            <w:shd w:val="clear" w:color="auto" w:fill="F4F7F9"/>
          </w:tcPr>
          <w:p>
            <w:pPr>
              <w:spacing w:after="20" w:line="240" w:lineRule="auto"/>
            </w:pPr>
            <w:r/>
            <w:r>
              <w:rPr>
                <w:rFonts w:ascii="Calibri" w:hAnsi="Calibri"/>
                <w:sz w:val="14"/>
              </w:rPr>
              <w:t>“As pressure decreases below the onset precipitation pressure, the amount of asphaltene precipitation increases and reaches its maximum value when pressure approaches the bubble point pressure.” “As pressure declines below the saturation pressure … already precipitated asphaltenes dissolve back … because of a shift in asphaltene solubility in the denser oil (de Boer et al. 1995).”</w:t>
            </w:r>
          </w:p>
        </w:tc>
        <w:tc>
          <w:tcPr>
            <w:tcW w:type="dxa" w:w="2312"/>
            <w:shd w:val="clear" w:color="auto" w:fill="F4F7F9"/>
          </w:tcPr>
          <w:p>
            <w:pPr>
              <w:spacing w:after="20" w:line="240" w:lineRule="auto"/>
            </w:pPr>
            <w:r/>
            <w:r>
              <w:rPr>
                <w:rFonts w:ascii="Calibri" w:hAnsi="Calibri"/>
                <w:sz w:val="14"/>
              </w:rPr>
              <w:t>Kept; this is the correct home for the AOP/Pb discussion now that A3 is fixed.</w:t>
            </w:r>
          </w:p>
        </w:tc>
      </w:tr>
      <w:tr>
        <w:tc>
          <w:tcPr>
            <w:tcW w:type="dxa" w:w="538"/>
          </w:tcPr>
          <w:p>
            <w:pPr>
              <w:spacing w:after="20" w:line="240" w:lineRule="auto"/>
            </w:pPr>
            <w:r/>
            <w:r>
              <w:rPr>
                <w:rFonts w:ascii="Calibri" w:hAnsi="Calibri"/>
                <w:sz w:val="14"/>
              </w:rPr>
              <w:t>A5</w:t>
            </w:r>
          </w:p>
        </w:tc>
        <w:tc>
          <w:tcPr>
            <w:tcW w:type="dxa" w:w="2473"/>
          </w:tcPr>
          <w:p>
            <w:pPr>
              <w:spacing w:after="20" w:line="240" w:lineRule="auto"/>
            </w:pPr>
            <w:r/>
            <w:r>
              <w:rPr>
                <w:rFonts w:ascii="Calibri" w:hAnsi="Calibri"/>
                <w:sz w:val="14"/>
              </w:rPr>
              <w:t>Onset sits “100–200 bar above the bubble point” [slide 10 script]</w:t>
            </w:r>
          </w:p>
        </w:tc>
        <w:tc>
          <w:tcPr>
            <w:tcW w:type="dxa" w:w="1022"/>
          </w:tcPr>
          <w:p>
            <w:pPr>
              <w:spacing w:after="20" w:line="240" w:lineRule="auto"/>
            </w:pPr>
            <w:r/>
            <w:r>
              <w:rPr>
                <w:rFonts w:ascii="Calibri" w:hAnsi="Calibri"/>
                <w:sz w:val="14"/>
              </w:rPr>
              <w:t>REFINED</w:t>
            </w:r>
          </w:p>
        </w:tc>
        <w:tc>
          <w:tcPr>
            <w:tcW w:type="dxa" w:w="4087"/>
          </w:tcPr>
          <w:p>
            <w:pPr>
              <w:spacing w:after="20" w:line="240" w:lineRule="auto"/>
            </w:pPr>
            <w:r/>
            <w:r>
              <w:rPr>
                <w:rFonts w:ascii="Calibri" w:hAnsi="Calibri"/>
                <w:sz w:val="14"/>
              </w:rPr>
              <w:t>Published instability windows range from a few hundred bar to several thousand psi depending on the fluid (“some oils have an instability window of several thousand psi”; “region of instability 2,600–3,800 psi”). A single 100–200 bar figure is not defensible as a general statement.</w:t>
            </w:r>
          </w:p>
        </w:tc>
        <w:tc>
          <w:tcPr>
            <w:tcW w:type="dxa" w:w="2312"/>
          </w:tcPr>
          <w:p>
            <w:pPr>
              <w:spacing w:after="20" w:line="240" w:lineRule="auto"/>
            </w:pPr>
            <w:r/>
            <w:r>
              <w:rPr>
                <w:rFonts w:ascii="Calibri" w:hAnsi="Calibri"/>
                <w:sz w:val="14"/>
              </w:rPr>
              <w:t>Script now says the upper onset lies above Pb “by hundreds of bar or more, several thousand psi in severe oils — fluid-specific, and the thesis measures it for the case fluid.”</w:t>
            </w:r>
          </w:p>
        </w:tc>
      </w:tr>
      <w:tr>
        <w:tc>
          <w:tcPr>
            <w:tcW w:type="dxa" w:w="538"/>
            <w:shd w:val="clear" w:color="auto" w:fill="F4F7F9"/>
          </w:tcPr>
          <w:p>
            <w:pPr>
              <w:spacing w:after="20" w:line="240" w:lineRule="auto"/>
            </w:pPr>
            <w:r/>
            <w:r>
              <w:rPr>
                <w:rFonts w:ascii="Calibri" w:hAnsi="Calibri"/>
                <w:sz w:val="14"/>
              </w:rPr>
              <w:t>A6</w:t>
            </w:r>
          </w:p>
        </w:tc>
        <w:tc>
          <w:tcPr>
            <w:tcW w:type="dxa" w:w="2473"/>
            <w:shd w:val="clear" w:color="auto" w:fill="F4F7F9"/>
          </w:tcPr>
          <w:p>
            <w:pPr>
              <w:spacing w:after="20" w:line="240" w:lineRule="auto"/>
            </w:pPr>
            <w:r/>
            <w:r>
              <w:rPr>
                <w:rFonts w:ascii="Calibri" w:hAnsi="Calibri"/>
                <w:sz w:val="14"/>
              </w:rPr>
              <w:t>Asphaltenes are quantified by ASTM D6560 / IP 143 (n-heptane insolubles) [slide 3, Q1, ref [12]]</w:t>
            </w:r>
          </w:p>
        </w:tc>
        <w:tc>
          <w:tcPr>
            <w:tcW w:type="dxa" w:w="1022"/>
            <w:shd w:val="clear" w:color="auto" w:fill="F4F7F9"/>
          </w:tcPr>
          <w:p>
            <w:pPr>
              <w:spacing w:after="20" w:line="240" w:lineRule="auto"/>
            </w:pPr>
            <w:r/>
            <w:r>
              <w:rPr>
                <w:rFonts w:ascii="Calibri" w:hAnsi="Calibri"/>
                <w:sz w:val="14"/>
              </w:rPr>
              <w:t>CONFIRMED</w:t>
            </w:r>
          </w:p>
        </w:tc>
        <w:tc>
          <w:tcPr>
            <w:tcW w:type="dxa" w:w="4087"/>
            <w:shd w:val="clear" w:color="auto" w:fill="F4F7F9"/>
          </w:tcPr>
          <w:p>
            <w:pPr>
              <w:spacing w:after="20" w:line="240" w:lineRule="auto"/>
            </w:pPr>
            <w:r/>
            <w:r>
              <w:rPr>
                <w:rFonts w:ascii="Calibri" w:hAnsi="Calibri"/>
                <w:sz w:val="14"/>
              </w:rPr>
              <w:t>ASTM D6560 / IP 143/21, “Determination of Asphaltenes (Heptane Insolubles) in Crude Petroleum and Petroleum Products”; current edition D6560-22, precision applicable 0.50–30.0 % m/m. Definition in the standard: “soluble in a specified aromatic solvent but separates upon addition of an excess of a specified paraffinic solvent” — hot toluene and heptane.</w:t>
            </w:r>
          </w:p>
        </w:tc>
        <w:tc>
          <w:tcPr>
            <w:tcW w:type="dxa" w:w="2312"/>
            <w:shd w:val="clear" w:color="auto" w:fill="F4F7F9"/>
          </w:tcPr>
          <w:p>
            <w:pPr>
              <w:spacing w:after="20" w:line="240" w:lineRule="auto"/>
            </w:pPr>
            <w:r/>
            <w:r>
              <w:rPr>
                <w:rFonts w:ascii="Calibri" w:hAnsi="Calibri"/>
                <w:sz w:val="14"/>
              </w:rPr>
              <w:t>Reference line updated to “ASTM D6560-22 / IP 143:21”. Note added: the standard itself records that benzene was dropped for health reasons — an HSE point that supports the ethics line.</w:t>
            </w:r>
          </w:p>
        </w:tc>
      </w:tr>
      <w:tr>
        <w:tc>
          <w:tcPr>
            <w:tcW w:type="dxa" w:w="538"/>
          </w:tcPr>
          <w:p>
            <w:pPr>
              <w:spacing w:after="20" w:line="240" w:lineRule="auto"/>
            </w:pPr>
            <w:r/>
            <w:r>
              <w:rPr>
                <w:rFonts w:ascii="Calibri" w:hAnsi="Calibri"/>
                <w:sz w:val="14"/>
              </w:rPr>
              <w:t>A7</w:t>
            </w:r>
          </w:p>
        </w:tc>
        <w:tc>
          <w:tcPr>
            <w:tcW w:type="dxa" w:w="2473"/>
          </w:tcPr>
          <w:p>
            <w:pPr>
              <w:spacing w:after="20" w:line="240" w:lineRule="auto"/>
            </w:pPr>
            <w:r/>
            <w:r>
              <w:rPr>
                <w:rFonts w:ascii="Calibri" w:hAnsi="Calibri"/>
                <w:sz w:val="14"/>
              </w:rPr>
              <w:t>“ASTM D6703 (standard test for asphaltene precipitation)” — previously listed as unverified [ref [12], source log]</w:t>
            </w:r>
          </w:p>
        </w:tc>
        <w:tc>
          <w:tcPr>
            <w:tcW w:type="dxa" w:w="1022"/>
          </w:tcPr>
          <w:p>
            <w:pPr>
              <w:spacing w:after="20" w:line="240" w:lineRule="auto"/>
            </w:pPr>
            <w:r/>
            <w:r>
              <w:rPr>
                <w:rFonts w:ascii="Calibri" w:hAnsi="Calibri"/>
                <w:sz w:val="14"/>
              </w:rPr>
              <w:t>CORRECTED</w:t>
            </w:r>
          </w:p>
        </w:tc>
        <w:tc>
          <w:tcPr>
            <w:tcW w:type="dxa" w:w="4087"/>
          </w:tcPr>
          <w:p>
            <w:pPr>
              <w:spacing w:after="20" w:line="240" w:lineRule="auto"/>
            </w:pPr>
            <w:r/>
            <w:r>
              <w:rPr>
                <w:rFonts w:ascii="Calibri" w:hAnsi="Calibri"/>
                <w:sz w:val="14"/>
              </w:rPr>
              <w:t>D6703 is titled “Standard Test Method for Automated Heithaus Titrimetry” (D6703-19). It is an asphaltene/resin stability titration, not a general asphaltene-precipitation test. The relevant SARA/insolubles standards are D6560 (IP 143), D2007 (clay-gel), D4124 (separation into four fractions) and D3279 (n-heptane insolubles).</w:t>
            </w:r>
          </w:p>
        </w:tc>
        <w:tc>
          <w:tcPr>
            <w:tcW w:type="dxa" w:w="2312"/>
          </w:tcPr>
          <w:p>
            <w:pPr>
              <w:spacing w:after="20" w:line="240" w:lineRule="auto"/>
            </w:pPr>
            <w:r/>
            <w:r>
              <w:rPr>
                <w:rFonts w:ascii="Calibri" w:hAnsi="Calibri"/>
                <w:sz w:val="14"/>
              </w:rPr>
              <w:t>Reference line rewritten with correct titles and editions; the open library item from the source log is closed.</w:t>
            </w:r>
          </w:p>
        </w:tc>
      </w:tr>
      <w:tr>
        <w:tc>
          <w:tcPr>
            <w:tcW w:type="dxa" w:w="538"/>
            <w:shd w:val="clear" w:color="auto" w:fill="F4F7F9"/>
          </w:tcPr>
          <w:p>
            <w:pPr>
              <w:spacing w:after="20" w:line="240" w:lineRule="auto"/>
            </w:pPr>
            <w:r/>
            <w:r>
              <w:rPr>
                <w:rFonts w:ascii="Calibri" w:hAnsi="Calibri"/>
                <w:sz w:val="14"/>
              </w:rPr>
              <w:t>A8</w:t>
            </w:r>
          </w:p>
        </w:tc>
        <w:tc>
          <w:tcPr>
            <w:tcW w:type="dxa" w:w="2473"/>
            <w:shd w:val="clear" w:color="auto" w:fill="F4F7F9"/>
          </w:tcPr>
          <w:p>
            <w:pPr>
              <w:spacing w:after="20" w:line="240" w:lineRule="auto"/>
            </w:pPr>
            <w:r/>
            <w:r>
              <w:rPr>
                <w:rFonts w:ascii="Calibri" w:hAnsi="Calibri"/>
                <w:sz w:val="14"/>
              </w:rPr>
              <w:t>Asphaltenes exist as nano-aggregates stabilised by resins/aromatics [slide 3, ref [11]]</w:t>
            </w:r>
          </w:p>
        </w:tc>
        <w:tc>
          <w:tcPr>
            <w:tcW w:type="dxa" w:w="1022"/>
            <w:shd w:val="clear" w:color="auto" w:fill="F4F7F9"/>
          </w:tcPr>
          <w:p>
            <w:pPr>
              <w:spacing w:after="20" w:line="240" w:lineRule="auto"/>
            </w:pPr>
            <w:r/>
            <w:r>
              <w:rPr>
                <w:rFonts w:ascii="Calibri" w:hAnsi="Calibri"/>
                <w:sz w:val="14"/>
              </w:rPr>
              <w:t>CONFIRMED</w:t>
            </w:r>
          </w:p>
        </w:tc>
        <w:tc>
          <w:tcPr>
            <w:tcW w:type="dxa" w:w="4087"/>
            <w:shd w:val="clear" w:color="auto" w:fill="F4F7F9"/>
          </w:tcPr>
          <w:p>
            <w:pPr>
              <w:spacing w:after="20" w:line="240" w:lineRule="auto"/>
            </w:pPr>
            <w:r/>
            <w:r>
              <w:rPr>
                <w:rFonts w:ascii="Calibri" w:hAnsi="Calibri"/>
                <w:sz w:val="14"/>
              </w:rPr>
              <w:t>Yen–Mullins (modified Yen) model: most probable molecular weight ≈ 750 g/mol, island architecture dominant; molecules form nanoaggregates (aggregation number &lt; 10, ≈ 6, size ≈ 2 nm); nanoaggregates form clusters (≈ 8, ≈ 5 nm). Mullins, Energy &amp; Fuels 2010, 24(4), 2179–2207; reviewed in Mullins et al., Energy &amp; Fuels 2012, doi:10.1021/ef300185p.</w:t>
            </w:r>
          </w:p>
        </w:tc>
        <w:tc>
          <w:tcPr>
            <w:tcW w:type="dxa" w:w="2312"/>
            <w:shd w:val="clear" w:color="auto" w:fill="F4F7F9"/>
          </w:tcPr>
          <w:p>
            <w:pPr>
              <w:spacing w:after="20" w:line="240" w:lineRule="auto"/>
            </w:pPr>
            <w:r/>
            <w:r>
              <w:rPr>
                <w:rFonts w:ascii="Calibri" w:hAnsi="Calibri"/>
                <w:sz w:val="14"/>
              </w:rPr>
              <w:t>Refs [11] extended; slide 3 wording aligned (“nano-aggregates ≈ 2 nm”). Debate note added to the risk register (island vs archipelago is still open).</w:t>
            </w:r>
          </w:p>
        </w:tc>
      </w:tr>
      <w:tr>
        <w:tc>
          <w:tcPr>
            <w:tcW w:type="dxa" w:w="538"/>
          </w:tcPr>
          <w:p>
            <w:pPr>
              <w:spacing w:after="20" w:line="240" w:lineRule="auto"/>
            </w:pPr>
            <w:r/>
            <w:r>
              <w:rPr>
                <w:rFonts w:ascii="Calibri" w:hAnsi="Calibri"/>
                <w:sz w:val="14"/>
              </w:rPr>
              <w:t>A9</w:t>
            </w:r>
          </w:p>
        </w:tc>
        <w:tc>
          <w:tcPr>
            <w:tcW w:type="dxa" w:w="2473"/>
          </w:tcPr>
          <w:p>
            <w:pPr>
              <w:spacing w:after="20" w:line="240" w:lineRule="auto"/>
            </w:pPr>
            <w:r/>
            <w:r>
              <w:rPr>
                <w:rFonts w:ascii="Calibri" w:hAnsi="Calibri"/>
                <w:sz w:val="14"/>
              </w:rPr>
              <w:t>Thermal methods are largely ineffective — asphaltene deposits are amorphous and do not remelt [slide 15, Q3]</w:t>
            </w:r>
          </w:p>
        </w:tc>
        <w:tc>
          <w:tcPr>
            <w:tcW w:type="dxa" w:w="1022"/>
          </w:tcPr>
          <w:p>
            <w:pPr>
              <w:spacing w:after="20" w:line="240" w:lineRule="auto"/>
            </w:pPr>
            <w:r/>
            <w:r>
              <w:rPr>
                <w:rFonts w:ascii="Calibri" w:hAnsi="Calibri"/>
                <w:sz w:val="14"/>
              </w:rPr>
              <w:t>CONFIRMED</w:t>
            </w:r>
          </w:p>
        </w:tc>
        <w:tc>
          <w:tcPr>
            <w:tcW w:type="dxa" w:w="4087"/>
          </w:tcPr>
          <w:p>
            <w:pPr>
              <w:spacing w:after="20" w:line="240" w:lineRule="auto"/>
            </w:pPr>
            <w:r/>
            <w:r>
              <w:rPr>
                <w:rFonts w:ascii="Calibri" w:hAnsi="Calibri"/>
                <w:sz w:val="14"/>
              </w:rPr>
              <w:t>“Asphaltenes have no melting point and typically cannot be remediated via heating”; of a 497 °C steam treatment: “begs the question of the state of asphaltene as it does not melt but decompose into solid-like material which can pose problems within the formation”; “among [mechanical, chemical, thermal] removal methods … the thermal methods are less efficient.”</w:t>
            </w:r>
          </w:p>
        </w:tc>
        <w:tc>
          <w:tcPr>
            <w:tcW w:type="dxa" w:w="2312"/>
          </w:tcPr>
          <w:p>
            <w:pPr>
              <w:spacing w:after="20" w:line="240" w:lineRule="auto"/>
            </w:pPr>
            <w:r/>
            <w:r>
              <w:rPr>
                <w:rFonts w:ascii="Calibri" w:hAnsi="Calibri"/>
                <w:sz w:val="14"/>
              </w:rPr>
              <w:t>Kept, with a nuance added (heat weakens the resin peptisation that keeps asphaltenes dispersed — so heating can aggravate, not cure). One counter-example paper is anticipated in Q&amp;A (see Q30).</w:t>
            </w:r>
          </w:p>
        </w:tc>
      </w:tr>
      <w:tr>
        <w:tc>
          <w:tcPr>
            <w:tcW w:type="dxa" w:w="538"/>
            <w:shd w:val="clear" w:color="auto" w:fill="F4F7F9"/>
          </w:tcPr>
          <w:p>
            <w:pPr>
              <w:spacing w:after="20" w:line="240" w:lineRule="auto"/>
            </w:pPr>
            <w:r/>
            <w:r>
              <w:rPr>
                <w:rFonts w:ascii="Calibri" w:hAnsi="Calibri"/>
                <w:sz w:val="14"/>
              </w:rPr>
              <w:t>A10</w:t>
            </w:r>
          </w:p>
        </w:tc>
        <w:tc>
          <w:tcPr>
            <w:tcW w:type="dxa" w:w="2473"/>
            <w:shd w:val="clear" w:color="auto" w:fill="F4F7F9"/>
          </w:tcPr>
          <w:p>
            <w:pPr>
              <w:spacing w:after="20" w:line="240" w:lineRule="auto"/>
            </w:pPr>
            <w:r/>
            <w:r>
              <w:rPr>
                <w:rFonts w:ascii="Calibri" w:hAnsi="Calibri"/>
                <w:sz w:val="14"/>
              </w:rPr>
              <w:t>Inhibitors are dispersants — they prevent formation and do not dissolve deposits [slide 16, Q13]</w:t>
            </w:r>
          </w:p>
        </w:tc>
        <w:tc>
          <w:tcPr>
            <w:tcW w:type="dxa" w:w="1022"/>
            <w:shd w:val="clear" w:color="auto" w:fill="F4F7F9"/>
          </w:tcPr>
          <w:p>
            <w:pPr>
              <w:spacing w:after="20" w:line="240" w:lineRule="auto"/>
            </w:pPr>
            <w:r/>
            <w:r>
              <w:rPr>
                <w:rFonts w:ascii="Calibri" w:hAnsi="Calibri"/>
                <w:sz w:val="14"/>
              </w:rPr>
              <w:t>REFINED</w:t>
            </w:r>
          </w:p>
        </w:tc>
        <w:tc>
          <w:tcPr>
            <w:tcW w:type="dxa" w:w="4087"/>
            <w:shd w:val="clear" w:color="auto" w:fill="F4F7F9"/>
          </w:tcPr>
          <w:p>
            <w:pPr>
              <w:spacing w:after="20" w:line="240" w:lineRule="auto"/>
            </w:pPr>
            <w:r/>
            <w:r>
              <w:rPr>
                <w:rFonts w:ascii="Calibri" w:hAnsi="Calibri"/>
                <w:sz w:val="14"/>
              </w:rPr>
              <w:t>Mechanism confirmed: polar head adsorbs on the aggregate, alkyl tail provides steric hindrance (Rogel &amp; León 2001; Fuel 2021 review: dispersants “work by reducing the asphaltene aggregate size thus keeping them in suspension”). But the literature separates two classes: INHIBITORS delay/shift the flocculation onset, DISPERSANTS shrink aggregates — “inhibitors can also act as dispersants, but in general the inverse is not true” (Kelland 2009).</w:t>
            </w:r>
          </w:p>
        </w:tc>
        <w:tc>
          <w:tcPr>
            <w:tcW w:type="dxa" w:w="2312"/>
            <w:shd w:val="clear" w:color="auto" w:fill="F4F7F9"/>
          </w:tcPr>
          <w:p>
            <w:pPr>
              <w:spacing w:after="20" w:line="240" w:lineRule="auto"/>
            </w:pPr>
            <w:r/>
            <w:r>
              <w:rPr>
                <w:rFonts w:ascii="Calibri" w:hAnsi="Calibri"/>
                <w:sz w:val="14"/>
              </w:rPr>
              <w:t>Slide 16 and Q13 now state the distinction explicitly. Both classes still “prevent, not dissolve” — that part was right.</w:t>
            </w:r>
          </w:p>
        </w:tc>
      </w:tr>
      <w:tr>
        <w:tc>
          <w:tcPr>
            <w:tcW w:type="dxa" w:w="538"/>
          </w:tcPr>
          <w:p>
            <w:pPr>
              <w:spacing w:after="20" w:line="240" w:lineRule="auto"/>
            </w:pPr>
            <w:r/>
            <w:r>
              <w:rPr>
                <w:rFonts w:ascii="Calibri" w:hAnsi="Calibri"/>
                <w:sz w:val="14"/>
              </w:rPr>
              <w:t>A11</w:t>
            </w:r>
          </w:p>
        </w:tc>
        <w:tc>
          <w:tcPr>
            <w:tcW w:type="dxa" w:w="2473"/>
          </w:tcPr>
          <w:p>
            <w:pPr>
              <w:spacing w:after="20" w:line="240" w:lineRule="auto"/>
            </w:pPr>
            <w:r/>
            <w:r>
              <w:rPr>
                <w:rFonts w:ascii="Calibri" w:hAnsi="Calibri"/>
                <w:sz w:val="14"/>
              </w:rPr>
              <w:t>Dosage is field-specific; more is not simply better [slide 16, Q14]</w:t>
            </w:r>
          </w:p>
        </w:tc>
        <w:tc>
          <w:tcPr>
            <w:tcW w:type="dxa" w:w="1022"/>
          </w:tcPr>
          <w:p>
            <w:pPr>
              <w:spacing w:after="20" w:line="240" w:lineRule="auto"/>
            </w:pPr>
            <w:r/>
            <w:r>
              <w:rPr>
                <w:rFonts w:ascii="Calibri" w:hAnsi="Calibri"/>
                <w:sz w:val="14"/>
              </w:rPr>
              <w:t>REFINED</w:t>
            </w:r>
          </w:p>
        </w:tc>
        <w:tc>
          <w:tcPr>
            <w:tcW w:type="dxa" w:w="4087"/>
          </w:tcPr>
          <w:p>
            <w:pPr>
              <w:spacing w:after="20" w:line="240" w:lineRule="auto"/>
            </w:pPr>
            <w:r/>
            <w:r>
              <w:rPr>
                <w:rFonts w:ascii="Calibri" w:hAnsi="Calibri"/>
                <w:sz w:val="14"/>
              </w:rPr>
              <w:t>Same source family reports the opposite of a linear dose-response: “at high heptane vol%, inhibitor over-treatment (above recommended dose) increases deposition.” Inhibitor self-aggregation reduces adsorption efficiency at excessive concentration.</w:t>
            </w:r>
          </w:p>
        </w:tc>
        <w:tc>
          <w:tcPr>
            <w:tcW w:type="dxa" w:w="2312"/>
          </w:tcPr>
          <w:p>
            <w:pPr>
              <w:spacing w:after="20" w:line="240" w:lineRule="auto"/>
            </w:pPr>
            <w:r/>
            <w:r>
              <w:rPr>
                <w:rFonts w:ascii="Calibri" w:hAnsi="Calibri"/>
                <w:sz w:val="14"/>
              </w:rPr>
              <w:t>Added to slide 16 notes and to the risk register (R7). New Q31 covers it.</w:t>
            </w:r>
          </w:p>
        </w:tc>
      </w:tr>
      <w:tr>
        <w:tc>
          <w:tcPr>
            <w:tcW w:type="dxa" w:w="538"/>
            <w:shd w:val="clear" w:color="auto" w:fill="F4F7F9"/>
          </w:tcPr>
          <w:p>
            <w:pPr>
              <w:spacing w:after="20" w:line="240" w:lineRule="auto"/>
            </w:pPr>
            <w:r/>
            <w:r>
              <w:rPr>
                <w:rFonts w:ascii="Calibri" w:hAnsi="Calibri"/>
                <w:sz w:val="14"/>
              </w:rPr>
              <w:t>A12</w:t>
            </w:r>
          </w:p>
        </w:tc>
        <w:tc>
          <w:tcPr>
            <w:tcW w:type="dxa" w:w="2473"/>
            <w:shd w:val="clear" w:color="auto" w:fill="F4F7F9"/>
          </w:tcPr>
          <w:p>
            <w:pPr>
              <w:spacing w:after="20" w:line="240" w:lineRule="auto"/>
            </w:pPr>
            <w:r/>
            <w:r>
              <w:rPr>
                <w:rFonts w:ascii="Calibri" w:hAnsi="Calibri"/>
                <w:sz w:val="14"/>
              </w:rPr>
              <w:t>Placement rule: inject deeper than the shallowest predicted onset depth [slide 16, Q15]</w:t>
            </w:r>
          </w:p>
        </w:tc>
        <w:tc>
          <w:tcPr>
            <w:tcW w:type="dxa" w:w="1022"/>
            <w:shd w:val="clear" w:color="auto" w:fill="F4F7F9"/>
          </w:tcPr>
          <w:p>
            <w:pPr>
              <w:spacing w:after="20" w:line="240" w:lineRule="auto"/>
            </w:pPr>
            <w:r/>
            <w:r>
              <w:rPr>
                <w:rFonts w:ascii="Calibri" w:hAnsi="Calibri"/>
                <w:sz w:val="14"/>
              </w:rPr>
              <w:t>CORRECTED</w:t>
            </w:r>
          </w:p>
        </w:tc>
        <w:tc>
          <w:tcPr>
            <w:tcW w:type="dxa" w:w="4087"/>
            <w:shd w:val="clear" w:color="auto" w:fill="F4F7F9"/>
          </w:tcPr>
          <w:p>
            <w:pPr>
              <w:spacing w:after="20" w:line="240" w:lineRule="auto"/>
            </w:pPr>
            <w:r/>
            <w:r>
              <w:rPr>
                <w:rFonts w:ascii="Calibri" w:hAnsi="Calibri"/>
                <w:sz w:val="14"/>
              </w:rPr>
              <w:t>The requirement is to dose the oil BEFORE it enters the unstable window, i.e. the injection point must sit BELOW the depth at which the flowing path enters the envelope. In the documented case the mandrel (4,450 m) sat ABOVE the predicted onset (4,752 m), leaving ~300 m of unstable, unprotected tubing — the exact failure the rule exists to prevent. Under uncertainty the conservative design uses the DEEPEST credible onset depth, not the shallowest.</w:t>
            </w:r>
          </w:p>
        </w:tc>
        <w:tc>
          <w:tcPr>
            <w:tcW w:type="dxa" w:w="2312"/>
            <w:shd w:val="clear" w:color="auto" w:fill="F4F7F9"/>
          </w:tcPr>
          <w:p>
            <w:pPr>
              <w:spacing w:after="20" w:line="240" w:lineRule="auto"/>
            </w:pPr>
            <w:r/>
            <w:r>
              <w:rPr>
                <w:rFonts w:ascii="Calibri" w:hAnsi="Calibri"/>
                <w:sz w:val="14"/>
              </w:rPr>
              <w:t>Slide 16, the script, Q15 and backup slide 24 rewritten as: “below the deepest credible onset depth — onset + a sensitivity-sized margin.”</w:t>
            </w:r>
          </w:p>
        </w:tc>
      </w:tr>
      <w:tr>
        <w:tc>
          <w:tcPr>
            <w:tcW w:type="dxa" w:w="538"/>
          </w:tcPr>
          <w:p>
            <w:pPr>
              <w:spacing w:after="20" w:line="240" w:lineRule="auto"/>
            </w:pPr>
            <w:r/>
            <w:r>
              <w:rPr>
                <w:rFonts w:ascii="Calibri" w:hAnsi="Calibri"/>
                <w:sz w:val="14"/>
              </w:rPr>
              <w:t>A13</w:t>
            </w:r>
          </w:p>
        </w:tc>
        <w:tc>
          <w:tcPr>
            <w:tcW w:type="dxa" w:w="2473"/>
          </w:tcPr>
          <w:p>
            <w:pPr>
              <w:spacing w:after="20" w:line="240" w:lineRule="auto"/>
            </w:pPr>
            <w:r/>
            <w:r>
              <w:rPr>
                <w:rFonts w:ascii="Calibri" w:hAnsi="Calibri"/>
                <w:sz w:val="14"/>
              </w:rPr>
              <w:t>Aromatic solvents (toluene/xylene) carry real HSE exposure — flagged as a workplace-safety topic [slide 15, Q12]</w:t>
            </w:r>
          </w:p>
        </w:tc>
        <w:tc>
          <w:tcPr>
            <w:tcW w:type="dxa" w:w="1022"/>
          </w:tcPr>
          <w:p>
            <w:pPr>
              <w:spacing w:after="20" w:line="240" w:lineRule="auto"/>
            </w:pPr>
            <w:r/>
            <w:r>
              <w:rPr>
                <w:rFonts w:ascii="Calibri" w:hAnsi="Calibri"/>
                <w:sz w:val="14"/>
              </w:rPr>
              <w:t>CONFIRMED</w:t>
            </w:r>
          </w:p>
        </w:tc>
        <w:tc>
          <w:tcPr>
            <w:tcW w:type="dxa" w:w="4087"/>
          </w:tcPr>
          <w:p>
            <w:pPr>
              <w:spacing w:after="20" w:line="240" w:lineRule="auto"/>
            </w:pPr>
            <w:r/>
            <w:r>
              <w:rPr>
                <w:rFonts w:ascii="Calibri" w:hAnsi="Calibri"/>
                <w:sz w:val="14"/>
              </w:rPr>
              <w:t>“BTX chemicals (benzene, toluene, and xylene) … are acutely toxic and harmful to the environment”; “BTX solvents have low flash point, high acute toxicity and low biodegradability”; a field review of xylene cleanouts concludes the solvent “has limited effectiveness in addition to undesirable HSE effects.”</w:t>
            </w:r>
          </w:p>
        </w:tc>
        <w:tc>
          <w:tcPr>
            <w:tcW w:type="dxa" w:w="2312"/>
          </w:tcPr>
          <w:p>
            <w:pPr>
              <w:spacing w:after="20" w:line="240" w:lineRule="auto"/>
            </w:pPr>
            <w:r/>
            <w:r>
              <w:rPr>
                <w:rFonts w:ascii="Calibri" w:hAnsi="Calibri"/>
                <w:sz w:val="14"/>
              </w:rPr>
              <w:t>Flag retained on slide 15; the limitations box on slide 21 is now titled “LIMITATIONS &amp; ETHICS” and carries the no-uncontrolled-handling statement.</w:t>
            </w:r>
          </w:p>
        </w:tc>
      </w:tr>
      <w:tr>
        <w:tc>
          <w:tcPr>
            <w:tcW w:type="dxa" w:w="538"/>
            <w:shd w:val="clear" w:color="auto" w:fill="F4F7F9"/>
          </w:tcPr>
          <w:p>
            <w:pPr>
              <w:spacing w:after="20" w:line="240" w:lineRule="auto"/>
            </w:pPr>
            <w:r/>
            <w:r>
              <w:rPr>
                <w:rFonts w:ascii="Calibri" w:hAnsi="Calibri"/>
                <w:sz w:val="14"/>
              </w:rPr>
              <w:t>A14</w:t>
            </w:r>
          </w:p>
        </w:tc>
        <w:tc>
          <w:tcPr>
            <w:tcW w:type="dxa" w:w="2473"/>
            <w:shd w:val="clear" w:color="auto" w:fill="F4F7F9"/>
          </w:tcPr>
          <w:p>
            <w:pPr>
              <w:spacing w:after="20" w:line="240" w:lineRule="auto"/>
            </w:pPr>
            <w:r/>
            <w:r>
              <w:rPr>
                <w:rFonts w:ascii="Calibri" w:hAnsi="Calibri"/>
                <w:sz w:val="14"/>
              </w:rPr>
              <w:t>Sensitivity levers: ±50–100 bar on AOP, ±10 % on gradient, GOR scenarios [backup slide 24]</w:t>
            </w:r>
          </w:p>
        </w:tc>
        <w:tc>
          <w:tcPr>
            <w:tcW w:type="dxa" w:w="1022"/>
            <w:shd w:val="clear" w:color="auto" w:fill="F4F7F9"/>
          </w:tcPr>
          <w:p>
            <w:pPr>
              <w:spacing w:after="20" w:line="240" w:lineRule="auto"/>
            </w:pPr>
            <w:r/>
            <w:r>
              <w:rPr>
                <w:rFonts w:ascii="Calibri" w:hAnsi="Calibri"/>
                <w:sz w:val="14"/>
              </w:rPr>
              <w:t>CONFIRMED &amp; QUANTIFIED</w:t>
            </w:r>
          </w:p>
        </w:tc>
        <w:tc>
          <w:tcPr>
            <w:tcW w:type="dxa" w:w="4087"/>
            <w:shd w:val="clear" w:color="auto" w:fill="F4F7F9"/>
          </w:tcPr>
          <w:p>
            <w:pPr>
              <w:spacing w:after="20" w:line="240" w:lineRule="auto"/>
            </w:pPr>
            <w:r/>
            <w:r>
              <w:rPr>
                <w:rFonts w:ascii="Calibri" w:hAnsi="Calibri"/>
                <w:sz w:val="14"/>
              </w:rPr>
              <w:t>The three levers are the correct ones (AOP, pressure gradient, composition/GOR). They were, however, only described — not quantified. See Part D: the arithmetic is now on the slide.</w:t>
            </w:r>
          </w:p>
        </w:tc>
        <w:tc>
          <w:tcPr>
            <w:tcW w:type="dxa" w:w="2312"/>
            <w:shd w:val="clear" w:color="auto" w:fill="F4F7F9"/>
          </w:tcPr>
          <w:p>
            <w:pPr>
              <w:spacing w:after="20" w:line="240" w:lineRule="auto"/>
            </w:pPr>
            <w:r/>
            <w:r>
              <w:rPr>
                <w:rFonts w:ascii="Calibri" w:hAnsi="Calibri"/>
                <w:sz w:val="14"/>
              </w:rPr>
              <w:t>Backup slide 24 now carries the numbers: ±255 m (±50 bar), ±511 m (±100 bar), −404 / +487 m (±10 % gradient), +768 m in the gas-lift scenario.</w:t>
            </w:r>
          </w:p>
        </w:tc>
      </w:tr>
    </w:tbl>
    <w:p>
      <w:pPr>
        <w:spacing w:after="20"/>
      </w:pPr>
    </w:p>
    <w:p>
      <w:pPr>
        <w:pStyle w:val="Heading1"/>
      </w:pPr>
      <w:r>
        <w:t>Part B — What changed in the pack (before → after)</w:t>
      </w:r>
    </w:p>
    <w:tbl>
      <w:tblPr>
        <w:tblStyle w:val="TableGrid"/>
        <w:tblW w:type="auto" w:w="0"/>
        <w:jc w:val="center"/>
        <w:tblLook w:firstColumn="1" w:firstRow="1" w:lastColumn="0" w:lastRow="0" w:noHBand="0" w:noVBand="1" w:val="04A0"/>
      </w:tblPr>
      <w:tblGrid>
        <w:gridCol w:w="3551"/>
        <w:gridCol w:w="3551"/>
        <w:gridCol w:w="3551"/>
      </w:tblGrid>
      <w:tr>
        <w:tc>
          <w:tcPr>
            <w:tcW w:type="dxa" w:w="1928"/>
            <w:shd w:val="clear" w:color="auto" w:fill="102A43"/>
          </w:tcPr>
          <w:p>
            <w:pPr>
              <w:spacing w:after="20" w:line="240" w:lineRule="auto"/>
            </w:pPr>
            <w:r/>
            <w:r>
              <w:rPr>
                <w:rFonts w:ascii="Calibri" w:hAnsi="Calibri"/>
                <w:b/>
                <w:color w:val="FFFFFF"/>
                <w:sz w:val="15"/>
              </w:rPr>
              <w:t>Where</w:t>
            </w:r>
          </w:p>
        </w:tc>
        <w:tc>
          <w:tcPr>
            <w:tcW w:type="dxa" w:w="3515"/>
            <w:shd w:val="clear" w:color="auto" w:fill="102A43"/>
          </w:tcPr>
          <w:p>
            <w:pPr>
              <w:spacing w:after="20" w:line="240" w:lineRule="auto"/>
            </w:pPr>
            <w:r/>
            <w:r>
              <w:rPr>
                <w:rFonts w:ascii="Calibri" w:hAnsi="Calibri"/>
                <w:b/>
                <w:color w:val="FFFFFF"/>
                <w:sz w:val="15"/>
              </w:rPr>
              <w:t>Before this pass</w:t>
            </w:r>
          </w:p>
        </w:tc>
        <w:tc>
          <w:tcPr>
            <w:tcW w:type="dxa" w:w="4989"/>
            <w:shd w:val="clear" w:color="auto" w:fill="102A43"/>
          </w:tcPr>
          <w:p>
            <w:pPr>
              <w:spacing w:after="20" w:line="240" w:lineRule="auto"/>
            </w:pPr>
            <w:r/>
            <w:r>
              <w:rPr>
                <w:rFonts w:ascii="Calibri" w:hAnsi="Calibri"/>
                <w:b/>
                <w:color w:val="FFFFFF"/>
                <w:sz w:val="15"/>
              </w:rPr>
              <w:t>After this pass</w:t>
            </w:r>
          </w:p>
        </w:tc>
      </w:tr>
      <w:tr>
        <w:tc>
          <w:tcPr>
            <w:tcW w:type="dxa" w:w="1928"/>
          </w:tcPr>
          <w:p>
            <w:pPr>
              <w:spacing w:after="20" w:line="240" w:lineRule="auto"/>
            </w:pPr>
            <w:r/>
            <w:r>
              <w:rPr>
                <w:rFonts w:ascii="Calibri" w:hAnsi="Calibri"/>
                <w:sz w:val="15"/>
              </w:rPr>
              <w:t>Slide 10 (bullets + script)</w:t>
            </w:r>
          </w:p>
        </w:tc>
        <w:tc>
          <w:tcPr>
            <w:tcW w:type="dxa" w:w="3515"/>
          </w:tcPr>
          <w:p>
            <w:pPr>
              <w:spacing w:after="20" w:line="240" w:lineRule="auto"/>
            </w:pPr>
            <w:r/>
            <w:r>
              <w:rPr>
                <w:rFonts w:ascii="Calibri" w:hAnsi="Calibri"/>
                <w:sz w:val="15"/>
              </w:rPr>
              <w:t>“De Boer: if AOP &gt; Pb → asphaltene-prone.”</w:t>
            </w:r>
          </w:p>
        </w:tc>
        <w:tc>
          <w:tcPr>
            <w:tcW w:type="dxa" w:w="4989"/>
          </w:tcPr>
          <w:p>
            <w:pPr>
              <w:spacing w:after="20" w:line="240" w:lineRule="auto"/>
            </w:pPr>
            <w:r/>
            <w:r>
              <w:rPr>
                <w:rFonts w:ascii="Calibri" w:hAnsi="Calibri"/>
                <w:sz w:val="15"/>
              </w:rPr>
              <w:t>Two separate facts, correctly attributed: (i) the de Boer PLOT screens on in-situ density vs gas under-saturation; (ii) the upper onset lies above Pb, with precipitation peaking near Pb.</w:t>
            </w:r>
          </w:p>
        </w:tc>
      </w:tr>
      <w:tr>
        <w:tc>
          <w:tcPr>
            <w:tcW w:type="dxa" w:w="1928"/>
            <w:shd w:val="clear" w:color="auto" w:fill="F4F7F9"/>
          </w:tcPr>
          <w:p>
            <w:pPr>
              <w:spacing w:after="20" w:line="240" w:lineRule="auto"/>
            </w:pPr>
            <w:r/>
            <w:r>
              <w:rPr>
                <w:rFonts w:ascii="Calibri" w:hAnsi="Calibri"/>
                <w:sz w:val="15"/>
              </w:rPr>
              <w:t>Slide 10 (script)</w:t>
            </w:r>
          </w:p>
        </w:tc>
        <w:tc>
          <w:tcPr>
            <w:tcW w:type="dxa" w:w="3515"/>
            <w:shd w:val="clear" w:color="auto" w:fill="F4F7F9"/>
          </w:tcPr>
          <w:p>
            <w:pPr>
              <w:spacing w:after="20" w:line="240" w:lineRule="auto"/>
            </w:pPr>
            <w:r/>
            <w:r>
              <w:rPr>
                <w:rFonts w:ascii="Calibri" w:hAnsi="Calibri"/>
                <w:sz w:val="15"/>
              </w:rPr>
              <w:t>“Onset can sit 100–200 bar above the bubble point.”</w:t>
            </w:r>
          </w:p>
        </w:tc>
        <w:tc>
          <w:tcPr>
            <w:tcW w:type="dxa" w:w="4989"/>
            <w:shd w:val="clear" w:color="auto" w:fill="F4F7F9"/>
          </w:tcPr>
          <w:p>
            <w:pPr>
              <w:spacing w:after="20" w:line="240" w:lineRule="auto"/>
            </w:pPr>
            <w:r/>
            <w:r>
              <w:rPr>
                <w:rFonts w:ascii="Calibri" w:hAnsi="Calibri"/>
                <w:sz w:val="15"/>
              </w:rPr>
              <w:t>“Above Pb by hundreds of bar or more — several thousand psi in severe oils; fluid-specific.”</w:t>
            </w:r>
          </w:p>
        </w:tc>
      </w:tr>
      <w:tr>
        <w:tc>
          <w:tcPr>
            <w:tcW w:type="dxa" w:w="1928"/>
          </w:tcPr>
          <w:p>
            <w:pPr>
              <w:spacing w:after="20" w:line="240" w:lineRule="auto"/>
            </w:pPr>
            <w:r/>
            <w:r>
              <w:rPr>
                <w:rFonts w:ascii="Calibri" w:hAnsi="Calibri"/>
                <w:sz w:val="15"/>
              </w:rPr>
              <w:t>Slide 16 (bullets + Q13)</w:t>
            </w:r>
          </w:p>
        </w:tc>
        <w:tc>
          <w:tcPr>
            <w:tcW w:type="dxa" w:w="3515"/>
          </w:tcPr>
          <w:p>
            <w:pPr>
              <w:spacing w:after="20" w:line="240" w:lineRule="auto"/>
            </w:pPr>
            <w:r/>
            <w:r>
              <w:rPr>
                <w:rFonts w:ascii="Calibri" w:hAnsi="Calibri"/>
                <w:sz w:val="15"/>
              </w:rPr>
              <w:t>“Chemical inhibitors (dispersants) … they do not dissolve deposits.”</w:t>
            </w:r>
          </w:p>
        </w:tc>
        <w:tc>
          <w:tcPr>
            <w:tcW w:type="dxa" w:w="4989"/>
          </w:tcPr>
          <w:p>
            <w:pPr>
              <w:spacing w:after="20" w:line="240" w:lineRule="auto"/>
            </w:pPr>
            <w:r/>
            <w:r>
              <w:rPr>
                <w:rFonts w:ascii="Calibri" w:hAnsi="Calibri"/>
                <w:sz w:val="15"/>
              </w:rPr>
              <w:t>Kept, plus the correct distinction: inhibitors shift the onset; dispersants shrink aggregates; neither dissolves an existing deposit.</w:t>
            </w:r>
          </w:p>
        </w:tc>
      </w:tr>
      <w:tr>
        <w:tc>
          <w:tcPr>
            <w:tcW w:type="dxa" w:w="1928"/>
            <w:shd w:val="clear" w:color="auto" w:fill="F4F7F9"/>
          </w:tcPr>
          <w:p>
            <w:pPr>
              <w:spacing w:after="20" w:line="240" w:lineRule="auto"/>
            </w:pPr>
            <w:r/>
            <w:r>
              <w:rPr>
                <w:rFonts w:ascii="Calibri" w:hAnsi="Calibri"/>
                <w:sz w:val="15"/>
              </w:rPr>
              <w:t>Slide 16 (bullet + Q15) and backup 24</w:t>
            </w:r>
          </w:p>
        </w:tc>
        <w:tc>
          <w:tcPr>
            <w:tcW w:type="dxa" w:w="3515"/>
            <w:shd w:val="clear" w:color="auto" w:fill="F4F7F9"/>
          </w:tcPr>
          <w:p>
            <w:pPr>
              <w:spacing w:after="20" w:line="240" w:lineRule="auto"/>
            </w:pPr>
            <w:r/>
            <w:r>
              <w:rPr>
                <w:rFonts w:ascii="Calibri" w:hAnsi="Calibri"/>
                <w:sz w:val="15"/>
              </w:rPr>
              <w:t>“Injection point must sit DEEPER than the shallowest predicted onset depth.”</w:t>
            </w:r>
          </w:p>
        </w:tc>
        <w:tc>
          <w:tcPr>
            <w:tcW w:type="dxa" w:w="4989"/>
            <w:shd w:val="clear" w:color="auto" w:fill="F4F7F9"/>
          </w:tcPr>
          <w:p>
            <w:pPr>
              <w:spacing w:after="20" w:line="240" w:lineRule="auto"/>
            </w:pPr>
            <w:r/>
            <w:r>
              <w:rPr>
                <w:rFonts w:ascii="Calibri" w:hAnsi="Calibri"/>
                <w:sz w:val="15"/>
              </w:rPr>
              <w:t>“Injection point must sit BELOW the deepest credible onset depth — onset plus a margin sized by the sensitivity study.”</w:t>
            </w:r>
          </w:p>
        </w:tc>
      </w:tr>
      <w:tr>
        <w:tc>
          <w:tcPr>
            <w:tcW w:type="dxa" w:w="1928"/>
          </w:tcPr>
          <w:p>
            <w:pPr>
              <w:spacing w:after="20" w:line="240" w:lineRule="auto"/>
            </w:pPr>
            <w:r/>
            <w:r>
              <w:rPr>
                <w:rFonts w:ascii="Calibri" w:hAnsi="Calibri"/>
                <w:sz w:val="15"/>
              </w:rPr>
              <w:t>Slide 15 (caption)</w:t>
            </w:r>
          </w:p>
        </w:tc>
        <w:tc>
          <w:tcPr>
            <w:tcW w:type="dxa" w:w="3515"/>
          </w:tcPr>
          <w:p>
            <w:pPr>
              <w:spacing w:after="20" w:line="240" w:lineRule="auto"/>
            </w:pPr>
            <w:r/>
            <w:r>
              <w:rPr>
                <w:rFonts w:ascii="Calibri" w:hAnsi="Calibri"/>
                <w:sz w:val="15"/>
              </w:rPr>
              <w:t>“Thermal methods fail here by design.”</w:t>
            </w:r>
          </w:p>
        </w:tc>
        <w:tc>
          <w:tcPr>
            <w:tcW w:type="dxa" w:w="4989"/>
          </w:tcPr>
          <w:p>
            <w:pPr>
              <w:spacing w:after="20" w:line="240" w:lineRule="auto"/>
            </w:pPr>
            <w:r/>
            <w:r>
              <w:rPr>
                <w:rFonts w:ascii="Calibri" w:hAnsi="Calibri"/>
                <w:sz w:val="15"/>
              </w:rPr>
              <w:t>“Thermal methods are not a melting story — asphaltene deposits have no melting point; heat can even weaken the resins that keep them dispersed.”</w:t>
            </w:r>
          </w:p>
        </w:tc>
      </w:tr>
      <w:tr>
        <w:tc>
          <w:tcPr>
            <w:tcW w:type="dxa" w:w="1928"/>
            <w:shd w:val="clear" w:color="auto" w:fill="F4F7F9"/>
          </w:tcPr>
          <w:p>
            <w:pPr>
              <w:spacing w:after="20" w:line="240" w:lineRule="auto"/>
            </w:pPr>
            <w:r/>
            <w:r>
              <w:rPr>
                <w:rFonts w:ascii="Calibri" w:hAnsi="Calibri"/>
                <w:sz w:val="15"/>
              </w:rPr>
              <w:t>Slide 21 (box title + bullets)</w:t>
            </w:r>
          </w:p>
        </w:tc>
        <w:tc>
          <w:tcPr>
            <w:tcW w:type="dxa" w:w="3515"/>
            <w:shd w:val="clear" w:color="auto" w:fill="F4F7F9"/>
          </w:tcPr>
          <w:p>
            <w:pPr>
              <w:spacing w:after="20" w:line="240" w:lineRule="auto"/>
            </w:pPr>
            <w:r/>
            <w:r>
              <w:rPr>
                <w:rFonts w:ascii="Calibri" w:hAnsi="Calibri"/>
                <w:sz w:val="15"/>
              </w:rPr>
              <w:t>“LIMITATIONS (stated up-front)” — five technical limits.</w:t>
            </w:r>
          </w:p>
        </w:tc>
        <w:tc>
          <w:tcPr>
            <w:tcW w:type="dxa" w:w="4989"/>
            <w:shd w:val="clear" w:color="auto" w:fill="F4F7F9"/>
          </w:tcPr>
          <w:p>
            <w:pPr>
              <w:spacing w:after="20" w:line="240" w:lineRule="auto"/>
            </w:pPr>
            <w:r/>
            <w:r>
              <w:rPr>
                <w:rFonts w:ascii="Calibri" w:hAnsi="Calibri"/>
                <w:sz w:val="15"/>
              </w:rPr>
              <w:t>Retitled “LIMITATIONS &amp; ETHICS”, with a sixth line: no uncontrolled solvent handling; chemistries compared on paper, no vendor recommended.</w:t>
            </w:r>
          </w:p>
        </w:tc>
      </w:tr>
      <w:tr>
        <w:tc>
          <w:tcPr>
            <w:tcW w:type="dxa" w:w="1928"/>
          </w:tcPr>
          <w:p>
            <w:pPr>
              <w:spacing w:after="20" w:line="240" w:lineRule="auto"/>
            </w:pPr>
            <w:r/>
            <w:r>
              <w:rPr>
                <w:rFonts w:ascii="Calibri" w:hAnsi="Calibri"/>
                <w:sz w:val="15"/>
              </w:rPr>
              <w:t>Backup slide 24</w:t>
            </w:r>
          </w:p>
        </w:tc>
        <w:tc>
          <w:tcPr>
            <w:tcW w:type="dxa" w:w="3515"/>
          </w:tcPr>
          <w:p>
            <w:pPr>
              <w:spacing w:after="20" w:line="240" w:lineRule="auto"/>
            </w:pPr>
            <w:r/>
            <w:r>
              <w:rPr>
                <w:rFonts w:ascii="Calibri" w:hAnsi="Calibri"/>
                <w:sz w:val="15"/>
              </w:rPr>
              <w:t>“Sensitivity plan: ±50–100 bar … the onset depth moves by hundreds of metres.”</w:t>
            </w:r>
          </w:p>
        </w:tc>
        <w:tc>
          <w:tcPr>
            <w:tcW w:type="dxa" w:w="4989"/>
          </w:tcPr>
          <w:p>
            <w:pPr>
              <w:spacing w:after="20" w:line="240" w:lineRule="auto"/>
            </w:pPr>
            <w:r/>
            <w:r>
              <w:rPr>
                <w:rFonts w:ascii="Calibri" w:hAnsi="Calibri"/>
                <w:sz w:val="15"/>
              </w:rPr>
              <w:t>Quantified table (Part D) + the design conclusion: the gas-lift scenario pushes the onset to the perforations, where placement alone cannot protect.</w:t>
            </w:r>
          </w:p>
        </w:tc>
      </w:tr>
      <w:tr>
        <w:tc>
          <w:tcPr>
            <w:tcW w:type="dxa" w:w="1928"/>
            <w:shd w:val="clear" w:color="auto" w:fill="F4F7F9"/>
          </w:tcPr>
          <w:p>
            <w:pPr>
              <w:spacing w:after="20" w:line="240" w:lineRule="auto"/>
            </w:pPr>
            <w:r/>
            <w:r>
              <w:rPr>
                <w:rFonts w:ascii="Calibri" w:hAnsi="Calibri"/>
                <w:sz w:val="15"/>
              </w:rPr>
              <w:t>Refs [11], [12] + new [15]</w:t>
            </w:r>
          </w:p>
        </w:tc>
        <w:tc>
          <w:tcPr>
            <w:tcW w:type="dxa" w:w="3515"/>
            <w:shd w:val="clear" w:color="auto" w:fill="F4F7F9"/>
          </w:tcPr>
          <w:p>
            <w:pPr>
              <w:spacing w:after="20" w:line="240" w:lineRule="auto"/>
            </w:pPr>
            <w:r/>
            <w:r>
              <w:rPr>
                <w:rFonts w:ascii="Calibri" w:hAnsi="Calibri"/>
                <w:sz w:val="15"/>
              </w:rPr>
              <w:t>Mullins 2010 alone; “ASTM D6703 (asphaltene precipitation)”; no thermal reference.</w:t>
            </w:r>
          </w:p>
        </w:tc>
        <w:tc>
          <w:tcPr>
            <w:tcW w:type="dxa" w:w="4989"/>
            <w:shd w:val="clear" w:color="auto" w:fill="F4F7F9"/>
          </w:tcPr>
          <w:p>
            <w:pPr>
              <w:spacing w:after="20" w:line="240" w:lineRule="auto"/>
            </w:pPr>
            <w:r/>
            <w:r>
              <w:rPr>
                <w:rFonts w:ascii="Calibri" w:hAnsi="Calibri"/>
                <w:sz w:val="15"/>
              </w:rPr>
              <w:t>Mullins 2010 + Mullins et al. 2012 review; ASTM line corrected (D6560-22/IP 143:21, D2007, D4124, D3279, D6703 = Heithaus titrimetry); [15] added for the thermal/steam finding.</w:t>
            </w:r>
          </w:p>
        </w:tc>
      </w:tr>
      <w:tr>
        <w:tc>
          <w:tcPr>
            <w:tcW w:type="dxa" w:w="1928"/>
          </w:tcPr>
          <w:p>
            <w:pPr>
              <w:spacing w:after="20" w:line="240" w:lineRule="auto"/>
            </w:pPr>
            <w:r/>
            <w:r>
              <w:rPr>
                <w:rFonts w:ascii="Calibri" w:hAnsi="Calibri"/>
                <w:sz w:val="15"/>
              </w:rPr>
              <w:t>Q&amp;A pack</w:t>
            </w:r>
          </w:p>
        </w:tc>
        <w:tc>
          <w:tcPr>
            <w:tcW w:type="dxa" w:w="3515"/>
          </w:tcPr>
          <w:p>
            <w:pPr>
              <w:spacing w:after="20" w:line="240" w:lineRule="auto"/>
            </w:pPr>
            <w:r/>
            <w:r>
              <w:rPr>
                <w:rFonts w:ascii="Calibri" w:hAnsi="Calibri"/>
                <w:sz w:val="15"/>
              </w:rPr>
              <w:t>Q6, Q7, Q13, Q15 as above.</w:t>
            </w:r>
          </w:p>
        </w:tc>
        <w:tc>
          <w:tcPr>
            <w:tcW w:type="dxa" w:w="4989"/>
          </w:tcPr>
          <w:p>
            <w:pPr>
              <w:spacing w:after="20" w:line="240" w:lineRule="auto"/>
            </w:pPr>
            <w:r/>
            <w:r>
              <w:rPr>
                <w:rFonts w:ascii="Calibri" w:hAnsi="Calibri"/>
                <w:sz w:val="15"/>
              </w:rPr>
              <w:t>Corrected in place; Q29–Q31 added (de Boer definition, the steam counter-example, over-dosing).</w:t>
            </w:r>
          </w:p>
        </w:tc>
      </w:tr>
    </w:tbl>
    <w:p>
      <w:pPr>
        <w:spacing w:after="20"/>
      </w:pPr>
    </w:p>
    <w:p>
      <w:pPr>
        <w:pStyle w:val="Heading1"/>
      </w:pPr>
      <w:r>
        <w:t>Part C — Risk register (project + presentation)</w:t>
      </w:r>
    </w:p>
    <w:p>
      <w:pPr>
        <w:spacing w:after="80"/>
      </w:pPr>
      <w:r>
        <w:rPr>
          <w:b w:val="0"/>
          <w:i/>
          <w:color w:val="5A6672"/>
          <w:sz w:val="16"/>
        </w:rPr>
        <w:t>L = likelihood (1 low → 3 high), I = impact (1 low → 3 high). Exposure = L × I. Reviewed weekly; any trigger firing moves the mitigation from “planned” to “active”.</w:t>
      </w:r>
    </w:p>
    <w:tbl>
      <w:tblPr>
        <w:tblStyle w:val="TableGrid"/>
        <w:tblW w:type="auto" w:w="0"/>
        <w:jc w:val="center"/>
        <w:tblLook w:firstColumn="1" w:firstRow="1" w:lastColumn="0" w:lastRow="0" w:noHBand="0" w:noVBand="1" w:val="04A0"/>
      </w:tblPr>
      <w:tblGrid>
        <w:gridCol w:w="1331"/>
        <w:gridCol w:w="1331"/>
        <w:gridCol w:w="1331"/>
        <w:gridCol w:w="1331"/>
        <w:gridCol w:w="1331"/>
        <w:gridCol w:w="1331"/>
        <w:gridCol w:w="1331"/>
        <w:gridCol w:w="1331"/>
      </w:tblGrid>
      <w:tr>
        <w:tc>
          <w:tcPr>
            <w:tcW w:type="dxa" w:w="477"/>
            <w:shd w:val="clear" w:color="auto" w:fill="102A43"/>
          </w:tcPr>
          <w:p>
            <w:pPr>
              <w:spacing w:after="20" w:line="240" w:lineRule="auto"/>
            </w:pPr>
            <w:r/>
            <w:r>
              <w:rPr>
                <w:rFonts w:ascii="Calibri" w:hAnsi="Calibri"/>
                <w:b/>
                <w:color w:val="FFFFFF"/>
                <w:sz w:val="14"/>
              </w:rPr>
              <w:t>ID</w:t>
            </w:r>
          </w:p>
        </w:tc>
        <w:tc>
          <w:tcPr>
            <w:tcW w:type="dxa" w:w="2648"/>
            <w:shd w:val="clear" w:color="auto" w:fill="102A43"/>
          </w:tcPr>
          <w:p>
            <w:pPr>
              <w:spacing w:after="20" w:line="240" w:lineRule="auto"/>
            </w:pPr>
            <w:r/>
            <w:r>
              <w:rPr>
                <w:rFonts w:ascii="Calibri" w:hAnsi="Calibri"/>
                <w:b/>
                <w:color w:val="FFFFFF"/>
                <w:sz w:val="14"/>
              </w:rPr>
              <w:t>Risk</w:t>
            </w:r>
          </w:p>
        </w:tc>
        <w:tc>
          <w:tcPr>
            <w:tcW w:type="dxa" w:w="953"/>
            <w:shd w:val="clear" w:color="auto" w:fill="102A43"/>
          </w:tcPr>
          <w:p>
            <w:pPr>
              <w:spacing w:after="20" w:line="240" w:lineRule="auto"/>
            </w:pPr>
            <w:r/>
            <w:r>
              <w:rPr>
                <w:rFonts w:ascii="Calibri" w:hAnsi="Calibri"/>
                <w:b/>
                <w:color w:val="FFFFFF"/>
                <w:sz w:val="14"/>
              </w:rPr>
              <w:t>Area</w:t>
            </w:r>
          </w:p>
        </w:tc>
        <w:tc>
          <w:tcPr>
            <w:tcW w:type="dxa" w:w="371"/>
            <w:shd w:val="clear" w:color="auto" w:fill="102A43"/>
          </w:tcPr>
          <w:p>
            <w:pPr>
              <w:spacing w:after="20" w:line="240" w:lineRule="auto"/>
            </w:pPr>
            <w:r/>
            <w:r>
              <w:rPr>
                <w:rFonts w:ascii="Calibri" w:hAnsi="Calibri"/>
                <w:b/>
                <w:color w:val="FFFFFF"/>
                <w:sz w:val="14"/>
              </w:rPr>
              <w:t>L</w:t>
            </w:r>
          </w:p>
        </w:tc>
        <w:tc>
          <w:tcPr>
            <w:tcW w:type="dxa" w:w="371"/>
            <w:shd w:val="clear" w:color="auto" w:fill="102A43"/>
          </w:tcPr>
          <w:p>
            <w:pPr>
              <w:spacing w:after="20" w:line="240" w:lineRule="auto"/>
            </w:pPr>
            <w:r/>
            <w:r>
              <w:rPr>
                <w:rFonts w:ascii="Calibri" w:hAnsi="Calibri"/>
                <w:b/>
                <w:color w:val="FFFFFF"/>
                <w:sz w:val="14"/>
              </w:rPr>
              <w:t>I</w:t>
            </w:r>
          </w:p>
        </w:tc>
        <w:tc>
          <w:tcPr>
            <w:tcW w:type="dxa" w:w="635"/>
            <w:shd w:val="clear" w:color="auto" w:fill="102A43"/>
          </w:tcPr>
          <w:p>
            <w:pPr>
              <w:spacing w:after="20" w:line="240" w:lineRule="auto"/>
            </w:pPr>
            <w:r/>
            <w:r>
              <w:rPr>
                <w:rFonts w:ascii="Calibri" w:hAnsi="Calibri"/>
                <w:b/>
                <w:color w:val="FFFFFF"/>
                <w:sz w:val="14"/>
              </w:rPr>
              <w:t>Exposure</w:t>
            </w:r>
          </w:p>
        </w:tc>
        <w:tc>
          <w:tcPr>
            <w:tcW w:type="dxa" w:w="3283"/>
            <w:shd w:val="clear" w:color="auto" w:fill="102A43"/>
          </w:tcPr>
          <w:p>
            <w:pPr>
              <w:spacing w:after="20" w:line="240" w:lineRule="auto"/>
            </w:pPr>
            <w:r/>
            <w:r>
              <w:rPr>
                <w:rFonts w:ascii="Calibri" w:hAnsi="Calibri"/>
                <w:b/>
                <w:color w:val="FFFFFF"/>
                <w:sz w:val="14"/>
              </w:rPr>
              <w:t>Mitigation / control in place</w:t>
            </w:r>
          </w:p>
        </w:tc>
        <w:tc>
          <w:tcPr>
            <w:tcW w:type="dxa" w:w="1694"/>
            <w:shd w:val="clear" w:color="auto" w:fill="102A43"/>
          </w:tcPr>
          <w:p>
            <w:pPr>
              <w:spacing w:after="20" w:line="240" w:lineRule="auto"/>
            </w:pPr>
            <w:r/>
            <w:r>
              <w:rPr>
                <w:rFonts w:ascii="Calibri" w:hAnsi="Calibri"/>
                <w:b/>
                <w:color w:val="FFFFFF"/>
                <w:sz w:val="14"/>
              </w:rPr>
              <w:t>Trigger to watch</w:t>
            </w:r>
          </w:p>
        </w:tc>
      </w:tr>
      <w:tr>
        <w:tc>
          <w:tcPr>
            <w:tcW w:type="dxa" w:w="477"/>
          </w:tcPr>
          <w:p>
            <w:pPr>
              <w:spacing w:after="20" w:line="240" w:lineRule="auto"/>
            </w:pPr>
            <w:r/>
            <w:r>
              <w:rPr>
                <w:rFonts w:ascii="Calibri" w:hAnsi="Calibri"/>
                <w:sz w:val="14"/>
              </w:rPr>
              <w:t>R1</w:t>
            </w:r>
          </w:p>
        </w:tc>
        <w:tc>
          <w:tcPr>
            <w:tcW w:type="dxa" w:w="2648"/>
          </w:tcPr>
          <w:p>
            <w:pPr>
              <w:spacing w:after="20" w:line="240" w:lineRule="auto"/>
            </w:pPr>
            <w:r/>
            <w:r>
              <w:rPr>
                <w:rFonts w:ascii="Calibri" w:hAnsi="Calibri"/>
                <w:sz w:val="14"/>
              </w:rPr>
              <w:t>AOP input uncertainty moves the onset depth by hundreds of metres, so the injection margin is mis-sized.</w:t>
            </w:r>
          </w:p>
        </w:tc>
        <w:tc>
          <w:tcPr>
            <w:tcW w:type="dxa" w:w="953"/>
          </w:tcPr>
          <w:p>
            <w:pPr>
              <w:spacing w:after="20" w:line="240" w:lineRule="auto"/>
            </w:pPr>
            <w:r/>
            <w:r>
              <w:rPr>
                <w:rFonts w:ascii="Calibri" w:hAnsi="Calibri"/>
                <w:sz w:val="14"/>
              </w:rPr>
              <w:t>Technical — model</w:t>
            </w:r>
          </w:p>
        </w:tc>
        <w:tc>
          <w:tcPr>
            <w:tcW w:type="dxa" w:w="371"/>
          </w:tcPr>
          <w:p>
            <w:pPr>
              <w:spacing w:after="20" w:line="240" w:lineRule="auto"/>
            </w:pPr>
            <w:r/>
            <w:r>
              <w:rPr>
                <w:rFonts w:ascii="Calibri" w:hAnsi="Calibri"/>
                <w:sz w:val="14"/>
              </w:rPr>
              <w:t>3</w:t>
            </w:r>
          </w:p>
        </w:tc>
        <w:tc>
          <w:tcPr>
            <w:tcW w:type="dxa" w:w="371"/>
          </w:tcPr>
          <w:p>
            <w:pPr>
              <w:spacing w:after="20" w:line="240" w:lineRule="auto"/>
            </w:pPr>
            <w:r/>
            <w:r>
              <w:rPr>
                <w:rFonts w:ascii="Calibri" w:hAnsi="Calibri"/>
                <w:sz w:val="14"/>
              </w:rPr>
              <w:t>3</w:t>
            </w:r>
          </w:p>
        </w:tc>
        <w:tc>
          <w:tcPr>
            <w:tcW w:type="dxa" w:w="635"/>
          </w:tcPr>
          <w:p>
            <w:pPr>
              <w:spacing w:after="20" w:line="240" w:lineRule="auto"/>
            </w:pPr>
            <w:r/>
            <w:r>
              <w:rPr>
                <w:rFonts w:ascii="Calibri" w:hAnsi="Calibri"/>
                <w:sz w:val="14"/>
              </w:rPr>
              <w:t>9</w:t>
            </w:r>
          </w:p>
        </w:tc>
        <w:tc>
          <w:tcPr>
            <w:tcW w:type="dxa" w:w="3283"/>
          </w:tcPr>
          <w:p>
            <w:pPr>
              <w:spacing w:after="20" w:line="240" w:lineRule="auto"/>
            </w:pPr>
            <w:r/>
            <w:r>
              <w:rPr>
                <w:rFonts w:ascii="Calibri" w:hAnsi="Calibri"/>
                <w:sz w:val="14"/>
              </w:rPr>
              <w:t>Sensitivity study quantified (Part D) and shown on backup 24; margin sized from the worst credible case, not from a rule of thumb; tolerance stated with every prediction.</w:t>
            </w:r>
          </w:p>
        </w:tc>
        <w:tc>
          <w:tcPr>
            <w:tcW w:type="dxa" w:w="1694"/>
          </w:tcPr>
          <w:p>
            <w:pPr>
              <w:spacing w:after="20" w:line="240" w:lineRule="auto"/>
            </w:pPr>
            <w:r/>
            <w:r>
              <w:rPr>
                <w:rFonts w:ascii="Calibri" w:hAnsi="Calibri"/>
                <w:sz w:val="14"/>
              </w:rPr>
              <w:t>Any case fluid without a measured AOP curve.</w:t>
            </w:r>
          </w:p>
        </w:tc>
      </w:tr>
      <w:tr>
        <w:tc>
          <w:tcPr>
            <w:tcW w:type="dxa" w:w="477"/>
            <w:shd w:val="clear" w:color="auto" w:fill="F4F7F9"/>
          </w:tcPr>
          <w:p>
            <w:pPr>
              <w:spacing w:after="20" w:line="240" w:lineRule="auto"/>
            </w:pPr>
            <w:r/>
            <w:r>
              <w:rPr>
                <w:rFonts w:ascii="Calibri" w:hAnsi="Calibri"/>
                <w:sz w:val="14"/>
              </w:rPr>
              <w:t>R2</w:t>
            </w:r>
          </w:p>
        </w:tc>
        <w:tc>
          <w:tcPr>
            <w:tcW w:type="dxa" w:w="2648"/>
            <w:shd w:val="clear" w:color="auto" w:fill="F4F7F9"/>
          </w:tcPr>
          <w:p>
            <w:pPr>
              <w:spacing w:after="20" w:line="240" w:lineRule="auto"/>
            </w:pPr>
            <w:r/>
            <w:r>
              <w:rPr>
                <w:rFonts w:ascii="Calibri" w:hAnsi="Calibri"/>
                <w:sz w:val="14"/>
              </w:rPr>
              <w:t>CII gives a misleading screening verdict (thresholds laboratory-specific; poor performance reported for some crudes).</w:t>
            </w:r>
          </w:p>
        </w:tc>
        <w:tc>
          <w:tcPr>
            <w:tcW w:type="dxa" w:w="953"/>
            <w:shd w:val="clear" w:color="auto" w:fill="F4F7F9"/>
          </w:tcPr>
          <w:p>
            <w:pPr>
              <w:spacing w:after="20" w:line="240" w:lineRule="auto"/>
            </w:pPr>
            <w:r/>
            <w:r>
              <w:rPr>
                <w:rFonts w:ascii="Calibri" w:hAnsi="Calibri"/>
                <w:sz w:val="14"/>
              </w:rPr>
              <w:t>Technical — screening</w:t>
            </w:r>
          </w:p>
        </w:tc>
        <w:tc>
          <w:tcPr>
            <w:tcW w:type="dxa" w:w="371"/>
            <w:shd w:val="clear" w:color="auto" w:fill="F4F7F9"/>
          </w:tcPr>
          <w:p>
            <w:pPr>
              <w:spacing w:after="20" w:line="240" w:lineRule="auto"/>
            </w:pPr>
            <w:r/>
            <w:r>
              <w:rPr>
                <w:rFonts w:ascii="Calibri" w:hAnsi="Calibri"/>
                <w:sz w:val="14"/>
              </w:rPr>
              <w:t>2</w:t>
            </w:r>
          </w:p>
        </w:tc>
        <w:tc>
          <w:tcPr>
            <w:tcW w:type="dxa" w:w="371"/>
            <w:shd w:val="clear" w:color="auto" w:fill="F4F7F9"/>
          </w:tcPr>
          <w:p>
            <w:pPr>
              <w:spacing w:after="20" w:line="240" w:lineRule="auto"/>
            </w:pPr>
            <w:r/>
            <w:r>
              <w:rPr>
                <w:rFonts w:ascii="Calibri" w:hAnsi="Calibri"/>
                <w:sz w:val="14"/>
              </w:rPr>
              <w:t>2</w:t>
            </w:r>
          </w:p>
        </w:tc>
        <w:tc>
          <w:tcPr>
            <w:tcW w:type="dxa" w:w="635"/>
            <w:shd w:val="clear" w:color="auto" w:fill="F4F7F9"/>
          </w:tcPr>
          <w:p>
            <w:pPr>
              <w:spacing w:after="20" w:line="240" w:lineRule="auto"/>
            </w:pPr>
            <w:r/>
            <w:r>
              <w:rPr>
                <w:rFonts w:ascii="Calibri" w:hAnsi="Calibri"/>
                <w:sz w:val="14"/>
              </w:rPr>
              <w:t>4</w:t>
            </w:r>
          </w:p>
        </w:tc>
        <w:tc>
          <w:tcPr>
            <w:tcW w:type="dxa" w:w="3283"/>
            <w:shd w:val="clear" w:color="auto" w:fill="F4F7F9"/>
          </w:tcPr>
          <w:p>
            <w:pPr>
              <w:spacing w:after="20" w:line="240" w:lineRule="auto"/>
            </w:pPr>
            <w:r/>
            <w:r>
              <w:rPr>
                <w:rFonts w:ascii="Calibri" w:hAnsi="Calibri"/>
                <w:sz w:val="14"/>
              </w:rPr>
              <w:t>CII is never used alone: always paired with the de Boer density/under-saturation screen and a measured onset curve; the caveat is stated on the slide.</w:t>
            </w:r>
          </w:p>
        </w:tc>
        <w:tc>
          <w:tcPr>
            <w:tcW w:type="dxa" w:w="1694"/>
            <w:shd w:val="clear" w:color="auto" w:fill="F4F7F9"/>
          </w:tcPr>
          <w:p>
            <w:pPr>
              <w:spacing w:after="20" w:line="240" w:lineRule="auto"/>
            </w:pPr>
            <w:r/>
            <w:r>
              <w:rPr>
                <w:rFonts w:ascii="Calibri" w:hAnsi="Calibri"/>
                <w:sz w:val="14"/>
              </w:rPr>
              <w:t>CII lands in the 0.7–0.9 band.</w:t>
            </w:r>
          </w:p>
        </w:tc>
      </w:tr>
      <w:tr>
        <w:tc>
          <w:tcPr>
            <w:tcW w:type="dxa" w:w="477"/>
          </w:tcPr>
          <w:p>
            <w:pPr>
              <w:spacing w:after="20" w:line="240" w:lineRule="auto"/>
            </w:pPr>
            <w:r/>
            <w:r>
              <w:rPr>
                <w:rFonts w:ascii="Calibri" w:hAnsi="Calibri"/>
                <w:sz w:val="14"/>
              </w:rPr>
              <w:t>R3</w:t>
            </w:r>
          </w:p>
        </w:tc>
        <w:tc>
          <w:tcPr>
            <w:tcW w:type="dxa" w:w="2648"/>
          </w:tcPr>
          <w:p>
            <w:pPr>
              <w:spacing w:after="20" w:line="240" w:lineRule="auto"/>
            </w:pPr>
            <w:r/>
            <w:r>
              <w:rPr>
                <w:rFonts w:ascii="Calibri" w:hAnsi="Calibri"/>
                <w:sz w:val="14"/>
              </w:rPr>
              <w:t>A classic misconception trap in Q&amp;A (de Boer plot definition; “deposits form where pressure drops fastest”).</w:t>
            </w:r>
          </w:p>
        </w:tc>
        <w:tc>
          <w:tcPr>
            <w:tcW w:type="dxa" w:w="953"/>
          </w:tcPr>
          <w:p>
            <w:pPr>
              <w:spacing w:after="20" w:line="240" w:lineRule="auto"/>
            </w:pPr>
            <w:r/>
            <w:r>
              <w:rPr>
                <w:rFonts w:ascii="Calibri" w:hAnsi="Calibri"/>
                <w:sz w:val="14"/>
              </w:rPr>
              <w:t>Presentation — credibility</w:t>
            </w:r>
          </w:p>
        </w:tc>
        <w:tc>
          <w:tcPr>
            <w:tcW w:type="dxa" w:w="371"/>
          </w:tcPr>
          <w:p>
            <w:pPr>
              <w:spacing w:after="20" w:line="240" w:lineRule="auto"/>
            </w:pPr>
            <w:r/>
            <w:r>
              <w:rPr>
                <w:rFonts w:ascii="Calibri" w:hAnsi="Calibri"/>
                <w:sz w:val="14"/>
              </w:rPr>
              <w:t>2</w:t>
            </w:r>
          </w:p>
        </w:tc>
        <w:tc>
          <w:tcPr>
            <w:tcW w:type="dxa" w:w="371"/>
          </w:tcPr>
          <w:p>
            <w:pPr>
              <w:spacing w:after="20" w:line="240" w:lineRule="auto"/>
            </w:pPr>
            <w:r/>
            <w:r>
              <w:rPr>
                <w:rFonts w:ascii="Calibri" w:hAnsi="Calibri"/>
                <w:sz w:val="14"/>
              </w:rPr>
              <w:t>3</w:t>
            </w:r>
          </w:p>
        </w:tc>
        <w:tc>
          <w:tcPr>
            <w:tcW w:type="dxa" w:w="635"/>
          </w:tcPr>
          <w:p>
            <w:pPr>
              <w:spacing w:after="20" w:line="240" w:lineRule="auto"/>
            </w:pPr>
            <w:r/>
            <w:r>
              <w:rPr>
                <w:rFonts w:ascii="Calibri" w:hAnsi="Calibri"/>
                <w:sz w:val="14"/>
              </w:rPr>
              <w:t>6</w:t>
            </w:r>
          </w:p>
        </w:tc>
        <w:tc>
          <w:tcPr>
            <w:tcW w:type="dxa" w:w="3283"/>
          </w:tcPr>
          <w:p>
            <w:pPr>
              <w:spacing w:after="20" w:line="240" w:lineRule="auto"/>
            </w:pPr>
            <w:r/>
            <w:r>
              <w:rPr>
                <w:rFonts w:ascii="Calibri" w:hAnsi="Calibri"/>
                <w:sz w:val="14"/>
              </w:rPr>
              <w:t>Both corrected in the deck, the script and Q6/Q29; the misconception is now turned into a deliberate teaching point on slide 12.</w:t>
            </w:r>
          </w:p>
        </w:tc>
        <w:tc>
          <w:tcPr>
            <w:tcW w:type="dxa" w:w="1694"/>
          </w:tcPr>
          <w:p>
            <w:pPr>
              <w:spacing w:after="20" w:line="240" w:lineRule="auto"/>
            </w:pPr>
            <w:r/>
            <w:r>
              <w:rPr>
                <w:rFonts w:ascii="Calibri" w:hAnsi="Calibri"/>
                <w:sz w:val="14"/>
              </w:rPr>
              <w:t>An examiner opens with “isn’t the de Boer plot…”.</w:t>
              <w:tab/>
            </w:r>
          </w:p>
        </w:tc>
      </w:tr>
      <w:tr>
        <w:tc>
          <w:tcPr>
            <w:tcW w:type="dxa" w:w="477"/>
            <w:shd w:val="clear" w:color="auto" w:fill="F4F7F9"/>
          </w:tcPr>
          <w:p>
            <w:pPr>
              <w:spacing w:after="20" w:line="240" w:lineRule="auto"/>
            </w:pPr>
            <w:r/>
            <w:r>
              <w:rPr>
                <w:rFonts w:ascii="Calibri" w:hAnsi="Calibri"/>
                <w:sz w:val="14"/>
              </w:rPr>
              <w:t>R4</w:t>
            </w:r>
          </w:p>
        </w:tc>
        <w:tc>
          <w:tcPr>
            <w:tcW w:type="dxa" w:w="2648"/>
            <w:shd w:val="clear" w:color="auto" w:fill="F4F7F9"/>
          </w:tcPr>
          <w:p>
            <w:pPr>
              <w:spacing w:after="20" w:line="240" w:lineRule="auto"/>
            </w:pPr>
            <w:r/>
            <w:r>
              <w:rPr>
                <w:rFonts w:ascii="Calibri" w:hAnsi="Calibri"/>
                <w:sz w:val="14"/>
              </w:rPr>
              <w:t>Over-claiming: presenting a thermodynamic onset model as a deposition predictor.</w:t>
            </w:r>
          </w:p>
        </w:tc>
        <w:tc>
          <w:tcPr>
            <w:tcW w:type="dxa" w:w="953"/>
            <w:shd w:val="clear" w:color="auto" w:fill="F4F7F9"/>
          </w:tcPr>
          <w:p>
            <w:pPr>
              <w:spacing w:after="20" w:line="240" w:lineRule="auto"/>
            </w:pPr>
            <w:r/>
            <w:r>
              <w:rPr>
                <w:rFonts w:ascii="Calibri" w:hAnsi="Calibri"/>
                <w:sz w:val="14"/>
              </w:rPr>
              <w:t>Technical — scope</w:t>
            </w:r>
          </w:p>
        </w:tc>
        <w:tc>
          <w:tcPr>
            <w:tcW w:type="dxa" w:w="371"/>
            <w:shd w:val="clear" w:color="auto" w:fill="F4F7F9"/>
          </w:tcPr>
          <w:p>
            <w:pPr>
              <w:spacing w:after="20" w:line="240" w:lineRule="auto"/>
            </w:pPr>
            <w:r/>
            <w:r>
              <w:rPr>
                <w:rFonts w:ascii="Calibri" w:hAnsi="Calibri"/>
                <w:sz w:val="14"/>
              </w:rPr>
              <w:t>2</w:t>
            </w:r>
          </w:p>
        </w:tc>
        <w:tc>
          <w:tcPr>
            <w:tcW w:type="dxa" w:w="371"/>
            <w:shd w:val="clear" w:color="auto" w:fill="F4F7F9"/>
          </w:tcPr>
          <w:p>
            <w:pPr>
              <w:spacing w:after="20" w:line="240" w:lineRule="auto"/>
            </w:pPr>
            <w:r/>
            <w:r>
              <w:rPr>
                <w:rFonts w:ascii="Calibri" w:hAnsi="Calibri"/>
                <w:sz w:val="14"/>
              </w:rPr>
              <w:t>3</w:t>
            </w:r>
          </w:p>
        </w:tc>
        <w:tc>
          <w:tcPr>
            <w:tcW w:type="dxa" w:w="635"/>
            <w:shd w:val="clear" w:color="auto" w:fill="F4F7F9"/>
          </w:tcPr>
          <w:p>
            <w:pPr>
              <w:spacing w:after="20" w:line="240" w:lineRule="auto"/>
            </w:pPr>
            <w:r/>
            <w:r>
              <w:rPr>
                <w:rFonts w:ascii="Calibri" w:hAnsi="Calibri"/>
                <w:sz w:val="14"/>
              </w:rPr>
              <w:t>6</w:t>
            </w:r>
          </w:p>
        </w:tc>
        <w:tc>
          <w:tcPr>
            <w:tcW w:type="dxa" w:w="3283"/>
            <w:shd w:val="clear" w:color="auto" w:fill="F4F7F9"/>
          </w:tcPr>
          <w:p>
            <w:pPr>
              <w:spacing w:after="20" w:line="240" w:lineRule="auto"/>
            </w:pPr>
            <w:r/>
            <w:r>
              <w:rPr>
                <w:rFonts w:ascii="Calibri" w:hAnsi="Calibri"/>
                <w:sz w:val="14"/>
              </w:rPr>
              <w:t>Precipitation ≠ deposition is the red box of slide 9; limitations on slide 21; deposition-transport modelling declared first-order.</w:t>
            </w:r>
          </w:p>
        </w:tc>
        <w:tc>
          <w:tcPr>
            <w:tcW w:type="dxa" w:w="1694"/>
            <w:shd w:val="clear" w:color="auto" w:fill="F4F7F9"/>
          </w:tcPr>
          <w:p>
            <w:pPr>
              <w:spacing w:after="20" w:line="240" w:lineRule="auto"/>
            </w:pPr>
            <w:r/>
            <w:r>
              <w:rPr>
                <w:rFonts w:ascii="Calibri" w:hAnsi="Calibri"/>
                <w:sz w:val="14"/>
              </w:rPr>
              <w:t>Any question about deposit thickness or growth rate.</w:t>
            </w:r>
          </w:p>
        </w:tc>
      </w:tr>
      <w:tr>
        <w:tc>
          <w:tcPr>
            <w:tcW w:type="dxa" w:w="477"/>
          </w:tcPr>
          <w:p>
            <w:pPr>
              <w:spacing w:after="20" w:line="240" w:lineRule="auto"/>
            </w:pPr>
            <w:r/>
            <w:r>
              <w:rPr>
                <w:rFonts w:ascii="Calibri" w:hAnsi="Calibri"/>
                <w:sz w:val="14"/>
              </w:rPr>
              <w:t>R5</w:t>
            </w:r>
          </w:p>
        </w:tc>
        <w:tc>
          <w:tcPr>
            <w:tcW w:type="dxa" w:w="2648"/>
          </w:tcPr>
          <w:p>
            <w:pPr>
              <w:spacing w:after="20" w:line="240" w:lineRule="auto"/>
            </w:pPr>
            <w:r/>
            <w:r>
              <w:rPr>
                <w:rFonts w:ascii="Calibri" w:hAnsi="Calibri"/>
                <w:sz w:val="14"/>
              </w:rPr>
              <w:t>Licensed PVT / flow-assurance software unavailable.</w:t>
            </w:r>
          </w:p>
        </w:tc>
        <w:tc>
          <w:tcPr>
            <w:tcW w:type="dxa" w:w="953"/>
          </w:tcPr>
          <w:p>
            <w:pPr>
              <w:spacing w:after="20" w:line="240" w:lineRule="auto"/>
            </w:pPr>
            <w:r/>
            <w:r>
              <w:rPr>
                <w:rFonts w:ascii="Calibri" w:hAnsi="Calibri"/>
                <w:sz w:val="14"/>
              </w:rPr>
              <w:t>Project — tools</w:t>
            </w:r>
          </w:p>
        </w:tc>
        <w:tc>
          <w:tcPr>
            <w:tcW w:type="dxa" w:w="371"/>
          </w:tcPr>
          <w:p>
            <w:pPr>
              <w:spacing w:after="20" w:line="240" w:lineRule="auto"/>
            </w:pPr>
            <w:r/>
            <w:r>
              <w:rPr>
                <w:rFonts w:ascii="Calibri" w:hAnsi="Calibri"/>
                <w:sz w:val="14"/>
              </w:rPr>
              <w:t>2</w:t>
            </w:r>
          </w:p>
        </w:tc>
        <w:tc>
          <w:tcPr>
            <w:tcW w:type="dxa" w:w="371"/>
          </w:tcPr>
          <w:p>
            <w:pPr>
              <w:spacing w:after="20" w:line="240" w:lineRule="auto"/>
            </w:pPr>
            <w:r/>
            <w:r>
              <w:rPr>
                <w:rFonts w:ascii="Calibri" w:hAnsi="Calibri"/>
                <w:sz w:val="14"/>
              </w:rPr>
              <w:t>2</w:t>
            </w:r>
          </w:p>
        </w:tc>
        <w:tc>
          <w:tcPr>
            <w:tcW w:type="dxa" w:w="635"/>
          </w:tcPr>
          <w:p>
            <w:pPr>
              <w:spacing w:after="20" w:line="240" w:lineRule="auto"/>
            </w:pPr>
            <w:r/>
            <w:r>
              <w:rPr>
                <w:rFonts w:ascii="Calibri" w:hAnsi="Calibri"/>
                <w:sz w:val="14"/>
              </w:rPr>
              <w:t>4</w:t>
            </w:r>
          </w:p>
        </w:tc>
        <w:tc>
          <w:tcPr>
            <w:tcW w:type="dxa" w:w="3283"/>
          </w:tcPr>
          <w:p>
            <w:pPr>
              <w:spacing w:after="20" w:line="240" w:lineRule="auto"/>
            </w:pPr>
            <w:r/>
            <w:r>
              <w:rPr>
                <w:rFonts w:ascii="Calibri" w:hAnsi="Calibri"/>
                <w:sz w:val="14"/>
              </w:rPr>
              <w:t>Tool hierarchy declared on slide 20 and in Q20: licensed → NeqSim (CPA-EoS, verified available, Apache-2.0) → correlation screening as the floor.</w:t>
            </w:r>
          </w:p>
        </w:tc>
        <w:tc>
          <w:tcPr>
            <w:tcW w:type="dxa" w:w="1694"/>
          </w:tcPr>
          <w:p>
            <w:pPr>
              <w:spacing w:after="20" w:line="240" w:lineRule="auto"/>
            </w:pPr>
            <w:r/>
            <w:r>
              <w:rPr>
                <w:rFonts w:ascii="Calibri" w:hAnsi="Calibri"/>
                <w:sz w:val="14"/>
              </w:rPr>
              <w:t>Week-1 licence enquiry returns negative.</w:t>
            </w:r>
          </w:p>
        </w:tc>
      </w:tr>
      <w:tr>
        <w:tc>
          <w:tcPr>
            <w:tcW w:type="dxa" w:w="477"/>
            <w:shd w:val="clear" w:color="auto" w:fill="F4F7F9"/>
          </w:tcPr>
          <w:p>
            <w:pPr>
              <w:spacing w:after="20" w:line="240" w:lineRule="auto"/>
            </w:pPr>
            <w:r/>
            <w:r>
              <w:rPr>
                <w:rFonts w:ascii="Calibri" w:hAnsi="Calibri"/>
                <w:sz w:val="14"/>
              </w:rPr>
              <w:t>R6</w:t>
            </w:r>
          </w:p>
        </w:tc>
        <w:tc>
          <w:tcPr>
            <w:tcW w:type="dxa" w:w="2648"/>
            <w:shd w:val="clear" w:color="auto" w:fill="F4F7F9"/>
          </w:tcPr>
          <w:p>
            <w:pPr>
              <w:spacing w:after="20" w:line="240" w:lineRule="auto"/>
            </w:pPr>
            <w:r/>
            <w:r>
              <w:rPr>
                <w:rFonts w:ascii="Calibri" w:hAnsi="Calibri"/>
                <w:sz w:val="14"/>
              </w:rPr>
              <w:t>The chosen case well lacks the data needed to tune the model (no measured AOP, no reliable production history).</w:t>
            </w:r>
          </w:p>
        </w:tc>
        <w:tc>
          <w:tcPr>
            <w:tcW w:type="dxa" w:w="953"/>
            <w:shd w:val="clear" w:color="auto" w:fill="F4F7F9"/>
          </w:tcPr>
          <w:p>
            <w:pPr>
              <w:spacing w:after="20" w:line="240" w:lineRule="auto"/>
            </w:pPr>
            <w:r/>
            <w:r>
              <w:rPr>
                <w:rFonts w:ascii="Calibri" w:hAnsi="Calibri"/>
                <w:sz w:val="14"/>
              </w:rPr>
              <w:t>Project — data</w:t>
            </w:r>
          </w:p>
        </w:tc>
        <w:tc>
          <w:tcPr>
            <w:tcW w:type="dxa" w:w="371"/>
            <w:shd w:val="clear" w:color="auto" w:fill="F4F7F9"/>
          </w:tcPr>
          <w:p>
            <w:pPr>
              <w:spacing w:after="20" w:line="240" w:lineRule="auto"/>
            </w:pPr>
            <w:r/>
            <w:r>
              <w:rPr>
                <w:rFonts w:ascii="Calibri" w:hAnsi="Calibri"/>
                <w:sz w:val="14"/>
              </w:rPr>
              <w:t>2</w:t>
            </w:r>
          </w:p>
        </w:tc>
        <w:tc>
          <w:tcPr>
            <w:tcW w:type="dxa" w:w="371"/>
            <w:shd w:val="clear" w:color="auto" w:fill="F4F7F9"/>
          </w:tcPr>
          <w:p>
            <w:pPr>
              <w:spacing w:after="20" w:line="240" w:lineRule="auto"/>
            </w:pPr>
            <w:r/>
            <w:r>
              <w:rPr>
                <w:rFonts w:ascii="Calibri" w:hAnsi="Calibri"/>
                <w:sz w:val="14"/>
              </w:rPr>
              <w:t>3</w:t>
            </w:r>
          </w:p>
        </w:tc>
        <w:tc>
          <w:tcPr>
            <w:tcW w:type="dxa" w:w="635"/>
            <w:shd w:val="clear" w:color="auto" w:fill="F4F7F9"/>
          </w:tcPr>
          <w:p>
            <w:pPr>
              <w:spacing w:after="20" w:line="240" w:lineRule="auto"/>
            </w:pPr>
            <w:r/>
            <w:r>
              <w:rPr>
                <w:rFonts w:ascii="Calibri" w:hAnsi="Calibri"/>
                <w:sz w:val="14"/>
              </w:rPr>
              <w:t>6</w:t>
            </w:r>
          </w:p>
        </w:tc>
        <w:tc>
          <w:tcPr>
            <w:tcW w:type="dxa" w:w="3283"/>
            <w:shd w:val="clear" w:color="auto" w:fill="F4F7F9"/>
          </w:tcPr>
          <w:p>
            <w:pPr>
              <w:spacing w:after="20" w:line="240" w:lineRule="auto"/>
            </w:pPr>
            <w:r/>
            <w:r>
              <w:rPr>
                <w:rFonts w:ascii="Calibri" w:hAnsi="Calibri"/>
                <w:sz w:val="14"/>
              </w:rPr>
              <w:t>Week 1: case selection against a data-availability checklist; fallback is a published AOP for a comparable fluid, declared explicitly.</w:t>
            </w:r>
          </w:p>
        </w:tc>
        <w:tc>
          <w:tcPr>
            <w:tcW w:type="dxa" w:w="1694"/>
            <w:shd w:val="clear" w:color="auto" w:fill="F4F7F9"/>
          </w:tcPr>
          <w:p>
            <w:pPr>
              <w:spacing w:after="20" w:line="240" w:lineRule="auto"/>
            </w:pPr>
            <w:r/>
            <w:r>
              <w:rPr>
                <w:rFonts w:ascii="Calibri" w:hAnsi="Calibri"/>
                <w:sz w:val="14"/>
              </w:rPr>
              <w:t>Case data sheet incomplete at Week 2 review.</w:t>
            </w:r>
          </w:p>
        </w:tc>
      </w:tr>
      <w:tr>
        <w:tc>
          <w:tcPr>
            <w:tcW w:type="dxa" w:w="477"/>
          </w:tcPr>
          <w:p>
            <w:pPr>
              <w:spacing w:after="20" w:line="240" w:lineRule="auto"/>
            </w:pPr>
            <w:r/>
            <w:r>
              <w:rPr>
                <w:rFonts w:ascii="Calibri" w:hAnsi="Calibri"/>
                <w:sz w:val="14"/>
              </w:rPr>
              <w:t>R7</w:t>
            </w:r>
          </w:p>
        </w:tc>
        <w:tc>
          <w:tcPr>
            <w:tcW w:type="dxa" w:w="2648"/>
          </w:tcPr>
          <w:p>
            <w:pPr>
              <w:spacing w:after="20" w:line="240" w:lineRule="auto"/>
            </w:pPr>
            <w:r/>
            <w:r>
              <w:rPr>
                <w:rFonts w:ascii="Calibri" w:hAnsi="Calibri"/>
                <w:sz w:val="14"/>
              </w:rPr>
              <w:t>Over-dosing: above the recommended dose at high destabilisation, inhibitor can INCREASE deposition.</w:t>
            </w:r>
          </w:p>
        </w:tc>
        <w:tc>
          <w:tcPr>
            <w:tcW w:type="dxa" w:w="953"/>
          </w:tcPr>
          <w:p>
            <w:pPr>
              <w:spacing w:after="20" w:line="240" w:lineRule="auto"/>
            </w:pPr>
            <w:r/>
            <w:r>
              <w:rPr>
                <w:rFonts w:ascii="Calibri" w:hAnsi="Calibri"/>
                <w:sz w:val="14"/>
              </w:rPr>
              <w:t>Technical — chemistry</w:t>
            </w:r>
          </w:p>
        </w:tc>
        <w:tc>
          <w:tcPr>
            <w:tcW w:type="dxa" w:w="371"/>
          </w:tcPr>
          <w:p>
            <w:pPr>
              <w:spacing w:after="20" w:line="240" w:lineRule="auto"/>
            </w:pPr>
            <w:r/>
            <w:r>
              <w:rPr>
                <w:rFonts w:ascii="Calibri" w:hAnsi="Calibri"/>
                <w:sz w:val="14"/>
              </w:rPr>
              <w:t>2</w:t>
            </w:r>
          </w:p>
        </w:tc>
        <w:tc>
          <w:tcPr>
            <w:tcW w:type="dxa" w:w="371"/>
          </w:tcPr>
          <w:p>
            <w:pPr>
              <w:spacing w:after="20" w:line="240" w:lineRule="auto"/>
            </w:pPr>
            <w:r/>
            <w:r>
              <w:rPr>
                <w:rFonts w:ascii="Calibri" w:hAnsi="Calibri"/>
                <w:sz w:val="14"/>
              </w:rPr>
              <w:t>2</w:t>
            </w:r>
          </w:p>
        </w:tc>
        <w:tc>
          <w:tcPr>
            <w:tcW w:type="dxa" w:w="635"/>
          </w:tcPr>
          <w:p>
            <w:pPr>
              <w:spacing w:after="20" w:line="240" w:lineRule="auto"/>
            </w:pPr>
            <w:r/>
            <w:r>
              <w:rPr>
                <w:rFonts w:ascii="Calibri" w:hAnsi="Calibri"/>
                <w:sz w:val="14"/>
              </w:rPr>
              <w:t>4</w:t>
            </w:r>
          </w:p>
        </w:tc>
        <w:tc>
          <w:tcPr>
            <w:tcW w:type="dxa" w:w="3283"/>
          </w:tcPr>
          <w:p>
            <w:pPr>
              <w:spacing w:after="20" w:line="240" w:lineRule="auto"/>
            </w:pPr>
            <w:r/>
            <w:r>
              <w:rPr>
                <w:rFonts w:ascii="Calibri" w:hAnsi="Calibri"/>
                <w:sz w:val="14"/>
              </w:rPr>
              <w:t>Dosage presented as a window, never “more is better”; thesis models the optimum; new Q31 arms the answer.</w:t>
            </w:r>
          </w:p>
        </w:tc>
        <w:tc>
          <w:tcPr>
            <w:tcW w:type="dxa" w:w="1694"/>
          </w:tcPr>
          <w:p>
            <w:pPr>
              <w:spacing w:after="20" w:line="240" w:lineRule="auto"/>
            </w:pPr>
            <w:r/>
            <w:r>
              <w:rPr>
                <w:rFonts w:ascii="Calibri" w:hAnsi="Calibri"/>
                <w:sz w:val="14"/>
              </w:rPr>
              <w:t>Any recommendation phrased as a single number.</w:t>
            </w:r>
          </w:p>
        </w:tc>
      </w:tr>
      <w:tr>
        <w:tc>
          <w:tcPr>
            <w:tcW w:type="dxa" w:w="477"/>
            <w:shd w:val="clear" w:color="auto" w:fill="F4F7F9"/>
          </w:tcPr>
          <w:p>
            <w:pPr>
              <w:spacing w:after="20" w:line="240" w:lineRule="auto"/>
            </w:pPr>
            <w:r/>
            <w:r>
              <w:rPr>
                <w:rFonts w:ascii="Calibri" w:hAnsi="Calibri"/>
                <w:sz w:val="14"/>
              </w:rPr>
              <w:t>R8</w:t>
            </w:r>
          </w:p>
        </w:tc>
        <w:tc>
          <w:tcPr>
            <w:tcW w:type="dxa" w:w="2648"/>
            <w:shd w:val="clear" w:color="auto" w:fill="F4F7F9"/>
          </w:tcPr>
          <w:p>
            <w:pPr>
              <w:spacing w:after="20" w:line="240" w:lineRule="auto"/>
            </w:pPr>
            <w:r/>
            <w:r>
              <w:rPr>
                <w:rFonts w:ascii="Calibri" w:hAnsi="Calibri"/>
                <w:sz w:val="14"/>
              </w:rPr>
              <w:t>HSE exposure if lab or field work with aromatic solvents is added later.</w:t>
            </w:r>
          </w:p>
        </w:tc>
        <w:tc>
          <w:tcPr>
            <w:tcW w:type="dxa" w:w="953"/>
            <w:shd w:val="clear" w:color="auto" w:fill="F4F7F9"/>
          </w:tcPr>
          <w:p>
            <w:pPr>
              <w:spacing w:after="20" w:line="240" w:lineRule="auto"/>
            </w:pPr>
            <w:r/>
            <w:r>
              <w:rPr>
                <w:rFonts w:ascii="Calibri" w:hAnsi="Calibri"/>
                <w:sz w:val="14"/>
              </w:rPr>
              <w:t>HSE / ethics</w:t>
            </w:r>
          </w:p>
        </w:tc>
        <w:tc>
          <w:tcPr>
            <w:tcW w:type="dxa" w:w="371"/>
            <w:shd w:val="clear" w:color="auto" w:fill="F4F7F9"/>
          </w:tcPr>
          <w:p>
            <w:pPr>
              <w:spacing w:after="20" w:line="240" w:lineRule="auto"/>
            </w:pPr>
            <w:r/>
            <w:r>
              <w:rPr>
                <w:rFonts w:ascii="Calibri" w:hAnsi="Calibri"/>
                <w:sz w:val="14"/>
              </w:rPr>
              <w:t>1</w:t>
            </w:r>
          </w:p>
        </w:tc>
        <w:tc>
          <w:tcPr>
            <w:tcW w:type="dxa" w:w="371"/>
            <w:shd w:val="clear" w:color="auto" w:fill="F4F7F9"/>
          </w:tcPr>
          <w:p>
            <w:pPr>
              <w:spacing w:after="20" w:line="240" w:lineRule="auto"/>
            </w:pPr>
            <w:r/>
            <w:r>
              <w:rPr>
                <w:rFonts w:ascii="Calibri" w:hAnsi="Calibri"/>
                <w:sz w:val="14"/>
              </w:rPr>
              <w:t>3</w:t>
            </w:r>
          </w:p>
        </w:tc>
        <w:tc>
          <w:tcPr>
            <w:tcW w:type="dxa" w:w="635"/>
            <w:shd w:val="clear" w:color="auto" w:fill="F4F7F9"/>
          </w:tcPr>
          <w:p>
            <w:pPr>
              <w:spacing w:after="20" w:line="240" w:lineRule="auto"/>
            </w:pPr>
            <w:r/>
            <w:r>
              <w:rPr>
                <w:rFonts w:ascii="Calibri" w:hAnsi="Calibri"/>
                <w:sz w:val="14"/>
              </w:rPr>
              <w:t>3</w:t>
            </w:r>
          </w:p>
        </w:tc>
        <w:tc>
          <w:tcPr>
            <w:tcW w:type="dxa" w:w="3283"/>
            <w:shd w:val="clear" w:color="auto" w:fill="F4F7F9"/>
          </w:tcPr>
          <w:p>
            <w:pPr>
              <w:spacing w:after="20" w:line="240" w:lineRule="auto"/>
            </w:pPr>
            <w:r/>
            <w:r>
              <w:rPr>
                <w:rFonts w:ascii="Calibri" w:hAnsi="Calibri"/>
                <w:sz w:val="14"/>
              </w:rPr>
              <w:t>No uncontrolled handling is recommended anywhere in the pack; any future lab work requires COSHH/MSDS, supervisor sign-off and a waste route before the first sample is opened.</w:t>
            </w:r>
          </w:p>
        </w:tc>
        <w:tc>
          <w:tcPr>
            <w:tcW w:type="dxa" w:w="1694"/>
            <w:shd w:val="clear" w:color="auto" w:fill="F4F7F9"/>
          </w:tcPr>
          <w:p>
            <w:pPr>
              <w:spacing w:after="20" w:line="240" w:lineRule="auto"/>
            </w:pPr>
            <w:r/>
            <w:r>
              <w:rPr>
                <w:rFonts w:ascii="Calibri" w:hAnsi="Calibri"/>
                <w:sz w:val="14"/>
              </w:rPr>
              <w:t>A supervisor offers bench work with BTEX solvents.</w:t>
            </w:r>
          </w:p>
        </w:tc>
      </w:tr>
      <w:tr>
        <w:tc>
          <w:tcPr>
            <w:tcW w:type="dxa" w:w="477"/>
          </w:tcPr>
          <w:p>
            <w:pPr>
              <w:spacing w:after="20" w:line="240" w:lineRule="auto"/>
            </w:pPr>
            <w:r/>
            <w:r>
              <w:rPr>
                <w:rFonts w:ascii="Calibri" w:hAnsi="Calibri"/>
                <w:sz w:val="14"/>
              </w:rPr>
              <w:t>R9</w:t>
            </w:r>
          </w:p>
        </w:tc>
        <w:tc>
          <w:tcPr>
            <w:tcW w:type="dxa" w:w="2648"/>
          </w:tcPr>
          <w:p>
            <w:pPr>
              <w:spacing w:after="20" w:line="240" w:lineRule="auto"/>
            </w:pPr>
            <w:r/>
            <w:r>
              <w:rPr>
                <w:rFonts w:ascii="Calibri" w:hAnsi="Calibri"/>
                <w:sz w:val="14"/>
              </w:rPr>
              <w:t>Scope creep — the project grows into deposition-transport physics and misses the 16-week plan.</w:t>
            </w:r>
          </w:p>
        </w:tc>
        <w:tc>
          <w:tcPr>
            <w:tcW w:type="dxa" w:w="953"/>
          </w:tcPr>
          <w:p>
            <w:pPr>
              <w:spacing w:after="20" w:line="240" w:lineRule="auto"/>
            </w:pPr>
            <w:r/>
            <w:r>
              <w:rPr>
                <w:rFonts w:ascii="Calibri" w:hAnsi="Calibri"/>
                <w:sz w:val="14"/>
              </w:rPr>
              <w:t>Project — schedule</w:t>
            </w:r>
          </w:p>
        </w:tc>
        <w:tc>
          <w:tcPr>
            <w:tcW w:type="dxa" w:w="371"/>
          </w:tcPr>
          <w:p>
            <w:pPr>
              <w:spacing w:after="20" w:line="240" w:lineRule="auto"/>
            </w:pPr>
            <w:r/>
            <w:r>
              <w:rPr>
                <w:rFonts w:ascii="Calibri" w:hAnsi="Calibri"/>
                <w:sz w:val="14"/>
              </w:rPr>
              <w:t>2</w:t>
            </w:r>
          </w:p>
        </w:tc>
        <w:tc>
          <w:tcPr>
            <w:tcW w:type="dxa" w:w="371"/>
          </w:tcPr>
          <w:p>
            <w:pPr>
              <w:spacing w:after="20" w:line="240" w:lineRule="auto"/>
            </w:pPr>
            <w:r/>
            <w:r>
              <w:rPr>
                <w:rFonts w:ascii="Calibri" w:hAnsi="Calibri"/>
                <w:sz w:val="14"/>
              </w:rPr>
              <w:t>3</w:t>
            </w:r>
          </w:p>
        </w:tc>
        <w:tc>
          <w:tcPr>
            <w:tcW w:type="dxa" w:w="635"/>
          </w:tcPr>
          <w:p>
            <w:pPr>
              <w:spacing w:after="20" w:line="240" w:lineRule="auto"/>
            </w:pPr>
            <w:r/>
            <w:r>
              <w:rPr>
                <w:rFonts w:ascii="Calibri" w:hAnsi="Calibri"/>
                <w:sz w:val="14"/>
              </w:rPr>
              <w:t>6</w:t>
            </w:r>
          </w:p>
        </w:tc>
        <w:tc>
          <w:tcPr>
            <w:tcW w:type="dxa" w:w="3283"/>
          </w:tcPr>
          <w:p>
            <w:pPr>
              <w:spacing w:after="20" w:line="240" w:lineRule="auto"/>
            </w:pPr>
            <w:r/>
            <w:r>
              <w:rPr>
                <w:rFonts w:ascii="Calibri" w:hAnsi="Calibri"/>
                <w:sz w:val="14"/>
              </w:rPr>
              <w:t>Four work packages each with a named output; scope statement frozen from Week 1; the economics package is the declared cut line.</w:t>
            </w:r>
          </w:p>
        </w:tc>
        <w:tc>
          <w:tcPr>
            <w:tcW w:type="dxa" w:w="1694"/>
          </w:tcPr>
          <w:p>
            <w:pPr>
              <w:spacing w:after="20" w:line="240" w:lineRule="auto"/>
            </w:pPr>
            <w:r/>
            <w:r>
              <w:rPr>
                <w:rFonts w:ascii="Calibri" w:hAnsi="Calibri"/>
                <w:sz w:val="14"/>
              </w:rPr>
              <w:t>Any week without a deliverable.</w:t>
            </w:r>
          </w:p>
        </w:tc>
      </w:tr>
      <w:tr>
        <w:tc>
          <w:tcPr>
            <w:tcW w:type="dxa" w:w="477"/>
            <w:shd w:val="clear" w:color="auto" w:fill="F4F7F9"/>
          </w:tcPr>
          <w:p>
            <w:pPr>
              <w:spacing w:after="20" w:line="240" w:lineRule="auto"/>
            </w:pPr>
            <w:r/>
            <w:r>
              <w:rPr>
                <w:rFonts w:ascii="Calibri" w:hAnsi="Calibri"/>
                <w:sz w:val="14"/>
              </w:rPr>
              <w:t>R10</w:t>
            </w:r>
          </w:p>
        </w:tc>
        <w:tc>
          <w:tcPr>
            <w:tcW w:type="dxa" w:w="2648"/>
            <w:shd w:val="clear" w:color="auto" w:fill="F4F7F9"/>
          </w:tcPr>
          <w:p>
            <w:pPr>
              <w:spacing w:after="20" w:line="240" w:lineRule="auto"/>
            </w:pPr>
            <w:r/>
            <w:r>
              <w:rPr>
                <w:rFonts w:ascii="Calibri" w:hAnsi="Calibri"/>
                <w:sz w:val="14"/>
              </w:rPr>
              <w:t>Seminar overruns 15 minutes.</w:t>
            </w:r>
          </w:p>
        </w:tc>
        <w:tc>
          <w:tcPr>
            <w:tcW w:type="dxa" w:w="953"/>
            <w:shd w:val="clear" w:color="auto" w:fill="F4F7F9"/>
          </w:tcPr>
          <w:p>
            <w:pPr>
              <w:spacing w:after="20" w:line="240" w:lineRule="auto"/>
            </w:pPr>
            <w:r/>
            <w:r>
              <w:rPr>
                <w:rFonts w:ascii="Calibri" w:hAnsi="Calibri"/>
                <w:sz w:val="14"/>
              </w:rPr>
              <w:t>Presentation — delivery</w:t>
            </w:r>
          </w:p>
        </w:tc>
        <w:tc>
          <w:tcPr>
            <w:tcW w:type="dxa" w:w="371"/>
            <w:shd w:val="clear" w:color="auto" w:fill="F4F7F9"/>
          </w:tcPr>
          <w:p>
            <w:pPr>
              <w:spacing w:after="20" w:line="240" w:lineRule="auto"/>
            </w:pPr>
            <w:r/>
            <w:r>
              <w:rPr>
                <w:rFonts w:ascii="Calibri" w:hAnsi="Calibri"/>
                <w:sz w:val="14"/>
              </w:rPr>
              <w:t>2</w:t>
            </w:r>
          </w:p>
        </w:tc>
        <w:tc>
          <w:tcPr>
            <w:tcW w:type="dxa" w:w="371"/>
            <w:shd w:val="clear" w:color="auto" w:fill="F4F7F9"/>
          </w:tcPr>
          <w:p>
            <w:pPr>
              <w:spacing w:after="20" w:line="240" w:lineRule="auto"/>
            </w:pPr>
            <w:r/>
            <w:r>
              <w:rPr>
                <w:rFonts w:ascii="Calibri" w:hAnsi="Calibri"/>
                <w:sz w:val="14"/>
              </w:rPr>
              <w:t>2</w:t>
            </w:r>
          </w:p>
        </w:tc>
        <w:tc>
          <w:tcPr>
            <w:tcW w:type="dxa" w:w="635"/>
            <w:shd w:val="clear" w:color="auto" w:fill="F4F7F9"/>
          </w:tcPr>
          <w:p>
            <w:pPr>
              <w:spacing w:after="20" w:line="240" w:lineRule="auto"/>
            </w:pPr>
            <w:r/>
            <w:r>
              <w:rPr>
                <w:rFonts w:ascii="Calibri" w:hAnsi="Calibri"/>
                <w:sz w:val="14"/>
              </w:rPr>
              <w:t>4</w:t>
            </w:r>
          </w:p>
        </w:tc>
        <w:tc>
          <w:tcPr>
            <w:tcW w:type="dxa" w:w="3283"/>
            <w:shd w:val="clear" w:color="auto" w:fill="F4F7F9"/>
          </w:tcPr>
          <w:p>
            <w:pPr>
              <w:spacing w:after="20" w:line="240" w:lineRule="auto"/>
            </w:pPr>
            <w:r/>
            <w:r>
              <w:rPr>
                <w:rFonts w:ascii="Calibri" w:hAnsi="Calibri"/>
                <w:sz w:val="14"/>
              </w:rPr>
              <w:t>Checkpoints at slides 12 / 13 / 17 / 22 with a rehearsed cut list; script word-budgeted to 14:10.</w:t>
            </w:r>
          </w:p>
        </w:tc>
        <w:tc>
          <w:tcPr>
            <w:tcW w:type="dxa" w:w="1694"/>
            <w:shd w:val="clear" w:color="auto" w:fill="F4F7F9"/>
          </w:tcPr>
          <w:p>
            <w:pPr>
              <w:spacing w:after="20" w:line="240" w:lineRule="auto"/>
            </w:pPr>
            <w:r/>
            <w:r>
              <w:rPr>
                <w:rFonts w:ascii="Calibri" w:hAnsi="Calibri"/>
                <w:sz w:val="14"/>
              </w:rPr>
              <w:t>Checkpoint missed by &gt; 20 s in rehearsal.</w:t>
            </w:r>
          </w:p>
        </w:tc>
      </w:tr>
      <w:tr>
        <w:tc>
          <w:tcPr>
            <w:tcW w:type="dxa" w:w="477"/>
          </w:tcPr>
          <w:p>
            <w:pPr>
              <w:spacing w:after="20" w:line="240" w:lineRule="auto"/>
            </w:pPr>
            <w:r/>
            <w:r>
              <w:rPr>
                <w:rFonts w:ascii="Calibri" w:hAnsi="Calibri"/>
                <w:sz w:val="14"/>
              </w:rPr>
              <w:t>R11</w:t>
            </w:r>
          </w:p>
        </w:tc>
        <w:tc>
          <w:tcPr>
            <w:tcW w:type="dxa" w:w="2648"/>
          </w:tcPr>
          <w:p>
            <w:pPr>
              <w:spacing w:after="20" w:line="240" w:lineRule="auto"/>
            </w:pPr>
            <w:r/>
            <w:r>
              <w:rPr>
                <w:rFonts w:ascii="Calibri" w:hAnsi="Calibri"/>
                <w:sz w:val="14"/>
              </w:rPr>
              <w:t>Cost-attribution conflict challenged (Middle East vs GoM inhibitor ranges).</w:t>
            </w:r>
          </w:p>
        </w:tc>
        <w:tc>
          <w:tcPr>
            <w:tcW w:type="dxa" w:w="953"/>
          </w:tcPr>
          <w:p>
            <w:pPr>
              <w:spacing w:after="20" w:line="240" w:lineRule="auto"/>
            </w:pPr>
            <w:r/>
            <w:r>
              <w:rPr>
                <w:rFonts w:ascii="Calibri" w:hAnsi="Calibri"/>
                <w:sz w:val="14"/>
              </w:rPr>
              <w:t>Presentation — sources</w:t>
            </w:r>
          </w:p>
        </w:tc>
        <w:tc>
          <w:tcPr>
            <w:tcW w:type="dxa" w:w="371"/>
          </w:tcPr>
          <w:p>
            <w:pPr>
              <w:spacing w:after="20" w:line="240" w:lineRule="auto"/>
            </w:pPr>
            <w:r/>
            <w:r>
              <w:rPr>
                <w:rFonts w:ascii="Calibri" w:hAnsi="Calibri"/>
                <w:sz w:val="14"/>
              </w:rPr>
              <w:t>2</w:t>
            </w:r>
          </w:p>
        </w:tc>
        <w:tc>
          <w:tcPr>
            <w:tcW w:type="dxa" w:w="371"/>
          </w:tcPr>
          <w:p>
            <w:pPr>
              <w:spacing w:after="20" w:line="240" w:lineRule="auto"/>
            </w:pPr>
            <w:r/>
            <w:r>
              <w:rPr>
                <w:rFonts w:ascii="Calibri" w:hAnsi="Calibri"/>
                <w:sz w:val="14"/>
              </w:rPr>
              <w:t>2</w:t>
            </w:r>
          </w:p>
        </w:tc>
        <w:tc>
          <w:tcPr>
            <w:tcW w:type="dxa" w:w="635"/>
          </w:tcPr>
          <w:p>
            <w:pPr>
              <w:spacing w:after="20" w:line="240" w:lineRule="auto"/>
            </w:pPr>
            <w:r/>
            <w:r>
              <w:rPr>
                <w:rFonts w:ascii="Calibri" w:hAnsi="Calibri"/>
                <w:sz w:val="14"/>
              </w:rPr>
              <w:t>4</w:t>
            </w:r>
          </w:p>
        </w:tc>
        <w:tc>
          <w:tcPr>
            <w:tcW w:type="dxa" w:w="3283"/>
          </w:tcPr>
          <w:p>
            <w:pPr>
              <w:spacing w:after="20" w:line="240" w:lineRule="auto"/>
            </w:pPr>
            <w:r/>
            <w:r>
              <w:rPr>
                <w:rFonts w:ascii="Calibri" w:hAnsi="Calibri"/>
                <w:sz w:val="14"/>
              </w:rPr>
              <w:t>Caveat printed on slide 17; full explanation in Q26 and 04_Source_Log.docx; the majority attribution is quoted and the discrepancy flagged.</w:t>
            </w:r>
          </w:p>
        </w:tc>
        <w:tc>
          <w:tcPr>
            <w:tcW w:type="dxa" w:w="1694"/>
          </w:tcPr>
          <w:p>
            <w:pPr>
              <w:spacing w:after="20" w:line="240" w:lineRule="auto"/>
            </w:pPr>
            <w:r/>
            <w:r>
              <w:rPr>
                <w:rFonts w:ascii="Calibri" w:hAnsi="Calibri"/>
                <w:sz w:val="14"/>
              </w:rPr>
              <w:t>Examiner cites the Energy &amp; Fuels (2021) attribution.</w:t>
            </w:r>
          </w:p>
        </w:tc>
      </w:tr>
      <w:tr>
        <w:tc>
          <w:tcPr>
            <w:tcW w:type="dxa" w:w="477"/>
            <w:shd w:val="clear" w:color="auto" w:fill="F4F7F9"/>
          </w:tcPr>
          <w:p>
            <w:pPr>
              <w:spacing w:after="20" w:line="240" w:lineRule="auto"/>
            </w:pPr>
            <w:r/>
            <w:r>
              <w:rPr>
                <w:rFonts w:ascii="Calibri" w:hAnsi="Calibri"/>
                <w:sz w:val="14"/>
              </w:rPr>
              <w:t>R12</w:t>
            </w:r>
          </w:p>
        </w:tc>
        <w:tc>
          <w:tcPr>
            <w:tcW w:type="dxa" w:w="2648"/>
            <w:shd w:val="clear" w:color="auto" w:fill="F4F7F9"/>
          </w:tcPr>
          <w:p>
            <w:pPr>
              <w:spacing w:after="20" w:line="240" w:lineRule="auto"/>
            </w:pPr>
            <w:r/>
            <w:r>
              <w:rPr>
                <w:rFonts w:ascii="Calibri" w:hAnsi="Calibri"/>
                <w:sz w:val="14"/>
              </w:rPr>
              <w:t>Thermal-method claim challenged with a counter-example (steam treatments reporting high permeability recovery).</w:t>
            </w:r>
          </w:p>
        </w:tc>
        <w:tc>
          <w:tcPr>
            <w:tcW w:type="dxa" w:w="953"/>
            <w:shd w:val="clear" w:color="auto" w:fill="F4F7F9"/>
          </w:tcPr>
          <w:p>
            <w:pPr>
              <w:spacing w:after="20" w:line="240" w:lineRule="auto"/>
            </w:pPr>
            <w:r/>
            <w:r>
              <w:rPr>
                <w:rFonts w:ascii="Calibri" w:hAnsi="Calibri"/>
                <w:sz w:val="14"/>
              </w:rPr>
              <w:t>Technical — technical challenge</w:t>
            </w:r>
          </w:p>
        </w:tc>
        <w:tc>
          <w:tcPr>
            <w:tcW w:type="dxa" w:w="371"/>
            <w:shd w:val="clear" w:color="auto" w:fill="F4F7F9"/>
          </w:tcPr>
          <w:p>
            <w:pPr>
              <w:spacing w:after="20" w:line="240" w:lineRule="auto"/>
            </w:pPr>
            <w:r/>
            <w:r>
              <w:rPr>
                <w:rFonts w:ascii="Calibri" w:hAnsi="Calibri"/>
                <w:sz w:val="14"/>
              </w:rPr>
              <w:t>2</w:t>
            </w:r>
          </w:p>
        </w:tc>
        <w:tc>
          <w:tcPr>
            <w:tcW w:type="dxa" w:w="371"/>
            <w:shd w:val="clear" w:color="auto" w:fill="F4F7F9"/>
          </w:tcPr>
          <w:p>
            <w:pPr>
              <w:spacing w:after="20" w:line="240" w:lineRule="auto"/>
            </w:pPr>
            <w:r/>
            <w:r>
              <w:rPr>
                <w:rFonts w:ascii="Calibri" w:hAnsi="Calibri"/>
                <w:sz w:val="14"/>
              </w:rPr>
              <w:t>2</w:t>
            </w:r>
          </w:p>
        </w:tc>
        <w:tc>
          <w:tcPr>
            <w:tcW w:type="dxa" w:w="635"/>
            <w:shd w:val="clear" w:color="auto" w:fill="F4F7F9"/>
          </w:tcPr>
          <w:p>
            <w:pPr>
              <w:spacing w:after="20" w:line="240" w:lineRule="auto"/>
            </w:pPr>
            <w:r/>
            <w:r>
              <w:rPr>
                <w:rFonts w:ascii="Calibri" w:hAnsi="Calibri"/>
                <w:sz w:val="14"/>
              </w:rPr>
              <w:t>4</w:t>
            </w:r>
          </w:p>
        </w:tc>
        <w:tc>
          <w:tcPr>
            <w:tcW w:type="dxa" w:w="3283"/>
            <w:shd w:val="clear" w:color="auto" w:fill="F4F7F9"/>
          </w:tcPr>
          <w:p>
            <w:pPr>
              <w:spacing w:after="20" w:line="240" w:lineRule="auto"/>
            </w:pPr>
            <w:r/>
            <w:r>
              <w:rPr>
                <w:rFonts w:ascii="Calibri" w:hAnsi="Calibri"/>
                <w:sz w:val="14"/>
              </w:rPr>
              <w:t>Slide 15 caption refined; Q30 gives the honest answer: thermal is not a melting/dissolution mechanism, reported steam successes work by other means, and 497 °C steam questions the deposit’s state rather than restoring solubility.</w:t>
            </w:r>
          </w:p>
        </w:tc>
        <w:tc>
          <w:tcPr>
            <w:tcW w:type="dxa" w:w="1694"/>
            <w:shd w:val="clear" w:color="auto" w:fill="F4F7F9"/>
          </w:tcPr>
          <w:p>
            <w:pPr>
              <w:spacing w:after="20" w:line="240" w:lineRule="auto"/>
            </w:pPr>
            <w:r/>
            <w:r>
              <w:rPr>
                <w:rFonts w:ascii="Calibri" w:hAnsi="Calibri"/>
                <w:sz w:val="14"/>
              </w:rPr>
              <w:t>A field case with steam success is quoted.</w:t>
            </w:r>
          </w:p>
        </w:tc>
      </w:tr>
      <w:tr>
        <w:tc>
          <w:tcPr>
            <w:tcW w:type="dxa" w:w="477"/>
          </w:tcPr>
          <w:p>
            <w:pPr>
              <w:spacing w:after="20" w:line="240" w:lineRule="auto"/>
            </w:pPr>
            <w:r/>
            <w:r>
              <w:rPr>
                <w:rFonts w:ascii="Calibri" w:hAnsi="Calibri"/>
                <w:sz w:val="14"/>
              </w:rPr>
              <w:t>R13</w:t>
            </w:r>
          </w:p>
        </w:tc>
        <w:tc>
          <w:tcPr>
            <w:tcW w:type="dxa" w:w="2648"/>
          </w:tcPr>
          <w:p>
            <w:pPr>
              <w:spacing w:after="20" w:line="240" w:lineRule="auto"/>
            </w:pPr>
            <w:r/>
            <w:r>
              <w:rPr>
                <w:rFonts w:ascii="Calibri" w:hAnsi="Calibri"/>
                <w:sz w:val="14"/>
              </w:rPr>
              <w:t>Island-vs-archipelago debate over asphaltene molecular structure put to you as if settled.</w:t>
            </w:r>
          </w:p>
        </w:tc>
        <w:tc>
          <w:tcPr>
            <w:tcW w:type="dxa" w:w="953"/>
          </w:tcPr>
          <w:p>
            <w:pPr>
              <w:spacing w:after="20" w:line="240" w:lineRule="auto"/>
            </w:pPr>
            <w:r/>
            <w:r>
              <w:rPr>
                <w:rFonts w:ascii="Calibri" w:hAnsi="Calibri"/>
                <w:sz w:val="14"/>
              </w:rPr>
              <w:t>Technical — science</w:t>
            </w:r>
          </w:p>
        </w:tc>
        <w:tc>
          <w:tcPr>
            <w:tcW w:type="dxa" w:w="371"/>
          </w:tcPr>
          <w:p>
            <w:pPr>
              <w:spacing w:after="20" w:line="240" w:lineRule="auto"/>
            </w:pPr>
            <w:r/>
            <w:r>
              <w:rPr>
                <w:rFonts w:ascii="Calibri" w:hAnsi="Calibri"/>
                <w:sz w:val="14"/>
              </w:rPr>
              <w:t>1</w:t>
            </w:r>
          </w:p>
        </w:tc>
        <w:tc>
          <w:tcPr>
            <w:tcW w:type="dxa" w:w="371"/>
          </w:tcPr>
          <w:p>
            <w:pPr>
              <w:spacing w:after="20" w:line="240" w:lineRule="auto"/>
            </w:pPr>
            <w:r/>
            <w:r>
              <w:rPr>
                <w:rFonts w:ascii="Calibri" w:hAnsi="Calibri"/>
                <w:sz w:val="14"/>
              </w:rPr>
              <w:t>2</w:t>
            </w:r>
          </w:p>
        </w:tc>
        <w:tc>
          <w:tcPr>
            <w:tcW w:type="dxa" w:w="635"/>
          </w:tcPr>
          <w:p>
            <w:pPr>
              <w:spacing w:after="20" w:line="240" w:lineRule="auto"/>
            </w:pPr>
            <w:r/>
            <w:r>
              <w:rPr>
                <w:rFonts w:ascii="Calibri" w:hAnsi="Calibri"/>
                <w:sz w:val="14"/>
              </w:rPr>
              <w:t>2</w:t>
            </w:r>
          </w:p>
        </w:tc>
        <w:tc>
          <w:tcPr>
            <w:tcW w:type="dxa" w:w="3283"/>
          </w:tcPr>
          <w:p>
            <w:pPr>
              <w:spacing w:after="20" w:line="240" w:lineRule="auto"/>
            </w:pPr>
            <w:r/>
            <w:r>
              <w:rPr>
                <w:rFonts w:ascii="Calibri" w:hAnsi="Calibri"/>
                <w:sz w:val="14"/>
              </w:rPr>
              <w:t>Slide 3 speaks of nano-aggregates and the Yen–Mullins model without claiming molecular architecture is closed; the open debate is recorded in Part A (A8).</w:t>
            </w:r>
          </w:p>
        </w:tc>
        <w:tc>
          <w:tcPr>
            <w:tcW w:type="dxa" w:w="1694"/>
          </w:tcPr>
          <w:p>
            <w:pPr>
              <w:spacing w:after="20" w:line="240" w:lineRule="auto"/>
            </w:pPr>
            <w:r/>
            <w:r>
              <w:rPr>
                <w:rFonts w:ascii="Calibri" w:hAnsi="Calibri"/>
                <w:sz w:val="14"/>
              </w:rPr>
              <w:t>“Archipelago model disproves Mullins” challenge.</w:t>
            </w:r>
          </w:p>
        </w:tc>
      </w:tr>
      <w:tr>
        <w:tc>
          <w:tcPr>
            <w:tcW w:type="dxa" w:w="477"/>
            <w:shd w:val="clear" w:color="auto" w:fill="F4F7F9"/>
          </w:tcPr>
          <w:p>
            <w:pPr>
              <w:spacing w:after="20" w:line="240" w:lineRule="auto"/>
            </w:pPr>
            <w:r/>
            <w:r>
              <w:rPr>
                <w:rFonts w:ascii="Calibri" w:hAnsi="Calibri"/>
                <w:sz w:val="14"/>
              </w:rPr>
              <w:t>R14</w:t>
            </w:r>
          </w:p>
        </w:tc>
        <w:tc>
          <w:tcPr>
            <w:tcW w:type="dxa" w:w="2648"/>
            <w:shd w:val="clear" w:color="auto" w:fill="F4F7F9"/>
          </w:tcPr>
          <w:p>
            <w:pPr>
              <w:spacing w:after="20" w:line="240" w:lineRule="auto"/>
            </w:pPr>
            <w:r/>
            <w:r>
              <w:rPr>
                <w:rFonts w:ascii="Calibri" w:hAnsi="Calibri"/>
                <w:sz w:val="14"/>
              </w:rPr>
              <w:t>Perceived endorsement of a specific chemical vendor or product class.</w:t>
            </w:r>
          </w:p>
        </w:tc>
        <w:tc>
          <w:tcPr>
            <w:tcW w:type="dxa" w:w="953"/>
            <w:shd w:val="clear" w:color="auto" w:fill="F4F7F9"/>
          </w:tcPr>
          <w:p>
            <w:pPr>
              <w:spacing w:after="20" w:line="240" w:lineRule="auto"/>
            </w:pPr>
            <w:r/>
            <w:r>
              <w:rPr>
                <w:rFonts w:ascii="Calibri" w:hAnsi="Calibri"/>
                <w:sz w:val="14"/>
              </w:rPr>
              <w:t>Ethics</w:t>
            </w:r>
          </w:p>
        </w:tc>
        <w:tc>
          <w:tcPr>
            <w:tcW w:type="dxa" w:w="371"/>
            <w:shd w:val="clear" w:color="auto" w:fill="F4F7F9"/>
          </w:tcPr>
          <w:p>
            <w:pPr>
              <w:spacing w:after="20" w:line="240" w:lineRule="auto"/>
            </w:pPr>
            <w:r/>
            <w:r>
              <w:rPr>
                <w:rFonts w:ascii="Calibri" w:hAnsi="Calibri"/>
                <w:sz w:val="14"/>
              </w:rPr>
              <w:t>1</w:t>
            </w:r>
          </w:p>
        </w:tc>
        <w:tc>
          <w:tcPr>
            <w:tcW w:type="dxa" w:w="371"/>
            <w:shd w:val="clear" w:color="auto" w:fill="F4F7F9"/>
          </w:tcPr>
          <w:p>
            <w:pPr>
              <w:spacing w:after="20" w:line="240" w:lineRule="auto"/>
            </w:pPr>
            <w:r/>
            <w:r>
              <w:rPr>
                <w:rFonts w:ascii="Calibri" w:hAnsi="Calibri"/>
                <w:sz w:val="14"/>
              </w:rPr>
              <w:t>2</w:t>
            </w:r>
          </w:p>
        </w:tc>
        <w:tc>
          <w:tcPr>
            <w:tcW w:type="dxa" w:w="635"/>
            <w:shd w:val="clear" w:color="auto" w:fill="F4F7F9"/>
          </w:tcPr>
          <w:p>
            <w:pPr>
              <w:spacing w:after="20" w:line="240" w:lineRule="auto"/>
            </w:pPr>
            <w:r/>
            <w:r>
              <w:rPr>
                <w:rFonts w:ascii="Calibri" w:hAnsi="Calibri"/>
                <w:sz w:val="14"/>
              </w:rPr>
              <w:t>2</w:t>
            </w:r>
          </w:p>
        </w:tc>
        <w:tc>
          <w:tcPr>
            <w:tcW w:type="dxa" w:w="3283"/>
            <w:shd w:val="clear" w:color="auto" w:fill="F4F7F9"/>
          </w:tcPr>
          <w:p>
            <w:pPr>
              <w:spacing w:after="20" w:line="240" w:lineRule="auto"/>
            </w:pPr>
            <w:r/>
            <w:r>
              <w:rPr>
                <w:rFonts w:ascii="Calibri" w:hAnsi="Calibri"/>
                <w:sz w:val="14"/>
              </w:rPr>
              <w:t>No product, brand or vendor is named anywhere; the pack compares chemistry CLASSES and cites published ranges only.</w:t>
            </w:r>
          </w:p>
        </w:tc>
        <w:tc>
          <w:tcPr>
            <w:tcW w:type="dxa" w:w="1694"/>
            <w:shd w:val="clear" w:color="auto" w:fill="F4F7F9"/>
          </w:tcPr>
          <w:p>
            <w:pPr>
              <w:spacing w:after="20" w:line="240" w:lineRule="auto"/>
            </w:pPr>
            <w:r/>
            <w:r>
              <w:rPr>
                <w:rFonts w:ascii="Calibri" w:hAnsi="Calibri"/>
                <w:sz w:val="14"/>
              </w:rPr>
              <w:t>Any question asking “which product should we buy?”.</w:t>
            </w:r>
          </w:p>
        </w:tc>
      </w:tr>
    </w:tbl>
    <w:p>
      <w:pPr>
        <w:spacing w:after="20"/>
      </w:pPr>
    </w:p>
    <w:p>
      <w:pPr>
        <w:pStyle w:val="Heading1"/>
      </w:pPr>
      <w:r>
        <w:t>Part D — Sensitivity study of the onset depth (the numbers behind backup slide 24)</w:t>
      </w:r>
    </w:p>
    <w:p>
      <w:pPr>
        <w:spacing w:after="80"/>
      </w:pPr>
      <w:r>
        <w:rPr>
          <w:b w:val="0"/>
          <w:i w:val="0"/>
          <w:sz w:val="17"/>
        </w:rPr>
        <w:t>Method. The illustrative model used throughout the deck: P(d) = 150 + 1000·(d/5500) bar; T(d) = 60 + 85·(d/5500) °C; AOP(T) = 1080 − 0.9·(T − 60) bar. The onset depth is where P(d) = AOP(T(d)) — the base case gives 4,752 m, consistent with the deck and the figures.</w:t>
      </w:r>
    </w:p>
    <w:tbl>
      <w:tblPr>
        <w:tblStyle w:val="TableGrid"/>
        <w:tblW w:type="auto" w:w="0"/>
        <w:jc w:val="center"/>
        <w:tblLook w:firstColumn="1" w:firstRow="1" w:lastColumn="0" w:lastRow="0" w:noHBand="0" w:noVBand="1" w:val="04A0"/>
      </w:tblPr>
      <w:tblGrid>
        <w:gridCol w:w="2130"/>
        <w:gridCol w:w="2130"/>
        <w:gridCol w:w="2130"/>
        <w:gridCol w:w="2130"/>
        <w:gridCol w:w="2130"/>
      </w:tblGrid>
      <w:tr>
        <w:tc>
          <w:tcPr>
            <w:tcW w:type="dxa" w:w="1361"/>
            <w:shd w:val="clear" w:color="auto" w:fill="102A43"/>
          </w:tcPr>
          <w:p>
            <w:pPr>
              <w:spacing w:after="20" w:line="240" w:lineRule="auto"/>
            </w:pPr>
            <w:r/>
            <w:r>
              <w:rPr>
                <w:rFonts w:ascii="Calibri" w:hAnsi="Calibri"/>
                <w:b/>
                <w:color w:val="FFFFFF"/>
                <w:sz w:val="15"/>
              </w:rPr>
              <w:t>Scenario</w:t>
            </w:r>
          </w:p>
        </w:tc>
        <w:tc>
          <w:tcPr>
            <w:tcW w:type="dxa" w:w="2494"/>
            <w:shd w:val="clear" w:color="auto" w:fill="102A43"/>
          </w:tcPr>
          <w:p>
            <w:pPr>
              <w:spacing w:after="20" w:line="240" w:lineRule="auto"/>
            </w:pPr>
            <w:r/>
            <w:r>
              <w:rPr>
                <w:rFonts w:ascii="Calibri" w:hAnsi="Calibri"/>
                <w:b/>
                <w:color w:val="FFFFFF"/>
                <w:sz w:val="15"/>
              </w:rPr>
              <w:t>Perturbation applied</w:t>
            </w:r>
          </w:p>
        </w:tc>
        <w:tc>
          <w:tcPr>
            <w:tcW w:type="dxa" w:w="1304"/>
            <w:shd w:val="clear" w:color="auto" w:fill="102A43"/>
          </w:tcPr>
          <w:p>
            <w:pPr>
              <w:spacing w:after="20" w:line="240" w:lineRule="auto"/>
            </w:pPr>
            <w:r/>
            <w:r>
              <w:rPr>
                <w:rFonts w:ascii="Calibri" w:hAnsi="Calibri"/>
                <w:b/>
                <w:color w:val="FFFFFF"/>
                <w:sz w:val="15"/>
              </w:rPr>
              <w:t>Onset depth</w:t>
            </w:r>
          </w:p>
        </w:tc>
        <w:tc>
          <w:tcPr>
            <w:tcW w:type="dxa" w:w="1134"/>
            <w:shd w:val="clear" w:color="auto" w:fill="102A43"/>
          </w:tcPr>
          <w:p>
            <w:pPr>
              <w:spacing w:after="20" w:line="240" w:lineRule="auto"/>
            </w:pPr>
            <w:r/>
            <w:r>
              <w:rPr>
                <w:rFonts w:ascii="Calibri" w:hAnsi="Calibri"/>
                <w:b/>
                <w:color w:val="FFFFFF"/>
                <w:sz w:val="15"/>
              </w:rPr>
              <w:t>Shift vs base</w:t>
            </w:r>
          </w:p>
        </w:tc>
        <w:tc>
          <w:tcPr>
            <w:tcW w:type="dxa" w:w="4139"/>
            <w:shd w:val="clear" w:color="auto" w:fill="102A43"/>
          </w:tcPr>
          <w:p>
            <w:pPr>
              <w:spacing w:after="20" w:line="240" w:lineRule="auto"/>
            </w:pPr>
            <w:r/>
            <w:r>
              <w:rPr>
                <w:rFonts w:ascii="Calibri" w:hAnsi="Calibri"/>
                <w:b/>
                <w:color w:val="FFFFFF"/>
                <w:sz w:val="15"/>
              </w:rPr>
              <w:t>What it means for the injection point</w:t>
            </w:r>
          </w:p>
        </w:tc>
      </w:tr>
      <w:tr>
        <w:tc>
          <w:tcPr>
            <w:tcW w:type="dxa" w:w="1361"/>
          </w:tcPr>
          <w:p>
            <w:pPr>
              <w:spacing w:after="20" w:line="240" w:lineRule="auto"/>
            </w:pPr>
            <w:r/>
            <w:r>
              <w:rPr>
                <w:rFonts w:ascii="Calibri" w:hAnsi="Calibri"/>
                <w:sz w:val="15"/>
              </w:rPr>
              <w:t>Base case</w:t>
            </w:r>
          </w:p>
        </w:tc>
        <w:tc>
          <w:tcPr>
            <w:tcW w:type="dxa" w:w="2494"/>
          </w:tcPr>
          <w:p>
            <w:pPr>
              <w:spacing w:after="20" w:line="240" w:lineRule="auto"/>
            </w:pPr>
            <w:r/>
            <w:r>
              <w:rPr>
                <w:rFonts w:ascii="Calibri" w:hAnsi="Calibri"/>
                <w:sz w:val="15"/>
              </w:rPr>
              <w:t>as modelled</w:t>
            </w:r>
          </w:p>
        </w:tc>
        <w:tc>
          <w:tcPr>
            <w:tcW w:type="dxa" w:w="1304"/>
          </w:tcPr>
          <w:p>
            <w:pPr>
              <w:spacing w:after="20" w:line="240" w:lineRule="auto"/>
            </w:pPr>
            <w:r/>
            <w:r>
              <w:rPr>
                <w:rFonts w:ascii="Calibri" w:hAnsi="Calibri"/>
                <w:sz w:val="15"/>
              </w:rPr>
              <w:t>4,752 m</w:t>
            </w:r>
          </w:p>
        </w:tc>
        <w:tc>
          <w:tcPr>
            <w:tcW w:type="dxa" w:w="1134"/>
          </w:tcPr>
          <w:p>
            <w:pPr>
              <w:spacing w:after="20" w:line="240" w:lineRule="auto"/>
            </w:pPr>
            <w:r/>
            <w:r>
              <w:rPr>
                <w:rFonts w:ascii="Calibri" w:hAnsi="Calibri"/>
                <w:sz w:val="15"/>
              </w:rPr>
              <w:t>—</w:t>
            </w:r>
          </w:p>
        </w:tc>
        <w:tc>
          <w:tcPr>
            <w:tcW w:type="dxa" w:w="4139"/>
          </w:tcPr>
          <w:p>
            <w:pPr>
              <w:spacing w:after="20" w:line="240" w:lineRule="auto"/>
            </w:pPr>
            <w:r/>
            <w:r>
              <w:rPr>
                <w:rFonts w:ascii="Calibri" w:hAnsi="Calibri"/>
                <w:sz w:val="15"/>
              </w:rPr>
              <w:t>Target injection ≈ 5,000 m = onset + 250 m margin.</w:t>
            </w:r>
          </w:p>
        </w:tc>
      </w:tr>
      <w:tr>
        <w:tc>
          <w:tcPr>
            <w:tcW w:type="dxa" w:w="1361"/>
            <w:shd w:val="clear" w:color="auto" w:fill="F4F7F9"/>
          </w:tcPr>
          <w:p>
            <w:pPr>
              <w:spacing w:after="20" w:line="240" w:lineRule="auto"/>
            </w:pPr>
            <w:r/>
            <w:r>
              <w:rPr>
                <w:rFonts w:ascii="Calibri" w:hAnsi="Calibri"/>
                <w:sz w:val="15"/>
              </w:rPr>
              <w:t>AOP ±50 bar</w:t>
            </w:r>
          </w:p>
        </w:tc>
        <w:tc>
          <w:tcPr>
            <w:tcW w:type="dxa" w:w="2494"/>
            <w:shd w:val="clear" w:color="auto" w:fill="F4F7F9"/>
          </w:tcPr>
          <w:p>
            <w:pPr>
              <w:spacing w:after="20" w:line="240" w:lineRule="auto"/>
            </w:pPr>
            <w:r/>
            <w:r>
              <w:rPr>
                <w:rFonts w:ascii="Calibri" w:hAnsi="Calibri"/>
                <w:sz w:val="15"/>
              </w:rPr>
              <w:t>fluid less / more stable than modelled</w:t>
            </w:r>
          </w:p>
        </w:tc>
        <w:tc>
          <w:tcPr>
            <w:tcW w:type="dxa" w:w="1304"/>
            <w:shd w:val="clear" w:color="auto" w:fill="F4F7F9"/>
          </w:tcPr>
          <w:p>
            <w:pPr>
              <w:spacing w:after="20" w:line="240" w:lineRule="auto"/>
            </w:pPr>
            <w:r/>
            <w:r>
              <w:rPr>
                <w:rFonts w:ascii="Calibri" w:hAnsi="Calibri"/>
                <w:sz w:val="15"/>
              </w:rPr>
              <w:t>5,007 / 4,496 m</w:t>
            </w:r>
          </w:p>
        </w:tc>
        <w:tc>
          <w:tcPr>
            <w:tcW w:type="dxa" w:w="1134"/>
            <w:shd w:val="clear" w:color="auto" w:fill="F4F7F9"/>
          </w:tcPr>
          <w:p>
            <w:pPr>
              <w:spacing w:after="20" w:line="240" w:lineRule="auto"/>
            </w:pPr>
            <w:r/>
            <w:r>
              <w:rPr>
                <w:rFonts w:ascii="Calibri" w:hAnsi="Calibri"/>
                <w:sz w:val="15"/>
              </w:rPr>
              <w:t>± 255 m</w:t>
            </w:r>
          </w:p>
        </w:tc>
        <w:tc>
          <w:tcPr>
            <w:tcW w:type="dxa" w:w="4139"/>
            <w:shd w:val="clear" w:color="auto" w:fill="F4F7F9"/>
          </w:tcPr>
          <w:p>
            <w:pPr>
              <w:spacing w:after="20" w:line="240" w:lineRule="auto"/>
            </w:pPr>
            <w:r/>
            <w:r>
              <w:rPr>
                <w:rFonts w:ascii="Calibri" w:hAnsi="Calibri"/>
                <w:sz w:val="15"/>
              </w:rPr>
              <w:t>A 250 m margin covers realistic AOP scatter — but only just.</w:t>
            </w:r>
          </w:p>
        </w:tc>
      </w:tr>
      <w:tr>
        <w:tc>
          <w:tcPr>
            <w:tcW w:type="dxa" w:w="1361"/>
          </w:tcPr>
          <w:p>
            <w:pPr>
              <w:spacing w:after="20" w:line="240" w:lineRule="auto"/>
            </w:pPr>
            <w:r/>
            <w:r>
              <w:rPr>
                <w:rFonts w:ascii="Calibri" w:hAnsi="Calibri"/>
                <w:sz w:val="15"/>
              </w:rPr>
              <w:t>AOP ±100 bar</w:t>
            </w:r>
          </w:p>
        </w:tc>
        <w:tc>
          <w:tcPr>
            <w:tcW w:type="dxa" w:w="2494"/>
          </w:tcPr>
          <w:p>
            <w:pPr>
              <w:spacing w:after="20" w:line="240" w:lineRule="auto"/>
            </w:pPr>
            <w:r/>
            <w:r>
              <w:rPr>
                <w:rFonts w:ascii="Calibri" w:hAnsi="Calibri"/>
                <w:sz w:val="15"/>
              </w:rPr>
              <w:t>worst credible characterisation error</w:t>
            </w:r>
          </w:p>
        </w:tc>
        <w:tc>
          <w:tcPr>
            <w:tcW w:type="dxa" w:w="1304"/>
          </w:tcPr>
          <w:p>
            <w:pPr>
              <w:spacing w:after="20" w:line="240" w:lineRule="auto"/>
            </w:pPr>
            <w:r/>
            <w:r>
              <w:rPr>
                <w:rFonts w:ascii="Calibri" w:hAnsi="Calibri"/>
                <w:sz w:val="15"/>
              </w:rPr>
              <w:t>5,262 / 4,241 m</w:t>
            </w:r>
          </w:p>
        </w:tc>
        <w:tc>
          <w:tcPr>
            <w:tcW w:type="dxa" w:w="1134"/>
          </w:tcPr>
          <w:p>
            <w:pPr>
              <w:spacing w:after="20" w:line="240" w:lineRule="auto"/>
            </w:pPr>
            <w:r/>
            <w:r>
              <w:rPr>
                <w:rFonts w:ascii="Calibri" w:hAnsi="Calibri"/>
                <w:sz w:val="15"/>
              </w:rPr>
              <w:t>± 511 m</w:t>
            </w:r>
          </w:p>
        </w:tc>
        <w:tc>
          <w:tcPr>
            <w:tcW w:type="dxa" w:w="4139"/>
          </w:tcPr>
          <w:p>
            <w:pPr>
              <w:spacing w:after="20" w:line="240" w:lineRule="auto"/>
            </w:pPr>
            <w:r/>
            <w:r>
              <w:rPr>
                <w:rFonts w:ascii="Calibri" w:hAnsi="Calibri"/>
                <w:sz w:val="15"/>
              </w:rPr>
              <w:t>At the upper bound a 250 m margin is insufficient: the injector must move deeper (≈ 5,300 m).</w:t>
            </w:r>
          </w:p>
        </w:tc>
      </w:tr>
      <w:tr>
        <w:tc>
          <w:tcPr>
            <w:tcW w:type="dxa" w:w="1361"/>
            <w:shd w:val="clear" w:color="auto" w:fill="F4F7F9"/>
          </w:tcPr>
          <w:p>
            <w:pPr>
              <w:spacing w:after="20" w:line="240" w:lineRule="auto"/>
            </w:pPr>
            <w:r/>
            <w:r>
              <w:rPr>
                <w:rFonts w:ascii="Calibri" w:hAnsi="Calibri"/>
                <w:sz w:val="15"/>
              </w:rPr>
              <w:t>Gradient ±10 %</w:t>
            </w:r>
          </w:p>
        </w:tc>
        <w:tc>
          <w:tcPr>
            <w:tcW w:type="dxa" w:w="2494"/>
            <w:shd w:val="clear" w:color="auto" w:fill="F4F7F9"/>
          </w:tcPr>
          <w:p>
            <w:pPr>
              <w:spacing w:after="20" w:line="240" w:lineRule="auto"/>
            </w:pPr>
            <w:r/>
            <w:r>
              <w:rPr>
                <w:rFonts w:ascii="Calibri" w:hAnsi="Calibri"/>
                <w:sz w:val="15"/>
              </w:rPr>
              <w:t>lighter / heavier flowing column</w:t>
            </w:r>
          </w:p>
        </w:tc>
        <w:tc>
          <w:tcPr>
            <w:tcW w:type="dxa" w:w="1304"/>
            <w:shd w:val="clear" w:color="auto" w:fill="F4F7F9"/>
          </w:tcPr>
          <w:p>
            <w:pPr>
              <w:spacing w:after="20" w:line="240" w:lineRule="auto"/>
            </w:pPr>
            <w:r/>
            <w:r>
              <w:rPr>
                <w:rFonts w:ascii="Calibri" w:hAnsi="Calibri"/>
                <w:sz w:val="15"/>
              </w:rPr>
              <w:t>5,238 / 4,348 m</w:t>
            </w:r>
          </w:p>
        </w:tc>
        <w:tc>
          <w:tcPr>
            <w:tcW w:type="dxa" w:w="1134"/>
            <w:shd w:val="clear" w:color="auto" w:fill="F4F7F9"/>
          </w:tcPr>
          <w:p>
            <w:pPr>
              <w:spacing w:after="20" w:line="240" w:lineRule="auto"/>
            </w:pPr>
            <w:r/>
            <w:r>
              <w:rPr>
                <w:rFonts w:ascii="Calibri" w:hAnsi="Calibri"/>
                <w:sz w:val="15"/>
              </w:rPr>
              <w:t>−404 / +487 m</w:t>
            </w:r>
          </w:p>
        </w:tc>
        <w:tc>
          <w:tcPr>
            <w:tcW w:type="dxa" w:w="4139"/>
            <w:shd w:val="clear" w:color="auto" w:fill="F4F7F9"/>
          </w:tcPr>
          <w:p>
            <w:pPr>
              <w:spacing w:after="20" w:line="240" w:lineRule="auto"/>
            </w:pPr>
            <w:r/>
            <w:r>
              <w:rPr>
                <w:rFonts w:ascii="Calibri" w:hAnsi="Calibri"/>
                <w:sz w:val="15"/>
              </w:rPr>
              <w:t>A lighter column (gas lift) pushes the onset DEEPER — the error direction is the dangerous one.</w:t>
            </w:r>
          </w:p>
        </w:tc>
      </w:tr>
      <w:tr>
        <w:tc>
          <w:tcPr>
            <w:tcW w:type="dxa" w:w="1361"/>
          </w:tcPr>
          <w:p>
            <w:pPr>
              <w:spacing w:after="20" w:line="240" w:lineRule="auto"/>
            </w:pPr>
            <w:r/>
            <w:r>
              <w:rPr>
                <w:rFonts w:ascii="Calibri" w:hAnsi="Calibri"/>
                <w:sz w:val="15"/>
              </w:rPr>
              <w:t>Gas-lift scenario</w:t>
            </w:r>
          </w:p>
        </w:tc>
        <w:tc>
          <w:tcPr>
            <w:tcW w:type="dxa" w:w="2494"/>
          </w:tcPr>
          <w:p>
            <w:pPr>
              <w:spacing w:after="20" w:line="240" w:lineRule="auto"/>
            </w:pPr>
            <w:r/>
            <w:r>
              <w:rPr>
                <w:rFonts w:ascii="Calibri" w:hAnsi="Calibri"/>
                <w:sz w:val="15"/>
              </w:rPr>
              <w:t>gradient −10 % AND AOP +50 bar (gas strips resins)</w:t>
            </w:r>
          </w:p>
        </w:tc>
        <w:tc>
          <w:tcPr>
            <w:tcW w:type="dxa" w:w="1304"/>
          </w:tcPr>
          <w:p>
            <w:pPr>
              <w:spacing w:after="20" w:line="240" w:lineRule="auto"/>
            </w:pPr>
            <w:r/>
            <w:r>
              <w:rPr>
                <w:rFonts w:ascii="Calibri" w:hAnsi="Calibri"/>
                <w:sz w:val="15"/>
              </w:rPr>
              <w:t>5,520 m</w:t>
            </w:r>
          </w:p>
        </w:tc>
        <w:tc>
          <w:tcPr>
            <w:tcW w:type="dxa" w:w="1134"/>
          </w:tcPr>
          <w:p>
            <w:pPr>
              <w:spacing w:after="20" w:line="240" w:lineRule="auto"/>
            </w:pPr>
            <w:r/>
            <w:r>
              <w:rPr>
                <w:rFonts w:ascii="Calibri" w:hAnsi="Calibri"/>
                <w:sz w:val="15"/>
              </w:rPr>
              <w:t>+ 768 m</w:t>
            </w:r>
          </w:p>
        </w:tc>
        <w:tc>
          <w:tcPr>
            <w:tcW w:type="dxa" w:w="4139"/>
          </w:tcPr>
          <w:p>
            <w:pPr>
              <w:spacing w:after="20" w:line="240" w:lineRule="auto"/>
            </w:pPr>
            <w:r/>
            <w:r>
              <w:rPr>
                <w:rFonts w:ascii="Calibri" w:hAnsi="Calibri"/>
                <w:sz w:val="15"/>
              </w:rPr>
              <w:t>The onset falls below the perforations (5,395–5,486 m): the ENTIRE tubing is unstable. Placement alone cannot protect the well — dosage effectiveness does the work, with the injector set as deep as practical.</w:t>
            </w:r>
          </w:p>
        </w:tc>
      </w:tr>
      <w:tr>
        <w:tc>
          <w:tcPr>
            <w:tcW w:type="dxa" w:w="1361"/>
            <w:shd w:val="clear" w:color="auto" w:fill="F4F7F9"/>
          </w:tcPr>
          <w:p>
            <w:pPr>
              <w:spacing w:after="20" w:line="240" w:lineRule="auto"/>
            </w:pPr>
            <w:r/>
            <w:r>
              <w:rPr>
                <w:rFonts w:ascii="Calibri" w:hAnsi="Calibri"/>
                <w:sz w:val="15"/>
              </w:rPr>
              <w:t>Better-solvent case</w:t>
            </w:r>
          </w:p>
        </w:tc>
        <w:tc>
          <w:tcPr>
            <w:tcW w:type="dxa" w:w="2494"/>
            <w:shd w:val="clear" w:color="auto" w:fill="F4F7F9"/>
          </w:tcPr>
          <w:p>
            <w:pPr>
              <w:spacing w:after="20" w:line="240" w:lineRule="auto"/>
            </w:pPr>
            <w:r/>
            <w:r>
              <w:rPr>
                <w:rFonts w:ascii="Calibri" w:hAnsi="Calibri"/>
                <w:sz w:val="15"/>
              </w:rPr>
              <w:t>gradient +10 % AND AOP −50 bar</w:t>
            </w:r>
          </w:p>
        </w:tc>
        <w:tc>
          <w:tcPr>
            <w:tcW w:type="dxa" w:w="1304"/>
            <w:shd w:val="clear" w:color="auto" w:fill="F4F7F9"/>
          </w:tcPr>
          <w:p>
            <w:pPr>
              <w:spacing w:after="20" w:line="240" w:lineRule="auto"/>
            </w:pPr>
            <w:r/>
            <w:r>
              <w:rPr>
                <w:rFonts w:ascii="Calibri" w:hAnsi="Calibri"/>
                <w:sz w:val="15"/>
              </w:rPr>
              <w:t>4,114 m</w:t>
            </w:r>
          </w:p>
        </w:tc>
        <w:tc>
          <w:tcPr>
            <w:tcW w:type="dxa" w:w="1134"/>
            <w:shd w:val="clear" w:color="auto" w:fill="F4F7F9"/>
          </w:tcPr>
          <w:p>
            <w:pPr>
              <w:spacing w:after="20" w:line="240" w:lineRule="auto"/>
            </w:pPr>
            <w:r/>
            <w:r>
              <w:rPr>
                <w:rFonts w:ascii="Calibri" w:hAnsi="Calibri"/>
                <w:sz w:val="15"/>
              </w:rPr>
              <w:t>− 638 m</w:t>
            </w:r>
          </w:p>
        </w:tc>
        <w:tc>
          <w:tcPr>
            <w:tcW w:type="dxa" w:w="4139"/>
            <w:shd w:val="clear" w:color="auto" w:fill="F4F7F9"/>
          </w:tcPr>
          <w:p>
            <w:pPr>
              <w:spacing w:after="20" w:line="240" w:lineRule="auto"/>
            </w:pPr>
            <w:r/>
            <w:r>
              <w:rPr>
                <w:rFonts w:ascii="Calibri" w:hAnsi="Calibri"/>
                <w:sz w:val="15"/>
              </w:rPr>
              <w:t>Favourable case: a shallower injector would suffice — which is exactly why a conservative design must not assume it.</w:t>
            </w:r>
          </w:p>
        </w:tc>
      </w:tr>
    </w:tbl>
    <w:p>
      <w:pPr>
        <w:spacing w:after="20"/>
      </w:pPr>
    </w:p>
    <w:p>
      <w:pPr>
        <w:spacing w:after="120"/>
      </w:pPr>
      <w:r>
        <w:rPr>
          <w:b/>
          <w:color w:val="B43B2E"/>
          <w:sz w:val="18"/>
        </w:rPr>
        <w:t xml:space="preserve">Design conclusion.  </w:t>
      </w:r>
      <w:r>
        <w:rPr>
          <w:b w:val="0"/>
          <w:sz w:val="18"/>
        </w:rPr>
        <w:t>The injection point is placed below the DEEPEST credible onset depth from this table — not below the base case. In the gas-lift scenario that depth approaches the perforations, so the deliverable is a placement PLUS a dosage-window recommendation, and the uncertainty margin is quoted with the number. This is the sensitivity analysis promised as WP3 output — backup slide 24 now carries it as arithmetic, not as a plan.</w:t>
      </w:r>
    </w:p>
    <w:p>
      <w:pPr>
        <w:pStyle w:val="Heading1"/>
      </w:pPr>
      <w:r>
        <w:t>Part E — HSE and ethics position (stated, not implied)</w:t>
      </w:r>
    </w:p>
    <w:p>
      <w:pPr>
        <w:pStyle w:val="ListBullet"/>
        <w:spacing w:after="40"/>
      </w:pPr>
      <w:r>
        <w:rPr>
          <w:sz w:val="17"/>
        </w:rPr>
        <w:t>Aromatic solvents (toluene, xylene — BTEX class) are correctly presented as a workplace-safety topic, not as a casual fix: acute toxicity, low flash point, low biodegradability, and limited long-term effectiveness.</w:t>
      </w:r>
    </w:p>
    <w:p>
      <w:pPr>
        <w:pStyle w:val="ListBullet"/>
        <w:spacing w:after="40"/>
      </w:pPr>
      <w:r>
        <w:rPr>
          <w:sz w:val="17"/>
        </w:rPr>
        <w:t>The seminar compares CLASSES of mitigation on published evidence. It never recommends uncontrolled handling of any solvent, and names no vendor or product.</w:t>
      </w:r>
    </w:p>
    <w:p>
      <w:pPr>
        <w:pStyle w:val="ListBullet"/>
        <w:spacing w:after="40"/>
      </w:pPr>
      <w:r>
        <w:rPr>
          <w:sz w:val="17"/>
        </w:rPr>
        <w:t>The D6560 standard itself records that benzene was dropped as the aromatic solvent for health reasons — a useful, citable illustration that the industry has already had to make this trade-off.</w:t>
      </w:r>
    </w:p>
    <w:p>
      <w:pPr>
        <w:pStyle w:val="ListBullet"/>
        <w:spacing w:after="40"/>
      </w:pPr>
      <w:r>
        <w:rPr>
          <w:sz w:val="17"/>
        </w:rPr>
        <w:t>If laboratory work with these solvents is added to the thesis, COSHH/MSDS assessment, supervisor sign-off and a waste-route plan are prerequisites — stated here so the boundary is on the record before any work starts.</w:t>
      </w:r>
    </w:p>
    <w:p>
      <w:pPr>
        <w:pStyle w:val="ListBullet"/>
        <w:spacing w:after="40"/>
      </w:pPr>
      <w:r>
        <w:rPr>
          <w:sz w:val="17"/>
        </w:rPr>
        <w:t>Data and attribution ethics: where published cost or performance figures conflict (R11), the pack quotes the majority attribution, flags the discrepancy and cites both — rather than quietly selecting the more impressive number.</w:t>
      </w:r>
    </w:p>
    <w:p>
      <w:pPr>
        <w:spacing w:after="0"/>
      </w:pPr>
      <w:r>
        <w:rPr>
          <w:b w:val="0"/>
          <w:i/>
          <w:color w:val="5A6672"/>
          <w:sz w:val="16"/>
        </w:rPr>
        <w:t>Prepared as part of the seminar package. The verification in Part A was performed against the sources recorded in 04_Source_Log.docx; the sensitivity arithmetic in Part D is reproducible from _build/make_accuracy.py.</w:t>
      </w:r>
    </w:p>
    <w:sectPr w:rsidR="00FC693F" w:rsidRPr="0006063C" w:rsidSect="00034616">
      <w:pgSz w:w="12240" w:h="15840"/>
      <w:pgMar w:top="794" w:right="794" w:bottom="794"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Calibri" w:hAnsi="Calibri"/>
      <w:b/>
      <w:bCs/>
      <w:color w:val="102A43"/>
      <w:sz w:val="26"/>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Calibri" w:hAnsi="Calibri"/>
      <w:b/>
      <w:bCs/>
      <w:color w:val="1F7A8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