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AC26741" w14:textId="77777777">
      <w:pPr>
        <w:spacing w:before="2268"/>
        <w:jc w:val="center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1E1B4B"/>
          <w:sz w:val="144"/>
          <w:szCs w:val="22"/>
        </w:rPr>
        <w:t>A</w:t>
      </w:r>
    </w:p>
    <w:p w14:paraId="5EFFD425" w14:textId="77777777">
      <w:pPr>
        <w:jc w:val="center"/>
      </w:pPr>
      <w:r>
        <w:rPr>
          <w:rFonts w:ascii="Calibri" w:hAnsi="Calibri" w:eastAsia="ＭＳ 明朝" w:cs="Calibri" w:eastAsiaTheme="minorEastAsia" w:csTheme="minorBidi"/>
          <w:b/>
          <w:bCs/>
          <w:color w:val="1E1B4B"/>
          <w:sz w:val="28"/>
          <w:szCs w:val="22"/>
        </w:rPr>
        <w:t>APOCAL'IPSSI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20"/>
          <w:szCs w:val="22"/>
        </w:rPr>
        <w:t>TEMPLATE PERTURBATION · J2 (TECHNIQUE)</w:t>
      </w:r>
    </w:p>
    <w:p w14:paraId="51367D85" w14:textId="77777777">
      <w:pPr>
        <w:jc w:val="center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1E1B4B"/>
          <w:sz w:val="64"/>
          <w:szCs w:val="22"/>
        </w:rPr>
        <w:t xml:space="preserve">ADR : Architecture 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1E1B4B"/>
          <w:sz w:val="64"/>
          <w:szCs w:val="22"/>
        </w:rPr>
        <w:t>Decision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1E1B4B"/>
          <w:sz w:val="64"/>
          <w:szCs w:val="22"/>
        </w:rPr>
        <w:t xml:space="preserve"> Record</w:t>
      </w:r>
    </w:p>
    <w:p w14:paraId="327A4A8F" w14:textId="77777777">
      <w:pPr>
        <w:spacing w:before="170"/>
        <w:jc w:val="center"/>
      </w:pP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26"/>
          <w:szCs w:val="22"/>
        </w:rPr>
        <w:t>Tracer une décision technique majeure (format Michael Nygard étendu)</w:t>
      </w:r>
    </w:p>
    <w:p w14:paraId="188B115D" w14:textId="77777777">
      <w:pPr>
        <w:spacing w:before="3969"/>
        <w:jc w:val="center"/>
      </w:pPr>
      <w:r>
        <w:lastRenderedPageBreak/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475569"/>
          <w:sz w:val="22"/>
          <w:szCs w:val="22"/>
        </w:rPr>
        <w:t xml:space="preserve">Projet 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475569"/>
          <w:sz w:val="22"/>
          <w:szCs w:val="22"/>
        </w:rPr>
        <w:t>EduTutor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475569"/>
          <w:sz w:val="22"/>
          <w:szCs w:val="22"/>
        </w:rPr>
        <w:t xml:space="preserve"> IA · Édition 2026 · Semaine immersive Scrum</w:t>
      </w:r>
    </w:p>
    <w:p w14:paraId="2A25E637" w14:textId="77777777">
      <w:pPr>
        <w:spacing w:before="113"/>
        <w:jc w:val="center"/>
      </w:pP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Auteur : Mohamed Amine EL AFRIT · Licence CC BY-NC-SA 4.0</w:t>
      </w:r>
    </w:p>
    <w:p w14:paraId="3FDABA72" w14:textId="77777777">
      <w:pPr>
        <w:spacing w:before="283"/>
      </w:pPr>
      <w:r>
        <w:lastRenderedPageBreak/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22"/>
          <w:szCs w:val="22"/>
        </w:rPr>
        <w:t>IDENTIFICATION DU DOCUMENT</w:t>
      </w:r>
    </w:p>
    <w:p w14:paraId="452F7052" w14:textId="77777777"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20"/>
          <w:szCs w:val="22"/>
        </w:rPr>
        <w:t>À compléter par l'équipe avant chaque remise</w:t>
      </w:r>
    </w:p>
    <w:tbl>
      <w:tblPr>
        <w:tblStyle w:val="LightGrid-Accent1"/>
        <w:tblW w:w="0" w:type="auto"/>
        <w:tbl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46"/>
        <w:gridCol w:w="6174"/>
      </w:tblGrid>
      <w:tr>
        <w:trPr>
          <w:cnfStyle w:val="100000000000"/>
        </w:trPr>
        <w:tc>
          <w:tcPr>
            <w:cnfStyle w:val="001000000000"/>
            <w:tcW w:w="255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4C983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color w:val="1E1B4B"/>
                <w:sz w:val="22"/>
                <w:szCs w:val="22"/>
              </w:rPr>
              <w:t>Équipe n°</w:t>
            </w:r>
          </w:p>
        </w:tc>
        <w:tc>
          <w:tcPr>
            <w:tcW w:w="65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38A9F" w14:textId="17574B40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2</w:t>
            </w:r>
          </w:p>
        </w:tc>
      </w:tr>
      <w:tr>
        <w:trPr>
          <w:cnfStyle w:val="000000100000"/>
        </w:trPr>
        <w:tc>
          <w:tcPr>
            <w:cnfStyle w:val="001000000000"/>
            <w:tcW w:w="25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FDA5F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color w:val="1E1B4B"/>
                <w:sz w:val="22"/>
                <w:szCs w:val="22"/>
              </w:rPr>
              <w:t>Membres</w:t>
            </w:r>
          </w:p>
        </w:tc>
        <w:tc>
          <w:tcPr>
            <w:tcW w:w="65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94966" w14:textId="49CBA28F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 xml:space="preserve">Danielle Jamila KOAGNE NGANKAM, 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Krishmini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 xml:space="preserve"> KULAKRISHNA, Wicramachine SERGIO, Houda OUADAH, Adja Fatou SAGNA, Mohammed DERKAOUI, Ousmane NDIAYE</w:t>
            </w:r>
          </w:p>
        </w:tc>
      </w:tr>
      <w:tr>
        <w:trPr>
          <w:cnfStyle w:val="000000010000"/>
        </w:trPr>
        <w:tc>
          <w:tcPr>
            <w:cnfStyle w:val="001000000000"/>
            <w:tcW w:w="25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89801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color w:val="1E1B4B"/>
                <w:sz w:val="22"/>
                <w:szCs w:val="22"/>
              </w:rPr>
              <w:t xml:space="preserve">Sprint </w:t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color w:val="1E1B4B"/>
                <w:sz w:val="22"/>
                <w:szCs w:val="22"/>
              </w:rPr>
              <w:t>concerné</w:t>
            </w:r>
          </w:p>
        </w:tc>
        <w:tc>
          <w:tcPr>
            <w:tcW w:w="65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C5832" w14:textId="52CB3193">
            <w:pPr>
              <w:spacing w:after="200" w:line="276" w:lineRule="auto"/>
            </w:pPr>
            <w:r>
              <w:t>Sprint 2 (Perturbation J2 - Technique)</w:t>
            </w:r>
          </w:p>
        </w:tc>
      </w:tr>
      <w:tr>
        <w:trPr>
          <w:cnfStyle w:val="000000100000"/>
        </w:trPr>
        <w:tc>
          <w:tcPr>
            <w:cnfStyle w:val="001000000000"/>
            <w:tcW w:w="25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9B104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color w:val="1E1B4B"/>
                <w:sz w:val="22"/>
                <w:szCs w:val="22"/>
              </w:rPr>
              <w:t>Version</w:t>
            </w:r>
          </w:p>
        </w:tc>
        <w:tc>
          <w:tcPr>
            <w:tcW w:w="65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8BB33" w14:textId="4F542D9E">
            <w:pPr>
              <w:spacing w:after="200" w:line="276" w:lineRule="auto"/>
            </w:pPr>
            <w:r>
              <w:t>v1.0 (Création initiale)</w:t>
            </w:r>
          </w:p>
        </w:tc>
      </w:tr>
      <w:tr>
        <w:trPr>
          <w:cnfStyle w:val="000000010000"/>
        </w:trPr>
        <w:tc>
          <w:tcPr>
            <w:cnfStyle w:val="001000000000"/>
            <w:tcW w:w="25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39269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color w:val="1E1B4B"/>
                <w:sz w:val="22"/>
                <w:szCs w:val="22"/>
              </w:rPr>
              <w:t>Date de remise</w:t>
            </w:r>
          </w:p>
        </w:tc>
        <w:tc>
          <w:tcPr>
            <w:tcW w:w="65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4908C" w14:textId="7DBEA1A0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30/06/2026 13h00</w:t>
            </w:r>
          </w:p>
        </w:tc>
      </w:tr>
      <w:tr>
        <w:trPr>
          <w:cnfStyle w:val="000000100000"/>
        </w:trPr>
        <w:tc>
          <w:tcPr>
            <w:cnfStyle w:val="001000000000"/>
            <w:tcW w:w="255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E0042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color w:val="1E1B4B"/>
                <w:sz w:val="22"/>
                <w:szCs w:val="22"/>
              </w:rPr>
              <w:t>Statut</w:t>
            </w:r>
          </w:p>
        </w:tc>
        <w:tc>
          <w:tcPr>
            <w:tcW w:w="65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CB1D4" w14:textId="4B8FBE55">
            <w:r>
              <w:t>Validé PO</w:t>
            </w:r>
          </w:p>
        </w:tc>
      </w:tr>
    </w:tbl>
    <w:p w14:paraId="74448A72" w14:textId="47BE750D">
      <w:pPr>
        <w:pStyle w:val="NormalWeb"/>
        <w:spacing w:before="283" w:after="200"/>
      </w:pPr>
      <w:r>
        <w:rPr>
          <w:rFonts w:ascii="Times New Roman" w:hAnsi="Times New Roman" w:eastAsia="Times New Roman" w:cs="Times New Roman"/>
          <w:b/>
          <w:bCs/>
          <w:color w:val="F59E0B"/>
          <w:sz w:val="18"/>
          <w:szCs w:val="24"/>
        </w:rPr>
        <w:t xml:space="preserve">💡 Convention de nommage du fichier : </w:t>
      </w:r>
      <w:r>
        <w:rPr>
          <w:rStyle w:val="Emphasis"/>
          <w:rFonts w:ascii="Cambria" w:hAnsi="Cambria" w:eastAsia="Times New Roman" w:cs="Times New Roman"/>
          <w:i/>
          <w:iCs/>
          <w:color w:val="475569"/>
          <w:sz w:val="18"/>
          <w:szCs w:val="18"/>
        </w:rPr>
        <w:t>Equipe-02-ADR-Pertubation J2-0002-v1.0.docx</w:t>
      </w:r>
    </w:p>
    <w:p w14:paraId="7955B476" w14:textId="04803C57">
      <w:pPr>
        <w:spacing w:before="283"/>
      </w:pPr>
    </w:p>
    <w:p w14:paraId="67F9183D" w14:textId="77777777">
      <w:pPr>
        <w:pageBreakBefore/>
      </w:pPr>
      <w:r>
        <w:lastRenderedPageBreak/>
      </w:r>
    </w:p>
    <w:p w14:paraId="5A23C249" w14:textId="77777777">
      <w:r>
        <w:lastRenderedPageBreak/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1E1B4B"/>
          <w:sz w:val="36"/>
          <w:szCs w:val="22"/>
        </w:rPr>
        <w:t>Table des matières</w:t>
      </w:r>
    </w:p>
    <w:p w14:paraId="28E15A77" w14:textId="3C5C2D23"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👉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 xml:space="preserve"> Une fois le document complété, faites clic droit sur la table ci-dessous puis « Mettre à jour les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champs (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ou touche F9) pour générer les liens.</w:t>
      </w:r>
    </w:p>
    <w:p w14:paraId="401894A3" w14:textId="5E6B16C0">
      <w:pPr>
        <w:pStyle w:val="TOC1"/>
        <w:tabs>
          <w:tab w:val="right" w:pos="8630" w:leader="dot"/>
        </w:tabs>
      </w:pPr>
      <w:hyperlink w:anchor="_Toc233729325">
        <w:r>
          <w:rPr>
            <w:rStyle w:val="Hyperlink"/>
            <w:rFonts w:ascii="Cambria" w:hAnsi="Cambria" w:eastAsia="ＭＳ 明朝" w:cs="Cambria" w:asciiTheme="minorHAnsi" w:hAnsiTheme="minorHAnsi" w:eastAsiaTheme="minorEastAsia" w:csTheme="minorBidi"/>
            <w:color w:val="0000FF" w:themeColor="hyperlink"/>
            <w:sz w:val="22"/>
            <w:szCs w:val="22"/>
            <w:u w:val="single"/>
          </w:rPr>
          <w:t>Pourquoi cet artefact ?</w:t>
        </w:r>
        <w:r>
          <w:tab/>
        </w:r>
        <w:r>
          <w:rPr>
            <w:rFonts w:ascii="Cambria" w:hAnsi="Cambria" w:eastAsia="ＭＳ 明朝" w:cs="Cambria" w:asciiTheme="minorHAnsi" w:hAnsiTheme="minorHAnsi" w:eastAsiaTheme="minorEastAsia" w:csTheme="minorBidi"/>
            <w:sz w:val="22"/>
            <w:szCs w:val="22"/>
          </w:rPr>
          <w:t>5</w:t>
        </w:r>
      </w:hyperlink>
    </w:p>
    <w:p w14:paraId="0A0AF52E" w14:textId="431FF0AA">
      <w:pPr>
        <w:pStyle w:val="TOC1"/>
        <w:tabs>
          <w:tab w:val="right" w:pos="8630" w:leader="dot"/>
        </w:tabs>
      </w:pPr>
      <w:hyperlink w:anchor="_Toc233729326">
        <w:r>
          <w:rPr>
            <w:rStyle w:val="Hyperlink"/>
            <w:rFonts w:ascii="Cambria" w:hAnsi="Cambria" w:eastAsia="ＭＳ 明朝" w:cs="Cambria" w:asciiTheme="minorHAnsi" w:hAnsiTheme="minorHAnsi" w:eastAsiaTheme="minorEastAsia" w:csTheme="minorBidi"/>
            <w:color w:val="0000FF" w:themeColor="hyperlink"/>
            <w:sz w:val="22"/>
            <w:szCs w:val="22"/>
            <w:u w:val="single"/>
          </w:rPr>
          <w:t>1. Métadonnées</w:t>
        </w:r>
        <w:r>
          <w:tab/>
        </w:r>
        <w:r>
          <w:rPr>
            <w:rFonts w:ascii="Cambria" w:hAnsi="Cambria" w:eastAsia="ＭＳ 明朝" w:cs="Cambria" w:asciiTheme="minorHAnsi" w:hAnsiTheme="minorHAnsi" w:eastAsiaTheme="minorEastAsia" w:csTheme="minorBidi"/>
            <w:sz w:val="22"/>
            <w:szCs w:val="22"/>
          </w:rPr>
          <w:t>5</w:t>
        </w:r>
      </w:hyperlink>
    </w:p>
    <w:p w14:paraId="616C8F85" w14:textId="00719896">
      <w:pPr>
        <w:pStyle w:val="TOC1"/>
        <w:tabs>
          <w:tab w:val="right" w:pos="8630" w:leader="dot"/>
        </w:tabs>
      </w:pPr>
      <w:hyperlink w:anchor="_Toc233729327">
        <w:r>
          <w:rPr>
            <w:rStyle w:val="Hyperlink"/>
            <w:rFonts w:ascii="Cambria" w:hAnsi="Cambria" w:eastAsia="ＭＳ 明朝" w:cs="Cambria" w:asciiTheme="minorHAnsi" w:hAnsiTheme="minorHAnsi" w:eastAsiaTheme="minorEastAsia" w:csTheme="minorBidi"/>
            <w:color w:val="0000FF" w:themeColor="hyperlink"/>
            <w:sz w:val="22"/>
            <w:szCs w:val="22"/>
            <w:u w:val="single"/>
          </w:rPr>
          <w:t>2. Contexte</w:t>
        </w:r>
        <w:r>
          <w:tab/>
        </w:r>
        <w:r>
          <w:rPr>
            <w:rFonts w:ascii="Cambria" w:hAnsi="Cambria" w:eastAsia="ＭＳ 明朝" w:cs="Cambria" w:asciiTheme="minorHAnsi" w:hAnsiTheme="minorHAnsi" w:eastAsiaTheme="minorEastAsia" w:csTheme="minorBidi"/>
            <w:sz w:val="22"/>
            <w:szCs w:val="22"/>
          </w:rPr>
          <w:t>5</w:t>
        </w:r>
      </w:hyperlink>
    </w:p>
    <w:p w14:paraId="1CCAC8CB" w14:textId="4D9CB1F0">
      <w:pPr>
        <w:pStyle w:val="TOC2"/>
        <w:tabs>
          <w:tab w:val="right" w:pos="8630" w:leader="dot"/>
        </w:tabs>
      </w:pPr>
      <w:hyperlink w:anchor="_Toc233729328">
        <w:r>
          <w:rPr>
            <w:rStyle w:val="Hyperlink"/>
            <w:rFonts w:ascii="Cambria" w:hAnsi="Cambria" w:eastAsia="ＭＳ 明朝" w:cs="Cambria" w:asciiTheme="minorHAnsi" w:hAnsiTheme="minorHAnsi" w:eastAsiaTheme="minorEastAsia" w:csTheme="minorBidi"/>
            <w:color w:val="0000FF" w:themeColor="hyperlink"/>
            <w:sz w:val="22"/>
            <w:szCs w:val="22"/>
            <w:u w:val="single"/>
          </w:rPr>
          <w:t>2.1. Situation factuelle</w:t>
        </w:r>
        <w:r>
          <w:tab/>
        </w:r>
        <w:r>
          <w:rPr>
            <w:rFonts w:ascii="Cambria" w:hAnsi="Cambria" w:eastAsia="ＭＳ 明朝" w:cs="Cambria" w:asciiTheme="minorHAnsi" w:hAnsiTheme="minorHAnsi" w:eastAsiaTheme="minorEastAsia" w:csTheme="minorBidi"/>
            <w:sz w:val="22"/>
            <w:szCs w:val="22"/>
          </w:rPr>
          <w:t>6</w:t>
        </w:r>
      </w:hyperlink>
    </w:p>
    <w:p w14:paraId="2A85E7AB" w14:textId="6BE0AD84">
      <w:pPr>
        <w:pStyle w:val="TOC2"/>
        <w:tabs>
          <w:tab w:val="right" w:pos="8630" w:leader="dot"/>
        </w:tabs>
      </w:pPr>
      <w:hyperlink w:anchor="_Toc233729329">
        <w:r>
          <w:rPr>
            <w:rStyle w:val="Hyperlink"/>
            <w:rFonts w:ascii="Cambria" w:hAnsi="Cambria" w:eastAsia="ＭＳ 明朝" w:cs="Cambria" w:asciiTheme="minorHAnsi" w:hAnsiTheme="minorHAnsi" w:eastAsiaTheme="minorEastAsia" w:csTheme="minorBidi"/>
            <w:color w:val="0000FF" w:themeColor="hyperlink"/>
            <w:sz w:val="22"/>
            <w:szCs w:val="22"/>
            <w:u w:val="single"/>
          </w:rPr>
          <w:t>2.2. Impact si on ne décide rien</w:t>
        </w:r>
        <w:r>
          <w:tab/>
        </w:r>
        <w:r>
          <w:rPr>
            <w:rFonts w:ascii="Cambria" w:hAnsi="Cambria" w:eastAsia="ＭＳ 明朝" w:cs="Cambria" w:asciiTheme="minorHAnsi" w:hAnsiTheme="minorHAnsi" w:eastAsiaTheme="minorEastAsia" w:csTheme="minorBidi"/>
            <w:sz w:val="22"/>
            <w:szCs w:val="22"/>
          </w:rPr>
          <w:t>6</w:t>
        </w:r>
      </w:hyperlink>
    </w:p>
    <w:p w14:paraId="6E154F61" w14:textId="7942537C">
      <w:pPr>
        <w:pStyle w:val="TOC2"/>
        <w:tabs>
          <w:tab w:val="right" w:pos="8630" w:leader="dot"/>
        </w:tabs>
      </w:pPr>
      <w:hyperlink w:anchor="_Toc233729330">
        <w:r>
          <w:rPr>
            <w:rStyle w:val="Hyperlink"/>
            <w:rFonts w:ascii="Cambria" w:hAnsi="Cambria" w:eastAsia="ＭＳ 明朝" w:cs="Cambria" w:asciiTheme="minorHAnsi" w:hAnsiTheme="minorHAnsi" w:eastAsiaTheme="minorEastAsia" w:csTheme="minorBidi"/>
            <w:color w:val="0000FF" w:themeColor="hyperlink"/>
            <w:sz w:val="22"/>
            <w:szCs w:val="22"/>
            <w:u w:val="single"/>
          </w:rPr>
          <w:t>2.3. Contraintes du projet</w:t>
        </w:r>
        <w:r>
          <w:tab/>
        </w:r>
        <w:r>
          <w:rPr>
            <w:rFonts w:ascii="Cambria" w:hAnsi="Cambria" w:eastAsia="ＭＳ 明朝" w:cs="Cambria" w:asciiTheme="minorHAnsi" w:hAnsiTheme="minorHAnsi" w:eastAsiaTheme="minorEastAsia" w:csTheme="minorBidi"/>
            <w:sz w:val="22"/>
            <w:szCs w:val="22"/>
          </w:rPr>
          <w:t>6</w:t>
        </w:r>
      </w:hyperlink>
    </w:p>
    <w:p w14:paraId="42932849" w14:textId="3B2801B1">
      <w:pPr>
        <w:pStyle w:val="TOC1"/>
        <w:tabs>
          <w:tab w:val="right" w:pos="8630" w:leader="dot"/>
        </w:tabs>
      </w:pPr>
      <w:hyperlink w:anchor="_Toc233729331">
        <w:r>
          <w:rPr>
            <w:rStyle w:val="Hyperlink"/>
            <w:rFonts w:ascii="Cambria" w:hAnsi="Cambria" w:eastAsia="ＭＳ 明朝" w:cs="Cambria" w:asciiTheme="minorHAnsi" w:hAnsiTheme="minorHAnsi" w:eastAsiaTheme="minorEastAsia" w:csTheme="minorBidi"/>
            <w:color w:val="0000FF" w:themeColor="hyperlink"/>
            <w:sz w:val="22"/>
            <w:szCs w:val="22"/>
            <w:u w:val="single"/>
          </w:rPr>
          <w:t>3. Options envisagées</w:t>
        </w:r>
        <w:r>
          <w:tab/>
        </w:r>
        <w:r>
          <w:rPr>
            <w:rFonts w:ascii="Cambria" w:hAnsi="Cambria" w:eastAsia="ＭＳ 明朝" w:cs="Cambria" w:asciiTheme="minorHAnsi" w:hAnsiTheme="minorHAnsi" w:eastAsiaTheme="minorEastAsia" w:csTheme="minorBidi"/>
            <w:sz w:val="22"/>
            <w:szCs w:val="22"/>
          </w:rPr>
          <w:t>6</w:t>
        </w:r>
      </w:hyperlink>
    </w:p>
    <w:p w14:paraId="227D4FAA" w14:textId="0764B225">
      <w:pPr>
        <w:pStyle w:val="TOC1"/>
        <w:tabs>
          <w:tab w:val="right" w:pos="8630" w:leader="dot"/>
        </w:tabs>
      </w:pPr>
      <w:hyperlink w:anchor="_Toc233729332">
        <w:r>
          <w:rPr>
            <w:rStyle w:val="Hyperlink"/>
            <w:rFonts w:ascii="Cambria" w:hAnsi="Cambria" w:eastAsia="ＭＳ 明朝" w:cs="Cambria" w:asciiTheme="minorHAnsi" w:hAnsiTheme="minorHAnsi" w:eastAsiaTheme="minorEastAsia" w:csTheme="minorBidi"/>
            <w:color w:val="0000FF" w:themeColor="hyperlink"/>
            <w:sz w:val="22"/>
            <w:szCs w:val="22"/>
            <w:u w:val="single"/>
          </w:rPr>
          <w:t>4. Décision retenue</w:t>
        </w:r>
        <w:r>
          <w:tab/>
        </w:r>
        <w:r>
          <w:rPr>
            <w:rFonts w:ascii="Cambria" w:hAnsi="Cambria" w:eastAsia="ＭＳ 明朝" w:cs="Cambria" w:asciiTheme="minorHAnsi" w:hAnsiTheme="minorHAnsi" w:eastAsiaTheme="minorEastAsia" w:csTheme="minorBidi"/>
            <w:sz w:val="22"/>
            <w:szCs w:val="22"/>
          </w:rPr>
          <w:t>7</w:t>
        </w:r>
      </w:hyperlink>
    </w:p>
    <w:p w14:paraId="3C65E9C0" w14:textId="1A25098B">
      <w:pPr>
        <w:pStyle w:val="TOC2"/>
        <w:tabs>
          <w:tab w:val="right" w:pos="8630" w:leader="dot"/>
        </w:tabs>
      </w:pPr>
      <w:hyperlink w:anchor="_Toc233729333">
        <w:r>
          <w:rPr>
            <w:rStyle w:val="Hyperlink"/>
            <w:rFonts w:ascii="Cambria" w:hAnsi="Cambria" w:eastAsia="ＭＳ 明朝" w:cs="Cambria" w:asciiTheme="minorHAnsi" w:hAnsiTheme="minorHAnsi" w:eastAsiaTheme="minorEastAsia" w:csTheme="minorBidi"/>
            <w:color w:val="0000FF" w:themeColor="hyperlink"/>
            <w:sz w:val="22"/>
            <w:szCs w:val="22"/>
            <w:u w:val="single"/>
          </w:rPr>
          <w:t>4.1. Justification du choix</w:t>
        </w:r>
        <w:r>
          <w:tab/>
        </w:r>
        <w:r>
          <w:rPr>
            <w:rFonts w:ascii="Cambria" w:hAnsi="Cambria" w:eastAsia="ＭＳ 明朝" w:cs="Cambria" w:asciiTheme="minorHAnsi" w:hAnsiTheme="minorHAnsi" w:eastAsiaTheme="minorEastAsia" w:csTheme="minorBidi"/>
            <w:sz w:val="22"/>
            <w:szCs w:val="22"/>
          </w:rPr>
          <w:t>7</w:t>
        </w:r>
      </w:hyperlink>
    </w:p>
    <w:p w14:paraId="2CC53F0C" w14:textId="0A7E8BF4">
      <w:pPr>
        <w:pStyle w:val="TOC2"/>
        <w:tabs>
          <w:tab w:val="right" w:pos="8630" w:leader="dot"/>
        </w:tabs>
      </w:pPr>
      <w:hyperlink w:anchor="_Toc233729334">
        <w:r>
          <w:rPr>
            <w:rStyle w:val="Hyperlink"/>
            <w:rFonts w:ascii="Cambria" w:hAnsi="Cambria" w:eastAsia="ＭＳ 明朝" w:cs="Cambria" w:asciiTheme="minorHAnsi" w:hAnsiTheme="minorHAnsi" w:eastAsiaTheme="minorEastAsia" w:csTheme="minorBidi"/>
            <w:color w:val="0000FF" w:themeColor="hyperlink"/>
            <w:sz w:val="22"/>
            <w:szCs w:val="22"/>
            <w:u w:val="single"/>
          </w:rPr>
          <w:t>4.2. Mesures de mitigation des inconvénients</w:t>
        </w:r>
        <w:r>
          <w:tab/>
        </w:r>
        <w:r>
          <w:rPr>
            <w:rFonts w:ascii="Cambria" w:hAnsi="Cambria" w:eastAsia="ＭＳ 明朝" w:cs="Cambria" w:asciiTheme="minorHAnsi" w:hAnsiTheme="minorHAnsi" w:eastAsiaTheme="minorEastAsia" w:csTheme="minorBidi"/>
            <w:sz w:val="22"/>
            <w:szCs w:val="22"/>
          </w:rPr>
          <w:t>7</w:t>
        </w:r>
      </w:hyperlink>
    </w:p>
    <w:p w14:paraId="26107019" w14:textId="2CCF5323">
      <w:pPr>
        <w:pStyle w:val="TOC1"/>
        <w:tabs>
          <w:tab w:val="right" w:pos="8630" w:leader="dot"/>
        </w:tabs>
      </w:pPr>
      <w:hyperlink w:anchor="_Toc233729335">
        <w:r>
          <w:rPr>
            <w:rStyle w:val="Hyperlink"/>
            <w:rFonts w:ascii="Cambria" w:hAnsi="Cambria" w:eastAsia="ＭＳ 明朝" w:cs="Cambria" w:asciiTheme="minorHAnsi" w:hAnsiTheme="minorHAnsi" w:eastAsiaTheme="minorEastAsia" w:csTheme="minorBidi"/>
            <w:color w:val="0000FF" w:themeColor="hyperlink"/>
            <w:sz w:val="22"/>
            <w:szCs w:val="22"/>
            <w:u w:val="single"/>
          </w:rPr>
          <w:t>5. Conséquences</w:t>
        </w:r>
        <w:r>
          <w:tab/>
        </w:r>
        <w:r>
          <w:rPr>
            <w:rFonts w:ascii="Cambria" w:hAnsi="Cambria" w:eastAsia="ＭＳ 明朝" w:cs="Cambria" w:asciiTheme="minorHAnsi" w:hAnsiTheme="minorHAnsi" w:eastAsiaTheme="minorEastAsia" w:csTheme="minorBidi"/>
            <w:sz w:val="22"/>
            <w:szCs w:val="22"/>
          </w:rPr>
          <w:t>8</w:t>
        </w:r>
      </w:hyperlink>
    </w:p>
    <w:p w14:paraId="5FA94686" w14:textId="4C6AFB39">
      <w:pPr>
        <w:pStyle w:val="TOC2"/>
        <w:tabs>
          <w:tab w:val="right" w:pos="8630" w:leader="dot"/>
        </w:tabs>
      </w:pPr>
      <w:hyperlink w:anchor="_Toc233729336">
        <w:r>
          <w:rPr>
            <w:rStyle w:val="Hyperlink"/>
            <w:rFonts w:ascii="Cambria" w:hAnsi="Cambria" w:eastAsia="ＭＳ 明朝" w:cs="Cambria" w:asciiTheme="minorHAnsi" w:hAnsiTheme="minorHAnsi" w:eastAsiaTheme="minorEastAsia" w:csTheme="minorBidi"/>
            <w:color w:val="0000FF" w:themeColor="hyperlink"/>
            <w:sz w:val="22"/>
            <w:szCs w:val="22"/>
            <w:u w:val="single"/>
          </w:rPr>
          <w:t>5.1. Conséquences positives (gains mesurés)</w:t>
        </w:r>
        <w:r>
          <w:tab/>
        </w:r>
        <w:r>
          <w:rPr>
            <w:rFonts w:ascii="Cambria" w:hAnsi="Cambria" w:eastAsia="ＭＳ 明朝" w:cs="Cambria" w:asciiTheme="minorHAnsi" w:hAnsiTheme="minorHAnsi" w:eastAsiaTheme="minorEastAsia" w:csTheme="minorBidi"/>
            <w:sz w:val="22"/>
            <w:szCs w:val="22"/>
          </w:rPr>
          <w:t>8</w:t>
        </w:r>
      </w:hyperlink>
    </w:p>
    <w:p w14:paraId="7C035B8B" w14:textId="5FCAEAFE">
      <w:pPr>
        <w:pStyle w:val="TOC2"/>
        <w:tabs>
          <w:tab w:val="right" w:pos="8630" w:leader="dot"/>
        </w:tabs>
      </w:pPr>
      <w:hyperlink w:anchor="_Toc233729337">
        <w:r>
          <w:rPr>
            <w:rStyle w:val="Hyperlink"/>
            <w:rFonts w:ascii="Cambria" w:hAnsi="Cambria" w:eastAsia="ＭＳ 明朝" w:cs="Cambria" w:asciiTheme="minorHAnsi" w:hAnsiTheme="minorHAnsi" w:eastAsiaTheme="minorEastAsia" w:csTheme="minorBidi"/>
            <w:color w:val="0000FF" w:themeColor="hyperlink"/>
            <w:sz w:val="22"/>
            <w:szCs w:val="22"/>
            <w:u w:val="single"/>
          </w:rPr>
          <w:t>5.2. Conséquences négatives (coûts assumés)</w:t>
        </w:r>
        <w:r>
          <w:tab/>
        </w:r>
        <w:r>
          <w:rPr>
            <w:rFonts w:ascii="Cambria" w:hAnsi="Cambria" w:eastAsia="ＭＳ 明朝" w:cs="Cambria" w:asciiTheme="minorHAnsi" w:hAnsiTheme="minorHAnsi" w:eastAsiaTheme="minorEastAsia" w:csTheme="minorBidi"/>
            <w:sz w:val="22"/>
            <w:szCs w:val="22"/>
          </w:rPr>
          <w:t>8</w:t>
        </w:r>
      </w:hyperlink>
    </w:p>
    <w:p w14:paraId="27DBCDAC" w14:textId="2B8A2AB8">
      <w:pPr>
        <w:pStyle w:val="TOC1"/>
        <w:tabs>
          <w:tab w:val="right" w:pos="8630" w:leader="dot"/>
        </w:tabs>
      </w:pPr>
      <w:hyperlink w:anchor="_Toc233729338">
        <w:r>
          <w:rPr>
            <w:rStyle w:val="Hyperlink"/>
            <w:rFonts w:ascii="Cambria" w:hAnsi="Cambria" w:eastAsia="ＭＳ 明朝" w:cs="Cambria" w:asciiTheme="minorHAnsi" w:hAnsiTheme="minorHAnsi" w:eastAsiaTheme="minorEastAsia" w:csTheme="minorBidi"/>
            <w:color w:val="0000FF" w:themeColor="hyperlink"/>
            <w:sz w:val="22"/>
            <w:szCs w:val="22"/>
            <w:u w:val="single"/>
          </w:rPr>
          <w:t>6. À surveiller post-décision</w:t>
        </w:r>
        <w:r>
          <w:tab/>
        </w:r>
        <w:r>
          <w:rPr>
            <w:rFonts w:ascii="Cambria" w:hAnsi="Cambria" w:eastAsia="ＭＳ 明朝" w:cs="Cambria" w:asciiTheme="minorHAnsi" w:hAnsiTheme="minorHAnsi" w:eastAsiaTheme="minorEastAsia" w:csTheme="minorBidi"/>
            <w:sz w:val="22"/>
            <w:szCs w:val="22"/>
          </w:rPr>
          <w:t>8</w:t>
        </w:r>
      </w:hyperlink>
    </w:p>
    <w:p w14:paraId="366E01CC" w14:textId="7CE89D70">
      <w:pPr>
        <w:pStyle w:val="TOC1"/>
        <w:tabs>
          <w:tab w:val="right" w:pos="8630" w:leader="dot"/>
        </w:tabs>
      </w:pPr>
      <w:hyperlink w:anchor="_Toc233729339">
        <w:r>
          <w:rPr>
            <w:rStyle w:val="Hyperlink"/>
            <w:rFonts w:ascii="Segoe UI Emoji" w:hAnsi="Segoe UI Emoji" w:eastAsia="ＭＳ 明朝" w:cs="Segoe UI Emoji" w:eastAsiaTheme="minorEastAsia"/>
            <w:color w:val="0000FF" w:themeColor="hyperlink"/>
            <w:sz w:val="22"/>
            <w:szCs w:val="22"/>
            <w:u w:val="single"/>
          </w:rPr>
          <w:t>✅</w:t>
        </w:r>
        <w:r>
          <w:rPr>
            <w:rStyle w:val="Hyperlink"/>
            <w:rFonts w:ascii="Cambria" w:hAnsi="Cambria" w:eastAsia="ＭＳ 明朝" w:cs="Cambria" w:asciiTheme="minorHAnsi" w:hAnsiTheme="minorHAnsi" w:eastAsiaTheme="minorEastAsia" w:csTheme="minorBidi"/>
            <w:color w:val="0000FF" w:themeColor="hyperlink"/>
            <w:sz w:val="22"/>
            <w:szCs w:val="22"/>
            <w:u w:val="single"/>
          </w:rPr>
          <w:t xml:space="preserve"> Grille d'auto-évaluation</w:t>
        </w:r>
        <w:r>
          <w:tab/>
        </w:r>
        <w:r>
          <w:rPr>
            <w:rFonts w:ascii="Cambria" w:hAnsi="Cambria" w:eastAsia="ＭＳ 明朝" w:cs="Cambria" w:asciiTheme="minorHAnsi" w:hAnsiTheme="minorHAnsi" w:eastAsiaTheme="minorEastAsia" w:csTheme="minorBidi"/>
            <w:sz w:val="22"/>
            <w:szCs w:val="22"/>
          </w:rPr>
          <w:t>10</w:t>
        </w:r>
      </w:hyperlink>
    </w:p>
    <w:p w14:paraId="3547BF6F" w14:textId="4ED310E4">
      <w:pPr>
        <w:pStyle w:val="TOC1"/>
        <w:tabs>
          <w:tab w:val="right" w:pos="8630" w:leader="dot"/>
        </w:tabs>
      </w:pPr>
      <w:hyperlink w:anchor="_Toc233729340">
        <w:r>
          <w:rPr>
            <w:rStyle w:val="Hyperlink"/>
            <w:rFonts w:ascii="Segoe UI Emoji" w:hAnsi="Segoe UI Emoji" w:eastAsia="ＭＳ 明朝" w:cs="Segoe UI Emoji" w:eastAsiaTheme="minorEastAsia"/>
            <w:color w:val="0000FF" w:themeColor="hyperlink"/>
            <w:sz w:val="22"/>
            <w:szCs w:val="22"/>
            <w:u w:val="single"/>
          </w:rPr>
          <w:t>📚</w:t>
        </w:r>
        <w:r>
          <w:rPr>
            <w:rStyle w:val="Hyperlink"/>
            <w:rFonts w:ascii="Cambria" w:hAnsi="Cambria" w:eastAsia="ＭＳ 明朝" w:cs="Cambria" w:asciiTheme="minorHAnsi" w:hAnsiTheme="minorHAnsi" w:eastAsiaTheme="minorEastAsia" w:csTheme="minorBidi"/>
            <w:color w:val="0000FF" w:themeColor="hyperlink"/>
            <w:sz w:val="22"/>
            <w:szCs w:val="22"/>
            <w:u w:val="single"/>
          </w:rPr>
          <w:t xml:space="preserve"> Références et conventions</w:t>
        </w:r>
        <w:r>
          <w:tab/>
        </w:r>
        <w:r>
          <w:rPr>
            <w:rFonts w:ascii="Cambria" w:hAnsi="Cambria" w:eastAsia="ＭＳ 明朝" w:cs="Cambria" w:asciiTheme="minorHAnsi" w:hAnsiTheme="minorHAnsi" w:eastAsiaTheme="minorEastAsia" w:csTheme="minorBidi"/>
            <w:sz w:val="22"/>
            <w:szCs w:val="22"/>
          </w:rPr>
          <w:t>11</w:t>
        </w:r>
      </w:hyperlink>
    </w:p>
    <w:p w14:paraId="1C87D460" w14:textId="1B5AB84F">
      <w:pPr>
        <w:pStyle w:val="TOC2"/>
        <w:tabs>
          <w:tab w:val="right" w:pos="8630" w:leader="dot"/>
        </w:tabs>
      </w:pPr>
      <w:hyperlink w:anchor="_Toc233729341">
        <w:r>
          <w:rPr>
            <w:rStyle w:val="Hyperlink"/>
            <w:rFonts w:ascii="Cambria" w:hAnsi="Cambria" w:eastAsia="ＭＳ 明朝" w:cs="Cambria" w:asciiTheme="minorHAnsi" w:hAnsiTheme="minorHAnsi" w:eastAsiaTheme="minorEastAsia" w:csTheme="minorBidi"/>
            <w:color w:val="0000FF" w:themeColor="hyperlink"/>
            <w:sz w:val="22"/>
            <w:szCs w:val="22"/>
            <w:u w:val="single"/>
          </w:rPr>
          <w:t>Références incontournables</w:t>
        </w:r>
        <w:r>
          <w:tab/>
        </w:r>
        <w:r>
          <w:rPr>
            <w:rFonts w:ascii="Cambria" w:hAnsi="Cambria" w:eastAsia="ＭＳ 明朝" w:cs="Cambria" w:asciiTheme="minorHAnsi" w:hAnsiTheme="minorHAnsi" w:eastAsiaTheme="minorEastAsia" w:csTheme="minorBidi"/>
            <w:sz w:val="22"/>
            <w:szCs w:val="22"/>
          </w:rPr>
          <w:t>11</w:t>
        </w:r>
      </w:hyperlink>
    </w:p>
    <w:p w14:paraId="21EB328E" w14:textId="55581554">
      <w:pPr>
        <w:pStyle w:val="TOC2"/>
        <w:tabs>
          <w:tab w:val="right" w:pos="8630" w:leader="dot"/>
        </w:tabs>
      </w:pPr>
      <w:hyperlink w:anchor="_Toc233729342">
        <w:r>
          <w:rPr>
            <w:rStyle w:val="Hyperlink"/>
            <w:rFonts w:ascii="Cambria" w:hAnsi="Cambria" w:eastAsia="ＭＳ 明朝" w:cs="Cambria" w:asciiTheme="minorHAnsi" w:hAnsiTheme="minorHAnsi" w:eastAsiaTheme="minorEastAsia" w:csTheme="minorBidi"/>
            <w:color w:val="0000FF" w:themeColor="hyperlink"/>
            <w:sz w:val="22"/>
            <w:szCs w:val="22"/>
            <w:u w:val="single"/>
          </w:rPr>
          <w:t>Références spécifiques à ce document</w:t>
        </w:r>
        <w:r>
          <w:tab/>
        </w:r>
        <w:r>
          <w:rPr>
            <w:rFonts w:ascii="Cambria" w:hAnsi="Cambria" w:eastAsia="ＭＳ 明朝" w:cs="Cambria" w:asciiTheme="minorHAnsi" w:hAnsiTheme="minorHAnsi" w:eastAsiaTheme="minorEastAsia" w:csTheme="minorBidi"/>
            <w:sz w:val="22"/>
            <w:szCs w:val="22"/>
          </w:rPr>
          <w:t>11</w:t>
        </w:r>
      </w:hyperlink>
    </w:p>
    <w:p w14:paraId="56FF3698" w14:textId="6D7C85EC">
      <w:pPr>
        <w:pStyle w:val="TOC2"/>
        <w:tabs>
          <w:tab w:val="right" w:pos="8630" w:leader="dot"/>
        </w:tabs>
      </w:pPr>
      <w:hyperlink w:anchor="_Toc233729343">
        <w:r>
          <w:rPr>
            <w:rStyle w:val="Hyperlink"/>
            <w:rFonts w:ascii="Cambria" w:hAnsi="Cambria" w:eastAsia="ＭＳ 明朝" w:cs="Cambria" w:asciiTheme="minorHAnsi" w:hAnsiTheme="minorHAnsi" w:eastAsiaTheme="minorEastAsia" w:csTheme="minorBidi"/>
            <w:color w:val="0000FF" w:themeColor="hyperlink"/>
            <w:sz w:val="22"/>
            <w:szCs w:val="22"/>
            <w:u w:val="single"/>
          </w:rPr>
          <w:t>Convention de versionnement</w:t>
        </w:r>
        <w:r>
          <w:tab/>
        </w:r>
        <w:r>
          <w:rPr>
            <w:rFonts w:ascii="Cambria" w:hAnsi="Cambria" w:eastAsia="ＭＳ 明朝" w:cs="Cambria" w:asciiTheme="minorHAnsi" w:hAnsiTheme="minorHAnsi" w:eastAsiaTheme="minorEastAsia" w:csTheme="minorBidi"/>
            <w:sz w:val="22"/>
            <w:szCs w:val="22"/>
          </w:rPr>
          <w:t>11</w:t>
        </w:r>
      </w:hyperlink>
    </w:p>
    <w:p w14:paraId="1DF32ADB" w14:textId="77777777">
      <w:pPr>
        <w:pageBreakBefore/>
      </w:pPr>
      <w:r>
        <w:lastRenderedPageBreak/>
      </w:r>
    </w:p>
    <w:p w14:paraId="14BFDD37" w14:textId="77777777">
      <w:r>
        <w:lastRenderedPageBreak/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>PRÉAMBULE</w:t>
      </w:r>
    </w:p>
    <w:p w14:paraId="1F964FAA" w14:textId="77777777">
      <w:pPr>
        <w:pStyle w:val="Heading1"/>
      </w:pPr>
      <w:bookmarkStart w:id="0" w:name="_Toc233729325"/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1B4B"/>
          <w:sz w:val="28"/>
          <w:szCs w:val="28"/>
        </w:rPr>
        <w:t>Pourquoi cet artefact ?</w:t>
      </w:r>
      <w:bookmarkEnd w:id="0"/>
    </w:p>
    <w:p w14:paraId="647AE793" w14:textId="77777777"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Un ADR (Architecture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Decision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Record) est un document court qui trace une décision technique structurante du projet. Format inventé par Michael Nygard en 2011, devenu un standard de l'industrie. Permet à l'équipe (et aux successeurs) de comprendre pourquoi une décision a été prise, dans quel contexte, avec quelles alternatives écartées, et avec quelles conséquences assumées.</w:t>
      </w:r>
    </w:p>
    <w:p w14:paraId="5A12E2CB" w14:textId="77777777"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Ce modèle est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pré-rempli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avec un cas d'usage : la perturbation J2 (« la latence inacceptable »), qui force votre équipe à migrer le modèle LLM du backend. Vous adapterez les valeurs concrètes (chiffres mesurés, options évaluées) à votre situation.</w:t>
      </w:r>
    </w:p>
    <w:p w14:paraId="21937145" w14:textId="77777777">
      <w:pPr>
        <w:ind w:left="283" w:right="283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22"/>
          <w:szCs w:val="22"/>
        </w:rPr>
        <w:t>💡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22"/>
          <w:szCs w:val="22"/>
        </w:rPr>
        <w:t xml:space="preserve"> Mode d'emploi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sz w:val="22"/>
          <w:szCs w:val="22"/>
        </w:rPr>
        <w:t>Un ADR pèse 1 à 2 pages maximum. Plus long, il dérive en compte-rendu et personne ne le lit. Format Nygard : Contexte → Décision → Conséquences. Les ADR sont numérotés (ADR-0001, ADR-0002...) et stockés dans /docs/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sz w:val="22"/>
          <w:szCs w:val="22"/>
        </w:rPr>
        <w:t>adr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sz w:val="22"/>
          <w:szCs w:val="22"/>
        </w:rPr>
        <w:t>/ du repo.</w:t>
      </w:r>
    </w:p>
    <w:p w14:paraId="306D30A5" w14:textId="77777777">
      <w:pPr>
        <w:pStyle w:val="Heading1"/>
      </w:pPr>
      <w:bookmarkStart w:id="1" w:name="_Toc233729326"/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1B4B"/>
          <w:sz w:val="28"/>
          <w:szCs w:val="28"/>
        </w:rPr>
        <w:t>1. Métadonnées</w:t>
      </w:r>
      <w:bookmarkEnd w:id="1"/>
    </w:p>
    <w:p w14:paraId="67EFF5D7" w14:textId="77777777">
      <w:pPr>
        <w:spacing w:before="57"/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>💡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 xml:space="preserve"> Objectif.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Identifier l'ADR de manière unique et tracer son cycle de vie (statut, version, ADR remplacé).</w:t>
      </w:r>
    </w:p>
    <w:p w14:paraId="7BB73961" w14:textId="77777777">
      <w:pPr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>📐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 xml:space="preserve"> Format attendu.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 xml:space="preserve">Table 7 lignes : Numéro · Titre · Statut · Date · Auteurs · Version ·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Supersedes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 xml:space="preserve"> (ADR remplacé). Le numéro suit la convention ADR-XXXX.</w:t>
      </w:r>
    </w:p>
    <w:p w14:paraId="3F213D3E" w14:textId="77777777">
      <w:pPr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16A34A"/>
          <w:sz w:val="18"/>
          <w:szCs w:val="22"/>
        </w:rPr>
        <w:t xml:space="preserve">✅ Bon exemple.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 xml:space="preserve">« ADR-0003 · Migration LLM Llama 3.1 8B → Phi-3-mini · Statut Accepté · 2026-06-30 14h30 · Équipe IA · v1.0 ·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Supersedes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 xml:space="preserve"> ADR-0001 »</w:t>
      </w:r>
    </w:p>
    <w:p w14:paraId="793748DD" w14:textId="77777777">
      <w:pPr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DC2626"/>
          <w:sz w:val="18"/>
          <w:szCs w:val="22"/>
        </w:rPr>
        <w:t xml:space="preserve">❌ À éviter.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« Décision LLM. » (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sans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 xml:space="preserve"> numéro, sans statut, sans date, impossible de retrouver)</w:t>
      </w:r>
    </w:p>
    <w:tbl>
      <w:tblPr>
        <w:tblStyle w:val="LightGrid-Accent1"/>
        <w:tblW w:w="0" w:type="auto"/>
        <w:tbl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10"/>
        <w:gridCol w:w="4310"/>
      </w:tblGrid>
      <w:tr>
        <w:trPr>
          <w:cnfStyle w:val="100000000000"/>
        </w:trPr>
        <w:tc>
          <w:tcPr>
            <w:cnfStyle w:val="001000000000"/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34237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Numéro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0229B" w14:textId="008FF2EC">
            <w:pPr>
              <w:spacing w:after="200" w:line="276" w:lineRule="auto"/>
            </w:pPr>
            <w:r>
              <w:t>ADR-0002</w:t>
            </w:r>
          </w:p>
        </w:tc>
      </w:tr>
      <w:tr>
        <w:trPr>
          <w:cnfStyle w:val="000000100000"/>
        </w:trPr>
        <w:tc>
          <w:tcPr>
            <w:cnfStyle w:val="001000000000"/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53C44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Titre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5D21E" w14:textId="77777777">
            <w:r>
              <w:t>Migration du modèle LLM par défaut : Llama 3.1 8B → Llama 3.2 3B</w:t>
            </w:r>
          </w:p>
        </w:tc>
      </w:tr>
      <w:tr>
        <w:trPr>
          <w:cnfStyle w:val="000000010000"/>
        </w:trPr>
        <w:tc>
          <w:tcPr>
            <w:cnfStyle w:val="001000000000"/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93789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Statut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4684C" w14:textId="7777777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☐ Proposé · ☑ Accepté · ☐ Déprécié · ☐ Remplacé</w:t>
            </w:r>
          </w:p>
        </w:tc>
      </w:tr>
      <w:tr>
        <w:trPr>
          <w:cnfStyle w:val="000000100000"/>
        </w:trPr>
        <w:tc>
          <w:tcPr>
            <w:cnfStyle w:val="001000000000"/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CF64D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1CA48" w14:textId="7777777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2026-06-30 14h30 (perturbation J2)</w:t>
            </w:r>
          </w:p>
        </w:tc>
      </w:tr>
      <w:tr>
        <w:trPr>
          <w:cnfStyle w:val="000000010000"/>
        </w:trPr>
        <w:tc>
          <w:tcPr>
            <w:cnfStyle w:val="001000000000"/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106D4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Auteurs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FEBB9" w14:textId="77777777">
            <w:r>
              <w:t>Équipe 2 complète</w:t>
            </w:r>
          </w:p>
        </w:tc>
      </w:tr>
      <w:tr>
        <w:trPr>
          <w:cnfStyle w:val="000000100000"/>
        </w:trPr>
        <w:tc>
          <w:tcPr>
            <w:cnfStyle w:val="001000000000"/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17EEE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F272A" w14:textId="77777777"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v1.0</w:t>
            </w:r>
          </w:p>
        </w:tc>
      </w:tr>
      <w:tr>
        <w:trPr>
          <w:cnfStyle w:val="000000010000"/>
        </w:trPr>
        <w:tc>
          <w:tcPr>
            <w:cnfStyle w:val="001000000000"/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3BD9C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Supersedes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DE802" w14:textId="77777777"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ADR-0001 (Choix initial Llama 3.1 8B en cadrage matinal)</w:t>
            </w:r>
          </w:p>
        </w:tc>
      </w:tr>
    </w:tbl>
    <w:p w14:paraId="7811B72A" w14:textId="77777777">
      <w:pPr>
        <w:pStyle w:val="Heading1"/>
      </w:pPr>
      <w:bookmarkStart w:id="2" w:name="_Toc233729327"/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1B4B"/>
          <w:sz w:val="28"/>
          <w:szCs w:val="28"/>
        </w:rPr>
        <w:t>2. Contexte</w:t>
      </w:r>
      <w:bookmarkEnd w:id="2"/>
    </w:p>
    <w:p w14:paraId="5AACD153" w14:textId="77777777">
      <w:pPr>
        <w:spacing w:before="57"/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>💡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 xml:space="preserve"> Objectif.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Décrire la situation factuelle qui appelle cette décision. Pas d'opinion, pas de solution avant l'heure : seulement le problème.</w:t>
      </w:r>
    </w:p>
    <w:p w14:paraId="32E73BCA" w14:textId="77777777">
      <w:pPr>
        <w:ind w:left="227" w:right="227"/>
      </w:pPr>
      <w:r>
        <w:lastRenderedPageBreak/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>📐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 xml:space="preserve"> Format attendu.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2 à 4 paragraphes : symptômes mesurés · impact utilisateur · contraintes du projet · que se passe-t-il si on ne décide rien.</w:t>
      </w:r>
    </w:p>
    <w:p w14:paraId="6BED77AB" w14:textId="77777777">
      <w:pPr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16A34A"/>
          <w:sz w:val="18"/>
          <w:szCs w:val="22"/>
        </w:rPr>
        <w:t xml:space="preserve">✅ Bon exemple.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 xml:space="preserve">« Latence p50 mesurée à 12,4 s sur 5 runs avec Llama 3.1 8B. PO juge inacceptable (cf. perturbation J2). Contrainte stack locale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Ollama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 xml:space="preserve"> imposée, impossible de basculer sur API externe. »</w:t>
      </w:r>
    </w:p>
    <w:p w14:paraId="1014B94F" w14:textId="77777777">
      <w:pPr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DC2626"/>
          <w:sz w:val="18"/>
          <w:szCs w:val="22"/>
        </w:rPr>
        <w:t xml:space="preserve">❌ À éviter.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« C'est lent. On change. » (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intestable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, pas de mesure, pas de contrainte explicitée)</w:t>
      </w:r>
    </w:p>
    <w:p w14:paraId="0615CB9E" w14:textId="77777777">
      <w:pPr>
        <w:pStyle w:val="Heading2"/>
      </w:pPr>
      <w:bookmarkStart w:id="3" w:name="_Toc233729328"/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1B4B"/>
          <w:sz w:val="26"/>
          <w:szCs w:val="26"/>
        </w:rPr>
        <w:t>2.1. Situation factuelle</w:t>
      </w:r>
      <w:bookmarkEnd w:id="3"/>
    </w:p>
    <w:p w14:paraId="0D311D8E" w14:textId="77777777"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Mardi 30 juin 2026 à 10h00, la perturbation J2 est révélée : la latence de génération d'un quiz de 10 QCM est jugée inacceptable. Mesures effectuées par l'équipe (script benchmark.sh, 5 runs, environnement Sprint 1) :</w:t>
      </w:r>
    </w:p>
    <w:p w14:paraId="4F5E4307">
      <w:pPr>
        <w:numPr>
          <w:ilvl w:val="0"/>
          <w:numId w:val="1"/>
        </w:numPr>
        <w:spacing w:after="200" w:line="276" w:lineRule="auto"/>
      </w:pPr>
      <w:r>
        <w:rPr>
          <w:rFonts w:ascii="Cambria" w:hAnsi="Cambria" w:cs="Cambria"/>
        </w:rPr>
        <w:t>Latence p50 (médiane) : 42,3 s</w:t>
      </w:r>
    </w:p>
    <w:p w14:paraId="6C342615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Latence p95 : 51,2 s</w:t>
      </w:r>
    </w:p>
    <w:p w14:paraId="27D9A9F9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Modèle utilisé : Llama 3.1 8B via Ollama local (configuration ADR-0001)</w:t>
      </w:r>
    </w:p>
    <w:p w14:paraId="5EAE5C19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Ressenti utilisateur (testé sur 3 beta-testeurs) : « beaucoup trop long, j'abandonne »</w:t>
      </w:r>
    </w:p>
    <w:p w14:paraId="03E4746A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Métriques d'engagement : -34 % de quiz complétés vs session de référence</w:t>
      </w:r>
    </w:p>
    <w:p w14:paraId="0761E056" w14:textId="77777777">
      <w:pPr>
        <w:pStyle w:val="Heading2"/>
      </w:pPr>
      <w:bookmarkStart w:id="4" w:name="_Toc233729329"/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1B4B"/>
          <w:sz w:val="26"/>
          <w:szCs w:val="26"/>
        </w:rPr>
        <w:t>2.2. Impact si on ne décide rien</w:t>
      </w:r>
      <w:bookmarkEnd w:id="4"/>
    </w:p>
    <w:p w14:paraId="50E7FA50" w14:textId="77777777">
      <w:pPr>
        <w:pStyle w:val="ListBullet"/>
        <w:numPr>
          <w:ilvl w:val="0"/>
          <w:numId w:val="1"/>
        </w:numPr>
        <w:ind w:left="360" w:hanging="360"/>
      </w:pPr>
      <w:r>
        <w:rPr>
          <w:rFonts w:ascii="Cambria" w:hAnsi="Cambria" w:cs="Cambria"/>
        </w:rPr>
        <w:t>MVP Release 1 (mercredi 17h45) risque d'être rejeté en démo PO pour cause d'UX dégradée.</w:t>
      </w:r>
    </w:p>
    <w:p w14:paraId="52FBFD63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Adoption B2B (Mme Lefèvre) compromise : 28 étudiants ne supportent pas 42 s d'attente.</w:t>
      </w:r>
    </w:p>
    <w:p w14:paraId="56DDCACF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Concurrents directs (Wilgo, Leo) annoncent des temps &lt; 5 s, désavantage concurrentiel majeur.</w:t>
      </w:r>
    </w:p>
    <w:p w14:paraId="05062EFA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Risque d'abandon massif en production : seuil d'abandon utilisateur mesuré à 15 s (étude Nielsen Norman).</w:t>
      </w:r>
    </w:p>
    <w:p w14:paraId="48507B32">
      <w:pPr>
        <w:spacing w:line="276" w:lineRule="auto"/>
      </w:pPr>
    </w:p>
    <w:p w14:paraId="56298640">
      <w:pPr>
        <w:spacing w:line="276" w:lineRule="auto"/>
      </w:pPr>
    </w:p>
    <w:p w14:paraId="12E7A506">
      <w:pPr>
        <w:spacing w:line="276" w:lineRule="auto"/>
      </w:pPr>
    </w:p>
    <w:p w14:paraId="3B6BD701" w14:textId="77777777">
      <w:pPr>
        <w:pStyle w:val="Heading2"/>
      </w:pPr>
      <w:bookmarkStart w:id="5" w:name="_Toc233729330"/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1B4B"/>
          <w:sz w:val="26"/>
          <w:szCs w:val="26"/>
        </w:rPr>
        <w:t>2.3. Contraintes du projet</w:t>
      </w:r>
      <w:bookmarkEnd w:id="5"/>
    </w:p>
    <w:p w14:paraId="11C0B571">
      <w:pPr>
        <w:pStyle w:val="Normal"/>
        <w:spacing w:after="200" w:line="276" w:lineRule="auto"/>
      </w:pPr>
    </w:p>
    <w:p w14:paraId="33240493" w14:textId="77777777">
      <w:pPr>
        <w:pStyle w:val="ListBullet"/>
        <w:numPr>
          <w:ilvl w:val="0"/>
          <w:numId w:val="1"/>
        </w:numPr>
        <w:ind w:left="360" w:hanging="360"/>
      </w:pPr>
      <w:r>
        <w:rPr>
          <w:rFonts w:ascii="Cambria" w:hAnsi="Cambria" w:cs="Cambria"/>
        </w:rPr>
        <w:t>Stack imposée : Ollama local uniquement, aucune API externe autorisée (OpenAI, Anthropic, Mistral cloud).</w:t>
      </w:r>
    </w:p>
    <w:p w14:paraId="329D6E73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Décision attendue avant la fin du Sprint 3 (mardi 18h), vitre de tir de ~6h.</w:t>
      </w:r>
    </w:p>
    <w:p w14:paraId="6690C962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Maintien de la conformité RGPD.</w:t>
      </w:r>
    </w:p>
    <w:p w14:paraId="4F03ABB5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RAM serveur limitée à 8 Go (contrainte matérielle)</w:t>
      </w:r>
    </w:p>
    <w:p w14:paraId="02F7C662" w14:textId="77777777">
      <w:pPr>
        <w:pStyle w:val="Heading1"/>
      </w:pPr>
      <w:bookmarkStart w:id="6" w:name="_Toc233729331"/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1B4B"/>
          <w:sz w:val="28"/>
          <w:szCs w:val="28"/>
        </w:rPr>
        <w:t>3. Options envisagées</w:t>
      </w:r>
      <w:bookmarkEnd w:id="6"/>
    </w:p>
    <w:p w14:paraId="76825EB6" w14:textId="77777777">
      <w:pPr>
        <w:spacing w:before="57"/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>💡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 xml:space="preserve"> Objectif.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Lister exhaustivement les alternatives évaluées. Y compris celles écartées rapidement (pour montrer qu'on n'a pas oublié).</w:t>
      </w:r>
    </w:p>
    <w:p w14:paraId="02786668" w14:textId="77777777">
      <w:pPr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>📐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 xml:space="preserve"> Format attendu.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Table 4 colonnes : Option · Avantages · Inconvénients · Coût (effort + risque). Au moins 3 options. Inclure l'option « ne rien faire » si pertinente.</w:t>
      </w:r>
    </w:p>
    <w:p w14:paraId="5FFD58C1" w14:textId="77777777">
      <w:pPr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16A34A"/>
          <w:sz w:val="18"/>
          <w:szCs w:val="22"/>
        </w:rPr>
        <w:t xml:space="preserve">✅ Bon exemple.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 xml:space="preserve">« Phi-3-mini : 3,1 s p50, qualité 7,6/10 (vs 8,2 sur Llama). Coût migration faible (config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Ollama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). »</w:t>
      </w:r>
    </w:p>
    <w:p w14:paraId="1542CE11" w14:textId="77777777">
      <w:pPr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DC2626"/>
          <w:sz w:val="18"/>
          <w:szCs w:val="22"/>
        </w:rPr>
        <w:t xml:space="preserve">❌ À éviter.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 xml:space="preserve">« On a regardé d'autres trucs. »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 xml:space="preserve">(sans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liste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, sans chiffres)</w:t>
      </w:r>
    </w:p>
    <w:tbl>
      <w:tblPr>
        <w:tblStyle w:val="LightGrid-Accent1"/>
        <w:tblW w:w="0" w:type="auto"/>
        <w:tbl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53"/>
        <w:gridCol w:w="2155"/>
        <w:gridCol w:w="2156"/>
        <w:gridCol w:w="2156"/>
      </w:tblGrid>
      <w:tr>
        <w:trPr>
          <w:cnfStyle w:val="100000000000"/>
        </w:trPr>
        <w:tc>
          <w:tcPr>
            <w:cnfStyle w:val="001000000000"/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shd w:val="clear" w:fill="1E1B4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82683" w14:textId="77777777">
            <w:pPr>
              <w:spacing w:after="200" w:line="276" w:lineRule="auto"/>
            </w:pPr>
            <w:r>
              <w:lastRenderedPageBreak/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color w:val="FFFFFF"/>
                <w:sz w:val="22"/>
                <w:szCs w:val="22"/>
              </w:rPr>
              <w:t>Option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shd w:val="clear" w:fill="1E1B4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A3C3D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color w:val="FFFFFF"/>
                <w:sz w:val="22"/>
                <w:szCs w:val="22"/>
              </w:rPr>
              <w:t>Avantages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shd w:val="clear" w:fill="1E1B4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5E964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color w:val="FFFFFF"/>
                <w:sz w:val="22"/>
                <w:szCs w:val="22"/>
              </w:rPr>
              <w:t>Inconvénients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shd w:val="clear" w:fill="1E1B4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79DA2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color w:val="FFFFFF"/>
                <w:sz w:val="22"/>
                <w:szCs w:val="22"/>
              </w:rPr>
              <w:t>Coût (effort/risque)</w:t>
            </w:r>
          </w:p>
        </w:tc>
      </w:tr>
      <w:tr>
        <w:trPr>
          <w:cnfStyle w:val="000000100000"/>
        </w:trPr>
        <w:tc>
          <w:tcPr>
            <w:cnfStyle w:val="001000000000"/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E467E" w14:textId="77777777"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A. Ne rien faire (statu quo Llama 3.1 8B)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31874" w14:textId="77777777"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0 effort, qualité de réponse maintenue (8,2/10)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DFB53" w14:textId="77777777"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12,4 s latence inacceptable, MVP risque d'être rejeté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F692F" w14:textId="77777777"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Faible effort / risque élevé sur démo PO</w:t>
            </w:r>
          </w:p>
        </w:tc>
      </w:tr>
      <w:tr>
        <w:trPr>
          <w:cnfStyle w:val="000000010000"/>
        </w:trPr>
        <w:tc>
          <w:tcPr>
            <w:cnfStyle w:val="001000000000"/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98C4C">
            <w:r>
              <w:rPr>
                <w:rFonts w:ascii="Cambria" w:hAnsi="Cambria" w:cs="Cambria"/>
                <w:b/>
                <w:bCs/>
              </w:rPr>
              <w:t>B. Optimiser le prompt seul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6DBE3">
            <w:r>
              <w:rPr>
                <w:rFonts w:ascii="Cambria" w:hAnsi="Cambria" w:cs="Cambria"/>
              </w:rPr>
              <w:t>Pas de changement de stack, gain attendu ~20 %.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55994">
            <w:r>
              <w:rPr>
                <w:rFonts w:ascii="Cambria" w:hAnsi="Cambria" w:cs="Cambria"/>
              </w:rPr>
              <w:t>Gain insuffisant (33,8 s p50 estimé), reste largement &gt; 15 s.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E4A04">
            <w:r>
              <w:rPr>
                <w:rFonts w:ascii="Cambria" w:hAnsi="Cambria" w:cs="Cambria"/>
              </w:rPr>
              <w:t>Faible effort / risque modéré (pas une vraie solution).</w:t>
            </w:r>
          </w:p>
        </w:tc>
      </w:tr>
      <w:tr>
        <w:trPr>
          <w:cnfStyle w:val="000000100000"/>
        </w:trPr>
        <w:tc>
          <w:tcPr>
            <w:cnfStyle w:val="001000000000"/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FF578" w14:textId="77777777">
            <w:r>
              <w:t>C. Migrer vers Llama 3.2 3B (CHOIX RETENU)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8C4D4" w14:textId="77777777">
            <w:pPr>
              <w:spacing w:after="200" w:line="276" w:lineRule="auto"/>
            </w:pPr>
            <w:r>
              <w:rPr>
                <w:rFonts w:ascii="Google Sans Text" w:cs="Google Sans Text"/>
              </w:rPr>
              <w:t>Latence 12,4 s p50 (-71%), RAM -5 GB, même famille Meta (prompts compatibles), qualité 8,0/10 (-2 %).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3B063" w14:textId="77777777">
            <w:pPr>
              <w:spacing w:after="200" w:line="276" w:lineRule="auto"/>
            </w:pPr>
            <w:r>
              <w:t>Qualité légèrement inférieure à 8B, mais largement acceptable pour QCM pédagogiques.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2A8B9" w14:textId="77777777">
            <w:r>
              <w:t>Effort FAIBLE (config Ollama 30 min) / risque qualité MINIME.</w:t>
            </w:r>
          </w:p>
        </w:tc>
      </w:tr>
      <w:tr>
        <w:trPr>
          <w:cnfStyle w:val="000000010000"/>
        </w:trPr>
        <w:tc>
          <w:tcPr>
            <w:cnfStyle w:val="001000000000"/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C549A" w14:textId="77777777">
            <w:r>
              <w:t>D. Migrer vers Phi-3-mini (3,8B)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92C0" w14:textId="77777777">
            <w:r>
              <w:t>Latence 8,2 s p50 (-81%), RAM -6 GB.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8C4CB" w14:textId="77777777">
            <w:r>
              <w:rPr>
                <w:rFonts w:ascii="Google Sans Text" w:cs="Google Sans Text"/>
              </w:rPr>
              <w:t>Qualité 6,9/10 (-16 %), 4 questions ambiguës/50 vs 1/50, famille Microsoft (moins de cohérence prompts).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24894" w14:textId="77777777">
            <w:r>
              <w:t>Effort faible / risque qualité ÉLEVÉ.</w:t>
            </w:r>
          </w:p>
        </w:tc>
      </w:tr>
    </w:tbl>
    <w:p w14:paraId="43613D27" w14:textId="77777777">
      <w:pPr>
        <w:pStyle w:val="Heading1"/>
      </w:pPr>
      <w:bookmarkStart w:id="7" w:name="_Toc233729332"/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1B4B"/>
          <w:sz w:val="28"/>
          <w:szCs w:val="28"/>
        </w:rPr>
        <w:t>4. Décision retenue</w:t>
      </w:r>
      <w:bookmarkEnd w:id="7"/>
    </w:p>
    <w:p w14:paraId="0473E700" w14:textId="77777777">
      <w:pPr>
        <w:spacing w:before="57"/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>💡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 xml:space="preserve"> Objectif.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Annoncer clairement l'option choisie et justifier pourquoi celle-ci plutôt qu'une autre.</w:t>
      </w:r>
    </w:p>
    <w:p w14:paraId="6D7198B4" w14:textId="77777777">
      <w:pPr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>📐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 xml:space="preserve"> Format attendu.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1 phrase d'annonce + 1 paragraphe justification + mention de la mesure de mitigation pour les inconvénients.</w:t>
      </w:r>
    </w:p>
    <w:p w14:paraId="39FC29F3" w14:textId="77777777">
      <w:pPr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16A34A"/>
          <w:sz w:val="18"/>
          <w:szCs w:val="22"/>
        </w:rPr>
        <w:t xml:space="preserve">✅ Bon exemple.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« Décision : Option C, migration vers Phi-3-mini. Justification : seule option ramenant la latence sous 5 s tout en gardant une qualité acceptable. »</w:t>
      </w:r>
    </w:p>
    <w:p w14:paraId="19E23329" w14:textId="11EAEB01">
      <w:pPr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DC2626"/>
          <w:sz w:val="18"/>
          <w:szCs w:val="22"/>
        </w:rPr>
        <w:t xml:space="preserve">❌ À éviter.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« On essaye et on verra. » (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Pas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 xml:space="preserve"> une décision, pas de critère de réversibilité)</w:t>
      </w:r>
    </w:p>
    <w:p w14:paraId="15D1643E" w14:textId="77777777"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1E1B4B"/>
          <w:sz w:val="26"/>
          <w:szCs w:val="22"/>
        </w:rPr>
        <w:t xml:space="preserve">Décision retenue : </w:t>
      </w:r>
      <w:r>
        <w:t xml:space="preserve"> Option C - Migration vers Llama 3.2 3B comme modèle LLM par défaut, avec feature flag pour rollback rapide vers Llama 3.1 8B si la qualité dégrade en production.</w:t>
      </w:r>
    </w:p>
    <w:p w14:paraId="1CFF68C8" w14:textId="77777777">
      <w:pPr>
        <w:pStyle w:val="Heading2"/>
      </w:pPr>
      <w:bookmarkStart w:id="8" w:name="_Toc233729333"/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1B4B"/>
          <w:sz w:val="26"/>
          <w:szCs w:val="26"/>
        </w:rPr>
        <w:t>4.1. Justification du choix</w:t>
      </w:r>
      <w:bookmarkEnd w:id="8"/>
    </w:p>
    <w:p w14:paraId="0D63745C" w14:textId="1577EAA8">
      <w:r>
        <w:rPr>
          <w:rFonts w:ascii="Cambria" w:hAnsi="Cambria" w:cs="Cambria"/>
        </w:rPr>
        <w:t>L'option C (Llama 3.2 3B) est retenue car elle offre le meilleur compromis qualité/latence parmi les options conformes à la stack imposée :</w:t>
      </w:r>
    </w:p>
    <w:p w14:paraId="4F943BEB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Latence ramenée à 12,4 s p50 (-71%) : sous le seuil d'abandon utilisateur de 15 s.</w:t>
      </w:r>
    </w:p>
    <w:p w14:paraId="55C82211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Qualité préservée à 8,0/10 (-2% seulement) : largement au-dessus du seuil cible ≥ 7.</w:t>
      </w:r>
    </w:p>
    <w:p w14:paraId="375728C3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Même famille Meta que Llama 3.1 8B : compatibilité des prompts existants, migration sans réécriture.</w:t>
      </w:r>
    </w:p>
    <w:p w14:paraId="3BAE2DAB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RAM réduite de 5 GB (8B → 3B) : permet d'envisager plus d'utilisateurs simultanés.</w:t>
      </w:r>
    </w:p>
    <w:p w14:paraId="04F0C1FE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Option D (Phi-3-mini) écartée : perte de qualité trop importante (-16%) et famille Microsoft moins cohérente.</w:t>
      </w:r>
    </w:p>
    <w:p w14:paraId="37A425E2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Option cloud écartée : violation RGPD, non négociable pour la cible B2B éducation.</w:t>
      </w:r>
    </w:p>
    <w:p w14:paraId="3B73ADA3" w14:textId="77777777">
      <w:pPr>
        <w:pStyle w:val="Heading2"/>
      </w:pPr>
      <w:bookmarkStart w:id="9" w:name="_Toc233729334"/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1B4B"/>
          <w:sz w:val="26"/>
          <w:szCs w:val="26"/>
        </w:rPr>
        <w:t>4.2. Mesures de mitigation des inconvénients</w:t>
      </w:r>
      <w:bookmarkEnd w:id="9"/>
    </w:p>
    <w:p w14:paraId="5FD9133D" w14:textId="77777777">
      <w:pPr>
        <w:pStyle w:val="ListBullet"/>
        <w:numPr>
          <w:ilvl w:val="0"/>
          <w:numId w:val="1"/>
        </w:numPr>
        <w:ind w:left="360" w:hanging="360"/>
      </w:pPr>
      <w:r>
        <w:rPr>
          <w:rFonts w:ascii="Cambria" w:hAnsi="Cambria" w:cs="Cambria"/>
        </w:rPr>
        <w:t>Feature flag LLM_MODEL en variable d'environnement : permet rollback en 5 minutes vers Llama 3.1 8B si problème.</w:t>
      </w:r>
    </w:p>
    <w:p w14:paraId="484710BB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Validation post-LLM systématique : parsing JSON strict du résultat (4 options, 1 correcte, longueur &gt; 10 caractères), re-prompt automatique si invalide (max 2 essais).</w:t>
      </w:r>
    </w:p>
    <w:p w14:paraId="0F18E104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Audit qualité hebdomadaire : 50 quiz tirés au hasard, scoring manuel par 2 reviewers, KPI « % erreurs factuelles » suivi dans le dashboard.</w:t>
      </w:r>
    </w:p>
    <w:p w14:paraId="718EC9EC">
      <w:pPr>
        <w:numPr>
          <w:ilvl w:val="0"/>
          <w:numId w:val="1"/>
        </w:numPr>
        <w:spacing w:line="276" w:lineRule="auto"/>
      </w:pPr>
      <w:r>
        <w:rPr>
          <w:rFonts w:ascii="Cambria" w:hAnsi="Cambria" w:cs="Cambria"/>
        </w:rPr>
        <w:t>Veille active des nouveaux modèles (Llama 3.3, Mistral Small 3.1, Phi-4), révision ADR si meilleur compromis identifié.</w:t>
      </w:r>
    </w:p>
    <w:p w14:paraId="27CD401B" w14:textId="77777777">
      <w:pPr>
        <w:pStyle w:val="Heading1"/>
      </w:pPr>
      <w:bookmarkStart w:id="10" w:name="_Toc233729335"/>
      <w:r>
        <w:lastRenderedPageBreak/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1B4B"/>
          <w:sz w:val="28"/>
          <w:szCs w:val="28"/>
        </w:rPr>
        <w:t>5. Conséquences</w:t>
      </w:r>
      <w:bookmarkEnd w:id="10"/>
    </w:p>
    <w:p w14:paraId="082118D7" w14:textId="77777777">
      <w:pPr>
        <w:spacing w:before="57"/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>💡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 xml:space="preserve"> Objectif.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Lister honnêtement les conséquences positives ET négatives. Une décision qui n'a que des avantages est suspecte.</w:t>
      </w:r>
    </w:p>
    <w:p w14:paraId="78C29917" w14:textId="77777777">
      <w:pPr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>📐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 xml:space="preserve"> Format attendu.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3 listes : Positives (gains mesurés) · Négatives (coûts assumés) · Atténuations (déjà détaillées en 4.2).</w:t>
      </w:r>
    </w:p>
    <w:p w14:paraId="5C77EEE8" w14:textId="77777777">
      <w:pPr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16A34A"/>
          <w:sz w:val="18"/>
          <w:szCs w:val="22"/>
        </w:rPr>
        <w:t xml:space="preserve">✅ Bon exemple.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« Positif : latence p50 : 12,4 s → 3,1 s (-74 %). Négatif : qualité 8,2/10 → 7,6/10 (-7 %). »</w:t>
      </w:r>
    </w:p>
    <w:p w14:paraId="00151553" w14:textId="5AAE65CC">
      <w:pPr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DC2626"/>
          <w:sz w:val="18"/>
          <w:szCs w:val="22"/>
        </w:rPr>
        <w:t xml:space="preserve">❌ À éviter.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« Que des avantages. » (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Pas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 xml:space="preserve"> crédible, l'équipe n'a pas mesuré)</w:t>
      </w:r>
    </w:p>
    <w:p w14:paraId="43DFB8DD" w14:textId="77777777">
      <w:pPr>
        <w:pStyle w:val="Heading2"/>
      </w:pPr>
      <w:bookmarkStart w:id="11" w:name="_Toc233729336"/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1B4B"/>
          <w:sz w:val="26"/>
          <w:szCs w:val="26"/>
        </w:rPr>
        <w:t>5.1. Conséquences positives (gains mesurés)</w:t>
      </w:r>
      <w:bookmarkEnd w:id="11"/>
    </w:p>
    <w:p w14:paraId="78C3DA76" w14:textId="77777777">
      <w:pPr>
        <w:pStyle w:val="ListBullet"/>
        <w:numPr>
          <w:ilvl w:val="0"/>
          <w:numId w:val="1"/>
        </w:numPr>
        <w:ind w:left="360" w:hanging="360"/>
      </w:pPr>
      <w:r>
        <w:rPr>
          <w:rFonts w:ascii="Google Sans Text" w:cs="Google Sans Text"/>
        </w:rPr>
        <w:t>Latence p50 : 42,3 s → 12,4 s (gain 71%)</w:t>
      </w:r>
    </w:p>
    <w:p w14:paraId="4610B9E8">
      <w:pPr>
        <w:numPr>
          <w:ilvl w:val="0"/>
          <w:numId w:val="1"/>
        </w:numPr>
        <w:spacing w:line="276" w:lineRule="auto"/>
      </w:pPr>
      <w:r>
        <w:rPr>
          <w:rFonts w:ascii="Google Sans Text" w:cs="Google Sans Text"/>
        </w:rPr>
        <w:t>Latence p95 : 51,2 s → 16,8 s (gain 67%)</w:t>
      </w:r>
    </w:p>
    <w:p w14:paraId="4445C460">
      <w:pPr>
        <w:numPr>
          <w:ilvl w:val="0"/>
          <w:numId w:val="1"/>
        </w:numPr>
        <w:spacing w:line="276" w:lineRule="auto"/>
      </w:pPr>
      <w:r>
        <w:rPr>
          <w:rFonts w:ascii="Google Sans Text" w:cs="Google Sans Text"/>
        </w:rPr>
        <w:t>RAM serveur libérée : -5 GB (Llama 3.2 3B = 3B vs Llama 3.1 = 8B)</w:t>
      </w:r>
    </w:p>
    <w:p w14:paraId="3EEE4B80">
      <w:pPr>
        <w:numPr>
          <w:ilvl w:val="0"/>
          <w:numId w:val="1"/>
        </w:numPr>
        <w:spacing w:line="276" w:lineRule="auto"/>
      </w:pPr>
      <w:r>
        <w:rPr>
          <w:rFonts w:ascii="Google Sans Text" w:cs="Google Sans Text"/>
        </w:rPr>
        <w:t>Coût électrique serveur : estimé -35% (modèle plus petit)</w:t>
      </w:r>
    </w:p>
    <w:p w14:paraId="3F5EE369">
      <w:pPr>
        <w:numPr>
          <w:ilvl w:val="0"/>
          <w:numId w:val="1"/>
        </w:numPr>
        <w:spacing w:line="276" w:lineRule="auto"/>
      </w:pPr>
      <w:r>
        <w:rPr>
          <w:rFonts w:ascii="Google Sans Text" w:cs="Google Sans Text"/>
        </w:rPr>
        <w:t>Démo PO Sprint 5 sécurisée (latence sous 15 s pour 100% des quiz)</w:t>
      </w:r>
    </w:p>
    <w:p w14:paraId="5921BE50">
      <w:pPr>
        <w:numPr>
          <w:ilvl w:val="0"/>
          <w:numId w:val="1"/>
        </w:numPr>
        <w:spacing w:line="276" w:lineRule="auto"/>
      </w:pPr>
      <w:r>
        <w:rPr>
          <w:rFonts w:ascii="Google Sans Text" w:cs="Google Sans Text"/>
        </w:rPr>
        <w:t>Compatibilité prompts : même famille Meta, pas de réécriture nécessaire</w:t>
      </w:r>
    </w:p>
    <w:p w14:paraId="514CF148" w14:textId="77777777">
      <w:pPr>
        <w:pStyle w:val="Heading2"/>
      </w:pPr>
      <w:bookmarkStart w:id="12" w:name="_Toc233729337"/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1B4B"/>
          <w:sz w:val="26"/>
          <w:szCs w:val="26"/>
        </w:rPr>
        <w:t>5.2. Conséquences négatives (coûts assumés)</w:t>
      </w:r>
      <w:bookmarkEnd w:id="12"/>
    </w:p>
    <w:p w14:paraId="0FD13066" w14:textId="77777777">
      <w:pPr>
        <w:pStyle w:val="ListBullet"/>
        <w:numPr>
          <w:ilvl w:val="0"/>
          <w:numId w:val="1"/>
        </w:numPr>
        <w:ind w:left="360" w:hanging="360"/>
      </w:pPr>
      <w:r>
        <w:rPr>
          <w:rFonts w:ascii="Google Sans Text" w:cs="Google Sans Text"/>
        </w:rPr>
        <w:t>Qualité moyenne du quiz : 8,2/10 → 8,0/10 (perte 2% seulement, acceptable)</w:t>
      </w:r>
    </w:p>
    <w:p w14:paraId="69E1EDDE">
      <w:pPr>
        <w:numPr>
          <w:ilvl w:val="0"/>
          <w:numId w:val="1"/>
        </w:numPr>
        <w:spacing w:line="276" w:lineRule="auto"/>
      </w:pPr>
      <w:r>
        <w:rPr>
          <w:rFonts w:ascii="Google Sans Text" w:cs="Google Sans Text"/>
        </w:rPr>
        <w:t>Taux de questions ambiguës : 1/50 → 2/50 (x2), nécessite validation renforcée</w:t>
      </w:r>
    </w:p>
    <w:p w14:paraId="5053CE78">
      <w:pPr>
        <w:numPr>
          <w:ilvl w:val="0"/>
          <w:numId w:val="1"/>
        </w:numPr>
        <w:spacing w:line="276" w:lineRule="auto"/>
      </w:pPr>
      <w:r>
        <w:rPr>
          <w:rFonts w:ascii="Google Sans Text" w:cs="Google Sans Text"/>
        </w:rPr>
        <w:t>Dépendance accrue à la validation post-LLM (point de défaillance unique si bug parser)</w:t>
      </w:r>
    </w:p>
    <w:p w14:paraId="0EFEAF6D">
      <w:pPr>
        <w:numPr>
          <w:ilvl w:val="0"/>
          <w:numId w:val="1"/>
        </w:numPr>
        <w:spacing w:line="276" w:lineRule="auto"/>
      </w:pPr>
      <w:r>
        <w:rPr>
          <w:rFonts w:ascii="Google Sans Text" w:cs="Google Sans Text"/>
        </w:rPr>
        <w:t>Risque de re-migration si Llama 3.2 3B déprécié par Meta (sunset modèle)</w:t>
      </w:r>
    </w:p>
    <w:p w14:paraId="3E9EBC69">
      <w:pPr>
        <w:spacing w:line="276" w:lineRule="auto"/>
      </w:pPr>
    </w:p>
    <w:p w14:paraId="2390883A">
      <w:pPr>
        <w:spacing w:line="276" w:lineRule="auto"/>
      </w:pPr>
    </w:p>
    <w:p w14:paraId="66F4130B">
      <w:pPr>
        <w:spacing w:line="276" w:lineRule="auto"/>
      </w:pPr>
    </w:p>
    <w:p w14:paraId="2A6A85D5">
      <w:pPr>
        <w:spacing w:line="276" w:lineRule="auto"/>
      </w:pPr>
    </w:p>
    <w:p w14:paraId="588620AD">
      <w:pPr>
        <w:spacing w:line="276" w:lineRule="auto"/>
      </w:pPr>
    </w:p>
    <w:p w14:paraId="57FED58B">
      <w:pPr>
        <w:spacing w:line="276" w:lineRule="auto"/>
      </w:pPr>
    </w:p>
    <w:p w14:paraId="7D199BE3">
      <w:pPr>
        <w:spacing w:line="276" w:lineRule="auto"/>
      </w:pPr>
    </w:p>
    <w:p w14:paraId="7ED17927">
      <w:pPr>
        <w:spacing w:line="276" w:lineRule="auto"/>
      </w:pPr>
    </w:p>
    <w:p w14:paraId="18A8D5A9">
      <w:pPr>
        <w:spacing w:line="276" w:lineRule="auto"/>
      </w:pPr>
    </w:p>
    <w:p w14:paraId="10C54592">
      <w:pPr>
        <w:spacing w:line="276" w:lineRule="auto"/>
      </w:pPr>
    </w:p>
    <w:p w14:paraId="072D2CEF" w14:textId="77777777">
      <w:pPr>
        <w:pStyle w:val="Heading1"/>
      </w:pPr>
      <w:bookmarkStart w:id="13" w:name="_Toc233729338"/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1B4B"/>
          <w:sz w:val="28"/>
          <w:szCs w:val="28"/>
        </w:rPr>
        <w:t>6. À surveiller post-décision</w:t>
      </w:r>
      <w:bookmarkEnd w:id="13"/>
    </w:p>
    <w:p w14:paraId="6B217DD3" w14:textId="77777777">
      <w:pPr>
        <w:spacing w:before="57"/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>💡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 xml:space="preserve"> Objectif.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Définir les indicateurs qui permettront de juger, dans 2-4 semaines, si la décision était bonne. Définir aussi les signaux qui déclencheraient un nouvel ADR.</w:t>
      </w:r>
    </w:p>
    <w:p w14:paraId="7EE4FFE9" w14:textId="77777777">
      <w:pPr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>📐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F59E0B"/>
          <w:sz w:val="18"/>
          <w:szCs w:val="22"/>
        </w:rPr>
        <w:t xml:space="preserve"> Format attendu.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Table 4 colonnes : KPI · Seuil cible · Seuil d'alerte · Action si dépassement. 3 à 5 KPIs.</w:t>
      </w:r>
    </w:p>
    <w:p w14:paraId="323A7C04" w14:textId="77777777">
      <w:pPr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16A34A"/>
          <w:sz w:val="18"/>
          <w:szCs w:val="22"/>
        </w:rPr>
        <w:t xml:space="preserve">✅ Bon exemple.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« Latence p50 · cible &lt; 5 s · alerte &gt; 8 s · action : déclencher ADR de re-migration »</w:t>
      </w:r>
    </w:p>
    <w:p w14:paraId="08B46E5D" w14:textId="77777777">
      <w:pPr>
        <w:ind w:left="227" w:right="227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DC2626"/>
          <w:sz w:val="18"/>
          <w:szCs w:val="22"/>
        </w:rPr>
        <w:t xml:space="preserve">❌ À éviter.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« On regardera. » (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>pas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18"/>
          <w:szCs w:val="22"/>
        </w:rPr>
        <w:t xml:space="preserve"> de seuil, pas d'action, pas d'ADR de suivi)</w:t>
      </w:r>
    </w:p>
    <w:tbl>
      <w:tblPr>
        <w:tblStyle w:val="LightGrid-Accent1"/>
        <w:tblW w:w="0" w:type="auto"/>
        <w:tbl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56"/>
        <w:gridCol w:w="2154"/>
        <w:gridCol w:w="2154"/>
        <w:gridCol w:w="2156"/>
      </w:tblGrid>
      <w:tr>
        <w:trPr>
          <w:cnfStyle w:val="100000000000"/>
        </w:trPr>
        <w:tc>
          <w:tcPr>
            <w:cnfStyle w:val="001000000000"/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shd w:val="clear" w:fill="1E1B4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A8F26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color w:val="FFFFFF"/>
                <w:sz w:val="22"/>
                <w:szCs w:val="22"/>
              </w:rPr>
              <w:t xml:space="preserve">KPI à </w:t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color w:val="FFFFFF"/>
                <w:sz w:val="22"/>
                <w:szCs w:val="22"/>
              </w:rPr>
              <w:t>surveiller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shd w:val="clear" w:fill="1E1B4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2627A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color w:val="FFFFFF"/>
                <w:sz w:val="22"/>
                <w:szCs w:val="22"/>
              </w:rPr>
              <w:t>Seuil cible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shd w:val="clear" w:fill="1E1B4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8823E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color w:val="FFFFFF"/>
                <w:sz w:val="22"/>
                <w:szCs w:val="22"/>
              </w:rPr>
              <w:t>Seuil d'alerte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shd w:val="clear" w:fill="1E1B4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9468A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color w:val="FFFFFF"/>
                <w:sz w:val="22"/>
                <w:szCs w:val="22"/>
              </w:rPr>
              <w:t>Action si dépassement</w:t>
            </w:r>
          </w:p>
        </w:tc>
      </w:tr>
      <w:tr>
        <w:trPr>
          <w:cnfStyle w:val="000000100000"/>
        </w:trPr>
        <w:tc>
          <w:tcPr>
            <w:cnfStyle w:val="001000000000"/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7DFFC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Latence p50 génération quiz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8A61E" w14:textId="7777777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&lt;15 s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9ADC8" w14:textId="7777777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&gt; 20s pendant 3 jours consécutifs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CA62C" w14:textId="77777777">
            <w:pPr>
              <w:spacing w:after="200" w:line="276" w:lineRule="auto"/>
            </w:pPr>
            <w:r>
              <w:rPr>
                <w:rFonts w:ascii="Google Sans Text" w:cs="Google Sans Text"/>
              </w:rPr>
              <w:t>Déclencher ADR de re-migration (test Phi-4 ou Mistral Small 3.1)</w:t>
            </w:r>
          </w:p>
        </w:tc>
      </w:tr>
      <w:tr>
        <w:trPr>
          <w:cnfStyle w:val="000000010000"/>
        </w:trPr>
        <w:tc>
          <w:tcPr>
            <w:cnfStyle w:val="001000000000"/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D986C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Latence p95 génération quiz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D6E8D" w14:textId="7777777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&lt; 20s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71938" w14:textId="7777777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&gt; 25s pendant 3 jours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F7F3F" w14:textId="77777777">
            <w:r>
              <w:t>Audit infrastructure Ollama + GPU si applicable</w:t>
            </w:r>
          </w:p>
        </w:tc>
      </w:tr>
      <w:tr>
        <w:trPr>
          <w:cnfStyle w:val="000000100000"/>
        </w:trPr>
        <w:tc>
          <w:tcPr>
            <w:cnfStyle w:val="001000000000"/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5A75B" w14:textId="77777777"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 xml:space="preserve">Score qualité moyen </w:t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(audit hebdo 50 quiz)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24BA4" w14:textId="77777777">
            <w:pPr>
              <w:spacing w:after="200" w:line="276" w:lineRule="auto"/>
            </w:pPr>
            <w:r>
              <w:lastRenderedPageBreak/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≥ 7,8/10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C9689" w14:textId="7777777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&lt; 7,5/10 sur 2 semaines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7FC4E" w14:textId="77777777">
            <w:r>
              <w:lastRenderedPageBreak/>
              <w:t>Améliorer prompt (few-shot exemples) + revue ADR</w:t>
            </w:r>
          </w:p>
        </w:tc>
      </w:tr>
      <w:tr>
        <w:trPr>
          <w:cnfStyle w:val="000000010000"/>
        </w:trPr>
        <w:tc>
          <w:tcPr>
            <w:cnfStyle w:val="001000000000"/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5B67C" w14:textId="77777777">
            <w:r>
              <w:lastRenderedPageBreak/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Taux d'échec validation post-LLM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6774F" w14:textId="7777777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&lt; 5 %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BD762" w14:textId="7777777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&gt; 10 % sur 1 semaine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2A197" w14:textId="77777777">
            <w:r>
              <w:t>Audit code parser + ajout règles de validation</w:t>
            </w:r>
          </w:p>
        </w:tc>
      </w:tr>
      <w:tr>
        <w:trPr>
          <w:cnfStyle w:val="000000100000"/>
        </w:trPr>
        <w:tc>
          <w:tcPr>
            <w:cnfStyle w:val="001000000000"/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A5EC1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Signalements</w:t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utilisateurs</w:t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 xml:space="preserve"> (</w:t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erreur</w:t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factuelle</w:t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1D22E" w14:textId="7777777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&lt; 2/semaine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8EDCD" w14:textId="7777777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&gt; 5/semaine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7A911" w14:textId="77777777">
            <w:r>
              <w:t>Déclencher revue produit avec PO (cf. perturbation J4)</w:t>
            </w:r>
          </w:p>
        </w:tc>
      </w:tr>
    </w:tbl>
    <w:p w14:paraId="7C03B5F7" w14:textId="77777777"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📅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 xml:space="preserve"> Date de revue planifiée de cet 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ADR :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 xml:space="preserve">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sz w:val="22"/>
          <w:szCs w:val="22"/>
        </w:rPr>
        <w:t xml:space="preserve">2 semaines après mise en production (soit semaine S+2 post-MVP), avec PO et équipe IA. Une re-décision implique un nouvel ADR-XXXX qui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sz w:val="22"/>
          <w:szCs w:val="22"/>
        </w:rPr>
        <w:t>supersede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sz w:val="22"/>
          <w:szCs w:val="22"/>
        </w:rPr>
        <w:t xml:space="preserve"> celui-ci.</w:t>
      </w:r>
    </w:p>
    <w:p w14:paraId="3568AE15" w14:textId="77777777">
      <w:pPr>
        <w:pageBreakBefore/>
      </w:pPr>
      <w:r>
        <w:lastRenderedPageBreak/>
      </w:r>
    </w:p>
    <w:p w14:paraId="0BEB1E18" w14:textId="77777777">
      <w:pPr>
        <w:pStyle w:val="Heading1"/>
      </w:pPr>
      <w:bookmarkStart w:id="14" w:name="_Toc233729339"/>
      <w:r>
        <w:lastRenderedPageBreak/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1B4B"/>
          <w:sz w:val="28"/>
          <w:szCs w:val="28"/>
        </w:rPr>
        <w:t>✅ Grille d'auto-évaluation</w:t>
      </w:r>
      <w:bookmarkEnd w:id="14"/>
    </w:p>
    <w:p w14:paraId="55EE369D" w14:textId="77777777"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475569"/>
          <w:sz w:val="20"/>
          <w:szCs w:val="22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w="0" w:type="auto"/>
        <w:tbl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73"/>
        <w:gridCol w:w="2873"/>
        <w:gridCol w:w="2874"/>
      </w:tblGrid>
      <w:tr>
        <w:trPr>
          <w:cnfStyle w:val="100000000000"/>
        </w:trPr>
        <w:tc>
          <w:tcPr>
            <w:cnfStyle w:val="001000000000"/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shd w:val="clear" w:fill="1E1B4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21235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color w:val="FFFFFF"/>
                <w:sz w:val="22"/>
                <w:szCs w:val="22"/>
              </w:rPr>
              <w:t>Critère</w:t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color w:val="FFFFFF"/>
                <w:sz w:val="22"/>
                <w:szCs w:val="22"/>
              </w:rPr>
              <w:t>qualité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shd w:val="clear" w:fill="1E1B4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147AF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color w:val="FFFFFF"/>
                <w:sz w:val="22"/>
                <w:szCs w:val="22"/>
              </w:rPr>
              <w:t>Auto-évaluation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shd w:val="clear" w:fill="1E1B4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D7C28B" w14:textId="77777777">
            <w:pPr>
              <w:spacing w:after="200" w:line="276" w:lineRule="auto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color w:val="FFFFFF"/>
                <w:sz w:val="22"/>
                <w:szCs w:val="22"/>
              </w:rPr>
              <w:t>Commentaire / preuve</w:t>
            </w:r>
          </w:p>
        </w:tc>
      </w:tr>
      <w:tr>
        <w:trPr>
          <w:cnfStyle w:val="000000100000"/>
        </w:trPr>
        <w:tc>
          <w:tcPr>
            <w:cnfStyle w:val="001000000000"/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A9C46" w14:textId="77777777"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0"/>
                <w:szCs w:val="22"/>
              </w:rPr>
              <w:t>L'ADR a un numéro unique (ADR-XXXX) et un statut explicite (Accepté / Proposé / Remplacé)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A1463" w14:textId="7777777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  <w:highlight w:val="yellow"/>
              </w:rPr>
              <w:t>☐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 xml:space="preserve"> Oui   ☐ 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Partiel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 xml:space="preserve">   ☐ Non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D1226" w14:textId="77777777">
            <w:pPr>
              <w:spacing w:after="200" w:line="276" w:lineRule="auto"/>
            </w:pPr>
            <w:r>
              <w:t>ADR-0002, statut Accepté. Remplace bien le choix initial (ADR-0001).</w:t>
            </w:r>
          </w:p>
        </w:tc>
      </w:tr>
      <w:tr>
        <w:trPr>
          <w:cnfStyle w:val="000000010000"/>
        </w:trPr>
        <w:tc>
          <w:tcPr>
            <w:cnfStyle w:val="001000000000"/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6956A" w14:textId="77777777"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0"/>
                <w:szCs w:val="22"/>
              </w:rPr>
              <w:t>Le contexte décrit la situation factuelle avec des chiffres mesurés (pas d'opinion)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EB09D" w14:textId="7777777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  <w:highlight w:val="yellow"/>
              </w:rPr>
              <w:t>☐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 xml:space="preserve"> Oui   ☐ 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Partiel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 xml:space="preserve">   ☐ Non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A5E37" w14:textId="77777777">
            <w:pPr>
              <w:spacing w:after="200" w:line="276" w:lineRule="auto"/>
            </w:pPr>
            <w:r>
              <w:t>Latence p50 = 42,3s, p95 = 51,2s basées sur 5 runs via script.</w:t>
            </w:r>
          </w:p>
        </w:tc>
      </w:tr>
      <w:tr>
        <w:trPr>
          <w:cnfStyle w:val="000000100000"/>
        </w:trPr>
        <w:tc>
          <w:tcPr>
            <w:cnfStyle w:val="001000000000"/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BED29" w14:textId="77777777"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0"/>
                <w:szCs w:val="22"/>
              </w:rPr>
              <w:t>Au moins 3 options sont listées dans le tableau comparatif, incluant l'option « ne rien faire »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5FDF6" w14:textId="7777777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  <w:highlight w:val="yellow"/>
              </w:rPr>
              <w:t>☐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 xml:space="preserve"> Oui   ☐ 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Partiel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 xml:space="preserve">   ☐ Non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C8575" w14:textId="77777777">
            <w:pPr>
              <w:spacing w:after="200" w:line="276" w:lineRule="auto"/>
            </w:pPr>
            <w:r>
              <w:t>4 options listées (A à D), incluant le statu quo et l'option Phi-3-mini de l'exemple initial.</w:t>
            </w:r>
          </w:p>
        </w:tc>
      </w:tr>
      <w:tr>
        <w:trPr>
          <w:cnfStyle w:val="000000010000"/>
        </w:trPr>
        <w:tc>
          <w:tcPr>
            <w:cnfStyle w:val="001000000000"/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ECC85" w14:textId="77777777"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0"/>
                <w:szCs w:val="22"/>
              </w:rPr>
              <w:t>La décision retenue est annoncée en 1 phrase claire (pas d'ambiguïté)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8EC40" w14:textId="7777777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  <w:highlight w:val="yellow"/>
              </w:rPr>
              <w:t>☐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 xml:space="preserve"> Oui   ☐ 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Partiel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 xml:space="preserve">   ☐ Non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C163C" w14:textId="77777777">
            <w:pPr>
              <w:spacing w:after="200" w:line="276" w:lineRule="auto"/>
            </w:pPr>
            <w:r>
              <w:t>Option C clairement identifiée et nommée (Llama 3.2 3B)</w:t>
            </w:r>
          </w:p>
        </w:tc>
      </w:tr>
      <w:tr>
        <w:trPr>
          <w:cnfStyle w:val="000000100000"/>
        </w:trPr>
        <w:tc>
          <w:tcPr>
            <w:cnfStyle w:val="001000000000"/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2C647" w14:textId="77777777"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0"/>
                <w:szCs w:val="22"/>
              </w:rPr>
              <w:t>La justification du choix s'appuie sur les critères du contexte (latence, qualité, contrainte stack)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D8735" w14:textId="7777777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  <w:highlight w:val="yellow"/>
              </w:rPr>
              <w:t>☐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 xml:space="preserve"> Oui   ☐ 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Partiel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 xml:space="preserve">   ☐ Non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8C7EE" w14:textId="77777777">
            <w:pPr>
              <w:spacing w:after="200" w:line="276" w:lineRule="auto"/>
            </w:pPr>
            <w:r>
              <w:t>ustification basée sur le compromis idéal entre qualité (-2%) et latence (-71%).</w:t>
            </w:r>
          </w:p>
        </w:tc>
      </w:tr>
      <w:tr>
        <w:trPr>
          <w:cnfStyle w:val="000000010000"/>
        </w:trPr>
        <w:tc>
          <w:tcPr>
            <w:cnfStyle w:val="001000000000"/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03062" w14:textId="77777777"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0"/>
                <w:szCs w:val="22"/>
              </w:rPr>
              <w:t>Les mesures de mitigation des inconvénients sont listées explicitement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CF3BF" w14:textId="7777777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  <w:highlight w:val="yellow"/>
              </w:rPr>
              <w:t>☐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 xml:space="preserve"> Oui   ☐ 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Partiel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 xml:space="preserve">   ☐ Non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FBF8E" w14:textId="77777777">
            <w:pPr>
              <w:spacing w:after="200" w:line="276" w:lineRule="auto"/>
            </w:pPr>
            <w:r>
              <w:t>4 mesures : feature flag, parsing JSON strict, audit hebdo, et veille technique.</w:t>
            </w:r>
          </w:p>
        </w:tc>
      </w:tr>
      <w:tr>
        <w:trPr>
          <w:cnfStyle w:val="000000100000"/>
        </w:trPr>
        <w:tc>
          <w:tcPr>
            <w:cnfStyle w:val="001000000000"/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99366" w14:textId="77777777"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0"/>
                <w:szCs w:val="22"/>
              </w:rPr>
              <w:t>Les conséquences positives ET négatives sont chiffrées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87AE9" w14:textId="7777777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  <w:highlight w:val="yellow"/>
              </w:rPr>
              <w:t>☐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 xml:space="preserve"> Oui   ☐ 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Partiel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 xml:space="preserve">   ☐ Non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001BA" w14:textId="77777777">
            <w:pPr>
              <w:spacing w:after="200" w:line="276" w:lineRule="auto"/>
            </w:pPr>
            <w:r>
              <w:t>+71% latence (gain), -2% qualité (perte assumée), -5GB RAM libérée.</w:t>
            </w:r>
          </w:p>
        </w:tc>
      </w:tr>
      <w:tr>
        <w:trPr>
          <w:cnfStyle w:val="000000010000"/>
        </w:trPr>
        <w:tc>
          <w:tcPr>
            <w:cnfStyle w:val="001000000000"/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32C86" w14:textId="77777777"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0"/>
                <w:szCs w:val="22"/>
              </w:rPr>
              <w:t>Au moins 3 KPIs sont définis avec seuil cible + seuil d'alerte + action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FC3DC" w14:textId="7777777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  <w:highlight w:val="yellow"/>
              </w:rPr>
              <w:t>☐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 xml:space="preserve"> Oui   ☐ 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Partiel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 xml:space="preserve">   ☐ Non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7984B9" w14:textId="77777777">
            <w:pPr>
              <w:spacing w:after="200" w:line="276" w:lineRule="auto"/>
            </w:pPr>
            <w:r>
              <w:t>5 KPIs définis avec seuils d'action clairs (ex: ADR de re-migration si &gt; 20s).</w:t>
            </w:r>
          </w:p>
        </w:tc>
      </w:tr>
      <w:tr>
        <w:trPr>
          <w:cnfStyle w:val="000000100000"/>
        </w:trPr>
        <w:tc>
          <w:tcPr>
            <w:cnfStyle w:val="001000000000"/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20F92" w14:textId="77777777"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0"/>
                <w:szCs w:val="22"/>
              </w:rPr>
              <w:t>Une date de revue de l'ADR est fixée (typiquement 2-4 semaines après décision)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C2DE2" w14:textId="7777777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  <w:highlight w:val="yellow"/>
              </w:rPr>
              <w:t>☐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 xml:space="preserve"> Oui   ☐ 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Partiel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 xml:space="preserve">   ☐ Non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8E26A" w14:textId="77777777">
            <w:pPr>
              <w:spacing w:after="200" w:line="276" w:lineRule="auto"/>
            </w:pPr>
            <w:r>
              <w:t>Planifiée à S+2 post-MVP.</w:t>
            </w:r>
          </w:p>
        </w:tc>
      </w:tr>
      <w:tr>
        <w:trPr>
          <w:cnfStyle w:val="000000010000"/>
        </w:trPr>
        <w:tc>
          <w:tcPr>
            <w:cnfStyle w:val="001000000000"/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4E8FE" w14:textId="77777777"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0"/>
                <w:szCs w:val="22"/>
              </w:rPr>
              <w:t xml:space="preserve">L'ADR tient en 1 à 2 pages, </w:t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0"/>
                <w:szCs w:val="22"/>
              </w:rPr>
              <w:t>relisible</w:t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0"/>
                <w:szCs w:val="22"/>
              </w:rPr>
              <w:t xml:space="preserve"> en moins de 5 minutes par un externe à l'équipe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B4A65" w14:textId="7777777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  <w:highlight w:val="yellow"/>
              </w:rPr>
              <w:t>☐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 xml:space="preserve"> Oui   ☐ 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Partiel</w:t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 xml:space="preserve">   ☐ Non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1AA4E" w14:textId="77777777">
            <w:pPr>
              <w:spacing w:after="200" w:line="276" w:lineRule="auto"/>
            </w:pPr>
            <w:r>
              <w:t>Format synthétique respecté.</w:t>
            </w:r>
          </w:p>
        </w:tc>
      </w:tr>
    </w:tbl>
    <w:p w14:paraId="32085FDD" w14:textId="77777777">
      <w:pPr>
        <w:pageBreakBefore/>
        <w:spacing w:after="200" w:line="276" w:lineRule="auto"/>
      </w:pPr>
      <w:r>
        <w:lastRenderedPageBreak/>
      </w:r>
    </w:p>
    <w:p w14:paraId="065276EF" w14:textId="77777777">
      <w:pPr>
        <w:pStyle w:val="Heading1"/>
      </w:pPr>
      <w:bookmarkStart w:id="15" w:name="_Toc233729340"/>
      <w:r>
        <w:lastRenderedPageBreak/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1B4B"/>
          <w:sz w:val="28"/>
          <w:szCs w:val="28"/>
        </w:rPr>
        <w:t>📚 Références et conventions</w:t>
      </w:r>
      <w:bookmarkEnd w:id="15"/>
    </w:p>
    <w:p w14:paraId="24A9538B" w14:textId="77777777">
      <w:pPr>
        <w:pStyle w:val="Heading2"/>
      </w:pPr>
      <w:bookmarkStart w:id="16" w:name="_Toc233729341"/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1B4B"/>
          <w:sz w:val="26"/>
          <w:szCs w:val="26"/>
        </w:rPr>
        <w:t>Références incontournables</w:t>
      </w:r>
      <w:bookmarkEnd w:id="16"/>
    </w:p>
    <w:p w14:paraId="0EF6AF20" w14:textId="7777777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 xml:space="preserve">• Cours Agile/Scrum (Mohamed EL AFRIT) :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mohamedelafrit.com/teaching/Master_Classe_Agile/cours.html</w:t>
      </w:r>
    </w:p>
    <w:p w14:paraId="28A917DF" w14:textId="7777777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 xml:space="preserve">• Scrum Guide officiel FR :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scrumguides.org/docs/scrumguide/v2020/2020-Scrum-Guide-French.pdf</w:t>
      </w:r>
    </w:p>
    <w:p w14:paraId="7A059728" w14:textId="7777777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 xml:space="preserve">• Site APOCAL'IPSSI :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mohamedelafrit.com/teaching/APOCALIPSSI</w:t>
      </w:r>
    </w:p>
    <w:p w14:paraId="4384CEDE" w14:textId="77777777">
      <w:pPr>
        <w:pStyle w:val="Heading2"/>
      </w:pPr>
      <w:bookmarkStart w:id="17" w:name="_Toc233729342"/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1B4B"/>
          <w:sz w:val="26"/>
          <w:szCs w:val="26"/>
        </w:rPr>
        <w:t>Références spécifiques à ce document</w:t>
      </w:r>
      <w:bookmarkEnd w:id="17"/>
    </w:p>
    <w:p w14:paraId="590105DF" w14:textId="77777777"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 xml:space="preserve">• Michael Nygard, 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Documenting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 xml:space="preserve"> Architecture 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Decisions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 xml:space="preserve"> (article fondateur, 2011) :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https://cognitect.com/blog/2011/11/15/documenting-architecture-decisions</w:t>
      </w:r>
    </w:p>
    <w:p w14:paraId="174B1315" w14:textId="77777777"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 xml:space="preserve">• ADR GitHub, Collection de modèles et exemples :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https://github.com/joelparkerhenderson/architecture-decision-record</w:t>
      </w:r>
    </w:p>
    <w:p w14:paraId="3627C2A7" w14:textId="7777777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 xml:space="preserve">• 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ThoughtWorks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 xml:space="preserve"> Tech Radar, ADR "Adopt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" :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 xml:space="preserve">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https://www.thoughtworks.com/en-us/radar/techniques/lightweight-architecture-decision-records</w:t>
      </w:r>
    </w:p>
    <w:p w14:paraId="2E635916" w14:textId="77777777"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 xml:space="preserve">• APOCAL'IPSSI, Perturbation J2 (la latence inacceptable) :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https://mohamedelafrit.com/teaching/APOCALIPSSI/pages/perturbations/j2-technique.php</w:t>
      </w:r>
    </w:p>
    <w:p w14:paraId="345D615B" w14:textId="77777777">
      <w:pPr>
        <w:pStyle w:val="Heading2"/>
      </w:pPr>
      <w:bookmarkStart w:id="18" w:name="_Toc233729343"/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1B4B"/>
          <w:sz w:val="26"/>
          <w:szCs w:val="26"/>
        </w:rPr>
        <w:t xml:space="preserve">Convention de 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1B4B"/>
          <w:sz w:val="26"/>
          <w:szCs w:val="26"/>
        </w:rPr>
        <w:t>versionnement</w:t>
      </w:r>
      <w:bookmarkEnd w:id="18"/>
    </w:p>
    <w:p w14:paraId="7D6CBB05" w14:textId="77777777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v1.0, version initiale produite lors du cadrage matinal</w:t>
      </w:r>
    </w:p>
    <w:p w14:paraId="4F4F9C49" w14:textId="77777777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v1.1, v1.2, révisions mineures (typo, ajout d'item) après revue PO</w:t>
      </w:r>
    </w:p>
    <w:p w14:paraId="3C2B84E5" w14:textId="77777777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• v2.0, révision majeure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suite à une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perturbation (changement de scope)</w:t>
      </w:r>
    </w:p>
    <w:p w14:paraId="6C962001" w14:textId="77777777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• Chaque version est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commitée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séparément avec message Git explicite</w:t>
      </w:r>
    </w:p>
    <w:p w14:paraId="5656A5E5" w14:textId="77777777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• Le statut « Validé PO » nécessite une trace écrite (commentaire, mail, Teams)</w:t>
      </w:r>
    </w:p>
    <w:sectPr>
      <w:footerReference w:type="default" r:id="rId8"/>
      <w:pgSz w:w="12240" w:h="15840"/>
      <w:pgMar w:top="1440" w:right="1800" w:bottom="1440" w:left="1800" w:header="720" w:footer="720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506CA" w14:textId="77777777">
      <w:pPr>
        <w:spacing w:after="0" w:line="240" w:lineRule="auto"/>
      </w:pPr>
      <w:r>
        <w:separator/>
      </w:r>
    </w:p>
  </w:endnote>
  <w:endnote w:type="continuationSeparator" w:id="0">
    <w:p w14:paraId="197CAD6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54E34D1D" w14:textId="6F63DB52">
    <w:pPr>
      <w:pStyle w:val="NormalWeb"/>
      <w:spacing w:before="283" w:after="200"/>
    </w:pPr>
    <w:r>
      <w:rPr>
        <w:rStyle w:val="Emphasis"/>
        <w:rFonts w:ascii="Cambria" w:cs="Cambria"/>
        <w:i/>
        <w:iCs/>
        <w:sz w:val="18"/>
        <w:szCs w:val="18"/>
      </w:rPr>
      <w:t>Equipe-02-ADR-Pertubation J2-0002-v1.0.docx</w:t>
    </w:r>
  </w:p>
  <w:p w14:paraId="75644041" w14:textId="0E0ACDE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9E814" w14:textId="77777777">
      <w:pPr>
        <w:spacing w:after="0" w:line="240" w:lineRule="auto"/>
      </w:pPr>
      <w:r>
        <w:separator/>
      </w:r>
    </w:p>
  </w:footnote>
  <w:footnote w:type="continuationSeparator" w:id="0">
    <w:p w14:paraId="1595B93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1424754">
    <w:abstractNumId w:val="8"/>
  </w:num>
  <w:num w:numId="2" w16cid:durableId="1238787594">
    <w:abstractNumId w:val="6"/>
  </w:num>
  <w:num w:numId="3" w16cid:durableId="1806854983">
    <w:abstractNumId w:val="5"/>
  </w:num>
  <w:num w:numId="4" w16cid:durableId="907302482">
    <w:abstractNumId w:val="4"/>
  </w:num>
  <w:num w:numId="5" w16cid:durableId="341784840">
    <w:abstractNumId w:val="7"/>
  </w:num>
  <w:num w:numId="6" w16cid:durableId="1116872613">
    <w:abstractNumId w:val="3"/>
  </w:num>
  <w:num w:numId="7" w16cid:durableId="618341816">
    <w:abstractNumId w:val="2"/>
  </w:num>
  <w:num w:numId="8" w16cid:durableId="1327593405">
    <w:abstractNumId w:val="1"/>
  </w:num>
  <w:num w:numId="9" w16cid:durableId="408507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75A"/>
    <w:rsid w:val="0015074B"/>
    <w:rsid w:val="0029639D"/>
    <w:rsid w:val="002E20AC"/>
    <w:rsid w:val="00326F90"/>
    <w:rsid w:val="007A4732"/>
    <w:rsid w:val="0091567A"/>
    <w:rsid w:val="00AA1D8D"/>
    <w:rsid w:val="00B47730"/>
    <w:rsid w:val="00CB0664"/>
    <w:rsid w:val="00D4133C"/>
    <w:rsid w:val="00F30BD4"/>
    <w:rsid w:val="00F911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D6370A"/>
  <w14:defaultImageDpi w14:val="300"/>
  <w15:docId w15:val="{501BF4B4-4411-4832-B4A5-41EF7C846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30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OC1">
    <w:name w:val="toc 1"/>
    <w:basedOn w:val="Normal"/>
    <w:next w:val="Normal"/>
    <w:autoRedefine/>
    <w:uiPriority w:val="39"/>
    <w:unhideWhenUsed/>
    <w:rsid w:val="00F9117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117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911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2186</Words>
  <Characters>12023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Danielle Jamila KOAGNE NGANKAM</cp:lastModifiedBy>
  <cp:revision>2</cp:revision>
  <dcterms:created xsi:type="dcterms:W3CDTF">2026-06-30T14:32:00Z</dcterms:created>
  <dcterms:modified xsi:type="dcterms:W3CDTF">2026-07-01T16:07:16.822Z</dcterms:modified>
  <cp:category/>
</cp:coreProperties>
</file>