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1F3864"/>
          <w:sz w:val="52"/>
          <w:szCs w:val="52"/>
        </w:rPr>
        <w:t xml:space="preserve">MANUEL DE MISE EN ŒUVRE</w:t>
      </w:r>
    </w:p>
    <w:p>
      <w:pPr>
        <w:spacing w:after="200"/>
        <w:jc w:val="center"/>
      </w:pPr>
      <w:r>
        <w:rPr>
          <w:color w:val="404040"/>
          <w:sz w:val="28"/>
          <w:szCs w:val="28"/>
        </w:rPr>
        <w:t xml:space="preserve">Modèle MEGC Burkina Faso 2018 — version Python</w:t>
      </w:r>
    </w:p>
    <w:p>
      <w:pPr>
        <w:spacing w:after="120"/>
        <w:jc w:val="center"/>
      </w:pPr>
      <w:r>
        <w:rPr>
          <w:i/>
          <w:iCs/>
          <w:color w:val="606060"/>
          <w:sz w:val="24"/>
          <w:szCs w:val="24"/>
        </w:rPr>
        <w:t xml:space="preserve">Installation · prise en main · scénarios · clôtures · interprétation</w:t>
      </w:r>
    </w:p>
    <w:p>
      <w:pPr>
        <w:spacing w:before="1800"/>
        <w:jc w:val="center"/>
      </w:pPr>
      <w:r>
        <w:rPr>
          <w:color w:val="606060"/>
          <w:sz w:val="22"/>
          <w:szCs w:val="22"/>
        </w:rPr>
        <w:t xml:space="preserve">Modèle d'équilibre général calculable — Burkina Faso 2018</w:t>
      </w:r>
    </w:p>
    <w:p>
      <w:pPr>
        <w:jc w:val="center"/>
      </w:pPr>
      <w:r>
        <w:rPr>
          <w:color w:val="606060"/>
          <w:sz w:val="22"/>
          <w:szCs w:val="22"/>
        </w:rPr>
        <w:t xml:space="preserve">Version 2 — révisée après audit et réparation, 12 juillet 2026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1. Installation et prérequis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modèle est un ensemble de scripts Python autonomes. Prérequis : Python 3.9+ et quatre bibliothèques.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pip install numpy scipy openpyxl matplotlib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Placez-vous dans le dossier du modèle (qui contient data/). Aucune compilation, aucune licence.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Vérification complète (recommandée après installation ou modification) :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python validation_finale.py    # batterie de 8 tests, tous doivent afficher REUSSI (~ minutes)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python demo.py                 # démonstration (scénarios, bien-être, exports)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2. Prise en main rapide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from cge import CGE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import numpy as np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 = CGE()                       # MCS réconciliée (défaut) ; CGE(dataset='original') pour l'ancienne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x, sol = m.solve()              # équilibre de référence (BAU)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 = m.report(x)                 # dictionnaire de résultats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print(r['GDP_VA']/1e3)          # PIB (valeur ajoutée), en Mds FCFA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Deux diagnostics à vérifier systématiquement : </w:t>
      </w:r>
      <w:r>
        <w:rPr>
          <w:rFonts w:ascii="Calibri" w:cs="Calibri" w:eastAsia="Calibri" w:hAnsi="Calibri"/>
          <w:sz w:val="22"/>
          <w:szCs w:val="22"/>
        </w:rPr>
        <w:t xml:space="preserve">le résidu np.max(np.abs(m.residual(x))) (attendu ~1e-12 à la base, &lt; 1e-8 après choc) et la loi de Walras r['walras'] (attendu ≈ 0 : c'est la contrainte extérieure, équation redondante du système — si elle s'écarte de zéro, la solution n'est pas un équilibre).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3. Organisation des modules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656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À utiliser pour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cge.py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Créer le modèle, résoudre (solve, solve_path), choisir les clôtures, la dynamique.</w:t>
            </w:r>
          </w:p>
        </w:tc>
      </w:tr>
      <w:t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scenarios.py</w:t>
            </w:r>
          </w:p>
        </w:tc>
        <w:tc>
          <w:tcPr>
            <w:tcW w:type="dxa" w:w="6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Définir des chocs et lancer des simulations comparées au BAU.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report.py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Mettre en forme, bien-être (EV), exporter en Excel, tracer.</w:t>
            </w:r>
          </w:p>
        </w:tc>
      </w:tr>
      <w:t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nests.py, calib.py</w:t>
            </w:r>
          </w:p>
        </w:tc>
        <w:tc>
          <w:tcPr>
            <w:tcW w:type="dxa" w:w="6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Cœur technique (rarement modifié).</w:t>
            </w:r>
          </w:p>
        </w:tc>
      </w:tr>
      <w:tr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validation_finale.py</w:t>
            </w:r>
          </w:p>
        </w:tc>
        <w:tc>
          <w:tcPr>
            <w:tcW w:type="dxa" w:w="6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Batterie de non-régression à rejouer après toute modification.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4. Résoudre l'équilibre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Changer les élasticités : 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 = CGE(elas={'sVA':1.2, 'sM':2.5})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Fermeture du capital : </w:t>
      </w:r>
      <w:r>
        <w:rPr>
          <w:rFonts w:ascii="Calibri" w:cs="Calibri" w:eastAsia="Calibri" w:hAnsi="Calibri"/>
          <w:sz w:val="22"/>
          <w:szCs w:val="22"/>
        </w:rPr>
        <w:t xml:space="preserve">le capital SECTORIEL est le défaut (PEP-1-t) : rentes par branche, robuste aux chocs. Le capital mobile (m.sec_cap=False) est utilisable pour de petits chocs, mais déconseillé pour les grands (branches exportatrices en solution de coin).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4.1 Choisir le jeu de données selon le choc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760"/>
        <w:gridCol w:w="28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Type d'analyse</w:t>
            </w:r>
          </w:p>
        </w:tc>
        <w:tc>
          <w:tcPr>
            <w:tcW w:type="dxa" w:w="276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Jeu recommandé</w:t>
            </w:r>
          </w:p>
        </w:tc>
        <w:tc>
          <w:tcPr>
            <w:tcW w:type="dxa" w:w="28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Précision attendue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Prix mondiaux, exportations, chocs extérieurs</w:t>
            </w:r>
          </w:p>
        </w:tc>
        <w:tc>
          <w:tcPr>
            <w:tcW w:type="dxa" w:w="2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CGE() — réconcilié (défaut)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~1e-14, Walras 0</w:t>
            </w:r>
          </w:p>
        </w:tc>
      </w:tr>
      <w:tr>
        <w:tc>
          <w:tcPr>
            <w:tcW w:type="dxa" w:w="3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Fiscalité intérieure ≤ ~3 pts</w:t>
            </w:r>
          </w:p>
        </w:tc>
        <w:tc>
          <w:tcPr>
            <w:tcW w:type="dxa" w:w="2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CGE() — réconcilié (défaut)</w:t>
            </w:r>
          </w:p>
        </w:tc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~1e-14 via homotopie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Grandes réformes fiscales (&gt; 3 pts)</w:t>
            </w:r>
          </w:p>
        </w:tc>
        <w:tc>
          <w:tcPr>
            <w:tcW w:type="dxa" w:w="2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CGE(dataset='original')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~1e-14, Walras 0</w:t>
            </w:r>
          </w:p>
        </w:tc>
      </w:tr>
      <w:tr>
        <w:tc>
          <w:tcPr>
            <w:tcW w:type="dxa" w:w="3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Productivité, offre de facteurs</w:t>
            </w:r>
          </w:p>
        </w:tc>
        <w:tc>
          <w:tcPr>
            <w:tcW w:type="dxa" w:w="2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l'un ou l'autre</w:t>
            </w:r>
          </w:p>
        </w:tc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~1e-14 via homotopie</w:t>
            </w:r>
          </w:p>
        </w:tc>
      </w:tr>
      <w:tr>
        <w:tc>
          <w:tcPr>
            <w:tcW w:type="dxa" w:w="3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Politique douanière</w:t>
            </w:r>
          </w:p>
        </w:tc>
        <w:tc>
          <w:tcPr>
            <w:tcW w:type="dxa" w:w="2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aucun (compte TM vide)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non simulable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Les deux matrices sont consultables en Excel : MCS_reconciliee_BF2018.xlsx et MCS_originale_BF2018.xlsx (feuilles Lisez-moi, MCS complète, Macro, Nomenclature avec libellés des branches et produits).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5. Définir et lancer des scénarios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5.1 Constructeurs de chocs (scenarios.py)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600"/>
        <w:gridCol w:w="256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Constructeur</w:t>
            </w:r>
          </w:p>
        </w:tc>
        <w:tc>
          <w:tcPr>
            <w:tcW w:type="dxa" w:w="2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Effet</w:t>
            </w:r>
          </w:p>
        </w:tc>
        <w:tc>
          <w:tcPr>
            <w:tcW w:type="dxa" w:w="256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Exemple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fiscal(prefix, add)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Taxe produit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fiscal(prefix=(62,97), add=0.10)</w:t>
            </w:r>
          </w:p>
        </w:tc>
      </w:tr>
      <w:tr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tfp(branch_range, factor)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Productivité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tfp(branch_range=(1,27), factor=1.10)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world_price(commodities, exp_factor, imp_factor)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Prix mondiaux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world_price(['P60'], exp_factor=0.8)</w:t>
            </w:r>
          </w:p>
        </w:tc>
      </w:tr>
      <w:tr>
        <w:tc>
          <w:tcPr>
            <w:tcW w:type="dxa" w:w="4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factor_supply(labour, capital)</w:t>
            </w:r>
          </w:p>
        </w:tc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Offre de facteurs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factor_supply(labour=1.05)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combine(a, b, ...)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Cumul de chocs</w:t>
            </w:r>
          </w:p>
        </w:tc>
        <w:tc>
          <w:tcPr>
            <w:tcW w:type="dxa" w:w="2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combine(fiscal(...), tfp(...))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Codes : biens P1…, branches A1… ; prefix=(62,97) désigne une plage de codes (ex. agroalimentaire).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5.2 Exécution statique (choc vs BAU)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import scenarios as SC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res = SC.run_static(SC.fiscal(prefix=(62,97), add=0.10))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res['r0'], res['r1']   # résultats BAU et choc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run_static résout le choc par homotopie adaptative (solve_path) : montée progressive du choc, pas réduit automatiquement en cas de difficulté, pivotage des rentes en coin. Comptez de quelques secondes (chocs modérés) à plusieurs minutes (grands chocs).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5.3 Choc sur mesure avec solve_path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 = CGE(); xb,_ = m.solve()                    # BAU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i60 = m.d.I.index('P60')                        # or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def setter(mm, s):                              # s monte de 0 à 1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    mm.pwe = np.ones(mm.nI); mm.pwe[i60] = 1 - 0.20*s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x, info = m.solve_path(setter, x0=xb)           # info['s']=1 et info['res']&lt;1e-8 attendus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r1 = m.report(x)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info contient la fraction de choc atteinte (s), le résidu final, et les cellules de capital oisif (idle). Si s &lt; 1, le sentier s'est arrêté : augmentez max_time, ou réduisez l'ampleur du choc.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5"/>
          <w:szCs w:val="25"/>
        </w:rPr>
        <w:t xml:space="preserve">5.4 Leviers directs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Levier</w:t>
            </w:r>
          </w:p>
        </w:tc>
        <w:tc>
          <w:tcPr>
            <w:tcW w:type="dxa" w:w="636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Signification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m.tic_sim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Taux de taxe sur les produits (par bien)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m.p.B_VA</w:t>
            </w:r>
          </w:p>
        </w:tc>
        <w:tc>
          <w:tcPr>
            <w:tcW w:type="dxa" w:w="6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Productivité globale des facteurs (par branche)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m.pwm / m.pwe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Prix mondiaux à l'import / export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m.LS / m.KDj</w:t>
            </w:r>
          </w:p>
        </w:tc>
        <w:tc>
          <w:tcPr>
            <w:tcW w:type="dxa" w:w="6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Offre de travail / capital sectoriel par branche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m.ttip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Taux de taxe sur la production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6. Clôtures et sensibilité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clôture détermine ce qui s'ajuste après un choc. Comparez toujours choc vs BAU sous la MÊME clôture, en écarts.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16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Paramètre</w:t>
            </w:r>
          </w:p>
        </w:tc>
        <w:tc>
          <w:tcPr>
            <w:tcW w:type="dxa" w:w="32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Options</w:t>
            </w:r>
          </w:p>
        </w:tc>
        <w:tc>
          <w:tcPr>
            <w:tcW w:type="dxa" w:w="316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Sens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m.closure_lab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'plein_emploi' | 'chomage'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Salaire flexible (LT) vs salaire RÉEL fixe — indexé sur l'IPC — et emploi flexible (CT)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m.closure_inv</w:t>
            </w:r>
          </w:p>
        </w:tc>
        <w:tc>
          <w:tcPr>
            <w:tcW w:type="dxa" w:w="3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'epargne' | 'exogene'</w:t>
            </w:r>
          </w:p>
        </w:tc>
        <w:tc>
          <w:tcPr>
            <w:tcW w:type="dxa" w:w="31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Investissement = épargne (néoclassique) vs investissement réel fixe (keynésien, à réserver à la clôture chômage)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SC.compare_closures(SC.factor_supply(labour=1.05))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En clôture chômage, fixez le salaire réel de référence après le BAU : m.Wbar = (m._store['W']/m._store['cpi']).copy(). Les fonctions de scenarios.py le font automatiquement.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Recommandation Burkina Faso : </w:t>
      </w:r>
      <w:r>
        <w:rPr>
          <w:rFonts w:ascii="Calibri" w:cs="Calibri" w:eastAsia="Calibri" w:hAnsi="Calibri"/>
          <w:sz w:val="22"/>
          <w:szCs w:val="22"/>
        </w:rPr>
        <w:t xml:space="preserve">référence long terme = plein_emploi + epargne (change fixe, zone CFA) ; contrepoint court terme = chomage + exogene. Des conclusions qualitatives stables sous les deux clôtures sont crédibles.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7. Dynamique récursive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m = CGE()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chemin = m.solve_dynamic(T=10, delta=0.03, n=0.03)     # BAU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dyn = SC.run_dynamic(SC.tfp(branch_range=(1,27), factor=1.10), T=10)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Chaque période est résolue par homotopie sur l'accumulation des facteurs (convergence garantie, ~minute par période). L'investissement est alloué aux branches selon les rendements relatifs. Vérifiez p['conv'] et p['walras'] sur chaque période du chemin.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8. Lire et exporter les résultats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import report as R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R.print_summary(m2, res['r0'], res['r1'], 'Mon scénario')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R.equivalent_variation(m2, res['r0'], res['r1'])        # bien-être par ménage (Mds FCFA)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R.export_excel('resultats.xlsx', m2, res['r0'], res['r1'], dyn_path=dyn['bau'], dyn_shock=dyn.get('shock'))</w:t>
      </w:r>
    </w:p>
    <w:p>
      <w:pPr>
        <w:shd w:fill="F5F5F5" w:val="clear"/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R.plot_dynamic(dyn['bau'], dyn.get('shock'), out='sentier.png')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Le rapport r contient aussi : SG (épargne publique), SF (firmes), SROW, walras, cpi, chomage_pct, GVTrev et ses composantes.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9. Bonnes pratiques et pièges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Vérifiez résidu ET Walras après chaque résolution </w:t>
      </w:r>
      <w:r>
        <w:rPr>
          <w:rFonts w:ascii="Calibri" w:cs="Calibri" w:eastAsia="Calibri" w:hAnsi="Calibri"/>
          <w:sz w:val="22"/>
          <w:szCs w:val="22"/>
        </w:rPr>
        <w:t xml:space="preserve">(r['walras'] ≈ 0). Un résidu correct avec un Walras non nul signale un pseudo-équilibre : rejetez la solution.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Comparez en écarts </w:t>
      </w:r>
      <w:r>
        <w:rPr>
          <w:rFonts w:ascii="Calibri" w:cs="Calibri" w:eastAsia="Calibri" w:hAnsi="Calibri"/>
          <w:sz w:val="22"/>
          <w:szCs w:val="22"/>
        </w:rPr>
        <w:t xml:space="preserve">choc vs BAU sous la même clôture ; jamais des niveaux entre clôtures différentes.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Gros chocs : solve_path </w:t>
      </w:r>
      <w:r>
        <w:rPr>
          <w:rFonts w:ascii="Calibri" w:cs="Calibri" w:eastAsia="Calibri" w:hAnsi="Calibri"/>
          <w:sz w:val="22"/>
          <w:szCs w:val="22"/>
        </w:rPr>
        <w:t xml:space="preserve">(ou run_static qui l'appelle). Une résolution directe peut échouer dès que des rentes sectorielles s'annulent.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Choisissez le jeu de données selon le choc. </w:t>
      </w:r>
      <w:r>
        <w:rPr>
          <w:rFonts w:ascii="Calibri" w:cs="Calibri" w:eastAsia="Calibri" w:hAnsi="Calibri"/>
          <w:sz w:val="22"/>
          <w:szCs w:val="22"/>
        </w:rPr>
        <w:t xml:space="preserve">dataset='reconcilie' (défaut) : secteur extérieur réaliste, chocs de prix mondiaux exacts ; chocs fiscaux fiables jusqu'à ~+3 pts. dataset='original' : chocs fiscaux exacts à toute ampleur, mais secteur extérieur inutilisable. Toujours pas de droits de douane dans les données.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Sensibilité aux élasticités obligatoire </w:t>
      </w:r>
      <w:r>
        <w:rPr>
          <w:rFonts w:ascii="Calibri" w:cs="Calibri" w:eastAsia="Calibri" w:hAnsi="Calibri"/>
          <w:sz w:val="22"/>
          <w:szCs w:val="22"/>
        </w:rPr>
        <w:t xml:space="preserve">pour toute publication (élasticités uniformes par défaut) : rejouez le scénario avec CGE(elas={...}) sur une grille (p. ex. σ_M et σ_X à ±50 %) et rapportez la fourchette.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Lisez les résultats en écarts relatifs, pas en niveaux </w:t>
      </w:r>
      <w:r>
        <w:rPr>
          <w:rFonts w:ascii="Calibri" w:cs="Calibri" w:eastAsia="Calibri" w:hAnsi="Calibri"/>
          <w:sz w:val="22"/>
          <w:szCs w:val="22"/>
        </w:rPr>
        <w:t xml:space="preserve">: le PIB du jeu réconcilié (9 866 Mds) inclut l'économie informelle de la macro-MCS et dépasse le PIB officiel.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Zone CFA : </w:t>
      </w:r>
      <w:r>
        <w:rPr>
          <w:rFonts w:ascii="Calibri" w:cs="Calibri" w:eastAsia="Calibri" w:hAnsi="Calibri"/>
          <w:sz w:val="22"/>
          <w:szCs w:val="22"/>
        </w:rPr>
        <w:t xml:space="preserve">change fixe (numéraire e=1), solde courant fixé ; l'ajustement passe par les prix intérieurs.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10. Dépannage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rPr>
          <w:tblHeader/>
        </w:trPr>
        <w:tc>
          <w:tcPr>
            <w:tcW w:type="dxa" w:w="46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Symptôme</w:t>
            </w:r>
          </w:p>
        </w:tc>
        <w:tc>
          <w:tcPr>
            <w:tcW w:type="dxa" w:w="476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Cause probable / remède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Avertissement « convergence douteuse »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Choc trop grand pour une résolution directe : utiliser solve_path / run_static.</w:t>
            </w:r>
          </w:p>
        </w:tc>
      </w:tr>
      <w:tr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Avertissement « loi de Walras violée »</w:t>
            </w:r>
          </w:p>
        </w:tc>
        <w:tc>
          <w:tcPr>
            <w:tcW w:type="dxa" w:w="4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La solution n'est pas un équilibre : ne pas l'interpréter ; repasser par solve_path.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solve_path s'arrête à s &lt; 1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Cascade de coins (choc extrême) : augmenter max_time, réduire step0, ou fractionner le choc ; vérifier l'économie du scénario.</w:t>
            </w:r>
          </w:p>
        </w:tc>
      </w:tr>
      <w:tr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Dynamique lente</w:t>
            </w:r>
          </w:p>
        </w:tc>
        <w:tc>
          <w:tcPr>
            <w:tcW w:type="dxa" w:w="4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Normal (~minute/période, jacobien numérique) ; réduire T pour les itérations exploratoires.</w:t>
            </w:r>
          </w:p>
        </w:tc>
      </w:tr>
      <w:t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Résultats de niveau surprenants en 'chomage'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Lire en écarts choc/BAU ; vérifier que Wbar a été fixé après le BAU.</w:t>
            </w:r>
          </w:p>
        </w:tc>
      </w:tr>
      <w:tr>
        <w:tc>
          <w:tcPr>
            <w:tcW w:type="dxa" w:w="4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ModuleNotFoundError</w:t>
            </w:r>
          </w:p>
        </w:tc>
        <w:tc>
          <w:tcPr>
            <w:tcW w:type="dxa" w:w="4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Lancer depuis le dossier du modèle ; vérifier pip install.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  <w:b/>
          <w:bCs/>
          <w:color w:val="1F3864"/>
          <w:sz w:val="30"/>
          <w:szCs w:val="30"/>
        </w:rPr>
        <w:t xml:space="preserve">11. Aide-mémoire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Je veux…</w:t>
            </w:r>
          </w:p>
        </w:tc>
        <w:tc>
          <w:tcPr>
            <w:tcW w:type="dxa" w:w="5360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Comment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Résoudre le BAU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m=CGE(); x,_=m.solve(); r=m.report(x)</w:t>
            </w:r>
          </w:p>
        </w:tc>
      </w:tr>
      <w:tr>
        <w:tc>
          <w:tcPr>
            <w:tcW w:type="dxa" w:w="4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Valider l'installation / une modification</w:t>
            </w:r>
          </w:p>
        </w:tc>
        <w:tc>
          <w:tcPr>
            <w:tcW w:type="dxa" w:w="5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python validation_finale.py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Choc fiscal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SC.run_static(SC.fiscal(prefix=(62,97), add=0.10))</w:t>
            </w:r>
          </w:p>
        </w:tc>
      </w:tr>
      <w:tr>
        <w:tc>
          <w:tcPr>
            <w:tcW w:type="dxa" w:w="4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Choc de productivité</w:t>
            </w:r>
          </w:p>
        </w:tc>
        <w:tc>
          <w:tcPr>
            <w:tcW w:type="dxa" w:w="5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SC.run_static(SC.tfp(branch_range=(1,27), factor=1.10))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Choc de prix mondial (grand)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m.solve_path(setter, x0=xb)</w:t>
            </w:r>
          </w:p>
        </w:tc>
      </w:tr>
      <w:tr>
        <w:tc>
          <w:tcPr>
            <w:tcW w:type="dxa" w:w="4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Clôture court terme</w:t>
            </w:r>
          </w:p>
        </w:tc>
        <w:tc>
          <w:tcPr>
            <w:tcW w:type="dxa" w:w="5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m.closure_lab='chomage'; m.closure_inv='exogene'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Sensibilité aux clôtures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SC.compare_closures(choc)</w:t>
            </w:r>
          </w:p>
        </w:tc>
      </w:tr>
      <w:tr>
        <w:tc>
          <w:tcPr>
            <w:tcW w:type="dxa" w:w="4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Dynamique BAU vs choc</w:t>
            </w:r>
          </w:p>
        </w:tc>
        <w:tc>
          <w:tcPr>
            <w:tcW w:type="dxa" w:w="5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SC.run_dynamic(choc, T=10)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Bien-être par ménage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R.equivalent_variation(m, r0, r1)</w:t>
            </w:r>
          </w:p>
        </w:tc>
      </w:tr>
      <w:tr>
        <w:tc>
          <w:tcPr>
            <w:tcW w:type="dxa" w:w="4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Export Excel</w:t>
            </w:r>
          </w:p>
        </w:tc>
        <w:tc>
          <w:tcPr>
            <w:tcW w:type="dxa" w:w="5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R.export_excel('res.xlsx', m, r0, r1)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Choc extérieur / commerce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CGE() (jeu réconcilié, défaut)</w:t>
            </w:r>
          </w:p>
        </w:tc>
      </w:tr>
      <w:tr>
        <w:tc>
          <w:tcPr>
            <w:tcW w:type="dxa" w:w="4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Grande réforme fiscale</w:t>
            </w:r>
          </w:p>
        </w:tc>
        <w:tc>
          <w:tcPr>
            <w:tcW w:type="dxa" w:w="5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CGE(dataset='original')</w:t>
            </w:r>
          </w:p>
        </w:tc>
      </w:tr>
      <w:tr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Consulter les matrices</w:t>
            </w:r>
          </w:p>
        </w:tc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MCS_reconciliee_BF2018.xlsx / MCS_originale_BF2018.xlsx</w:t>
            </w:r>
          </w:p>
        </w:tc>
      </w:tr>
      <w:tr>
        <w:tc>
          <w:tcPr>
            <w:tcW w:type="dxa" w:w="4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Vérifier un équilibre</w:t>
            </w:r>
          </w:p>
        </w:tc>
        <w:tc>
          <w:tcPr>
            <w:tcW w:type="dxa" w:w="5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max|residual| &lt; 1e-8 ET r['walras'] ≈ 0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i/>
          <w:iCs/>
          <w:color w:val="606060"/>
          <w:sz w:val="22"/>
          <w:szCs w:val="22"/>
        </w:rPr>
        <w:t xml:space="preserve">— Fin du manuel (version 2) —</w:t>
      </w:r>
    </w:p>
    <w:sectPr>
      <w:footerReference w:type="default" r:id="rId7"/>
      <w:pgSz w:w="11906" w:h="16838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2026-07-12T18:49:06.389Z</dcterms:created>
  <dcterms:modified xsi:type="dcterms:W3CDTF">2026-07-12T18:49:06.389Z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