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RAPPORT D'AUDIT</w:t>
      </w:r>
    </w:p>
    <w:p>
      <w:pPr>
        <w:spacing w:after="200"/>
        <w:jc w:val="center"/>
      </w:pPr>
      <w:r>
        <w:rPr>
          <w:color w:val="404040"/>
          <w:sz w:val="30"/>
          <w:szCs w:val="30"/>
        </w:rPr>
        <w:t xml:space="preserve">Modèle d'équilibre général calculable PEP-1-t — Burkina Faso, MCS 2018</w:t>
      </w:r>
    </w:p>
    <w:p>
      <w:pPr>
        <w:spacing w:after="120"/>
        <w:jc w:val="center"/>
      </w:pPr>
      <w:r>
        <w:rPr>
          <w:i/>
          <w:iCs/>
          <w:color w:val="606060"/>
          <w:sz w:val="24"/>
          <w:szCs w:val="24"/>
        </w:rPr>
        <w:t xml:space="preserve">Implémentation Python (« PEP_BF_2018_python »)</w:t>
      </w:r>
    </w:p>
    <w:p>
      <w:pPr>
        <w:spacing w:before="2000"/>
        <w:jc w:val="center"/>
      </w:pPr>
      <w:r>
        <w:rPr>
          <w:color w:val="606060"/>
          <w:sz w:val="22"/>
          <w:szCs w:val="22"/>
        </w:rPr>
        <w:t xml:space="preserve">Audit théorique et numérique</w:t>
      </w:r>
    </w:p>
    <w:p>
      <w:pPr>
        <w:jc w:val="center"/>
      </w:pPr>
      <w:r>
        <w:rPr>
          <w:color w:val="606060"/>
          <w:sz w:val="22"/>
          <w:szCs w:val="22"/>
        </w:rPr>
        <w:t xml:space="preserve">12 juillet 2026</w:t>
      </w:r>
    </w:p>
    <w:p>
      <w:r>
        <w:br w:type="page"/>
      </w:r>
    </w:p>
    <w:p>
      <w:pPr>
        <w:pStyle w:val="Heading1"/>
        <w:spacing w:after="160" w:before="320"/>
      </w:pPr>
      <w:r>
        <w:rPr>
          <w:rFonts w:ascii="Calibri" w:cs="Calibri" w:eastAsia="Calibri" w:hAnsi="Calibri"/>
          <w:b/>
          <w:bCs/>
          <w:color w:val="1F3864"/>
          <w:sz w:val="30"/>
          <w:szCs w:val="30"/>
        </w:rPr>
        <w:t xml:space="preserve">1. Objet, périmètre et méthodologie</w:t>
      </w:r>
    </w:p>
    <w:p>
      <w:pPr>
        <w:spacing w:after="120" w:line="276"/>
        <w:jc w:val="both"/>
      </w:pPr>
      <w:r>
        <w:rPr>
          <w:rFonts w:ascii="Calibri" w:cs="Calibri" w:eastAsia="Calibri" w:hAnsi="Calibri"/>
          <w:sz w:val="22"/>
          <w:szCs w:val="22"/>
        </w:rPr>
        <w:t xml:space="preserve">Le présent rapport audite l'implémentation Python d'un modèle d'équilibre général calculable (MEGC) dérivé du modèle PEP-1-t (Decaluwé, Lemelin, Maisonnave et Robichaud), calibré sur une matrice de comptabilité sociale (MCS) du Burkina Faso pour 2018 comptant 334 comptes : 88 branches, 139 produits, 90 comptes d'exportation, 2 types de travail, 2 types de capital, 4 ménages, 2 firmes, l'État et le reste du monde. Le périmètre couvre les six modules (nests.py, calib.py, cge.py, report.py, scenarios.py, demo.py) et les données du dossier data/.</w:t>
      </w:r>
    </w:p>
    <w:p>
      <w:pPr>
        <w:spacing w:after="120" w:line="276"/>
        <w:jc w:val="both"/>
      </w:pPr>
      <w:r>
        <w:rPr>
          <w:rFonts w:ascii="Calibri" w:cs="Calibri" w:eastAsia="Calibri" w:hAnsi="Calibri"/>
          <w:sz w:val="22"/>
          <w:szCs w:val="22"/>
        </w:rPr>
        <w:t xml:space="preserve">La méthodologie combine trois volets : (i) revue théorique de la spécification au regard du modèle PEP-1-t de référence et des standards de la profession ; (ii) revue du code ligne à ligne ; (iii) batterie de douze tests numériques exécutés sur le modèle — réplication du benchmark, vérifications comptables (budget de l'État, balance des paiements, épargne-investissement, distribution des revenus de facteurs), chocs de validation (fiscal, prix mondiaux, offre de facteurs), tests de clôture, dynamique récursive et robustesse du solveur.</w:t>
      </w:r>
    </w:p>
    <w:p>
      <w:pPr>
        <w:pStyle w:val="Heading1"/>
        <w:spacing w:after="160" w:before="320"/>
      </w:pPr>
      <w:r>
        <w:rPr>
          <w:rFonts w:ascii="Calibri" w:cs="Calibri" w:eastAsia="Calibri" w:hAnsi="Calibri"/>
          <w:b/>
          <w:bCs/>
          <w:color w:val="1F3864"/>
          <w:sz w:val="30"/>
          <w:szCs w:val="30"/>
        </w:rPr>
        <w:t xml:space="preserve">2. Opinion d'audit</w:t>
      </w:r>
    </w:p>
    <w:p>
      <w:pPr>
        <w:spacing w:after="120" w:line="276"/>
        <w:jc w:val="both"/>
      </w:pPr>
      <w:r>
        <w:rPr>
          <w:rFonts w:ascii="Calibri" w:cs="Calibri" w:eastAsia="Calibri" w:hAnsi="Calibri"/>
          <w:b/>
          <w:bCs/>
          <w:color w:val="C00000"/>
          <w:sz w:val="22"/>
          <w:szCs w:val="22"/>
        </w:rPr>
        <w:t xml:space="preserve">Opinion défavorable en l'état pour un usage d'aide à la décision. </w:t>
      </w:r>
      <w:r>
        <w:rPr>
          <w:rFonts w:ascii="Calibri" w:cs="Calibri" w:eastAsia="Calibri" w:hAnsi="Calibri"/>
          <w:sz w:val="22"/>
          <w:szCs w:val="22"/>
        </w:rPr>
        <w:t xml:space="preserve">L'architecture logicielle est de bonne facture et plusieurs briques sont rigoureuses (blocs CES/CET vérifiés machine-près, solveur atteignant des résidus de 1e-14 sur les équations incluses, dynamique récursive stable). Mais le modèle souffre de quatre vices rédhibitoires : il ne réplique pas son année de base ; il viole la loi de Walras faute de contraintes budgétaires de l'État et du reste du monde ; son compte extérieur est économiquement invraisemblable ; et les firmes comme l'État sont exclus du circuit des revenus du capital. Tant que ces quatre points ne sont pas corrigés, aucun résultat de simulation — statique ou dynamique — ne peut être interprété quantitativement, et les simulations de politique commerciale ou fiscale sont qualitativement trompeuses (démonstration : un effondrement de 20 % du prix mondial de l'or laisse le PIB strictement inchangé ; une hausse de taxe de 216 Mds ne finance rien).</w:t>
      </w:r>
    </w:p>
    <w:p>
      <w:pPr>
        <w:spacing w:after="120" w:line="276"/>
        <w:jc w:val="both"/>
      </w:pPr>
      <w:r>
        <w:rPr>
          <w:rFonts w:ascii="Calibri" w:cs="Calibri" w:eastAsia="Calibri" w:hAnsi="Calibri"/>
          <w:sz w:val="22"/>
          <w:szCs w:val="22"/>
        </w:rPr>
        <w:t xml:space="preserve">Le socle est néanmoins réparable : les corrections relèvent de la calibration et du bouclage, non d'une refonte. Les recommandations de la section 6 en donnent l'ordre de priorité.</w:t>
      </w:r>
    </w:p>
    <w:p>
      <w:pPr>
        <w:pStyle w:val="Heading1"/>
        <w:spacing w:after="160" w:before="320"/>
      </w:pPr>
      <w:r>
        <w:rPr>
          <w:rFonts w:ascii="Calibri" w:cs="Calibri" w:eastAsia="Calibri" w:hAnsi="Calibri"/>
          <w:b/>
          <w:bCs/>
          <w:color w:val="1F3864"/>
          <w:sz w:val="30"/>
          <w:szCs w:val="30"/>
        </w:rPr>
        <w:t xml:space="preserve">3. Synthèse des constats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460"/>
      </w:tblGrid>
      <w:tr>
        <w:trPr>
          <w:tblHeader/>
        </w:trPr>
        <w:tc>
          <w:tcPr>
            <w:tcW w:type="dxa" w:w="700"/>
            <w:shd w:fill="1F3864"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Réf.</w:t>
            </w:r>
          </w:p>
        </w:tc>
        <w:tc>
          <w:tcPr>
            <w:tcW w:type="dxa" w:w="1200"/>
            <w:shd w:fill="1F3864"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Gravité</w:t>
            </w:r>
          </w:p>
        </w:tc>
        <w:tc>
          <w:tcPr>
            <w:tcW w:type="dxa" w:w="7460"/>
            <w:shd w:fill="1F3864"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Constat</w:t>
            </w:r>
          </w:p>
        </w:tc>
      </w:tr>
      <w:tr>
        <w:tc>
          <w:tcPr>
            <w:tcW w:type="dxa" w:w="7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C1</w:t>
            </w:r>
          </w:p>
        </w:tc>
        <w:tc>
          <w:tcPr>
            <w:tcW w:type="dxa" w:w="1200"/>
            <w:tcMar>
              <w:top w:type="dxa" w:w="60"/>
              <w:left w:type="dxa" w:w="100"/>
              <w:bottom w:type="dxa" w:w="60"/>
              <w:right w:type="dxa" w:w="100"/>
            </w:tcMar>
          </w:tcPr>
          <w:p>
            <w:pPr>
              <w:jc w:val="left"/>
            </w:pPr>
            <w:r>
              <w:rPr>
                <w:rFonts w:ascii="Calibri" w:cs="Calibri" w:eastAsia="Calibri" w:hAnsi="Calibri"/>
                <w:b/>
                <w:bCs/>
                <w:color w:val="C00000"/>
                <w:sz w:val="20"/>
                <w:szCs w:val="20"/>
              </w:rPr>
              <w:t xml:space="preserve">Critique</w:t>
            </w:r>
          </w:p>
        </w:tc>
        <w:tc>
          <w:tcPr>
            <w:tcW w:type="dxa" w:w="746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Non-réplication de l'équilibre de référence (résidu 14,3 % au point de calibration)</w:t>
            </w:r>
          </w:p>
        </w:tc>
      </w:tr>
      <w:tr>
        <w:tc>
          <w:tcPr>
            <w:tcW w:type="dxa" w:w="70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C2</w:t>
            </w:r>
          </w:p>
        </w:tc>
        <w:tc>
          <w:tcPr>
            <w:tcW w:type="dxa" w:w="1200"/>
            <w:shd w:fill="F2F2F2" w:val="clear"/>
            <w:tcMar>
              <w:top w:type="dxa" w:w="60"/>
              <w:left w:type="dxa" w:w="100"/>
              <w:bottom w:type="dxa" w:w="60"/>
              <w:right w:type="dxa" w:w="100"/>
            </w:tcMar>
          </w:tcPr>
          <w:p>
            <w:pPr>
              <w:jc w:val="left"/>
            </w:pPr>
            <w:r>
              <w:rPr>
                <w:rFonts w:ascii="Calibri" w:cs="Calibri" w:eastAsia="Calibri" w:hAnsi="Calibri"/>
                <w:b/>
                <w:bCs/>
                <w:color w:val="C00000"/>
                <w:sz w:val="20"/>
                <w:szCs w:val="20"/>
              </w:rPr>
              <w:t xml:space="preserve">Critique</w:t>
            </w:r>
          </w:p>
        </w:tc>
        <w:tc>
          <w:tcPr>
            <w:tcW w:type="dxa" w:w="746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Loi de Walras violée : contraintes budgétaires de l'État et du RdM absentes</w:t>
            </w:r>
          </w:p>
        </w:tc>
      </w:tr>
      <w:tr>
        <w:tc>
          <w:tcPr>
            <w:tcW w:type="dxa" w:w="7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C3</w:t>
            </w:r>
          </w:p>
        </w:tc>
        <w:tc>
          <w:tcPr>
            <w:tcW w:type="dxa" w:w="1200"/>
            <w:tcMar>
              <w:top w:type="dxa" w:w="60"/>
              <w:left w:type="dxa" w:w="100"/>
              <w:bottom w:type="dxa" w:w="60"/>
              <w:right w:type="dxa" w:w="100"/>
            </w:tcMar>
          </w:tcPr>
          <w:p>
            <w:pPr>
              <w:jc w:val="left"/>
            </w:pPr>
            <w:r>
              <w:rPr>
                <w:rFonts w:ascii="Calibri" w:cs="Calibri" w:eastAsia="Calibri" w:hAnsi="Calibri"/>
                <w:b/>
                <w:bCs/>
                <w:color w:val="C00000"/>
                <w:sz w:val="20"/>
                <w:szCs w:val="20"/>
              </w:rPr>
              <w:t xml:space="preserve">Critique</w:t>
            </w:r>
          </w:p>
        </w:tc>
        <w:tc>
          <w:tcPr>
            <w:tcW w:type="dxa" w:w="746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Compte extérieur non plausible (imports 2,3 % de l'absorption ; entrées RdM négatives)</w:t>
            </w:r>
          </w:p>
        </w:tc>
      </w:tr>
      <w:tr>
        <w:tc>
          <w:tcPr>
            <w:tcW w:type="dxa" w:w="70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C4</w:t>
            </w:r>
          </w:p>
        </w:tc>
        <w:tc>
          <w:tcPr>
            <w:tcW w:type="dxa" w:w="1200"/>
            <w:shd w:fill="F2F2F2" w:val="clear"/>
            <w:tcMar>
              <w:top w:type="dxa" w:w="60"/>
              <w:left w:type="dxa" w:w="100"/>
              <w:bottom w:type="dxa" w:w="60"/>
              <w:right w:type="dxa" w:w="100"/>
            </w:tcMar>
          </w:tcPr>
          <w:p>
            <w:pPr>
              <w:jc w:val="left"/>
            </w:pPr>
            <w:r>
              <w:rPr>
                <w:rFonts w:ascii="Calibri" w:cs="Calibri" w:eastAsia="Calibri" w:hAnsi="Calibri"/>
                <w:b/>
                <w:bCs/>
                <w:color w:val="C00000"/>
                <w:sz w:val="20"/>
                <w:szCs w:val="20"/>
              </w:rPr>
              <w:t xml:space="preserve">Critique</w:t>
            </w:r>
          </w:p>
        </w:tc>
        <w:tc>
          <w:tcPr>
            <w:tcW w:type="dxa" w:w="746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Institutions incomplètes : firmes et État hors circuit du revenu du capital (~1 000 Mds)</w:t>
            </w:r>
          </w:p>
        </w:tc>
      </w:tr>
      <w:tr>
        <w:tc>
          <w:tcPr>
            <w:tcW w:type="dxa" w:w="7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M1</w:t>
            </w:r>
          </w:p>
        </w:tc>
        <w:tc>
          <w:tcPr>
            <w:tcW w:type="dxa" w:w="1200"/>
            <w:tcMar>
              <w:top w:type="dxa" w:w="60"/>
              <w:left w:type="dxa" w:w="100"/>
              <w:bottom w:type="dxa" w:w="60"/>
              <w:right w:type="dxa" w:w="100"/>
            </w:tcMar>
          </w:tcPr>
          <w:p>
            <w:pPr>
              <w:jc w:val="left"/>
            </w:pPr>
            <w:r>
              <w:rPr>
                <w:rFonts w:ascii="Calibri" w:cs="Calibri" w:eastAsia="Calibri" w:hAnsi="Calibri"/>
                <w:b/>
                <w:bCs/>
                <w:color w:val="C55A11"/>
                <w:sz w:val="20"/>
                <w:szCs w:val="20"/>
              </w:rPr>
              <w:t xml:space="preserve">Majeur</w:t>
            </w:r>
          </w:p>
        </w:tc>
        <w:tc>
          <w:tcPr>
            <w:tcW w:type="dxa" w:w="746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Marges commerce/transport agrégées ; taux de taxe écrêtés (jusqu'à 1 484 %)</w:t>
            </w:r>
          </w:p>
        </w:tc>
      </w:tr>
      <w:tr>
        <w:tc>
          <w:tcPr>
            <w:tcW w:type="dxa" w:w="70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M2</w:t>
            </w:r>
          </w:p>
        </w:tc>
        <w:tc>
          <w:tcPr>
            <w:tcW w:type="dxa" w:w="1200"/>
            <w:shd w:fill="F2F2F2" w:val="clear"/>
            <w:tcMar>
              <w:top w:type="dxa" w:w="60"/>
              <w:left w:type="dxa" w:w="100"/>
              <w:bottom w:type="dxa" w:w="60"/>
              <w:right w:type="dxa" w:w="100"/>
            </w:tcMar>
          </w:tcPr>
          <w:p>
            <w:pPr>
              <w:jc w:val="left"/>
            </w:pPr>
            <w:r>
              <w:rPr>
                <w:rFonts w:ascii="Calibri" w:cs="Calibri" w:eastAsia="Calibri" w:hAnsi="Calibri"/>
                <w:b/>
                <w:bCs/>
                <w:color w:val="C55A11"/>
                <w:sz w:val="20"/>
                <w:szCs w:val="20"/>
              </w:rPr>
              <w:t xml:space="preserve">Majeur</w:t>
            </w:r>
          </w:p>
        </w:tc>
        <w:tc>
          <w:tcPr>
            <w:tcW w:type="dxa" w:w="746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Deux définitions incohérentes de l'output (écart jusqu'à 27,7 %)</w:t>
            </w:r>
          </w:p>
        </w:tc>
      </w:tr>
      <w:tr>
        <w:tc>
          <w:tcPr>
            <w:tcW w:type="dxa" w:w="7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M3</w:t>
            </w:r>
          </w:p>
        </w:tc>
        <w:tc>
          <w:tcPr>
            <w:tcW w:type="dxa" w:w="1200"/>
            <w:tcMar>
              <w:top w:type="dxa" w:w="60"/>
              <w:left w:type="dxa" w:w="100"/>
              <w:bottom w:type="dxa" w:w="60"/>
              <w:right w:type="dxa" w:w="100"/>
            </w:tcMar>
          </w:tcPr>
          <w:p>
            <w:pPr>
              <w:jc w:val="left"/>
            </w:pPr>
            <w:r>
              <w:rPr>
                <w:rFonts w:ascii="Calibri" w:cs="Calibri" w:eastAsia="Calibri" w:hAnsi="Calibri"/>
                <w:b/>
                <w:bCs/>
                <w:color w:val="C55A11"/>
                <w:sz w:val="20"/>
                <w:szCs w:val="20"/>
              </w:rPr>
              <w:t xml:space="preserve">Majeur</w:t>
            </w:r>
          </w:p>
        </w:tc>
        <w:tc>
          <w:tcPr>
            <w:tcW w:type="dxa" w:w="746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Absence de droits de douane et de taxes à l'export (compte TM ignoré)</w:t>
            </w:r>
          </w:p>
        </w:tc>
      </w:tr>
      <w:tr>
        <w:tc>
          <w:tcPr>
            <w:tcW w:type="dxa" w:w="70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M4</w:t>
            </w:r>
          </w:p>
        </w:tc>
        <w:tc>
          <w:tcPr>
            <w:tcW w:type="dxa" w:w="1200"/>
            <w:shd w:fill="F2F2F2" w:val="clear"/>
            <w:tcMar>
              <w:top w:type="dxa" w:w="60"/>
              <w:left w:type="dxa" w:w="100"/>
              <w:bottom w:type="dxa" w:w="60"/>
              <w:right w:type="dxa" w:w="100"/>
            </w:tcMar>
          </w:tcPr>
          <w:p>
            <w:pPr>
              <w:jc w:val="left"/>
            </w:pPr>
            <w:r>
              <w:rPr>
                <w:rFonts w:ascii="Calibri" w:cs="Calibri" w:eastAsia="Calibri" w:hAnsi="Calibri"/>
                <w:b/>
                <w:bCs/>
                <w:color w:val="C55A11"/>
                <w:sz w:val="20"/>
                <w:szCs w:val="20"/>
              </w:rPr>
              <w:t xml:space="preserve">Majeur</w:t>
            </w:r>
          </w:p>
        </w:tc>
        <w:tc>
          <w:tcPr>
            <w:tcW w:type="dxa" w:w="746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Clôture chômage défectueuse (salaire nominal, chômage négatif, bug de reporting)</w:t>
            </w:r>
          </w:p>
        </w:tc>
      </w:tr>
      <w:tr>
        <w:tc>
          <w:tcPr>
            <w:tcW w:type="dxa" w:w="7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M5</w:t>
            </w:r>
          </w:p>
        </w:tc>
        <w:tc>
          <w:tcPr>
            <w:tcW w:type="dxa" w:w="1200"/>
            <w:tcMar>
              <w:top w:type="dxa" w:w="60"/>
              <w:left w:type="dxa" w:w="100"/>
              <w:bottom w:type="dxa" w:w="60"/>
              <w:right w:type="dxa" w:w="100"/>
            </w:tcMar>
          </w:tcPr>
          <w:p>
            <w:pPr>
              <w:jc w:val="left"/>
            </w:pPr>
            <w:r>
              <w:rPr>
                <w:rFonts w:ascii="Calibri" w:cs="Calibri" w:eastAsia="Calibri" w:hAnsi="Calibri"/>
                <w:b/>
                <w:bCs/>
                <w:color w:val="C55A11"/>
                <w:sz w:val="20"/>
                <w:szCs w:val="20"/>
              </w:rPr>
              <w:t xml:space="preserve">Majeur</w:t>
            </w:r>
          </w:p>
        </w:tc>
        <w:tc>
          <w:tcPr>
            <w:tcW w:type="dxa" w:w="746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LES sans parts marginales ; élasticités uniformes non documentées</w:t>
            </w:r>
          </w:p>
        </w:tc>
      </w:tr>
      <w:tr>
        <w:tc>
          <w:tcPr>
            <w:tcW w:type="dxa" w:w="70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M6</w:t>
            </w:r>
          </w:p>
        </w:tc>
        <w:tc>
          <w:tcPr>
            <w:tcW w:type="dxa" w:w="1200"/>
            <w:shd w:fill="F2F2F2" w:val="clear"/>
            <w:tcMar>
              <w:top w:type="dxa" w:w="60"/>
              <w:left w:type="dxa" w:w="100"/>
              <w:bottom w:type="dxa" w:w="60"/>
              <w:right w:type="dxa" w:w="100"/>
            </w:tcMar>
          </w:tcPr>
          <w:p>
            <w:pPr>
              <w:jc w:val="left"/>
            </w:pPr>
            <w:r>
              <w:rPr>
                <w:rFonts w:ascii="Calibri" w:cs="Calibri" w:eastAsia="Calibri" w:hAnsi="Calibri"/>
                <w:b/>
                <w:bCs/>
                <w:color w:val="C55A11"/>
                <w:sz w:val="20"/>
                <w:szCs w:val="20"/>
              </w:rPr>
              <w:t xml:space="preserve">Majeur</w:t>
            </w:r>
          </w:p>
        </w:tc>
        <w:tc>
          <w:tcPr>
            <w:tcW w:type="dxa" w:w="746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Solveur LM sans garde-fous de convergence</w:t>
            </w:r>
          </w:p>
        </w:tc>
      </w:tr>
      <w:tr>
        <w:tc>
          <w:tcPr>
            <w:tcW w:type="dxa" w:w="7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m1</w:t>
            </w:r>
          </w:p>
        </w:tc>
        <w:tc>
          <w:tcPr>
            <w:tcW w:type="dxa" w:w="1200"/>
            <w:tcMar>
              <w:top w:type="dxa" w:w="60"/>
              <w:left w:type="dxa" w:w="100"/>
              <w:bottom w:type="dxa" w:w="60"/>
              <w:right w:type="dxa" w:w="100"/>
            </w:tcMar>
          </w:tcPr>
          <w:p>
            <w:pPr>
              <w:jc w:val="left"/>
            </w:pPr>
            <w:r>
              <w:rPr>
                <w:rFonts w:ascii="Calibri" w:cs="Calibri" w:eastAsia="Calibri" w:hAnsi="Calibri"/>
                <w:b/>
                <w:bCs/>
                <w:color w:val="595959"/>
                <w:sz w:val="20"/>
                <w:szCs w:val="20"/>
              </w:rPr>
              <w:t xml:space="preserve">Mineur</w:t>
            </w:r>
          </w:p>
        </w:tc>
        <w:tc>
          <w:tcPr>
            <w:tcW w:type="dxa" w:w="746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Chemin codé en dur dans report.py (libellés jamais chargés)</w:t>
            </w:r>
          </w:p>
        </w:tc>
      </w:tr>
      <w:tr>
        <w:tc>
          <w:tcPr>
            <w:tcW w:type="dxa" w:w="70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m2</w:t>
            </w:r>
          </w:p>
        </w:tc>
        <w:tc>
          <w:tcPr>
            <w:tcW w:type="dxa" w:w="1200"/>
            <w:shd w:fill="F2F2F2" w:val="clear"/>
            <w:tcMar>
              <w:top w:type="dxa" w:w="60"/>
              <w:left w:type="dxa" w:w="100"/>
              <w:bottom w:type="dxa" w:w="60"/>
              <w:right w:type="dxa" w:w="100"/>
            </w:tcMar>
          </w:tcPr>
          <w:p>
            <w:pPr>
              <w:jc w:val="left"/>
            </w:pPr>
            <w:r>
              <w:rPr>
                <w:rFonts w:ascii="Calibri" w:cs="Calibri" w:eastAsia="Calibri" w:hAnsi="Calibri"/>
                <w:b/>
                <w:bCs/>
                <w:color w:val="595959"/>
                <w:sz w:val="20"/>
                <w:szCs w:val="20"/>
              </w:rPr>
              <w:t xml:space="preserve">Mineur</w:t>
            </w:r>
          </w:p>
        </w:tc>
        <w:tc>
          <w:tcPr>
            <w:tcW w:type="dxa" w:w="746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Ajustements silencieux des données (capital négatif)</w:t>
            </w:r>
          </w:p>
        </w:tc>
      </w:tr>
      <w:tr>
        <w:tc>
          <w:tcPr>
            <w:tcW w:type="dxa" w:w="7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m3</w:t>
            </w:r>
          </w:p>
        </w:tc>
        <w:tc>
          <w:tcPr>
            <w:tcW w:type="dxa" w:w="1200"/>
            <w:tcMar>
              <w:top w:type="dxa" w:w="60"/>
              <w:left w:type="dxa" w:w="100"/>
              <w:bottom w:type="dxa" w:w="60"/>
              <w:right w:type="dxa" w:w="100"/>
            </w:tcMar>
          </w:tcPr>
          <w:p>
            <w:pPr>
              <w:jc w:val="left"/>
            </w:pPr>
            <w:r>
              <w:rPr>
                <w:rFonts w:ascii="Calibri" w:cs="Calibri" w:eastAsia="Calibri" w:hAnsi="Calibri"/>
                <w:b/>
                <w:bCs/>
                <w:color w:val="595959"/>
                <w:sz w:val="20"/>
                <w:szCs w:val="20"/>
              </w:rPr>
              <w:t xml:space="preserve">Mineur</w:t>
            </w:r>
          </w:p>
        </w:tc>
        <w:tc>
          <w:tcPr>
            <w:tcW w:type="dxa" w:w="746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Documentation survendue (« vérifié à 1e-16 »)</w:t>
            </w:r>
          </w:p>
        </w:tc>
      </w:tr>
    </w:tbl>
    <w:p>
      <w:pPr>
        <w:spacing w:after="120" w:line="276"/>
        <w:jc w:val="both"/>
      </w:pPr>
      <w:r>
        <w:rPr>
          <w:rFonts w:ascii="Calibri" w:cs="Calibri" w:eastAsia="Calibri" w:hAnsi="Calibri"/>
          <w:sz w:val="22"/>
          <w:szCs w:val="22"/>
        </w:rPr>
        <w:t xml:space="preserve"/>
      </w:r>
    </w:p>
    <w:p>
      <w:pPr>
        <w:pStyle w:val="Heading1"/>
        <w:spacing w:after="160" w:before="320"/>
      </w:pPr>
      <w:r>
        <w:rPr>
          <w:rFonts w:ascii="Calibri" w:cs="Calibri" w:eastAsia="Calibri" w:hAnsi="Calibri"/>
          <w:b/>
          <w:bCs/>
          <w:color w:val="1F3864"/>
          <w:sz w:val="30"/>
          <w:szCs w:val="30"/>
        </w:rPr>
        <w:t xml:space="preserve">4. Constats détaillés</w:t>
      </w:r>
    </w:p>
    <w:p>
      <w:pPr>
        <w:pStyle w:val="Heading2"/>
        <w:spacing w:after="120" w:before="240"/>
      </w:pPr>
      <w:r>
        <w:rPr>
          <w:rFonts w:ascii="Calibri" w:cs="Calibri" w:eastAsia="Calibri" w:hAnsi="Calibri"/>
          <w:b/>
          <w:bCs/>
          <w:color w:val="1F3864"/>
          <w:sz w:val="25"/>
          <w:szCs w:val="25"/>
        </w:rPr>
        <w:t xml:space="preserve">4.1 Constats critiques (invalidants)</w:t>
      </w:r>
    </w:p>
    <w:p>
      <w:pPr>
        <w:spacing w:after="120" w:line="276"/>
        <w:jc w:val="both"/>
      </w:pPr>
      <w:r>
        <w:rPr>
          <w:rFonts w:ascii="Calibri" w:cs="Calibri" w:eastAsia="Calibri" w:hAnsi="Calibri"/>
          <w:b/>
          <w:bCs/>
          <w:color w:val="C00000"/>
          <w:sz w:val="22"/>
          <w:szCs w:val="22"/>
        </w:rPr>
        <w:t xml:space="preserve">C1. </w:t>
      </w:r>
      <w:r>
        <w:rPr>
          <w:rFonts w:ascii="Calibri" w:cs="Calibri" w:eastAsia="Calibri" w:hAnsi="Calibri"/>
          <w:sz w:val="22"/>
          <w:szCs w:val="22"/>
        </w:rPr>
        <w:t xml:space="preserve">Non-réplication de l'équilibre de référence : au point de calibration (tous prix = 1, productions = valeurs MCS), le résidu des marchés de biens atteint 14,3 % (P15 ; P33 : 6,6 % ; P25 : 4,6 %). Le solveur converge vers un « BAU » qui n'est pas l'économie observée : prix domestiques déviant jusqu'à ±13 %, PIB(VA) de 7 937 Mds contre 7 870 Mds calibrés. Toutes les simulations sont donc mesurées en écart à une économie fictive.</w:t>
      </w:r>
    </w:p>
    <w:p>
      <w:pPr>
        <w:spacing w:after="120" w:line="276"/>
        <w:jc w:val="both"/>
      </w:pPr>
      <w:r>
        <w:rPr>
          <w:rFonts w:ascii="Calibri" w:cs="Calibri" w:eastAsia="Calibri" w:hAnsi="Calibri"/>
          <w:b/>
          <w:bCs/>
          <w:color w:val="C00000"/>
          <w:sz w:val="22"/>
          <w:szCs w:val="22"/>
        </w:rPr>
        <w:t xml:space="preserve">C2. </w:t>
      </w:r>
      <w:r>
        <w:rPr>
          <w:rFonts w:ascii="Calibri" w:cs="Calibri" w:eastAsia="Calibri" w:hAnsi="Calibri"/>
          <w:sz w:val="22"/>
          <w:szCs w:val="22"/>
        </w:rPr>
        <w:t xml:space="preserve">Loi de Walras violée — contraintes budgétaires du gouvernement et du reste du monde absentes du système. L'écart entre l'épargne publique implicite et le SG fixé est de +60 Mds au BAU et passe à +268 Mds après le choc fiscal : les 216 Mds de recettes nouvelles disparaissent du circuit au lieu d'être recyclées. L'écart de balance courante implicite vs SROW fixé est d'environ +2 110 Mds (≈ 25 % du PIB). Le modèle n'est pas un équilibre général complet : du revenu est créé/détruit hors comptabilité.</w:t>
      </w:r>
    </w:p>
    <w:p>
      <w:pPr>
        <w:spacing w:after="120" w:line="276"/>
        <w:jc w:val="both"/>
      </w:pPr>
      <w:r>
        <w:rPr>
          <w:rFonts w:ascii="Calibri" w:cs="Calibri" w:eastAsia="Calibri" w:hAnsi="Calibri"/>
          <w:b/>
          <w:bCs/>
          <w:color w:val="C00000"/>
          <w:sz w:val="22"/>
          <w:szCs w:val="22"/>
        </w:rPr>
        <w:t xml:space="preserve">C3. </w:t>
      </w:r>
      <w:r>
        <w:rPr>
          <w:rFonts w:ascii="Calibri" w:cs="Calibri" w:eastAsia="Calibri" w:hAnsi="Calibri"/>
          <w:sz w:val="22"/>
          <w:szCs w:val="22"/>
        </w:rPr>
        <w:t xml:space="preserve">Compte extérieur non plausible : les importations extraites ne représentent que 266 Mds FCFA (2,3 % de l'absorption) alors que les importations du Burkina Faso en 2018 avoisinent 30 % du PIB. La MCS « ajustée » contient un revenu du capital versé au RdM négatif (−1 985 Mds) et une épargne du RdM de −4 201 Mds, entrées de bouclage non économiques héritées telles quelles. Test démonstratif : un choc de −20 % sur le prix mondial de l'or (≈ 2/3 des exportations réelles du pays) laisse le PIB strictement inchangé (0,00 %).</w:t>
      </w:r>
    </w:p>
    <w:p>
      <w:pPr>
        <w:spacing w:after="120" w:line="276"/>
        <w:jc w:val="both"/>
      </w:pPr>
      <w:r>
        <w:rPr>
          <w:rFonts w:ascii="Calibri" w:cs="Calibri" w:eastAsia="Calibri" w:hAnsi="Calibri"/>
          <w:b/>
          <w:bCs/>
          <w:color w:val="C00000"/>
          <w:sz w:val="22"/>
          <w:szCs w:val="22"/>
        </w:rPr>
        <w:t xml:space="preserve">C4. </w:t>
      </w:r>
      <w:r>
        <w:rPr>
          <w:rFonts w:ascii="Calibri" w:cs="Calibri" w:eastAsia="Calibri" w:hAnsi="Calibri"/>
          <w:sz w:val="22"/>
          <w:szCs w:val="22"/>
        </w:rPr>
        <w:t xml:space="preserve">Institutions incomplètes : les firmes (revenu du capital de 1 472 Mds, impôts directs de 458 Mds) et le gouvernement comme récipiendaire de revenu du capital (546 Mds) sont hors circuit — seules les parts des ménages sont endogènes. Environ 1 000 Mds de recettes publiques potentielles manquent à GVTrev ; les comptes TI et TD de la MCS ne versent d'ailleurs rien au compte gvt.</w:t>
      </w:r>
    </w:p>
    <w:p>
      <w:pPr>
        <w:pStyle w:val="Heading2"/>
        <w:spacing w:after="120" w:before="240"/>
      </w:pPr>
      <w:r>
        <w:rPr>
          <w:rFonts w:ascii="Calibri" w:cs="Calibri" w:eastAsia="Calibri" w:hAnsi="Calibri"/>
          <w:b/>
          <w:bCs/>
          <w:color w:val="1F3864"/>
          <w:sz w:val="25"/>
          <w:szCs w:val="25"/>
        </w:rPr>
        <w:t xml:space="preserve">4.2 Constats majeurs</w:t>
      </w:r>
    </w:p>
    <w:p>
      <w:pPr>
        <w:spacing w:after="120" w:line="276"/>
        <w:jc w:val="both"/>
      </w:pPr>
      <w:r>
        <w:rPr>
          <w:rFonts w:ascii="Calibri" w:cs="Calibri" w:eastAsia="Calibri" w:hAnsi="Calibri"/>
          <w:b/>
          <w:bCs/>
          <w:color w:val="C55A11"/>
          <w:sz w:val="22"/>
          <w:szCs w:val="22"/>
        </w:rPr>
        <w:t xml:space="preserve">M1. </w:t>
      </w:r>
      <w:r>
        <w:rPr>
          <w:rFonts w:ascii="Calibri" w:cs="Calibri" w:eastAsia="Calibri" w:hAnsi="Calibri"/>
          <w:sz w:val="22"/>
          <w:szCs w:val="22"/>
        </w:rPr>
        <w:t xml:space="preserve">Marges de commerce et transport traitées par un coefficient agrégé unique (11,8 % du volume échangé) appliqué aux seuls biens P126 et P130, détectés par une heuristique fragile (cellule de taxe &lt; −1000). PEP-1-t spécifie des taux de marge par produit. Conséquence : des coins de prix invraisemblables — taux de taxe produit atteignant 1 484 %, écrêtés arbitrairement à 500 % (2 produits) et à −85 % en bas.</w:t>
      </w:r>
    </w:p>
    <w:p>
      <w:pPr>
        <w:spacing w:after="120" w:line="276"/>
        <w:jc w:val="both"/>
      </w:pPr>
      <w:r>
        <w:rPr>
          <w:rFonts w:ascii="Calibri" w:cs="Calibri" w:eastAsia="Calibri" w:hAnsi="Calibri"/>
          <w:b/>
          <w:bCs/>
          <w:color w:val="C55A11"/>
          <w:sz w:val="22"/>
          <w:szCs w:val="22"/>
        </w:rPr>
        <w:t xml:space="preserve">M2. </w:t>
      </w:r>
      <w:r>
        <w:rPr>
          <w:rFonts w:ascii="Calibri" w:cs="Calibri" w:eastAsia="Calibri" w:hAnsi="Calibri"/>
          <w:sz w:val="22"/>
          <w:szCs w:val="22"/>
        </w:rPr>
        <w:t xml:space="preserve">Incohérence valeur/volume à la calibration : l'output aux coûts (VA + CI + taxes production) et l'output aux ventes (livraisons + exports) diffèrent jusqu'à 27,7 % pour une branche. Les deux définitions coexistent (calib.py vs cge.py) ; c'est une cause directe de C1.</w:t>
      </w:r>
    </w:p>
    <w:p>
      <w:pPr>
        <w:spacing w:after="120" w:line="276"/>
        <w:jc w:val="both"/>
      </w:pPr>
      <w:r>
        <w:rPr>
          <w:rFonts w:ascii="Calibri" w:cs="Calibri" w:eastAsia="Calibri" w:hAnsi="Calibri"/>
          <w:b/>
          <w:bCs/>
          <w:color w:val="C55A11"/>
          <w:sz w:val="22"/>
          <w:szCs w:val="22"/>
        </w:rPr>
        <w:t xml:space="preserve">M3. </w:t>
      </w:r>
      <w:r>
        <w:rPr>
          <w:rFonts w:ascii="Calibri" w:cs="Calibri" w:eastAsia="Calibri" w:hAnsi="Calibri"/>
          <w:sz w:val="22"/>
          <w:szCs w:val="22"/>
        </w:rPr>
        <w:t xml:space="preserve">Absence de droits de douane (compte TM ignoré, au demeurant vide dans la MCS), de taxes à l'export et de distinction taxes sur produits domestiques/importés — le modèle est inutilisable pour l'analyse de politique commerciale, cœur de métier de PEP-1-t.</w:t>
      </w:r>
    </w:p>
    <w:p>
      <w:pPr>
        <w:spacing w:after="120" w:line="276"/>
        <w:jc w:val="both"/>
      </w:pPr>
      <w:r>
        <w:rPr>
          <w:rFonts w:ascii="Calibri" w:cs="Calibri" w:eastAsia="Calibri" w:hAnsi="Calibri"/>
          <w:b/>
          <w:bCs/>
          <w:color w:val="C55A11"/>
          <w:sz w:val="22"/>
          <w:szCs w:val="22"/>
        </w:rPr>
        <w:t xml:space="preserve">M4. </w:t>
      </w:r>
      <w:r>
        <w:rPr>
          <w:rFonts w:ascii="Calibri" w:cs="Calibri" w:eastAsia="Calibri" w:hAnsi="Calibri"/>
          <w:sz w:val="22"/>
          <w:szCs w:val="22"/>
        </w:rPr>
        <w:t xml:space="preserve">Clôture « chômage » défectueuse : Wbar est un salaire nominal (aucune indexation sur un indice de prix) bien que documenté « salaire réel » ; le chômage peut devenir négatif (−9,5 % observé lors du test) ; et report() calcule le revenu du travail sur l'offre LS au lieu de l'emploi effectif — erreur mesurée d'environ 130 Mds sur un ménage.</w:t>
      </w:r>
    </w:p>
    <w:p>
      <w:pPr>
        <w:spacing w:after="120" w:line="276"/>
        <w:jc w:val="both"/>
      </w:pPr>
      <w:r>
        <w:rPr>
          <w:rFonts w:ascii="Calibri" w:cs="Calibri" w:eastAsia="Calibri" w:hAnsi="Calibri"/>
          <w:b/>
          <w:bCs/>
          <w:color w:val="C55A11"/>
          <w:sz w:val="22"/>
          <w:szCs w:val="22"/>
        </w:rPr>
        <w:t xml:space="preserve">M5. </w:t>
      </w:r>
      <w:r>
        <w:rPr>
          <w:rFonts w:ascii="Calibri" w:cs="Calibri" w:eastAsia="Calibri" w:hAnsi="Calibri"/>
          <w:sz w:val="22"/>
          <w:szCs w:val="22"/>
        </w:rPr>
        <w:t xml:space="preserve">LES calibrée avec les parts budgétaires moyennes en guise de parts marginales (élasticités-revenu implicitement unitaires avant correction de Frisch, uniforme à −1,5). Élasticités de substitution uniformes pour les 88 branches et 139 produits (σ_M = σ_X = 2, σ_VA = 1,5) sans justification empirique ni analyse de sensibilité systématique.</w:t>
      </w:r>
    </w:p>
    <w:p>
      <w:pPr>
        <w:spacing w:after="120" w:line="276"/>
        <w:jc w:val="both"/>
      </w:pPr>
      <w:r>
        <w:rPr>
          <w:rFonts w:ascii="Calibri" w:cs="Calibri" w:eastAsia="Calibri" w:hAnsi="Calibri"/>
          <w:b/>
          <w:bCs/>
          <w:color w:val="C55A11"/>
          <w:sz w:val="22"/>
          <w:szCs w:val="22"/>
        </w:rPr>
        <w:t xml:space="preserve">M6. </w:t>
      </w:r>
      <w:r>
        <w:rPr>
          <w:rFonts w:ascii="Calibri" w:cs="Calibri" w:eastAsia="Calibri" w:hAnsi="Calibri"/>
          <w:sz w:val="22"/>
          <w:szCs w:val="22"/>
        </w:rPr>
        <w:t xml:space="preserve">Solveur Levenberg-Marquardt (moindres carrés) : accepte des pseudo-solutions en cas de non-convergence ; l'homotopie de scenarios.py ne vérifie pas la convergence à chaque pas ; le paramètre tol de solve() est ignoré. Le test de doublement des prix mondiaux échoue (résidu final 0,54) sans lever d'alerte.</w:t>
      </w:r>
    </w:p>
    <w:p>
      <w:pPr>
        <w:pStyle w:val="Heading2"/>
        <w:spacing w:after="120" w:before="240"/>
      </w:pPr>
      <w:r>
        <w:rPr>
          <w:rFonts w:ascii="Calibri" w:cs="Calibri" w:eastAsia="Calibri" w:hAnsi="Calibri"/>
          <w:b/>
          <w:bCs/>
          <w:color w:val="1F3864"/>
          <w:sz w:val="25"/>
          <w:szCs w:val="25"/>
        </w:rPr>
        <w:t xml:space="preserve">4.3 Constats mineurs</w:t>
      </w:r>
    </w:p>
    <w:p>
      <w:pPr>
        <w:spacing w:after="120" w:line="276"/>
        <w:jc w:val="both"/>
      </w:pPr>
      <w:r>
        <w:rPr>
          <w:rFonts w:ascii="Calibri" w:cs="Calibri" w:eastAsia="Calibri" w:hAnsi="Calibri"/>
          <w:b/>
          <w:bCs/>
          <w:color w:val="595959"/>
          <w:sz w:val="22"/>
          <w:szCs w:val="22"/>
        </w:rPr>
        <w:t xml:space="preserve">m1. </w:t>
      </w:r>
      <w:r>
        <w:rPr>
          <w:rFonts w:ascii="Calibri" w:cs="Calibri" w:eastAsia="Calibri" w:hAnsi="Calibri"/>
          <w:sz w:val="22"/>
          <w:szCs w:val="22"/>
        </w:rPr>
        <w:t xml:space="preserve">report.py : chemin absolu codé en dur vers une session antérieure (« /sessions/relaxed-adoring-noether/... ») — les libellés de branches ne se chargent jamais sur une autre machine.</w:t>
      </w:r>
    </w:p>
    <w:p>
      <w:pPr>
        <w:spacing w:after="120" w:line="276"/>
        <w:jc w:val="both"/>
      </w:pPr>
      <w:r>
        <w:rPr>
          <w:rFonts w:ascii="Calibri" w:cs="Calibri" w:eastAsia="Calibri" w:hAnsi="Calibri"/>
          <w:b/>
          <w:bCs/>
          <w:color w:val="595959"/>
          <w:sz w:val="22"/>
          <w:szCs w:val="22"/>
        </w:rPr>
        <w:t xml:space="preserve">m2. </w:t>
      </w:r>
      <w:r>
        <w:rPr>
          <w:rFonts w:ascii="Calibri" w:cs="Calibri" w:eastAsia="Calibri" w:hAnsi="Calibri"/>
          <w:sz w:val="22"/>
          <w:szCs w:val="22"/>
        </w:rPr>
        <w:t xml:space="preserve">Cellules de capital négatives de la MCS redistribuées silencieusement dans calib.py, sans journal ni documentation.</w:t>
      </w:r>
    </w:p>
    <w:p>
      <w:pPr>
        <w:spacing w:after="120" w:line="276"/>
        <w:jc w:val="both"/>
      </w:pPr>
      <w:r>
        <w:rPr>
          <w:rFonts w:ascii="Calibri" w:cs="Calibri" w:eastAsia="Calibri" w:hAnsi="Calibri"/>
          <w:b/>
          <w:bCs/>
          <w:color w:val="595959"/>
          <w:sz w:val="22"/>
          <w:szCs w:val="22"/>
        </w:rPr>
        <w:t xml:space="preserve">m3. </w:t>
      </w:r>
      <w:r>
        <w:rPr>
          <w:rFonts w:ascii="Calibri" w:cs="Calibri" w:eastAsia="Calibri" w:hAnsi="Calibri"/>
          <w:sz w:val="22"/>
          <w:szCs w:val="22"/>
        </w:rPr>
        <w:t xml:space="preserve">Documentation survendue : le README annonce un modèle « vérifié à 1e-16 » ; seuls les blocs CES/CET le sont. bench_check() ne teste pas le modèle complet et donne une fausse assurance.</w:t>
      </w:r>
    </w:p>
    <w:p>
      <w:pPr>
        <w:pStyle w:val="Heading2"/>
        <w:spacing w:after="120" w:before="240"/>
      </w:pPr>
      <w:r>
        <w:rPr>
          <w:rFonts w:ascii="Calibri" w:cs="Calibri" w:eastAsia="Calibri" w:hAnsi="Calibri"/>
          <w:b/>
          <w:bCs/>
          <w:color w:val="1F3864"/>
          <w:sz w:val="25"/>
          <w:szCs w:val="25"/>
        </w:rPr>
        <w:t xml:space="preserve">4.4 Écarts de spécification par rapport à PEP-1-t</w:t>
      </w:r>
    </w:p>
    <w:p>
      <w:pPr>
        <w:spacing w:after="120" w:line="276"/>
        <w:jc w:val="both"/>
      </w:pPr>
      <w:r>
        <w:rPr>
          <w:rFonts w:ascii="Calibri" w:cs="Calibri" w:eastAsia="Calibri" w:hAnsi="Calibri"/>
          <w:sz w:val="22"/>
          <w:szCs w:val="22"/>
        </w:rPr>
        <w:t xml:space="preserve">Au-delà des constats ci-dessus, l'implémentation s'écarte du modèle de référence sur les points suivants, à documenter explicitement : absence de taux de change (e ≡ 1 sert de numéraire mais aucune équation de balance courante ne ferme le compte extérieur, là où PEP-1-t fixe le solde courant et laisse le change réel s'ajuster) ; transferts interinstitutionnels entièrement exogènes en nominal (PEP-1-t les indexe sur les revenus ou les prix) ; consommation LES sans élasticités-revenu différenciées ; agrégat d'investissement sans distinction public/privé ; pas d'indice de prix à la consommation servant de déflateur pour les grandeurs « réelles ». En dynamique, l'allocation de l'investissement par rendements relatifs (mode capital sectoriel) est conforme à l'esprit de PEP-1-t et constitue un point positif.</w:t>
      </w:r>
    </w:p>
    <w:p>
      <w:pPr>
        <w:pStyle w:val="Heading1"/>
        <w:spacing w:after="160" w:before="320"/>
      </w:pPr>
      <w:r>
        <w:rPr>
          <w:rFonts w:ascii="Calibri" w:cs="Calibri" w:eastAsia="Calibri" w:hAnsi="Calibri"/>
          <w:b/>
          <w:bCs/>
          <w:color w:val="1F3864"/>
          <w:sz w:val="30"/>
          <w:szCs w:val="30"/>
        </w:rPr>
        <w:t xml:space="preserve">5. Points forts</w:t>
      </w:r>
    </w:p>
    <w:p>
      <w:pPr>
        <w:pStyle w:val="ListParagraph"/>
        <w:numPr>
          <w:ilvl w:val="0"/>
          <w:numId w:val="2"/>
        </w:numPr>
        <w:spacing w:after="80" w:line="276"/>
        <w:jc w:val="both"/>
      </w:pPr>
      <w:r>
        <w:rPr>
          <w:rFonts w:ascii="Calibri" w:cs="Calibri" w:eastAsia="Calibri" w:hAnsi="Calibri"/>
          <w:sz w:val="22"/>
          <w:szCs w:val="22"/>
        </w:rPr>
        <w:t xml:space="preserve">Blocs CES/CET (nests.py) mathématiquement corrects et vérifiés : reproduction des quantités de base à ~1e-15, y compris l'astuce CET = CES(−σ), valide et bien maîtrisée.</w:t>
      </w:r>
    </w:p>
    <w:p>
      <w:pPr>
        <w:pStyle w:val="ListParagraph"/>
        <w:numPr>
          <w:ilvl w:val="0"/>
          <w:numId w:val="2"/>
        </w:numPr>
        <w:spacing w:after="80" w:line="276"/>
        <w:jc w:val="both"/>
      </w:pPr>
      <w:r>
        <w:rPr>
          <w:rFonts w:ascii="Calibri" w:cs="Calibri" w:eastAsia="Calibri" w:hAnsi="Calibri"/>
          <w:sz w:val="22"/>
          <w:szCs w:val="22"/>
        </w:rPr>
        <w:t xml:space="preserve">Code compact, modulaire et lisible (731 lignes), avec séparation nette calibration / modèle / reporting / scénarios — rare et appréciable dans les portages de MEGC hors GAMS.</w:t>
      </w:r>
    </w:p>
    <w:p>
      <w:pPr>
        <w:pStyle w:val="ListParagraph"/>
        <w:numPr>
          <w:ilvl w:val="0"/>
          <w:numId w:val="2"/>
        </w:numPr>
        <w:spacing w:after="80" w:line="276"/>
        <w:jc w:val="both"/>
      </w:pPr>
      <w:r>
        <w:rPr>
          <w:rFonts w:ascii="Calibri" w:cs="Calibri" w:eastAsia="Calibri" w:hAnsi="Calibri"/>
          <w:sz w:val="22"/>
          <w:szCs w:val="22"/>
        </w:rPr>
        <w:t xml:space="preserve">Solveur robuste au point de départ (retrouve la solution après perturbation ±30 %), homotopie pour les gros chocs, double clôture travail et investissement, mode capital sectoriel opérationnel.</w:t>
      </w:r>
    </w:p>
    <w:p>
      <w:pPr>
        <w:pStyle w:val="ListParagraph"/>
        <w:numPr>
          <w:ilvl w:val="0"/>
          <w:numId w:val="2"/>
        </w:numPr>
        <w:spacing w:after="80" w:line="276"/>
        <w:jc w:val="both"/>
      </w:pPr>
      <w:r>
        <w:rPr>
          <w:rFonts w:ascii="Calibri" w:cs="Calibri" w:eastAsia="Calibri" w:hAnsi="Calibri"/>
          <w:sz w:val="22"/>
          <w:szCs w:val="22"/>
        </w:rPr>
        <w:t xml:space="preserve">Dynamique récursive stable (convergence ≤ 1e-13 à chaque période) avec accumulation du capital, croissance démographique et réallocation de l'investissement selon les rendements.</w:t>
      </w:r>
    </w:p>
    <w:p>
      <w:pPr>
        <w:pStyle w:val="ListParagraph"/>
        <w:numPr>
          <w:ilvl w:val="0"/>
          <w:numId w:val="2"/>
        </w:numPr>
        <w:spacing w:after="80" w:line="276"/>
        <w:jc w:val="both"/>
      </w:pPr>
      <w:r>
        <w:rPr>
          <w:rFonts w:ascii="Calibri" w:cs="Calibri" w:eastAsia="Calibri" w:hAnsi="Calibri"/>
          <w:sz w:val="22"/>
          <w:szCs w:val="22"/>
        </w:rPr>
        <w:t xml:space="preserve">Reporting soigné : variation équivalente Stone-Geary correctement dérivée de la fonction de dépense, exports Excel et graphiques.</w:t>
      </w:r>
    </w:p>
    <w:p>
      <w:pPr>
        <w:pStyle w:val="Heading1"/>
        <w:spacing w:after="160" w:before="320"/>
      </w:pPr>
      <w:r>
        <w:rPr>
          <w:rFonts w:ascii="Calibri" w:cs="Calibri" w:eastAsia="Calibri" w:hAnsi="Calibri"/>
          <w:b/>
          <w:bCs/>
          <w:color w:val="1F3864"/>
          <w:sz w:val="30"/>
          <w:szCs w:val="30"/>
        </w:rPr>
        <w:t xml:space="preserve">6. Recommandations</w:t>
      </w:r>
    </w:p>
    <w:p>
      <w:pPr>
        <w:spacing w:after="120" w:line="276"/>
        <w:jc w:val="both"/>
      </w:pPr>
      <w:r>
        <w:rPr>
          <w:rFonts w:ascii="Calibri" w:cs="Calibri" w:eastAsia="Calibri" w:hAnsi="Calibri"/>
          <w:b/>
          <w:bCs/>
          <w:sz w:val="22"/>
          <w:szCs w:val="22"/>
        </w:rPr>
        <w:t xml:space="preserve">R1 (bloquant). </w:t>
      </w:r>
      <w:r>
        <w:rPr>
          <w:rFonts w:ascii="Calibri" w:cs="Calibri" w:eastAsia="Calibri" w:hAnsi="Calibri"/>
          <w:sz w:val="22"/>
          <w:szCs w:val="22"/>
        </w:rPr>
        <w:t xml:space="preserve">Rétablir la réplication exacte du benchmark : residual(x0) doit être ~1e-8 sur toutes les équations avant toute simulation. Cela exige de résoudre l'incohérence des deux définitions de l'output (M2), de traiter les marges par produit (M1) et d'abandonner l'écrêtage des taux de taxe au profit d'une correction des données à la source. En faire un test automatique bloquant.</w:t>
      </w:r>
    </w:p>
    <w:p>
      <w:pPr>
        <w:spacing w:after="120" w:line="276"/>
        <w:jc w:val="both"/>
      </w:pPr>
      <w:r>
        <w:rPr>
          <w:rFonts w:ascii="Calibri" w:cs="Calibri" w:eastAsia="Calibri" w:hAnsi="Calibri"/>
          <w:b/>
          <w:bCs/>
          <w:sz w:val="22"/>
          <w:szCs w:val="22"/>
        </w:rPr>
        <w:t xml:space="preserve">R2 (bloquant). </w:t>
      </w:r>
      <w:r>
        <w:rPr>
          <w:rFonts w:ascii="Calibri" w:cs="Calibri" w:eastAsia="Calibri" w:hAnsi="Calibri"/>
          <w:sz w:val="22"/>
          <w:szCs w:val="22"/>
        </w:rPr>
        <w:t xml:space="preserve">Fermer le modèle : ajouter les contraintes budgétaires de l'État (épargne publique endogène, ou taxe d'ajustement à solde fixé) et du reste du monde (solde courant fixé avec taux de change réel endogène), intégrer les firmes et l'État dans la distribution du revenu du capital et les impôts directs des firmes. Vérifier ensuite la loi de Walras : l'équation omise doit être satisfaite à la précision machine, à contrôler en continu.</w:t>
      </w:r>
    </w:p>
    <w:p>
      <w:pPr>
        <w:spacing w:after="120" w:line="276"/>
        <w:jc w:val="both"/>
      </w:pPr>
      <w:r>
        <w:rPr>
          <w:rFonts w:ascii="Calibri" w:cs="Calibri" w:eastAsia="Calibri" w:hAnsi="Calibri"/>
          <w:b/>
          <w:bCs/>
          <w:sz w:val="22"/>
          <w:szCs w:val="22"/>
        </w:rPr>
        <w:t xml:space="preserve">R3 (bloquant). </w:t>
      </w:r>
      <w:r>
        <w:rPr>
          <w:rFonts w:ascii="Calibri" w:cs="Calibri" w:eastAsia="Calibri" w:hAnsi="Calibri"/>
          <w:sz w:val="22"/>
          <w:szCs w:val="22"/>
        </w:rPr>
        <w:t xml:space="preserve">Reprendre l'extraction de la MCS : réconcilier les importations (2,3 % de l'absorption est impossible pour le Burkina Faso), élucider les entrées négatives du compte RdM (revenu du capital −1 985 Mds, épargne −4 201 Mds) et le non-versement des comptes TI/TD au compte gvt. Revenir à la MCS source avant ajustement si nécessaire. Aucune simulation commerciale ne doit être publiée avant.</w:t>
      </w:r>
    </w:p>
    <w:p>
      <w:pPr>
        <w:spacing w:after="120" w:line="276"/>
        <w:jc w:val="both"/>
      </w:pPr>
      <w:r>
        <w:rPr>
          <w:rFonts w:ascii="Calibri" w:cs="Calibri" w:eastAsia="Calibri" w:hAnsi="Calibri"/>
          <w:b/>
          <w:bCs/>
          <w:sz w:val="22"/>
          <w:szCs w:val="22"/>
        </w:rPr>
        <w:t xml:space="preserve">R4. </w:t>
      </w:r>
      <w:r>
        <w:rPr>
          <w:rFonts w:ascii="Calibri" w:cs="Calibri" w:eastAsia="Calibri" w:hAnsi="Calibri"/>
          <w:sz w:val="22"/>
          <w:szCs w:val="22"/>
        </w:rPr>
        <w:t xml:space="preserve">Réintroduire les droits de douane (compte TM), distinguer taxes sur produits locaux et importés, et prévoir des taxes à l'export, conformément à PEP-1-t.</w:t>
      </w:r>
    </w:p>
    <w:p>
      <w:pPr>
        <w:spacing w:after="120" w:line="276"/>
        <w:jc w:val="both"/>
      </w:pPr>
      <w:r>
        <w:rPr>
          <w:rFonts w:ascii="Calibri" w:cs="Calibri" w:eastAsia="Calibri" w:hAnsi="Calibri"/>
          <w:b/>
          <w:bCs/>
          <w:sz w:val="22"/>
          <w:szCs w:val="22"/>
        </w:rPr>
        <w:t xml:space="preserve">R5. </w:t>
      </w:r>
      <w:r>
        <w:rPr>
          <w:rFonts w:ascii="Calibri" w:cs="Calibri" w:eastAsia="Calibri" w:hAnsi="Calibri"/>
          <w:sz w:val="22"/>
          <w:szCs w:val="22"/>
        </w:rPr>
        <w:t xml:space="preserve">Corriger la clôture chômage : indexer Wbar sur un indice de prix à la consommation, borner le chômage à zéro (complémentarité), corriger le calcul du revenu du travail dans report() (emploi effectif, non l'offre).</w:t>
      </w:r>
    </w:p>
    <w:p>
      <w:pPr>
        <w:spacing w:after="120" w:line="276"/>
        <w:jc w:val="both"/>
      </w:pPr>
      <w:r>
        <w:rPr>
          <w:rFonts w:ascii="Calibri" w:cs="Calibri" w:eastAsia="Calibri" w:hAnsi="Calibri"/>
          <w:b/>
          <w:bCs/>
          <w:sz w:val="22"/>
          <w:szCs w:val="22"/>
        </w:rPr>
        <w:t xml:space="preserve">R6. </w:t>
      </w:r>
      <w:r>
        <w:rPr>
          <w:rFonts w:ascii="Calibri" w:cs="Calibri" w:eastAsia="Calibri" w:hAnsi="Calibri"/>
          <w:sz w:val="22"/>
          <w:szCs w:val="22"/>
        </w:rPr>
        <w:t xml:space="preserve">Documenter et différencier les élasticités (σ sectoriels issus de la littérature — p. ex. bases GTAP —, élasticités-revenu de la LES) et fournir une analyse de sensibilité systématique en annexe de tout rapport de simulation.</w:t>
      </w:r>
    </w:p>
    <w:p>
      <w:pPr>
        <w:spacing w:after="120" w:line="276"/>
        <w:jc w:val="both"/>
      </w:pPr>
      <w:r>
        <w:rPr>
          <w:rFonts w:ascii="Calibri" w:cs="Calibri" w:eastAsia="Calibri" w:hAnsi="Calibri"/>
          <w:b/>
          <w:bCs/>
          <w:sz w:val="22"/>
          <w:szCs w:val="22"/>
        </w:rPr>
        <w:t xml:space="preserve">R7. </w:t>
      </w:r>
      <w:r>
        <w:rPr>
          <w:rFonts w:ascii="Calibri" w:cs="Calibri" w:eastAsia="Calibri" w:hAnsi="Calibri"/>
          <w:sz w:val="22"/>
          <w:szCs w:val="22"/>
        </w:rPr>
        <w:t xml:space="preserve">Durcir la résolution numérique : vérification de convergence à chaque pas d'homotopie et de dynamique avec échec explicite, méthode hybr/Newton en second recours, honorer le paramètre tol. Corriger le chemin codé en dur de report.py et journaliser les ajustements de données (cellules de capital négatives).</w:t>
      </w:r>
    </w:p>
    <w:p>
      <w:pPr>
        <w:spacing w:after="120" w:line="276"/>
        <w:jc w:val="both"/>
      </w:pPr>
      <w:r>
        <w:rPr>
          <w:rFonts w:ascii="Calibri" w:cs="Calibri" w:eastAsia="Calibri" w:hAnsi="Calibri"/>
          <w:b/>
          <w:bCs/>
          <w:sz w:val="22"/>
          <w:szCs w:val="22"/>
        </w:rPr>
        <w:t xml:space="preserve">R8. </w:t>
      </w:r>
      <w:r>
        <w:rPr>
          <w:rFonts w:ascii="Calibri" w:cs="Calibri" w:eastAsia="Calibri" w:hAnsi="Calibri"/>
          <w:sz w:val="22"/>
          <w:szCs w:val="22"/>
        </w:rPr>
        <w:t xml:space="preserve">Mettre la documentation en conformité : le README doit distinguer ce qui est vérifié (blocs CES/CET) de ce qui ne l'est pas (équilibre complet), et publier la batterie de tests du présent audit comme suite de non-régression.</w:t>
      </w:r>
    </w:p>
    <w:p>
      <w:pPr>
        <w:pStyle w:val="Heading1"/>
        <w:spacing w:after="160" w:before="320"/>
      </w:pPr>
      <w:r>
        <w:rPr>
          <w:rFonts w:ascii="Calibri" w:cs="Calibri" w:eastAsia="Calibri" w:hAnsi="Calibri"/>
          <w:b/>
          <w:bCs/>
          <w:color w:val="1F3864"/>
          <w:sz w:val="30"/>
          <w:szCs w:val="30"/>
        </w:rPr>
        <w:t xml:space="preserve">7. Annexe — Résultats de la batterie de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560"/>
        <w:gridCol w:w="1400"/>
      </w:tblGrid>
      <w:tr>
        <w:trPr>
          <w:tblHeader/>
        </w:trPr>
        <w:tc>
          <w:tcPr>
            <w:tcW w:type="dxa" w:w="3400"/>
            <w:shd w:fill="1F3864"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Test</w:t>
            </w:r>
          </w:p>
        </w:tc>
        <w:tc>
          <w:tcPr>
            <w:tcW w:type="dxa" w:w="4560"/>
            <w:shd w:fill="1F3864"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Résultat</w:t>
            </w:r>
          </w:p>
        </w:tc>
        <w:tc>
          <w:tcPr>
            <w:tcW w:type="dxa" w:w="1400"/>
            <w:shd w:fill="1F3864"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Verdict</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 Résidu au point de calibration (x0)</w:t>
            </w:r>
          </w:p>
        </w:tc>
        <w:tc>
          <w:tcPr>
            <w:tcW w:type="dxa" w:w="456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max = 1,4e-01 sur les marchés de biens (zéro-profit et facteurs : ~1e-15)</w:t>
            </w:r>
          </w:p>
        </w:tc>
        <w:tc>
          <w:tcPr>
            <w:tcW w:type="dxa" w:w="1400"/>
            <w:tcMar>
              <w:top w:type="dxa" w:w="60"/>
              <w:left w:type="dxa" w:w="100"/>
              <w:bottom w:type="dxa" w:w="60"/>
              <w:right w:type="dxa" w:w="100"/>
            </w:tcMar>
          </w:tcPr>
          <w:p>
            <w:pPr>
              <w:jc w:val="left"/>
            </w:pPr>
            <w:r>
              <w:rPr>
                <w:rFonts w:ascii="Calibri" w:cs="Calibri" w:eastAsia="Calibri" w:hAnsi="Calibri"/>
                <w:b/>
                <w:bCs/>
                <w:color w:val="C00000"/>
                <w:sz w:val="20"/>
                <w:szCs w:val="20"/>
              </w:rPr>
              <w:t xml:space="preserve">Échec</w:t>
            </w:r>
          </w:p>
        </w:tc>
      </w:tr>
      <w:tr>
        <w:tc>
          <w:tcPr>
            <w:tcW w:type="dxa" w:w="340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 Réplication du benchmark (solve BAU)</w:t>
            </w:r>
          </w:p>
        </w:tc>
        <w:tc>
          <w:tcPr>
            <w:tcW w:type="dxa" w:w="456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Prix jusqu'à ±13 % de 1 ; PIB(VA) 7 937 vs 7 870 Mds</w:t>
            </w:r>
          </w:p>
        </w:tc>
        <w:tc>
          <w:tcPr>
            <w:tcW w:type="dxa" w:w="1400"/>
            <w:shd w:fill="F2F2F2" w:val="clear"/>
            <w:tcMar>
              <w:top w:type="dxa" w:w="60"/>
              <w:left w:type="dxa" w:w="100"/>
              <w:bottom w:type="dxa" w:w="60"/>
              <w:right w:type="dxa" w:w="100"/>
            </w:tcMar>
          </w:tcPr>
          <w:p>
            <w:pPr>
              <w:jc w:val="left"/>
            </w:pPr>
            <w:r>
              <w:rPr>
                <w:rFonts w:ascii="Calibri" w:cs="Calibri" w:eastAsia="Calibri" w:hAnsi="Calibri"/>
                <w:b/>
                <w:bCs/>
                <w:color w:val="C00000"/>
                <w:sz w:val="20"/>
                <w:szCs w:val="20"/>
              </w:rPr>
              <w:t xml:space="preserve">Échec</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3. Bouclage comptable au BAU</w:t>
            </w:r>
          </w:p>
        </w:tc>
        <w:tc>
          <w:tcPr>
            <w:tcW w:type="dxa" w:w="456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Écart budget gvt +60 Mds ; écart BoP +2 110 Mds ; S–I : 0</w:t>
            </w:r>
          </w:p>
        </w:tc>
        <w:tc>
          <w:tcPr>
            <w:tcW w:type="dxa" w:w="1400"/>
            <w:tcMar>
              <w:top w:type="dxa" w:w="60"/>
              <w:left w:type="dxa" w:w="100"/>
              <w:bottom w:type="dxa" w:w="60"/>
              <w:right w:type="dxa" w:w="100"/>
            </w:tcMar>
          </w:tcPr>
          <w:p>
            <w:pPr>
              <w:jc w:val="left"/>
            </w:pPr>
            <w:r>
              <w:rPr>
                <w:rFonts w:ascii="Calibri" w:cs="Calibri" w:eastAsia="Calibri" w:hAnsi="Calibri"/>
                <w:b/>
                <w:bCs/>
                <w:color w:val="C00000"/>
                <w:sz w:val="20"/>
                <w:szCs w:val="20"/>
              </w:rPr>
              <w:t xml:space="preserve">Échec</w:t>
            </w:r>
          </w:p>
        </w:tc>
      </w:tr>
      <w:tr>
        <w:tc>
          <w:tcPr>
            <w:tcW w:type="dxa" w:w="340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4. Choc fiscal +10 pts (agroalimentaire)</w:t>
            </w:r>
          </w:p>
        </w:tc>
        <w:tc>
          <w:tcPr>
            <w:tcW w:type="dxa" w:w="456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Converge (1,4e-14) mais +216 Mds de recettes non recyclées (écart gvt → +268 Mds)</w:t>
            </w:r>
          </w:p>
        </w:tc>
        <w:tc>
          <w:tcPr>
            <w:tcW w:type="dxa" w:w="1400"/>
            <w:shd w:fill="F2F2F2" w:val="clear"/>
            <w:tcMar>
              <w:top w:type="dxa" w:w="60"/>
              <w:left w:type="dxa" w:w="100"/>
              <w:bottom w:type="dxa" w:w="60"/>
              <w:right w:type="dxa" w:w="100"/>
            </w:tcMar>
          </w:tcPr>
          <w:p>
            <w:pPr>
              <w:jc w:val="left"/>
            </w:pPr>
            <w:r>
              <w:rPr>
                <w:rFonts w:ascii="Calibri" w:cs="Calibri" w:eastAsia="Calibri" w:hAnsi="Calibri"/>
                <w:b/>
                <w:bCs/>
                <w:color w:val="C00000"/>
                <w:sz w:val="20"/>
                <w:szCs w:val="20"/>
              </w:rPr>
              <w:t xml:space="preserve">Échec</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5. Choc prix mondial or −20 %</w:t>
            </w:r>
          </w:p>
        </w:tc>
        <w:tc>
          <w:tcPr>
            <w:tcW w:type="dxa" w:w="456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Converge ; ΔPIB = 0,00 % — insensibilité non crédible</w:t>
            </w:r>
          </w:p>
        </w:tc>
        <w:tc>
          <w:tcPr>
            <w:tcW w:type="dxa" w:w="1400"/>
            <w:tcMar>
              <w:top w:type="dxa" w:w="60"/>
              <w:left w:type="dxa" w:w="100"/>
              <w:bottom w:type="dxa" w:w="60"/>
              <w:right w:type="dxa" w:w="100"/>
            </w:tcMar>
          </w:tcPr>
          <w:p>
            <w:pPr>
              <w:jc w:val="left"/>
            </w:pPr>
            <w:r>
              <w:rPr>
                <w:rFonts w:ascii="Calibri" w:cs="Calibri" w:eastAsia="Calibri" w:hAnsi="Calibri"/>
                <w:b/>
                <w:bCs/>
                <w:color w:val="C00000"/>
                <w:sz w:val="20"/>
                <w:szCs w:val="20"/>
              </w:rPr>
              <w:t xml:space="preserve">Échec</w:t>
            </w:r>
          </w:p>
        </w:tc>
      </w:tr>
      <w:tr>
        <w:tc>
          <w:tcPr>
            <w:tcW w:type="dxa" w:w="340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6. Doublement des prix mondiaux</w:t>
            </w:r>
          </w:p>
        </w:tc>
        <w:tc>
          <w:tcPr>
            <w:tcW w:type="dxa" w:w="456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Non-convergence (résidu 0,54), résultats erratiques</w:t>
            </w:r>
          </w:p>
        </w:tc>
        <w:tc>
          <w:tcPr>
            <w:tcW w:type="dxa" w:w="1400"/>
            <w:shd w:fill="F2F2F2" w:val="clear"/>
            <w:tcMar>
              <w:top w:type="dxa" w:w="60"/>
              <w:left w:type="dxa" w:w="100"/>
              <w:bottom w:type="dxa" w:w="60"/>
              <w:right w:type="dxa" w:w="100"/>
            </w:tcMar>
          </w:tcPr>
          <w:p>
            <w:pPr>
              <w:jc w:val="left"/>
            </w:pPr>
            <w:r>
              <w:rPr>
                <w:rFonts w:ascii="Calibri" w:cs="Calibri" w:eastAsia="Calibri" w:hAnsi="Calibri"/>
                <w:b/>
                <w:bCs/>
                <w:color w:val="C00000"/>
                <w:sz w:val="20"/>
                <w:szCs w:val="20"/>
              </w:rPr>
              <w:t xml:space="preserve">Échec</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7. Clôture chômage</w:t>
            </w:r>
          </w:p>
        </w:tc>
        <w:tc>
          <w:tcPr>
            <w:tcW w:type="dxa" w:w="456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Chômage négatif (−9,5 %) ; bug de reporting YHL (~130 Mds)</w:t>
            </w:r>
          </w:p>
        </w:tc>
        <w:tc>
          <w:tcPr>
            <w:tcW w:type="dxa" w:w="1400"/>
            <w:tcMar>
              <w:top w:type="dxa" w:w="60"/>
              <w:left w:type="dxa" w:w="100"/>
              <w:bottom w:type="dxa" w:w="60"/>
              <w:right w:type="dxa" w:w="100"/>
            </w:tcMar>
          </w:tcPr>
          <w:p>
            <w:pPr>
              <w:jc w:val="left"/>
            </w:pPr>
            <w:r>
              <w:rPr>
                <w:rFonts w:ascii="Calibri" w:cs="Calibri" w:eastAsia="Calibri" w:hAnsi="Calibri"/>
                <w:b/>
                <w:bCs/>
                <w:color w:val="C00000"/>
                <w:sz w:val="20"/>
                <w:szCs w:val="20"/>
              </w:rPr>
              <w:t xml:space="preserve">Échec</w:t>
            </w:r>
          </w:p>
        </w:tc>
      </w:tr>
      <w:tr>
        <w:tc>
          <w:tcPr>
            <w:tcW w:type="dxa" w:w="340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8. Capital sectoriel (sec_cap=True)</w:t>
            </w:r>
          </w:p>
        </w:tc>
        <w:tc>
          <w:tcPr>
            <w:tcW w:type="dxa" w:w="456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Converge à 1,9e-14</w:t>
            </w:r>
          </w:p>
        </w:tc>
        <w:tc>
          <w:tcPr>
            <w:tcW w:type="dxa" w:w="1400"/>
            <w:shd w:fill="F2F2F2" w:val="clear"/>
            <w:tcMar>
              <w:top w:type="dxa" w:w="60"/>
              <w:left w:type="dxa" w:w="100"/>
              <w:bottom w:type="dxa" w:w="60"/>
              <w:right w:type="dxa" w:w="100"/>
            </w:tcMar>
          </w:tcPr>
          <w:p>
            <w:pPr>
              <w:jc w:val="left"/>
            </w:pPr>
            <w:r>
              <w:rPr>
                <w:rFonts w:ascii="Calibri" w:cs="Calibri" w:eastAsia="Calibri" w:hAnsi="Calibri"/>
                <w:b/>
                <w:bCs/>
                <w:color w:val="375623"/>
                <w:sz w:val="20"/>
                <w:szCs w:val="20"/>
              </w:rPr>
              <w:t xml:space="preserve">Réussi</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9. Dynamique récursive T=5</w:t>
            </w:r>
          </w:p>
        </w:tc>
        <w:tc>
          <w:tcPr>
            <w:tcW w:type="dxa" w:w="456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Converge chaque période (≤ 6,6e-14), sentier régulier</w:t>
            </w:r>
          </w:p>
        </w:tc>
        <w:tc>
          <w:tcPr>
            <w:tcW w:type="dxa" w:w="1400"/>
            <w:tcMar>
              <w:top w:type="dxa" w:w="60"/>
              <w:left w:type="dxa" w:w="100"/>
              <w:bottom w:type="dxa" w:w="60"/>
              <w:right w:type="dxa" w:w="100"/>
            </w:tcMar>
          </w:tcPr>
          <w:p>
            <w:pPr>
              <w:jc w:val="left"/>
            </w:pPr>
            <w:r>
              <w:rPr>
                <w:rFonts w:ascii="Calibri" w:cs="Calibri" w:eastAsia="Calibri" w:hAnsi="Calibri"/>
                <w:b/>
                <w:bCs/>
                <w:color w:val="375623"/>
                <w:sz w:val="20"/>
                <w:szCs w:val="20"/>
              </w:rPr>
              <w:t xml:space="preserve">Réussi</w:t>
            </w:r>
          </w:p>
        </w:tc>
      </w:tr>
      <w:tr>
        <w:tc>
          <w:tcPr>
            <w:tcW w:type="dxa" w:w="340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10. Robustesse au point de départ (±30 %)</w:t>
            </w:r>
          </w:p>
        </w:tc>
        <w:tc>
          <w:tcPr>
            <w:tcW w:type="dxa" w:w="456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Retrouve la même solution (2,6e-14)</w:t>
            </w:r>
          </w:p>
        </w:tc>
        <w:tc>
          <w:tcPr>
            <w:tcW w:type="dxa" w:w="1400"/>
            <w:shd w:fill="F2F2F2" w:val="clear"/>
            <w:tcMar>
              <w:top w:type="dxa" w:w="60"/>
              <w:left w:type="dxa" w:w="100"/>
              <w:bottom w:type="dxa" w:w="60"/>
              <w:right w:type="dxa" w:w="100"/>
            </w:tcMar>
          </w:tcPr>
          <w:p>
            <w:pPr>
              <w:jc w:val="left"/>
            </w:pPr>
            <w:r>
              <w:rPr>
                <w:rFonts w:ascii="Calibri" w:cs="Calibri" w:eastAsia="Calibri" w:hAnsi="Calibri"/>
                <w:b/>
                <w:bCs/>
                <w:color w:val="375623"/>
                <w:sz w:val="20"/>
                <w:szCs w:val="20"/>
              </w:rPr>
              <w:t xml:space="preserve">Réussi</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11. Blocs CES/CET isolés (nests.py)</w:t>
            </w:r>
          </w:p>
        </w:tc>
        <w:tc>
          <w:tcPr>
            <w:tcW w:type="dxa" w:w="456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Reproduction des quantités de base à ~1e-15</w:t>
            </w:r>
          </w:p>
        </w:tc>
        <w:tc>
          <w:tcPr>
            <w:tcW w:type="dxa" w:w="1400"/>
            <w:tcMar>
              <w:top w:type="dxa" w:w="60"/>
              <w:left w:type="dxa" w:w="100"/>
              <w:bottom w:type="dxa" w:w="60"/>
              <w:right w:type="dxa" w:w="100"/>
            </w:tcMar>
          </w:tcPr>
          <w:p>
            <w:pPr>
              <w:jc w:val="left"/>
            </w:pPr>
            <w:r>
              <w:rPr>
                <w:rFonts w:ascii="Calibri" w:cs="Calibri" w:eastAsia="Calibri" w:hAnsi="Calibri"/>
                <w:b/>
                <w:bCs/>
                <w:color w:val="375623"/>
                <w:sz w:val="20"/>
                <w:szCs w:val="20"/>
              </w:rPr>
              <w:t xml:space="preserve">Réussi</w:t>
            </w:r>
          </w:p>
        </w:tc>
      </w:tr>
      <w:tr>
        <w:tc>
          <w:tcPr>
            <w:tcW w:type="dxa" w:w="340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12. Équilibre de la MCS</w:t>
            </w:r>
          </w:p>
        </w:tc>
        <w:tc>
          <w:tcPr>
            <w:tcW w:type="dxa" w:w="4560"/>
            <w:shd w:fill="F2F2F2"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Max |ligne−colonne| = 8,6e-08 sur 334 comptes</w:t>
            </w:r>
          </w:p>
        </w:tc>
        <w:tc>
          <w:tcPr>
            <w:tcW w:type="dxa" w:w="1400"/>
            <w:shd w:fill="F2F2F2" w:val="clear"/>
            <w:tcMar>
              <w:top w:type="dxa" w:w="60"/>
              <w:left w:type="dxa" w:w="100"/>
              <w:bottom w:type="dxa" w:w="60"/>
              <w:right w:type="dxa" w:w="100"/>
            </w:tcMar>
          </w:tcPr>
          <w:p>
            <w:pPr>
              <w:jc w:val="left"/>
            </w:pPr>
            <w:r>
              <w:rPr>
                <w:rFonts w:ascii="Calibri" w:cs="Calibri" w:eastAsia="Calibri" w:hAnsi="Calibri"/>
                <w:b/>
                <w:bCs/>
                <w:color w:val="375623"/>
                <w:sz w:val="20"/>
                <w:szCs w:val="20"/>
              </w:rPr>
              <w:t xml:space="preserve">Réussi</w:t>
            </w:r>
          </w:p>
        </w:tc>
      </w:tr>
    </w:tbl>
    <w:p>
      <w:pPr>
        <w:spacing w:after="120" w:line="276"/>
        <w:jc w:val="both"/>
      </w:pPr>
      <w:r>
        <w:rPr>
          <w:rFonts w:ascii="Calibri" w:cs="Calibri" w:eastAsia="Calibri" w:hAnsi="Calibri"/>
          <w:sz w:val="22"/>
          <w:szCs w:val="22"/>
        </w:rPr>
        <w:t xml:space="preserve"/>
      </w:r>
    </w:p>
    <w:p>
      <w:pPr>
        <w:spacing w:after="120" w:line="276"/>
        <w:jc w:val="both"/>
      </w:pPr>
      <w:r>
        <w:rPr>
          <w:rFonts w:ascii="Calibri" w:cs="Calibri" w:eastAsia="Calibri" w:hAnsi="Calibri"/>
          <w:color w:val="595959"/>
          <w:sz w:val="18"/>
          <w:szCs w:val="18"/>
        </w:rPr>
        <w:t xml:space="preserve">Conditions d'exécution : Python 3, NumPy/SciPy, modèle exécuté tel que livré (aucune modification du code). Montants en milliards (Mds) de FCFA, MCS en millions de FCFA. Les tests 3 à 7 utilisent les vérifications comptables suivantes : budget de l'État (recettes + transferts reçus − transferts versés − consommation publique − épargne fixée), balance courante implicite (importations − exportations + transferts nets au RdM − épargne du RdM fixée), identité épargne-investissement, et comparaison masse salariale/revenu du capital versés vs distribués.</w:t>
      </w:r>
    </w:p>
    <w:sectPr>
      <w:footerReference w:type="default" r:id="rId7"/>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2026-07-12T05:51:29.996Z</dcterms:created>
  <dcterms:modified xsi:type="dcterms:W3CDTF">2026-07-12T05:51:29.996Z</dcterms:modified>
</cp:coreProperties>
</file>

<file path=docProps/custom.xml><?xml version="1.0" encoding="utf-8"?>
<Properties xmlns="http://schemas.openxmlformats.org/officeDocument/2006/custom-properties" xmlns:vt="http://schemas.openxmlformats.org/officeDocument/2006/docPropsVTypes"/>
</file>