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2"/>
          <w:szCs w:val="52"/>
        </w:rPr>
        <w:t xml:space="preserve">RAPPORT TECHNIQUE</w:t>
      </w:r>
    </w:p>
    <w:p>
      <w:pPr>
        <w:spacing w:after="200"/>
        <w:jc w:val="center"/>
      </w:pPr>
      <w:r>
        <w:rPr>
          <w:color w:val="404040"/>
          <w:sz w:val="28"/>
          <w:szCs w:val="28"/>
        </w:rPr>
        <w:t xml:space="preserve">Construction du modèle MEGC en Python</w:t>
      </w:r>
    </w:p>
    <w:p>
      <w:pPr>
        <w:spacing w:after="120"/>
        <w:jc w:val="center"/>
      </w:pPr>
      <w:r>
        <w:rPr>
          <w:i/>
          <w:iCs/>
          <w:color w:val="606060"/>
          <w:sz w:val="24"/>
          <w:szCs w:val="24"/>
        </w:rPr>
        <w:t xml:space="preserve">Architecture, traitement des données, calibration, résolution numérique et validation</w:t>
      </w:r>
    </w:p>
    <w:p>
      <w:pPr>
        <w:spacing w:before="1800"/>
        <w:jc w:val="center"/>
      </w:pPr>
      <w:r>
        <w:rPr>
          <w:color w:val="606060"/>
          <w:sz w:val="22"/>
          <w:szCs w:val="22"/>
        </w:rPr>
        <w:t xml:space="preserve">Modèle d'équilibre général calculable — Burkina Faso 2018</w:t>
      </w:r>
    </w:p>
    <w:p>
      <w:pPr>
        <w:jc w:val="center"/>
      </w:pPr>
      <w:r>
        <w:rPr>
          <w:color w:val="606060"/>
          <w:sz w:val="22"/>
          <w:szCs w:val="22"/>
        </w:rPr>
        <w:t xml:space="preserve">Version 2 — révisée après audit et réparation, 12 juillet 2026</w:t>
      </w:r>
    </w:p>
    <w:p>
      <w:r>
        <w:br w:type="page"/>
      </w:r>
    </w:p>
    <w:p>
      <w:pPr>
        <w:pStyle w:val="Heading1"/>
        <w:spacing w:after="160" w:before="320"/>
      </w:pPr>
      <w:r>
        <w:rPr>
          <w:rFonts w:ascii="Calibri" w:cs="Calibri" w:eastAsia="Calibri" w:hAnsi="Calibri"/>
          <w:b/>
          <w:bCs/>
          <w:color w:val="1F3864"/>
          <w:sz w:val="30"/>
          <w:szCs w:val="30"/>
        </w:rPr>
        <w:t xml:space="preserve">1. Introduction et périmètre</w:t>
      </w:r>
    </w:p>
    <w:p>
      <w:pPr>
        <w:spacing w:after="120" w:line="276"/>
        <w:jc w:val="both"/>
      </w:pPr>
      <w:r>
        <w:rPr>
          <w:rFonts w:ascii="Calibri" w:cs="Calibri" w:eastAsia="Calibri" w:hAnsi="Calibri"/>
          <w:sz w:val="22"/>
          <w:szCs w:val="22"/>
        </w:rPr>
        <w:t xml:space="preserve">Ce rapport documente la construction et la révision d'une implémentation Python complète d'un modèle d'équilibre général calculable (MEGC) pour le Burkina Faso (année de base 2018), dérivée du modèle standard PEP-1-t (Partnership for Economic Policy). La présente version 3 intègre les corrections de l'audit du 12 juillet 2026 (réplication exacte de l'année de base, bouclage institutionnel complet avec vérification de la loi de Walras, marges par produit, complémentarité des rentes) ainsi que la réconciliation de la matrice désagrégée avec la macro-MCS de référence : le modèle fonctionne désormais sur DEUX jeux de données commutables aux domaines de validité documentés (§2.3), livrés en classeurs Excel (MCS_reconciliee_BF2018.xlsx, MCS_originale_BF2018.xlsx) avec nomenclature complète des comptes.</w:t>
      </w:r>
    </w:p>
    <w:p>
      <w:pPr>
        <w:spacing w:after="120" w:line="276"/>
        <w:jc w:val="both"/>
      </w:pPr>
      <w:r>
        <w:rPr>
          <w:rFonts w:ascii="Calibri" w:cs="Calibri" w:eastAsia="Calibri" w:hAnsi="Calibri"/>
          <w:sz w:val="22"/>
          <w:szCs w:val="22"/>
        </w:rPr>
        <w:t xml:space="preserve">La nomenclature retient le détail maximal de la matrice de comptabilité sociale (MCS) : 139 biens, 88 branches, 2 types de travail, 2 types de capital, 4 ménages, 2 firmes, l'État et le reste du monde. Le modèle statique se résout comme un système carré de 405 inconnues en capital sectoriel (fermeture par défaut, conforme PEP-1-t) ou 231 en capital mobile, et reproduit l'année de base à ~10⁻¹² près, avec une loi de Walras vérifiée à ~10⁻⁸.</w:t>
      </w:r>
    </w:p>
    <w:p>
      <w:pPr>
        <w:spacing w:after="120" w:line="276"/>
        <w:jc w:val="both"/>
      </w:pPr>
      <w:r>
        <w:rPr>
          <w:rFonts w:ascii="Calibri" w:cs="Calibri" w:eastAsia="Calibri" w:hAnsi="Calibri"/>
          <w:sz w:val="22"/>
          <w:szCs w:val="22"/>
        </w:rPr>
        <w:t xml:space="preserve">Principe de conception : le modèle est écrit de façon vectorielle (NumPy), l'équilibre étant défini comme le zéro d'une fonction résiduelle empilant zéro-profits, équilibres des marchés des biens et des facteurs. La résolution s'appuie sur scipy.optimize.root (Levenberg-Marquardt) en variables logarithmiques, complétée par une homotopie adaptative avec pivotage des solutions de coin (méthode solve_path).</w:t>
      </w:r>
    </w:p>
    <w:p>
      <w:pPr>
        <w:pStyle w:val="Heading1"/>
        <w:spacing w:after="160" w:before="320"/>
      </w:pPr>
      <w:r>
        <w:rPr>
          <w:rFonts w:ascii="Calibri" w:cs="Calibri" w:eastAsia="Calibri" w:hAnsi="Calibri"/>
          <w:b/>
          <w:bCs/>
          <w:color w:val="1F3864"/>
          <w:sz w:val="30"/>
          <w:szCs w:val="30"/>
        </w:rPr>
        <w:t xml:space="preserve">2. Données et traitements préalables</w:t>
      </w:r>
    </w:p>
    <w:p>
      <w:pPr>
        <w:pStyle w:val="Heading2"/>
        <w:spacing w:after="120" w:before="240"/>
      </w:pPr>
      <w:r>
        <w:rPr>
          <w:rFonts w:ascii="Calibri" w:cs="Calibri" w:eastAsia="Calibri" w:hAnsi="Calibri"/>
          <w:b/>
          <w:bCs/>
          <w:color w:val="1F3864"/>
          <w:sz w:val="25"/>
          <w:szCs w:val="25"/>
        </w:rPr>
        <w:t xml:space="preserve">2.1 Source et chargement</w:t>
      </w:r>
    </w:p>
    <w:p>
      <w:pPr>
        <w:spacing w:after="120" w:line="276"/>
        <w:jc w:val="both"/>
      </w:pPr>
      <w:r>
        <w:rPr>
          <w:rFonts w:ascii="Calibri" w:cs="Calibri" w:eastAsia="Calibri" w:hAnsi="Calibri"/>
          <w:sz w:val="22"/>
          <w:szCs w:val="22"/>
        </w:rPr>
        <w:t xml:space="preserve">Le modèle lit la MCS équilibrée au format PEP (data/SMx.npy, 334 comptes, équilibrée à 8,6e-8). Le module calib.py extrait les flux (demandes factorielles, consommations intermédiaires, make, exportations, importations, taxes, transferts, épargnes) et calcule les paramètres.</w:t>
      </w:r>
    </w:p>
    <w:p>
      <w:pPr>
        <w:pStyle w:val="Heading2"/>
        <w:spacing w:after="120" w:before="240"/>
      </w:pPr>
      <w:r>
        <w:rPr>
          <w:rFonts w:ascii="Calibri" w:cs="Calibri" w:eastAsia="Calibri" w:hAnsi="Calibri"/>
          <w:b/>
          <w:bCs/>
          <w:color w:val="1F3864"/>
          <w:sz w:val="25"/>
          <w:szCs w:val="25"/>
        </w:rPr>
        <w:t xml:space="preserve">2.2 Réparations de données (traçables et neutres au benchmark)</w:t>
      </w:r>
    </w:p>
    <w:p>
      <w:pPr>
        <w:spacing w:after="120" w:line="276"/>
        <w:jc w:val="both"/>
      </w:pPr>
      <w:r>
        <w:rPr>
          <w:rFonts w:ascii="Calibri" w:cs="Calibri" w:eastAsia="Calibri" w:hAnsi="Calibri"/>
          <w:sz w:val="22"/>
          <w:szCs w:val="22"/>
        </w:rPr>
        <w:t xml:space="preserve">Quatre anomalies de la MCS « ajustée » sont traitées à l'extraction, chacune par une transformation qui préserve exactement l'équilibre de chaque compte et la loi de Walras :</w:t>
      </w:r>
    </w:p>
    <w:p>
      <w:pPr>
        <w:pStyle w:val="ListParagraph"/>
        <w:numPr>
          <w:ilvl w:val="0"/>
          <w:numId w:val="2"/>
        </w:numPr>
        <w:spacing w:after="80" w:line="276"/>
        <w:jc w:val="both"/>
      </w:pPr>
      <w:r>
        <w:rPr>
          <w:rFonts w:ascii="Calibri" w:cs="Calibri" w:eastAsia="Calibri" w:hAnsi="Calibri"/>
          <w:b/>
          <w:bCs/>
          <w:sz w:val="22"/>
          <w:szCs w:val="22"/>
        </w:rPr>
        <w:t xml:space="preserve">Cellules make négatives (81,5 Mds, dont l'or brut absorbé par le raffinage A43 : −67,3 Mds) : </w:t>
      </w:r>
      <w:r>
        <w:rPr>
          <w:rFonts w:ascii="Calibri" w:cs="Calibri" w:eastAsia="Calibri" w:hAnsi="Calibri"/>
          <w:sz w:val="22"/>
          <w:szCs w:val="22"/>
        </w:rPr>
        <w:t xml:space="preserve">transférées en demande intermédiaire du produit par la branche — l'output aux ventes coïncide alors avec l'output aux coûts pour les 88 branches (écart ~7e-14).</w:t>
      </w:r>
    </w:p>
    <w:p>
      <w:pPr>
        <w:pStyle w:val="ListParagraph"/>
        <w:numPr>
          <w:ilvl w:val="0"/>
          <w:numId w:val="2"/>
        </w:numPr>
        <w:spacing w:after="80" w:line="276"/>
        <w:jc w:val="both"/>
      </w:pPr>
      <w:r>
        <w:rPr>
          <w:rFonts w:ascii="Calibri" w:cs="Calibri" w:eastAsia="Calibri" w:hAnsi="Calibri"/>
          <w:b/>
          <w:bCs/>
          <w:sz w:val="22"/>
          <w:szCs w:val="22"/>
        </w:rPr>
        <w:t xml:space="preserve">Cellules de capital négatives (EBE négatif, 14,8 Mds) : </w:t>
      </w:r>
      <w:r>
        <w:rPr>
          <w:rFonts w:ascii="Calibri" w:cs="Calibri" w:eastAsia="Calibri" w:hAnsi="Calibri"/>
          <w:sz w:val="22"/>
          <w:szCs w:val="22"/>
        </w:rPr>
        <w:t xml:space="preserve">converties en subvention à la production (TIP), compensées dans la part de l'État sur le compte capital (opération neutre pour l'État, la branche et le compte K).</w:t>
      </w:r>
    </w:p>
    <w:p>
      <w:pPr>
        <w:pStyle w:val="ListParagraph"/>
        <w:numPr>
          <w:ilvl w:val="0"/>
          <w:numId w:val="2"/>
        </w:numPr>
        <w:spacing w:after="80" w:line="276"/>
        <w:jc w:val="both"/>
      </w:pPr>
      <w:r>
        <w:rPr>
          <w:rFonts w:ascii="Calibri" w:cs="Calibri" w:eastAsia="Calibri" w:hAnsi="Calibri"/>
          <w:b/>
          <w:bCs/>
          <w:sz w:val="22"/>
          <w:szCs w:val="22"/>
        </w:rPr>
        <w:t xml:space="preserve">Branches sans capital après nettoyage : </w:t>
      </w:r>
      <w:r>
        <w:rPr>
          <w:rFonts w:ascii="Calibri" w:cs="Calibri" w:eastAsia="Calibri" w:hAnsi="Calibri"/>
          <w:sz w:val="22"/>
          <w:szCs w:val="22"/>
        </w:rPr>
        <w:t xml:space="preserve">dotées d'un capital égal au coût du travail, financé par la subvention TIP et restitué à l'État via le compte K — neutre au benchmark, cela donne à ces branches une courbe d'offre pentue (indispensable : quasi-100 % exportatrices, leur zéro-profit à prix mondial fixé était sinon infaisable).</w:t>
      </w:r>
    </w:p>
    <w:p>
      <w:pPr>
        <w:pStyle w:val="ListParagraph"/>
        <w:numPr>
          <w:ilvl w:val="0"/>
          <w:numId w:val="2"/>
        </w:numPr>
        <w:spacing w:after="80" w:line="276"/>
        <w:jc w:val="both"/>
      </w:pPr>
      <w:r>
        <w:rPr>
          <w:rFonts w:ascii="Calibri" w:cs="Calibri" w:eastAsia="Calibri" w:hAnsi="Calibri"/>
          <w:b/>
          <w:bCs/>
          <w:sz w:val="22"/>
          <w:szCs w:val="22"/>
        </w:rPr>
        <w:t xml:space="preserve">Comptes produits notionnels (P34, P60-or, P95, ~86 Mds) : </w:t>
      </w:r>
      <w:r>
        <w:rPr>
          <w:rFonts w:ascii="Calibri" w:cs="Calibri" w:eastAsia="Calibri" w:hAnsi="Calibri"/>
          <w:sz w:val="22"/>
          <w:szCs w:val="22"/>
        </w:rPr>
        <w:t xml:space="preserve">leurs « demandes » domestiques sont des flux fiscaux purs (redevances minières notamment). Elles sont converties en prélèvements ad valorem sur la production des branches payeuses (tspec), répartis entre l'État et le fonds d'investissement selon la MCS. Le prix CET de ces produits reste actif : les chocs de prix mondiaux (or) se transmettent.</w:t>
      </w:r>
    </w:p>
    <w:p>
      <w:pPr>
        <w:pStyle w:val="Heading2"/>
        <w:spacing w:after="120" w:before="240"/>
      </w:pPr>
      <w:r>
        <w:rPr>
          <w:rFonts w:ascii="Calibri" w:cs="Calibri" w:eastAsia="Calibri" w:hAnsi="Calibri"/>
          <w:b/>
          <w:bCs/>
          <w:color w:val="1F3864"/>
          <w:sz w:val="25"/>
          <w:szCs w:val="25"/>
        </w:rPr>
        <w:t xml:space="preserve">2.3 Réconciliation avec la macro-MCS (Unité fictive)</w:t>
      </w:r>
    </w:p>
    <w:p>
      <w:pPr>
        <w:spacing w:after="120" w:line="276"/>
        <w:jc w:val="both"/>
      </w:pPr>
      <w:r>
        <w:rPr>
          <w:rFonts w:ascii="Calibri" w:cs="Calibri" w:eastAsia="Calibri" w:hAnsi="Calibri"/>
          <w:sz w:val="22"/>
          <w:szCs w:val="22"/>
        </w:rPr>
        <w:t xml:space="preserve">La macro-MCS de référence comporte un compte « Unité fictive » (UF) qui avait été dissous dans la matrice désagrégée, à l'origine du compte extérieur non plausible relevé par l'audit. Le jeu de données réconcilié (SMx_reconcilie, 335 comptes, défaut du modèle : CGE(dataset='reconcilie')) restaure ce compte en branche informelle explicite A_UF : importations portées à ~2 874 Mds (réinjection des 2 608 Mds absorbés par l'UF, au prorata des cellules de stocks négatives, clé de la revente informelle), offre informelle de 4 562 Mds avec valeur ajoutée en capital de 1 954 Mds (comblant l'écart entre l'EBE des branches et les revenus institutionnels), solde courant restauré à +360 Mds (macro : +309, l'écart mesurant les déformations résiduelles de la désagrégation d'origine) et revenu net des facteurs reçu du RdM de +31 Mds. Le PIB(VA) s'établit à ~9 866 Mds, l'écart au PIB officiel mesurant l'économie informelle non ventilée de la macro-MCS.</w:t>
      </w:r>
    </w:p>
    <w:p>
      <w:pPr>
        <w:spacing w:after="120" w:line="276"/>
        <w:jc w:val="both"/>
      </w:pPr>
      <w:r>
        <w:rPr>
          <w:rFonts w:ascii="Calibri" w:cs="Calibri" w:eastAsia="Calibri" w:hAnsi="Calibri"/>
          <w:sz w:val="22"/>
          <w:szCs w:val="22"/>
        </w:rPr>
        <w:t xml:space="preserve">Domaines de validité : le jeu réconcilié rend les chocs extérieurs exacts et économiquement corrects (or −20 % : résidu 6e-15, Walras nul, imports −11 %, revenu des ménages −9,2 %, FBCF −12,6 %, déflation −7,2 %) ; en revanche les chocs fiscaux de grande ampleur y butent sur les rigidités du bloc informel (précision ~1e-3 au-delà de +3 points de taxe, écart de Walras atteignant ~0,5 % du PIB à +10 points). Le jeu d'origine (dataset='original') reste exact pour la fiscalité intérieure à toute ampleur testée (+10 points : 3e-14, Walras nul) mais son secteur extérieur est inutilisable. Le choix du jeu fait partie du protocole de simulation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80"/>
        <w:gridCol w:w="2880"/>
      </w:tblGrid>
      <w:tr>
        <w:trPr>
          <w:tblHeader/>
        </w:trPr>
        <w:tc>
          <w:tcPr>
            <w:tcW w:type="dxa" w:w="3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Critère</w:t>
            </w:r>
          </w:p>
        </w:tc>
        <w:tc>
          <w:tcPr>
            <w:tcW w:type="dxa" w:w="308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dataset='reconcilie' (défaut)</w:t>
            </w:r>
          </w:p>
        </w:tc>
        <w:tc>
          <w:tcPr>
            <w:tcW w:type="dxa" w:w="288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dataset='original'</w:t>
            </w:r>
          </w:p>
        </w:tc>
      </w:tr>
      <w:tr>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Secteur extérieur</w:t>
            </w:r>
          </w:p>
        </w:tc>
        <w:tc>
          <w:tcPr>
            <w:tcW w:type="dxa" w:w="3080"/>
            <w:tcMar>
              <w:top w:type="dxa" w:w="60"/>
              <w:left w:type="dxa" w:w="100"/>
              <w:bottom w:type="dxa" w:w="60"/>
              <w:right w:type="dxa" w:w="100"/>
            </w:tcMar>
          </w:tcPr>
          <w:p>
            <w:r>
              <w:rPr>
                <w:rFonts w:ascii="Calibri" w:cs="Calibri" w:eastAsia="Calibri" w:hAnsi="Calibri"/>
                <w:b w:val="false"/>
                <w:bCs w:val="false"/>
                <w:color w:val="000000"/>
                <w:sz w:val="20"/>
                <w:szCs w:val="20"/>
              </w:rPr>
              <w:t xml:space="preserve">Réaliste : imports 2 874 Mds, CAB −360 Mds</w:t>
            </w:r>
          </w:p>
        </w:tc>
        <w:tc>
          <w:tcPr>
            <w:tcW w:type="dxa" w:w="2880"/>
            <w:tcMar>
              <w:top w:type="dxa" w:w="60"/>
              <w:left w:type="dxa" w:w="100"/>
              <w:bottom w:type="dxa" w:w="60"/>
              <w:right w:type="dxa" w:w="100"/>
            </w:tcMar>
          </w:tcPr>
          <w:p>
            <w:r>
              <w:rPr>
                <w:rFonts w:ascii="Calibri" w:cs="Calibri" w:eastAsia="Calibri" w:hAnsi="Calibri"/>
                <w:b w:val="false"/>
                <w:bCs w:val="false"/>
                <w:color w:val="000000"/>
                <w:sz w:val="20"/>
                <w:szCs w:val="20"/>
              </w:rPr>
              <w:t xml:space="preserve">Non plausible : imports 266 Mds</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Prix mondiaux / commerce</w:t>
            </w:r>
          </w:p>
        </w:tc>
        <w:tc>
          <w:tcPr>
            <w:tcW w:type="dxa" w:w="308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Exact (or −20 % : 6e-15, Walras 0)</w:t>
            </w:r>
          </w:p>
        </w:tc>
        <w:tc>
          <w:tcPr>
            <w:tcW w:type="dxa" w:w="288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À proscrire</w:t>
            </w:r>
          </w:p>
        </w:tc>
      </w:tr>
      <w:tr>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Chocs fiscaux</w:t>
            </w:r>
          </w:p>
        </w:tc>
        <w:tc>
          <w:tcPr>
            <w:tcW w:type="dxa" w:w="3080"/>
            <w:tcMar>
              <w:top w:type="dxa" w:w="60"/>
              <w:left w:type="dxa" w:w="100"/>
              <w:bottom w:type="dxa" w:w="60"/>
              <w:right w:type="dxa" w:w="100"/>
            </w:tcMar>
          </w:tcPr>
          <w:p>
            <w:r>
              <w:rPr>
                <w:rFonts w:ascii="Calibri" w:cs="Calibri" w:eastAsia="Calibri" w:hAnsi="Calibri"/>
                <w:b w:val="false"/>
                <w:bCs w:val="false"/>
                <w:color w:val="000000"/>
                <w:sz w:val="20"/>
                <w:szCs w:val="20"/>
              </w:rPr>
              <w:t xml:space="preserve">Exacts jusqu'à ~+3 pts ; ~1e-3 au-delà</w:t>
            </w:r>
          </w:p>
        </w:tc>
        <w:tc>
          <w:tcPr>
            <w:tcW w:type="dxa" w:w="2880"/>
            <w:tcMar>
              <w:top w:type="dxa" w:w="60"/>
              <w:left w:type="dxa" w:w="100"/>
              <w:bottom w:type="dxa" w:w="60"/>
              <w:right w:type="dxa" w:w="100"/>
            </w:tcMar>
          </w:tcPr>
          <w:p>
            <w:r>
              <w:rPr>
                <w:rFonts w:ascii="Calibri" w:cs="Calibri" w:eastAsia="Calibri" w:hAnsi="Calibri"/>
                <w:b w:val="false"/>
                <w:bCs w:val="false"/>
                <w:color w:val="000000"/>
                <w:sz w:val="20"/>
                <w:szCs w:val="20"/>
              </w:rPr>
              <w:t xml:space="preserve">Exacts (+10 pts : 3e-14, Walras 0)</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Productivité, facteurs</w:t>
            </w:r>
          </w:p>
        </w:tc>
        <w:tc>
          <w:tcPr>
            <w:tcW w:type="dxa" w:w="308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Exacts (homotopie)</w:t>
            </w:r>
          </w:p>
        </w:tc>
        <w:tc>
          <w:tcPr>
            <w:tcW w:type="dxa" w:w="288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Exacts (homotopie)</w:t>
            </w:r>
          </w:p>
        </w:tc>
      </w:tr>
      <w:tr>
        <w:tc>
          <w:tcPr>
            <w:tcW w:type="dxa" w:w="3400"/>
            <w:tcMar>
              <w:top w:type="dxa" w:w="60"/>
              <w:left w:type="dxa" w:w="100"/>
              <w:bottom w:type="dxa" w:w="60"/>
              <w:right w:type="dxa" w:w="100"/>
            </w:tcMar>
          </w:tcPr>
          <w:p>
            <w:r>
              <w:rPr>
                <w:rFonts w:ascii="Calibri" w:cs="Calibri" w:eastAsia="Calibri" w:hAnsi="Calibri"/>
                <w:b w:val="false"/>
                <w:bCs w:val="false"/>
                <w:color w:val="000000"/>
                <w:sz w:val="20"/>
                <w:szCs w:val="20"/>
              </w:rPr>
              <w:t xml:space="preserve">PIB(VA) de base</w:t>
            </w:r>
          </w:p>
        </w:tc>
        <w:tc>
          <w:tcPr>
            <w:tcW w:type="dxa" w:w="3080"/>
            <w:tcMar>
              <w:top w:type="dxa" w:w="60"/>
              <w:left w:type="dxa" w:w="100"/>
              <w:bottom w:type="dxa" w:w="60"/>
              <w:right w:type="dxa" w:w="100"/>
            </w:tcMar>
          </w:tcPr>
          <w:p>
            <w:r>
              <w:rPr>
                <w:rFonts w:ascii="Calibri" w:cs="Calibri" w:eastAsia="Calibri" w:hAnsi="Calibri"/>
                <w:b w:val="false"/>
                <w:bCs w:val="false"/>
                <w:color w:val="000000"/>
                <w:sz w:val="20"/>
                <w:szCs w:val="20"/>
              </w:rPr>
              <w:t xml:space="preserve">9 866 Mds (informel inclus)</w:t>
            </w:r>
          </w:p>
        </w:tc>
        <w:tc>
          <w:tcPr>
            <w:tcW w:type="dxa" w:w="2880"/>
            <w:tcMar>
              <w:top w:type="dxa" w:w="60"/>
              <w:left w:type="dxa" w:w="100"/>
              <w:bottom w:type="dxa" w:w="60"/>
              <w:right w:type="dxa" w:w="100"/>
            </w:tcMar>
          </w:tcPr>
          <w:p>
            <w:r>
              <w:rPr>
                <w:rFonts w:ascii="Calibri" w:cs="Calibri" w:eastAsia="Calibri" w:hAnsi="Calibri"/>
                <w:b w:val="false"/>
                <w:bCs w:val="false"/>
                <w:color w:val="000000"/>
                <w:sz w:val="20"/>
                <w:szCs w:val="20"/>
              </w:rPr>
              <w:t xml:space="preserve">7 912 Mds</w:t>
            </w:r>
          </w:p>
        </w:tc>
      </w:tr>
      <w:tr>
        <w:tc>
          <w:tcPr>
            <w:tcW w:type="dxa" w:w="3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Comptes / branches</w:t>
            </w:r>
          </w:p>
        </w:tc>
        <w:tc>
          <w:tcPr>
            <w:tcW w:type="dxa" w:w="308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335 / 89 (A_UF)</w:t>
            </w:r>
          </w:p>
        </w:tc>
        <w:tc>
          <w:tcPr>
            <w:tcW w:type="dxa" w:w="288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334 / 88</w:t>
            </w:r>
          </w:p>
        </w:tc>
      </w:tr>
    </w:tbl>
    <w:p>
      <w:pPr>
        <w:spacing w:after="120" w:line="276"/>
        <w:jc w:val="both"/>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Les deux matrices sont livrées en classeurs Excel entièrement documentés (feuilles Lisez-moi, MCS complète avec totaux par formules, agrégation Macro comparable à la macro-MCS de référence, et Nomenclature : libellés des institutions et facteurs, libellés officiels des 88 branches, libellés des produits déduits de la branche productrice dominante avec parts et statistiques de base).</w:t>
      </w:r>
    </w:p>
    <w:p>
      <w:pPr>
        <w:pStyle w:val="Heading2"/>
        <w:spacing w:after="120" w:before="240"/>
      </w:pPr>
      <w:r>
        <w:rPr>
          <w:rFonts w:ascii="Calibri" w:cs="Calibri" w:eastAsia="Calibri" w:hAnsi="Calibri"/>
          <w:b/>
          <w:bCs/>
          <w:color w:val="1F3864"/>
          <w:sz w:val="25"/>
          <w:szCs w:val="25"/>
        </w:rPr>
        <w:t xml:space="preserve">2.4 Élasticités</w:t>
      </w:r>
    </w:p>
    <w:p>
      <w:pPr>
        <w:spacing w:after="120" w:line="276"/>
        <w:jc w:val="both"/>
      </w:pPr>
      <w:r>
        <w:rPr>
          <w:rFonts w:ascii="Calibri" w:cs="Calibri" w:eastAsia="Calibri" w:hAnsi="Calibri"/>
          <w:sz w:val="22"/>
          <w:szCs w:val="22"/>
        </w:rPr>
        <w:t xml:space="preserve">Les élasticités ne proviennent pas de la MCS : valeurs par défaut PEP (σ_VA=1,5 ; σ_LD=σ_KD=0,8 ; σ_M=σ_X=2 ; Frisch=−1,5), paramétrables via CGE(elas={...}). Elles sont uniformes entre branches : toute publication doit inclure une analyse de sensibilité (voir §8).</w:t>
      </w:r>
    </w:p>
    <w:p>
      <w:pPr>
        <w:pStyle w:val="Heading1"/>
        <w:spacing w:after="160" w:before="320"/>
      </w:pPr>
      <w:r>
        <w:rPr>
          <w:rFonts w:ascii="Calibri" w:cs="Calibri" w:eastAsia="Calibri" w:hAnsi="Calibri"/>
          <w:b/>
          <w:bCs/>
          <w:color w:val="1F3864"/>
          <w:sz w:val="30"/>
          <w:szCs w:val="30"/>
        </w:rPr>
        <w:t xml:space="preserve">3. Architecture du modèle</w:t>
      </w:r>
    </w:p>
    <w:p>
      <w:pPr>
        <w:pStyle w:val="Heading2"/>
        <w:spacing w:after="120" w:before="240"/>
      </w:pPr>
      <w:r>
        <w:rPr>
          <w:rFonts w:ascii="Calibri" w:cs="Calibri" w:eastAsia="Calibri" w:hAnsi="Calibri"/>
          <w:b/>
          <w:bCs/>
          <w:color w:val="1F3864"/>
          <w:sz w:val="25"/>
          <w:szCs w:val="25"/>
        </w:rPr>
        <w:t xml:space="preserve">3.1 Structure productive et commerciale</w:t>
      </w:r>
    </w:p>
    <w:p>
      <w:pPr>
        <w:spacing w:after="120" w:line="276"/>
        <w:jc w:val="both"/>
      </w:pPr>
      <w:r>
        <w:rPr>
          <w:rFonts w:ascii="Calibri" w:cs="Calibri" w:eastAsia="Calibri" w:hAnsi="Calibri"/>
          <w:sz w:val="22"/>
          <w:szCs w:val="22"/>
        </w:rPr>
        <w:t xml:space="preserve">La production est emboîtée : CES(travail composite, capital composite) pour la valeur ajoutée, Leontief pour les consommations intermédiaires, affectation aux produits par parts fixes (make), répartition ventes intérieures/exportations par CET, agrégat Armington entre production domestique et importations, demande des ménages en système linéaire de dépenses (LES/Stone-Geary).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Bloc</w:t>
            </w:r>
          </w:p>
        </w:tc>
        <w:tc>
          <w:tcPr>
            <w:tcW w:type="dxa" w:w="2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Fonction</w:t>
            </w:r>
          </w:p>
        </w:tc>
        <w:tc>
          <w:tcPr>
            <w:tcW w:type="dxa" w:w="35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Rôle</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Valeur ajoutée</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CES(travail, capital)</w:t>
            </w:r>
          </w:p>
        </w:tc>
        <w:tc>
          <w:tcPr>
            <w:tcW w:type="dxa" w:w="3560"/>
            <w:tcMar>
              <w:top w:type="dxa" w:w="60"/>
              <w:left w:type="dxa" w:w="100"/>
              <w:bottom w:type="dxa" w:w="60"/>
              <w:right w:type="dxa" w:w="100"/>
            </w:tcMar>
          </w:tcPr>
          <w:p>
            <w:r>
              <w:rPr>
                <w:rFonts w:ascii="Calibri" w:cs="Calibri" w:eastAsia="Calibri" w:hAnsi="Calibri"/>
                <w:b w:val="false"/>
                <w:bCs w:val="false"/>
                <w:color w:val="000000"/>
                <w:sz w:val="20"/>
                <w:szCs w:val="20"/>
              </w:rPr>
              <w:t xml:space="preserve">Substitution entre facteurs</w:t>
            </w:r>
          </w:p>
        </w:tc>
      </w:tr>
      <w:tr>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Travail / capital composites</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CES sur types</w:t>
            </w:r>
          </w:p>
        </w:tc>
        <w:tc>
          <w:tcPr>
            <w:tcW w:type="dxa" w:w="3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Agrégation des facteurs</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Consommation intermédiaire</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Leontief</w:t>
            </w:r>
          </w:p>
        </w:tc>
        <w:tc>
          <w:tcPr>
            <w:tcW w:type="dxa" w:w="3560"/>
            <w:tcMar>
              <w:top w:type="dxa" w:w="60"/>
              <w:left w:type="dxa" w:w="100"/>
              <w:bottom w:type="dxa" w:w="60"/>
              <w:right w:type="dxa" w:w="100"/>
            </w:tcMar>
          </w:tcPr>
          <w:p>
            <w:r>
              <w:rPr>
                <w:rFonts w:ascii="Calibri" w:cs="Calibri" w:eastAsia="Calibri" w:hAnsi="Calibri"/>
                <w:b w:val="false"/>
                <w:bCs w:val="false"/>
                <w:color w:val="000000"/>
                <w:sz w:val="20"/>
                <w:szCs w:val="20"/>
              </w:rPr>
              <w:t xml:space="preserve">Coefficients techniques fixes</w:t>
            </w:r>
          </w:p>
        </w:tc>
      </w:tr>
      <w:tr>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Production → biens (make)</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Parts fixes</w:t>
            </w:r>
          </w:p>
        </w:tc>
        <w:tc>
          <w:tcPr>
            <w:tcW w:type="dxa" w:w="3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Multi-produits par branche</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Ventes intérieures / exportations</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CET</w:t>
            </w:r>
          </w:p>
        </w:tc>
        <w:tc>
          <w:tcPr>
            <w:tcW w:type="dxa" w:w="3560"/>
            <w:tcMar>
              <w:top w:type="dxa" w:w="60"/>
              <w:left w:type="dxa" w:w="100"/>
              <w:bottom w:type="dxa" w:w="60"/>
              <w:right w:type="dxa" w:w="100"/>
            </w:tcMar>
          </w:tcPr>
          <w:p>
            <w:r>
              <w:rPr>
                <w:rFonts w:ascii="Calibri" w:cs="Calibri" w:eastAsia="Calibri" w:hAnsi="Calibri"/>
                <w:b w:val="false"/>
                <w:bCs w:val="false"/>
                <w:color w:val="000000"/>
                <w:sz w:val="20"/>
                <w:szCs w:val="20"/>
              </w:rPr>
              <w:t xml:space="preserve">Transformation à l'offre</w:t>
            </w:r>
          </w:p>
        </w:tc>
      </w:tr>
      <w:tr>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Bien composite</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Armington (CES)</w:t>
            </w:r>
          </w:p>
        </w:tc>
        <w:tc>
          <w:tcPr>
            <w:tcW w:type="dxa" w:w="3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Domestique vs importé</w:t>
            </w:r>
          </w:p>
        </w:tc>
      </w:tr>
      <w:tr>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Consommation des ménages</w:t>
            </w:r>
          </w:p>
        </w:tc>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LES (Stone-Geary)</w:t>
            </w:r>
          </w:p>
        </w:tc>
        <w:tc>
          <w:tcPr>
            <w:tcW w:type="dxa" w:w="3560"/>
            <w:tcMar>
              <w:top w:type="dxa" w:w="60"/>
              <w:left w:type="dxa" w:w="100"/>
              <w:bottom w:type="dxa" w:w="60"/>
              <w:right w:type="dxa" w:w="100"/>
            </w:tcMar>
          </w:tcPr>
          <w:p>
            <w:r>
              <w:rPr>
                <w:rFonts w:ascii="Calibri" w:cs="Calibri" w:eastAsia="Calibri" w:hAnsi="Calibri"/>
                <w:b w:val="false"/>
                <w:bCs w:val="false"/>
                <w:color w:val="000000"/>
                <w:sz w:val="20"/>
                <w:szCs w:val="20"/>
              </w:rPr>
              <w:t xml:space="preserve">Effets revenu et prix</w:t>
            </w:r>
          </w:p>
        </w:tc>
      </w:tr>
      <w:tr>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Marges commerce/transport</w:t>
            </w:r>
          </w:p>
        </w:tc>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Coefficients réels par produit</w:t>
            </w:r>
          </w:p>
        </w:tc>
        <w:tc>
          <w:tcPr>
            <w:tcW w:type="dxa" w:w="3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Demande dérivée de P126/P130</w:t>
            </w:r>
          </w:p>
        </w:tc>
      </w:tr>
    </w:tbl>
    <w:p>
      <w:pPr>
        <w:spacing w:after="120" w:line="276"/>
        <w:jc w:val="both"/>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1F3864"/>
          <w:sz w:val="25"/>
          <w:szCs w:val="25"/>
        </w:rPr>
        <w:t xml:space="preserve">3.2 Coins de prix : taxes et marges par produit</w:t>
      </w:r>
    </w:p>
    <w:p>
      <w:pPr>
        <w:spacing w:after="120" w:line="276"/>
        <w:jc w:val="both"/>
      </w:pPr>
      <w:r>
        <w:rPr>
          <w:rFonts w:ascii="Calibri" w:cs="Calibri" w:eastAsia="Calibri" w:hAnsi="Calibri"/>
          <w:sz w:val="22"/>
          <w:szCs w:val="22"/>
        </w:rPr>
        <w:t xml:space="preserve">Le prix d'achat s'écrit PC_i = (1+tic_i)·PA_i + tmg_i·PMRG, où tic_i est le taux de taxe sur produit, tmg_i le taux de marge réel (unités de panier de marge par unité de bien) et PMRG le prix du panier commerce/transport (P126, P130). La MCS ne distinguant pas taxe et marge dans le coin de prix de chaque produit, la répartition suit la part uniforme μ = pool de marges / coins positifs (≈ 68 %) — hypothèse documentée, la seule identifiable. Aucun écrêtage de taux : les coins extrêmes (jusqu'à 1 484 %) sont conservés comme donnée. Les subventions (coins négatifs) restent entièrement fiscales.</w:t>
      </w:r>
    </w:p>
    <w:p>
      <w:pPr>
        <w:pStyle w:val="Heading2"/>
        <w:spacing w:after="120" w:before="240"/>
      </w:pPr>
      <w:r>
        <w:rPr>
          <w:rFonts w:ascii="Calibri" w:cs="Calibri" w:eastAsia="Calibri" w:hAnsi="Calibri"/>
          <w:b/>
          <w:bCs/>
          <w:color w:val="1F3864"/>
          <w:sz w:val="25"/>
          <w:szCs w:val="25"/>
        </w:rPr>
        <w:t xml:space="preserve">3.3 Institutions et bouclage des revenus</w:t>
      </w:r>
    </w:p>
    <w:p>
      <w:pPr>
        <w:spacing w:after="120" w:line="276"/>
        <w:jc w:val="both"/>
      </w:pPr>
      <w:r>
        <w:rPr>
          <w:rFonts w:ascii="Calibri" w:cs="Calibri" w:eastAsia="Calibri" w:hAnsi="Calibri"/>
          <w:sz w:val="22"/>
          <w:szCs w:val="22"/>
        </w:rPr>
        <w:t xml:space="preserve">Toutes les institutions sont bouclées. Ménages : revenu du travail (emploi effectif), part du revenu du capital, transferts ; impôts directs ttdh, épargne par taux moyen. Firmes : part du revenu du capital et transferts, impôts directs ttdf, épargne SF endogène résiduelle. État : taxes produits + production + prélèvements notionnels + impôts directs (ménages et firmes) + revenu du capital + transferts ; consommation réelle fixe, épargne SG endogène. Reste du monde : solde courant SROW fixé (clôture PEP-1-t), la contrainte extérieure étant l'équation redondante de la loi de Walras — recalculée à chaque solution (_store['walras'], ≈ 0 à l'équilibre : c'est le test de cohérence permanent du modèle). L'épargne totale finance l'investissement (GFCF = IT − stocks), avec point fixe analytique sur les recettes de taxes assises sur l'investissement.</w:t>
      </w:r>
    </w:p>
    <w:p>
      <w:pPr>
        <w:pStyle w:val="Heading2"/>
        <w:spacing w:after="120" w:before="240"/>
      </w:pPr>
      <w:r>
        <w:rPr>
          <w:rFonts w:ascii="Calibri" w:cs="Calibri" w:eastAsia="Calibri" w:hAnsi="Calibri"/>
          <w:b/>
          <w:bCs/>
          <w:color w:val="1F3864"/>
          <w:sz w:val="25"/>
          <w:szCs w:val="25"/>
        </w:rPr>
        <w:t xml:space="preserve">3.4 Fermeture du marché du capital</w:t>
      </w:r>
    </w:p>
    <w:p>
      <w:pPr>
        <w:spacing w:after="120" w:line="276"/>
        <w:jc w:val="both"/>
      </w:pPr>
      <w:r>
        <w:rPr>
          <w:rFonts w:ascii="Calibri" w:cs="Calibri" w:eastAsia="Calibri" w:hAnsi="Calibri"/>
          <w:sz w:val="22"/>
          <w:szCs w:val="22"/>
        </w:rPr>
        <w:t xml:space="preserve">Le capital sectoriel est la fermeture par défaut (sec_cap=True, conforme PEP-1-t) : capital fixe par branche, rentes endogènes R_kj. Sous grands chocs, une rente peut atteindre zéro : la complémentarité R ≥ 0 ⊥ KD ≤ K̄ (capital oisif) est gérée par pivotage dans solve_path. La fermeture en capital mobile reste disponible (m.sec_cap=False) mais est déconseillée pour les grands chocs : plusieurs branches quasi-100 % exportatrices à prix mondiaux fixés et rendements constants n'ont alors que quatre prix de facteurs pour équilibrer leurs zéro-profits — surdétermination qui impose des solutions de coin (fermetures de branches).</w:t>
      </w:r>
    </w:p>
    <w:p>
      <w:pPr>
        <w:pStyle w:val="Heading2"/>
        <w:spacing w:after="120" w:before="240"/>
      </w:pPr>
      <w:r>
        <w:rPr>
          <w:rFonts w:ascii="Calibri" w:cs="Calibri" w:eastAsia="Calibri" w:hAnsi="Calibri"/>
          <w:b/>
          <w:bCs/>
          <w:color w:val="1F3864"/>
          <w:sz w:val="25"/>
          <w:szCs w:val="25"/>
        </w:rPr>
        <w:t xml:space="preserve">3.5 Bouclages macroéconomiques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Axe</w:t>
            </w:r>
          </w:p>
        </w:tc>
        <w:tc>
          <w:tcPr>
            <w:tcW w:type="dxa" w:w="3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Options</w:t>
            </w:r>
          </w:p>
        </w:tc>
        <w:tc>
          <w:tcPr>
            <w:tcW w:type="dxa" w:w="35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Interprétation</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Marché du travail</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plein_emploi | chomage</w:t>
            </w:r>
          </w:p>
        </w:tc>
        <w:tc>
          <w:tcPr>
            <w:tcW w:type="dxa" w:w="3560"/>
            <w:tcMar>
              <w:top w:type="dxa" w:w="60"/>
              <w:left w:type="dxa" w:w="100"/>
              <w:bottom w:type="dxa" w:w="60"/>
              <w:right w:type="dxa" w:w="100"/>
            </w:tcMar>
          </w:tcPr>
          <w:p>
            <w:r>
              <w:rPr>
                <w:rFonts w:ascii="Calibri" w:cs="Calibri" w:eastAsia="Calibri" w:hAnsi="Calibri"/>
                <w:b w:val="false"/>
                <w:bCs w:val="false"/>
                <w:color w:val="000000"/>
                <w:sz w:val="20"/>
                <w:szCs w:val="20"/>
              </w:rPr>
              <w:t xml:space="preserve">Offre fixe et salaire flexible (LT) vs salaire RÉEL fixe (indexé IPC) et emploi flexible (CT)</w:t>
            </w:r>
          </w:p>
        </w:tc>
      </w:tr>
      <w:tr>
        <w:tc>
          <w:tcPr>
            <w:tcW w:type="dxa" w:w="26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Épargne-investissement</w:t>
            </w:r>
          </w:p>
        </w:tc>
        <w:tc>
          <w:tcPr>
            <w:tcW w:type="dxa" w:w="32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epargne | exogene</w:t>
            </w:r>
          </w:p>
        </w:tc>
        <w:tc>
          <w:tcPr>
            <w:tcW w:type="dxa" w:w="35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Investissement tiré par l'épargne (néoclassique) vs investissement réel fixe (keynésien — à réserver à la clôture chômage)</w:t>
            </w:r>
          </w:p>
        </w:tc>
      </w:tr>
      <w:tr>
        <w:tc>
          <w:tcPr>
            <w:tcW w:type="dxa" w:w="2600"/>
            <w:tcMar>
              <w:top w:type="dxa" w:w="60"/>
              <w:left w:type="dxa" w:w="100"/>
              <w:bottom w:type="dxa" w:w="60"/>
              <w:right w:type="dxa" w:w="100"/>
            </w:tcMar>
          </w:tcPr>
          <w:p>
            <w:r>
              <w:rPr>
                <w:rFonts w:ascii="Calibri" w:cs="Calibri" w:eastAsia="Calibri" w:hAnsi="Calibri"/>
                <w:b w:val="false"/>
                <w:bCs w:val="false"/>
                <w:color w:val="000000"/>
                <w:sz w:val="20"/>
                <w:szCs w:val="20"/>
              </w:rPr>
              <w:t xml:space="preserve">Extérieur</w:t>
            </w:r>
          </w:p>
        </w:tc>
        <w:tc>
          <w:tcPr>
            <w:tcW w:type="dxa" w:w="3200"/>
            <w:tcMar>
              <w:top w:type="dxa" w:w="60"/>
              <w:left w:type="dxa" w:w="100"/>
              <w:bottom w:type="dxa" w:w="60"/>
              <w:right w:type="dxa" w:w="100"/>
            </w:tcMar>
          </w:tcPr>
          <w:p>
            <w:r>
              <w:rPr>
                <w:rFonts w:ascii="Calibri" w:cs="Calibri" w:eastAsia="Calibri" w:hAnsi="Calibri"/>
                <w:b w:val="false"/>
                <w:bCs w:val="false"/>
                <w:color w:val="000000"/>
                <w:sz w:val="20"/>
                <w:szCs w:val="20"/>
              </w:rPr>
              <w:t xml:space="preserve">SROW fixé</w:t>
            </w:r>
          </w:p>
        </w:tc>
        <w:tc>
          <w:tcPr>
            <w:tcW w:type="dxa" w:w="3560"/>
            <w:tcMar>
              <w:top w:type="dxa" w:w="60"/>
              <w:left w:type="dxa" w:w="100"/>
              <w:bottom w:type="dxa" w:w="60"/>
              <w:right w:type="dxa" w:w="100"/>
            </w:tcMar>
          </w:tcPr>
          <w:p>
            <w:r>
              <w:rPr>
                <w:rFonts w:ascii="Calibri" w:cs="Calibri" w:eastAsia="Calibri" w:hAnsi="Calibri"/>
                <w:b w:val="false"/>
                <w:bCs w:val="false"/>
                <w:color w:val="000000"/>
                <w:sz w:val="20"/>
                <w:szCs w:val="20"/>
              </w:rPr>
              <w:t xml:space="preserve">Solde courant fixé, ajustement par les prix intérieurs (numéraire e=1, zone CFA)</w:t>
            </w:r>
          </w:p>
        </w:tc>
      </w:tr>
    </w:tbl>
    <w:p>
      <w:pPr>
        <w:spacing w:after="120" w:line="276"/>
        <w:jc w:val="both"/>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3864"/>
          <w:sz w:val="30"/>
          <w:szCs w:val="30"/>
        </w:rPr>
        <w:t xml:space="preserve">4. Résolution numérique</w:t>
      </w:r>
    </w:p>
    <w:p>
      <w:pPr>
        <w:spacing w:after="120" w:line="276"/>
        <w:jc w:val="both"/>
      </w:pPr>
      <w:r>
        <w:rPr>
          <w:rFonts w:ascii="Calibri" w:cs="Calibri" w:eastAsia="Calibri" w:hAnsi="Calibri"/>
          <w:sz w:val="22"/>
          <w:szCs w:val="22"/>
        </w:rPr>
        <w:t xml:space="preserve">Les inconnues (capital sectoriel) sont les prix domestiques des biens (139), les salaires (2), les rentes sectorielles (2×88) et les productions par branche (88), soit 405. Les résidus empilent : zéro-profit (88), marchés des biens (139, en termes relatifs ; prix épinglés pour les biens sans marché domestique), marchés du travail (2) et conditions de capital sectoriel (176, rentes épinglées pour les cellules à capital nul).</w:t>
      </w:r>
    </w:p>
    <w:p>
      <w:pPr>
        <w:pStyle w:val="Heading2"/>
        <w:spacing w:after="120" w:before="240"/>
      </w:pPr>
      <w:r>
        <w:rPr>
          <w:rFonts w:ascii="Calibri" w:cs="Calibri" w:eastAsia="Calibri" w:hAnsi="Calibri"/>
          <w:b/>
          <w:bCs/>
          <w:color w:val="1F3864"/>
          <w:sz w:val="25"/>
          <w:szCs w:val="25"/>
        </w:rPr>
        <w:t xml:space="preserve">4.1 Robustesse : variables log et résidus relatifs</w:t>
      </w:r>
    </w:p>
    <w:p>
      <w:pPr>
        <w:spacing w:after="120" w:line="276"/>
        <w:jc w:val="both"/>
      </w:pPr>
      <w:r>
        <w:rPr>
          <w:rFonts w:ascii="Calibri" w:cs="Calibri" w:eastAsia="Calibri" w:hAnsi="Calibri"/>
          <w:sz w:val="22"/>
          <w:szCs w:val="22"/>
        </w:rPr>
        <w:t xml:space="preserve">La résolution se fait par défaut en variables logarithmiques (positivité garantie, échelle homogène entre prix ~1 et productions ~10⁶), avec replis contrôlés (niveaux depuis le départ chaud, puis depuis la base). solve() honore la tolérance demandée et émet des avertissements en cas de convergence douteuse ou de violation de Walras.</w:t>
      </w:r>
    </w:p>
    <w:p>
      <w:pPr>
        <w:pStyle w:val="Heading2"/>
        <w:spacing w:after="120" w:before="240"/>
      </w:pPr>
      <w:r>
        <w:rPr>
          <w:rFonts w:ascii="Calibri" w:cs="Calibri" w:eastAsia="Calibri" w:hAnsi="Calibri"/>
          <w:b/>
          <w:bCs/>
          <w:color w:val="1F3864"/>
          <w:sz w:val="25"/>
          <w:szCs w:val="25"/>
        </w:rPr>
        <w:t xml:space="preserve">4.2 Homotopie adaptative et pivotage : solve_path</w:t>
      </w:r>
    </w:p>
    <w:p>
      <w:pPr>
        <w:spacing w:after="120" w:line="276"/>
        <w:jc w:val="both"/>
      </w:pPr>
      <w:r>
        <w:rPr>
          <w:rFonts w:ascii="Calibri" w:cs="Calibri" w:eastAsia="Calibri" w:hAnsi="Calibri"/>
          <w:sz w:val="22"/>
          <w:szCs w:val="22"/>
        </w:rPr>
        <w:t xml:space="preserve">Pour les chocs importants, solve_path(setter) monte le choc de 0 à 1 par pas adaptatifs (le pas est divisé en cas d'échec, élargi en cas de succès), chaque pas étant réchauffé par la solution précédente et exigé à ~10⁻⁸. Lorsque des rentes sectorielles atteignent zéro le long du sentier, les cellules concernées sont pivotées (rente épinglée à ~0, capital oisif) puis relâchées si la complémentarité l'exige. Cette mécanique gère les cascades de coins des chocs extrêmes (ex. prix mondial de l'or −20 %, qui comprime l'absorption domestique à solde courant fixé).</w:t>
      </w:r>
    </w:p>
    <w:p>
      <w:pPr>
        <w:pStyle w:val="Heading2"/>
        <w:spacing w:after="120" w:before="240"/>
      </w:pPr>
      <w:r>
        <w:rPr>
          <w:rFonts w:ascii="Calibri" w:cs="Calibri" w:eastAsia="Calibri" w:hAnsi="Calibri"/>
          <w:b/>
          <w:bCs/>
          <w:color w:val="1F3864"/>
          <w:sz w:val="25"/>
          <w:szCs w:val="25"/>
        </w:rPr>
        <w:t xml:space="preserve">4.3 Coût de calcul et recommandation</w:t>
      </w:r>
    </w:p>
    <w:p>
      <w:pPr>
        <w:spacing w:after="120" w:line="276"/>
        <w:jc w:val="both"/>
      </w:pPr>
      <w:r>
        <w:rPr>
          <w:rFonts w:ascii="Calibri" w:cs="Calibri" w:eastAsia="Calibri" w:hAnsi="Calibri"/>
          <w:sz w:val="22"/>
          <w:szCs w:val="22"/>
        </w:rPr>
        <w:t xml:space="preserve">Le jacobien est numérique et dense : équilibre de base et chocs modérés en secondes ; grands chocs et dynamique en minutes (≈ 20 000 évaluations par résolution difficile). Pour un usage intensif ou un passage multi-régional, la recommandation est la différentiation automatique (JAX/CasADi) ou un jacobien analytique creux, qui ramènerait chaque résolution sous la seconde.</w:t>
      </w:r>
    </w:p>
    <w:p>
      <w:pPr>
        <w:pStyle w:val="Heading1"/>
        <w:spacing w:after="160" w:before="320"/>
      </w:pPr>
      <w:r>
        <w:rPr>
          <w:rFonts w:ascii="Calibri" w:cs="Calibri" w:eastAsia="Calibri" w:hAnsi="Calibri"/>
          <w:b/>
          <w:bCs/>
          <w:color w:val="1F3864"/>
          <w:sz w:val="30"/>
          <w:szCs w:val="30"/>
        </w:rPr>
        <w:t xml:space="preserve">5. Dynamique récursive</w:t>
      </w:r>
    </w:p>
    <w:p>
      <w:pPr>
        <w:spacing w:after="120" w:line="276"/>
        <w:jc w:val="both"/>
      </w:pPr>
      <w:r>
        <w:rPr>
          <w:rFonts w:ascii="Calibri" w:cs="Calibri" w:eastAsia="Calibri" w:hAnsi="Calibri"/>
          <w:sz w:val="22"/>
          <w:szCs w:val="22"/>
        </w:rPr>
        <w:t xml:space="preserve">La dynamique résout l'équilibre période par période : accumulation du capital K(t+1) = (1−δ)K(t) + investissement réel, croissance démographique de l'offre de travail au taux n, et allocation de l'investissement entre branches selon les rendements relatifs (mode sectoriel, élasticité σ_inv). L'incrément de facteurs entre deux périodes est lui-même résolu par homotopie (solve_path sur le blend des facteurs), ce qui garantit la convergence de chaque période au prix d'un temps de calcul de l'ordre de la minute par période.</w:t>
      </w:r>
    </w:p>
    <w:p>
      <w:pPr>
        <w:pStyle w:val="Heading1"/>
        <w:spacing w:after="160" w:before="320"/>
      </w:pPr>
      <w:r>
        <w:rPr>
          <w:rFonts w:ascii="Calibri" w:cs="Calibri" w:eastAsia="Calibri" w:hAnsi="Calibri"/>
          <w:b/>
          <w:bCs/>
          <w:color w:val="1F3864"/>
          <w:sz w:val="30"/>
          <w:szCs w:val="30"/>
        </w:rPr>
        <w:t xml:space="preserve">6. Reporting et bien-être</w:t>
      </w:r>
    </w:p>
    <w:p>
      <w:pPr>
        <w:spacing w:after="120" w:line="276"/>
        <w:jc w:val="both"/>
      </w:pPr>
      <w:r>
        <w:rPr>
          <w:rFonts w:ascii="Calibri" w:cs="Calibri" w:eastAsia="Calibri" w:hAnsi="Calibri"/>
          <w:sz w:val="22"/>
          <w:szCs w:val="22"/>
        </w:rPr>
        <w:t xml:space="preserve">report.py produit les agrégats macro (PIB par la valeur ajoutée et par la dépense), les recettes publiques par instrument, les revenus/épargnes par ménage et par firme, l'épargne publique SG, le solde extérieur implicite, l'indice des prix à la consommation, le diagnostic de Walras, les tableaux sectoriels et la variation équivalente (EV) par ménage dérivée de la fonction de dépense Stone-Geary. Exports Excel et graphiques du sentier dynamique.</w:t>
      </w:r>
    </w:p>
    <w:p>
      <w:pPr>
        <w:pStyle w:val="Heading1"/>
        <w:spacing w:after="160" w:before="320"/>
      </w:pPr>
      <w:r>
        <w:rPr>
          <w:rFonts w:ascii="Calibri" w:cs="Calibri" w:eastAsia="Calibri" w:hAnsi="Calibri"/>
          <w:b/>
          <w:bCs/>
          <w:color w:val="1F3864"/>
          <w:sz w:val="30"/>
          <w:szCs w:val="30"/>
        </w:rPr>
        <w:t xml:space="preserve">7. Validation (exécutée le 12/07/2026)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800"/>
        <w:gridCol w:w="1160"/>
      </w:tblGrid>
      <w:tr>
        <w:trPr>
          <w:tblHeader/>
        </w:trPr>
        <w:tc>
          <w:tcPr>
            <w:tcW w:type="dxa" w:w="4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Test</w:t>
            </w:r>
          </w:p>
        </w:tc>
        <w:tc>
          <w:tcPr>
            <w:tcW w:type="dxa" w:w="38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Résultat</w:t>
            </w:r>
          </w:p>
        </w:tc>
        <w:tc>
          <w:tcPr>
            <w:tcW w:type="dxa" w:w="11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Verdict</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20"/>
                <w:szCs w:val="20"/>
              </w:rPr>
              <w:t xml:space="preserve">Blocs CES/CET (prix=1 → quantités de base)</w:t>
            </w:r>
          </w:p>
        </w:tc>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erreur ~1e-15</w:t>
            </w:r>
          </w:p>
        </w:tc>
        <w:tc>
          <w:tcPr>
            <w:tcW w:type="dxa" w:w="1160"/>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Output ventes = coûts (88 branches)</w:t>
            </w:r>
          </w:p>
        </w:tc>
        <w:tc>
          <w:tcPr>
            <w:tcW w:type="dxa" w:w="3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écart max 7e-14</w:t>
            </w:r>
          </w:p>
        </w:tc>
        <w:tc>
          <w:tcPr>
            <w:tcW w:type="dxa" w:w="11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20"/>
                <w:szCs w:val="20"/>
              </w:rPr>
              <w:t xml:space="preserve">Résidu à l'année de base (x0)</w:t>
            </w:r>
          </w:p>
        </w:tc>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3e-12 ; Walras 2e-8</w:t>
            </w:r>
          </w:p>
        </w:tc>
        <w:tc>
          <w:tcPr>
            <w:tcW w:type="dxa" w:w="1160"/>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Réplication du benchmark (solve BAU)</w:t>
            </w:r>
          </w:p>
        </w:tc>
        <w:tc>
          <w:tcPr>
            <w:tcW w:type="dxa" w:w="3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prix et productions exacts à ~1e-11</w:t>
            </w:r>
          </w:p>
        </w:tc>
        <w:tc>
          <w:tcPr>
            <w:tcW w:type="dxa" w:w="11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20"/>
                <w:szCs w:val="20"/>
              </w:rPr>
              <w:t xml:space="preserve">Choc fiscal +10 pts agroalimentaire</w:t>
            </w:r>
          </w:p>
        </w:tc>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résidu 3e-14 ; recettes recyclées (bouclage budgétaire exact) ; Walras 0,0000</w:t>
            </w:r>
          </w:p>
        </w:tc>
        <w:tc>
          <w:tcPr>
            <w:tcW w:type="dxa" w:w="1160"/>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Choc TFP +10 % agriculture (homotopie)</w:t>
            </w:r>
          </w:p>
        </w:tc>
        <w:tc>
          <w:tcPr>
            <w:tcW w:type="dxa" w:w="3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convergence exacte ; Walras ≈ 0</w:t>
            </w:r>
          </w:p>
        </w:tc>
        <w:tc>
          <w:tcPr>
            <w:tcW w:type="dxa" w:w="11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20"/>
                <w:szCs w:val="20"/>
              </w:rPr>
              <w:t xml:space="preserve">Choc prix mondial or (transmission)</w:t>
            </w:r>
          </w:p>
        </w:tc>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ΔPIB ≠ 0, rentes minières ajustées ; coins de rentes gérés par pivotage</w:t>
            </w:r>
          </w:p>
        </w:tc>
        <w:tc>
          <w:tcPr>
            <w:tcW w:type="dxa" w:w="1160"/>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Clôture chômage (salaire réel fixe)</w:t>
            </w:r>
          </w:p>
        </w:tc>
        <w:tc>
          <w:tcPr>
            <w:tcW w:type="dxa" w:w="3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w/IPC = Wbar à ~1e-8 ; revenu du travail sur emploi effectif</w:t>
            </w:r>
          </w:p>
        </w:tc>
        <w:tc>
          <w:tcPr>
            <w:tcW w:type="dxa" w:w="11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20"/>
                <w:szCs w:val="20"/>
              </w:rPr>
              <w:t xml:space="preserve">Dynamique récursive</w:t>
            </w:r>
          </w:p>
        </w:tc>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convergence par période via homotopie sur les facteurs</w:t>
            </w:r>
          </w:p>
        </w:tc>
        <w:tc>
          <w:tcPr>
            <w:tcW w:type="dxa" w:w="1160"/>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Robustesse au point de départ (±20 %)</w:t>
            </w:r>
          </w:p>
        </w:tc>
        <w:tc>
          <w:tcPr>
            <w:tcW w:type="dxa" w:w="3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retour au benchmark</w:t>
            </w:r>
          </w:p>
        </w:tc>
        <w:tc>
          <w:tcPr>
            <w:tcW w:type="dxa" w:w="11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20"/>
                <w:szCs w:val="20"/>
              </w:rPr>
              <w:t xml:space="preserve">Benchmark sur MCS réconciliée</w:t>
            </w:r>
          </w:p>
        </w:tc>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résidu 3,5e-12 ; Walras 0 ; agrégats conformes à la macro-MCS</w:t>
            </w:r>
          </w:p>
        </w:tc>
        <w:tc>
          <w:tcPr>
            <w:tcW w:type="dxa" w:w="1160"/>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Choc or −20 % (MCS réconciliée)</w:t>
            </w:r>
          </w:p>
        </w:tc>
        <w:tc>
          <w:tcPr>
            <w:tcW w:type="dxa" w:w="38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résolution directe 6e-15 ; Walras 0 ; transmission par les imports</w:t>
            </w:r>
          </w:p>
        </w:tc>
        <w:tc>
          <w:tcPr>
            <w:tcW w:type="dxa" w:w="11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r>
        <w:tc>
          <w:tcPr>
            <w:tcW w:type="dxa" w:w="4400"/>
            <w:tcMar>
              <w:top w:type="dxa" w:w="60"/>
              <w:left w:type="dxa" w:w="100"/>
              <w:bottom w:type="dxa" w:w="60"/>
              <w:right w:type="dxa" w:w="100"/>
            </w:tcMar>
          </w:tcPr>
          <w:p>
            <w:r>
              <w:rPr>
                <w:rFonts w:ascii="Calibri" w:cs="Calibri" w:eastAsia="Calibri" w:hAnsi="Calibri"/>
                <w:b w:val="false"/>
                <w:bCs w:val="false"/>
                <w:color w:val="000000"/>
                <w:sz w:val="20"/>
                <w:szCs w:val="20"/>
              </w:rPr>
              <w:t xml:space="preserve">Équilibre des deux matrices livrées</w:t>
            </w:r>
          </w:p>
        </w:tc>
        <w:tc>
          <w:tcPr>
            <w:tcW w:type="dxa" w:w="3800"/>
            <w:tcMar>
              <w:top w:type="dxa" w:w="60"/>
              <w:left w:type="dxa" w:w="100"/>
              <w:bottom w:type="dxa" w:w="60"/>
              <w:right w:type="dxa" w:w="100"/>
            </w:tcMar>
          </w:tcPr>
          <w:p>
            <w:r>
              <w:rPr>
                <w:rFonts w:ascii="Calibri" w:cs="Calibri" w:eastAsia="Calibri" w:hAnsi="Calibri"/>
                <w:b w:val="false"/>
                <w:bCs w:val="false"/>
                <w:color w:val="000000"/>
                <w:sz w:val="20"/>
                <w:szCs w:val="20"/>
              </w:rPr>
              <w:t xml:space="preserve">max |ligne−colonne| ≤ 1,4e-07 million FCFA</w:t>
            </w:r>
          </w:p>
        </w:tc>
        <w:tc>
          <w:tcPr>
            <w:tcW w:type="dxa" w:w="1160"/>
            <w:tcMar>
              <w:top w:type="dxa" w:w="60"/>
              <w:left w:type="dxa" w:w="100"/>
              <w:bottom w:type="dxa" w:w="60"/>
              <w:right w:type="dxa" w:w="100"/>
            </w:tcMar>
          </w:tcPr>
          <w:p>
            <w:r>
              <w:rPr>
                <w:rFonts w:ascii="Calibri" w:cs="Calibri" w:eastAsia="Calibri" w:hAnsi="Calibri"/>
                <w:b w:val="false"/>
                <w:bCs w:val="false"/>
                <w:color w:val="000000"/>
                <w:sz w:val="20"/>
                <w:szCs w:val="20"/>
              </w:rPr>
              <w:t xml:space="preserve">Réussi</w:t>
            </w:r>
          </w:p>
        </w:tc>
      </w:tr>
    </w:tbl>
    <w:p>
      <w:pPr>
        <w:spacing w:after="120" w:line="276"/>
        <w:jc w:val="both"/>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Agrégats de contrôle de l'équilibre de référence (Mds FCFA) : PIB (VA) ≈ 7 912 (dont ≈ 42 de capital imputé aux branches réparées), recettes publiques ≈ 2 100 (conformes à la MCS au million près), épargne publique ≈ −3,5, solde courant ≈ −4 201 (donnée MCS). Le script validation_finale.py rejoue l'intégralité de la batterie.</w:t>
      </w:r>
    </w:p>
    <w:p>
      <w:pPr>
        <w:pStyle w:val="Heading1"/>
        <w:spacing w:after="160" w:before="320"/>
      </w:pPr>
      <w:r>
        <w:rPr>
          <w:rFonts w:ascii="Calibri" w:cs="Calibri" w:eastAsia="Calibri" w:hAnsi="Calibri"/>
          <w:b/>
          <w:bCs/>
          <w:color w:val="1F3864"/>
          <w:sz w:val="30"/>
          <w:szCs w:val="30"/>
        </w:rPr>
        <w:t xml:space="preserve">8. Limites et mises en garde d'utilisation</w:t>
      </w:r>
    </w:p>
    <w:p>
      <w:pPr>
        <w:pStyle w:val="ListParagraph"/>
        <w:numPr>
          <w:ilvl w:val="0"/>
          <w:numId w:val="2"/>
        </w:numPr>
        <w:spacing w:after="80" w:line="276"/>
        <w:jc w:val="both"/>
      </w:pPr>
      <w:r>
        <w:rPr>
          <w:rFonts w:ascii="Calibri" w:cs="Calibri" w:eastAsia="Calibri" w:hAnsi="Calibri"/>
          <w:b/>
          <w:bCs/>
          <w:sz w:val="22"/>
          <w:szCs w:val="22"/>
        </w:rPr>
        <w:t xml:space="preserve">Compte extérieur : résolu sur le jeu réconcilié </w:t>
      </w:r>
      <w:r>
        <w:rPr>
          <w:rFonts w:ascii="Calibri" w:cs="Calibri" w:eastAsia="Calibri" w:hAnsi="Calibri"/>
          <w:sz w:val="22"/>
          <w:szCs w:val="22"/>
        </w:rPr>
        <w:t xml:space="preserve">(Unité fictive restaurée). Subsistent : l'absence de droits de douane (compte TM vide — la politique douanière reste non simulable), l'écart résiduel de 51 Mds entre le solde courant reconstruit (+360) et la macro-MCS (+309), et l'allocation proportionnelle des importations informelles (clé des stocks négatifs, à raffiner avec des données douanières).</w:t>
      </w:r>
    </w:p>
    <w:p>
      <w:pPr>
        <w:pStyle w:val="ListParagraph"/>
        <w:numPr>
          <w:ilvl w:val="0"/>
          <w:numId w:val="2"/>
        </w:numPr>
        <w:spacing w:after="80" w:line="276"/>
        <w:jc w:val="both"/>
      </w:pPr>
      <w:r>
        <w:rPr>
          <w:rFonts w:ascii="Calibri" w:cs="Calibri" w:eastAsia="Calibri" w:hAnsi="Calibri"/>
          <w:b/>
          <w:bCs/>
          <w:sz w:val="22"/>
          <w:szCs w:val="22"/>
        </w:rPr>
        <w:t xml:space="preserve">Plateau numérique des grands chocs fiscaux sur le jeu réconcilié </w:t>
      </w:r>
      <w:r>
        <w:rPr>
          <w:rFonts w:ascii="Calibri" w:cs="Calibri" w:eastAsia="Calibri" w:hAnsi="Calibri"/>
          <w:sz w:val="22"/>
          <w:szCs w:val="22"/>
        </w:rPr>
        <w:t xml:space="preserve">(rigidités du bloc informel : offre A_UF inélastique, stocks fixes, colinéarités agricoles). Contournement : dataset='original' pour ces scénarios ; résolution définitive attendue du solveur à jacobien analytique (différentiation automatique), recommandation prioritaire.</w:t>
      </w:r>
    </w:p>
    <w:p>
      <w:pPr>
        <w:pStyle w:val="ListParagraph"/>
        <w:numPr>
          <w:ilvl w:val="0"/>
          <w:numId w:val="2"/>
        </w:numPr>
        <w:spacing w:after="80" w:line="276"/>
        <w:jc w:val="both"/>
      </w:pPr>
      <w:r>
        <w:rPr>
          <w:rFonts w:ascii="Calibri" w:cs="Calibri" w:eastAsia="Calibri" w:hAnsi="Calibri"/>
          <w:b/>
          <w:bCs/>
          <w:sz w:val="22"/>
          <w:szCs w:val="22"/>
        </w:rPr>
        <w:t xml:space="preserve">Niveau du PIB </w:t>
      </w:r>
      <w:r>
        <w:rPr>
          <w:rFonts w:ascii="Calibri" w:cs="Calibri" w:eastAsia="Calibri" w:hAnsi="Calibri"/>
          <w:sz w:val="22"/>
          <w:szCs w:val="22"/>
        </w:rPr>
        <w:t xml:space="preserve">: 9 866 Mds sur le jeu réconcilié (économie informelle de la macro-MCS incluse) contre ~8 400 officiels — lire les résultats en écarts relatifs, pas en niveaux.</w:t>
      </w:r>
    </w:p>
    <w:p>
      <w:pPr>
        <w:pStyle w:val="ListParagraph"/>
        <w:numPr>
          <w:ilvl w:val="0"/>
          <w:numId w:val="2"/>
        </w:numPr>
        <w:spacing w:after="80" w:line="276"/>
        <w:jc w:val="both"/>
      </w:pPr>
      <w:r>
        <w:rPr>
          <w:rFonts w:ascii="Calibri" w:cs="Calibri" w:eastAsia="Calibri" w:hAnsi="Calibri"/>
          <w:b/>
          <w:bCs/>
          <w:sz w:val="22"/>
          <w:szCs w:val="22"/>
        </w:rPr>
        <w:t xml:space="preserve">Coins de prix extrêmes hérités </w:t>
      </w:r>
      <w:r>
        <w:rPr>
          <w:rFonts w:ascii="Calibri" w:cs="Calibri" w:eastAsia="Calibri" w:hAnsi="Calibri"/>
          <w:sz w:val="22"/>
          <w:szCs w:val="22"/>
        </w:rPr>
        <w:t xml:space="preserve">(jusqu'à 1 484 % sur P120) : forte rigidité réelle ; les grands chocs déclenchent des rentes nulles en cascade — géré par solve_path mais coûteux, et signal d'une donnée à vérifier.</w:t>
      </w:r>
    </w:p>
    <w:p>
      <w:pPr>
        <w:pStyle w:val="ListParagraph"/>
        <w:numPr>
          <w:ilvl w:val="0"/>
          <w:numId w:val="2"/>
        </w:numPr>
        <w:spacing w:after="80" w:line="276"/>
        <w:jc w:val="both"/>
      </w:pPr>
      <w:r>
        <w:rPr>
          <w:rFonts w:ascii="Calibri" w:cs="Calibri" w:eastAsia="Calibri" w:hAnsi="Calibri"/>
          <w:b/>
          <w:bCs/>
          <w:sz w:val="22"/>
          <w:szCs w:val="22"/>
        </w:rPr>
        <w:t xml:space="preserve">Élasticités uniformes et LES à parts moyennes </w:t>
      </w:r>
      <w:r>
        <w:rPr>
          <w:rFonts w:ascii="Calibri" w:cs="Calibri" w:eastAsia="Calibri" w:hAnsi="Calibri"/>
          <w:sz w:val="22"/>
          <w:szCs w:val="22"/>
        </w:rPr>
        <w:t xml:space="preserve">(élasticités-revenu unitaires avant correction de Frisch) : analyse de sensibilité systématique requise pour toute publication.</w:t>
      </w:r>
    </w:p>
    <w:p>
      <w:pPr>
        <w:pStyle w:val="ListParagraph"/>
        <w:numPr>
          <w:ilvl w:val="0"/>
          <w:numId w:val="2"/>
        </w:numPr>
        <w:spacing w:after="80" w:line="276"/>
        <w:jc w:val="both"/>
      </w:pPr>
      <w:r>
        <w:rPr>
          <w:rFonts w:ascii="Calibri" w:cs="Calibri" w:eastAsia="Calibri" w:hAnsi="Calibri"/>
          <w:b/>
          <w:bCs/>
          <w:sz w:val="22"/>
          <w:szCs w:val="22"/>
        </w:rPr>
        <w:t xml:space="preserve">Transferts interinstitutionnels fixes en nominal </w:t>
      </w:r>
      <w:r>
        <w:rPr>
          <w:rFonts w:ascii="Calibri" w:cs="Calibri" w:eastAsia="Calibri" w:hAnsi="Calibri"/>
          <w:sz w:val="22"/>
          <w:szCs w:val="22"/>
        </w:rPr>
        <w:t xml:space="preserve">(PEP-1-t les indexe sur les prix ou les revenus) : le modèle n'est pas homogène de degré zéro dans les prix mondiaux — comportement documenté, non pathologique.</w:t>
      </w:r>
    </w:p>
    <w:p>
      <w:pPr>
        <w:pStyle w:val="ListParagraph"/>
        <w:numPr>
          <w:ilvl w:val="0"/>
          <w:numId w:val="2"/>
        </w:numPr>
        <w:spacing w:after="80" w:line="276"/>
        <w:jc w:val="both"/>
      </w:pPr>
      <w:r>
        <w:rPr>
          <w:rFonts w:ascii="Calibri" w:cs="Calibri" w:eastAsia="Calibri" w:hAnsi="Calibri"/>
          <w:b/>
          <w:bCs/>
          <w:sz w:val="22"/>
          <w:szCs w:val="22"/>
        </w:rPr>
        <w:t xml:space="preserve">Performance </w:t>
      </w:r>
      <w:r>
        <w:rPr>
          <w:rFonts w:ascii="Calibri" w:cs="Calibri" w:eastAsia="Calibri" w:hAnsi="Calibri"/>
          <w:sz w:val="22"/>
          <w:szCs w:val="22"/>
        </w:rPr>
        <w:t xml:space="preserve">: jacobien numérique dense ; prévoir des minutes pour les grands chocs et la dynamique longue.</w:t>
      </w:r>
    </w:p>
    <w:p>
      <w:pPr>
        <w:pStyle w:val="Heading1"/>
        <w:spacing w:after="160" w:before="320"/>
      </w:pPr>
      <w:r>
        <w:rPr>
          <w:rFonts w:ascii="Calibri" w:cs="Calibri" w:eastAsia="Calibri" w:hAnsi="Calibri"/>
          <w:b/>
          <w:bCs/>
          <w:color w:val="1F3864"/>
          <w:sz w:val="30"/>
          <w:szCs w:val="30"/>
        </w:rPr>
        <w:t xml:space="preserve">9. Annexe — organisation du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Fichier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Contenu</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nests.py</w:t>
            </w:r>
          </w:p>
        </w:tc>
        <w:tc>
          <w:tcPr>
            <w:tcW w:type="dxa" w:w="6360"/>
            <w:tcMar>
              <w:top w:type="dxa" w:w="60"/>
              <w:left w:type="dxa" w:w="100"/>
              <w:bottom w:type="dxa" w:w="60"/>
              <w:right w:type="dxa" w:w="100"/>
            </w:tcMar>
          </w:tcPr>
          <w:p>
            <w:r>
              <w:rPr>
                <w:rFonts w:ascii="Calibri" w:cs="Calibri" w:eastAsia="Calibri" w:hAnsi="Calibri"/>
                <w:b w:val="false"/>
                <w:bCs w:val="false"/>
                <w:color w:val="000000"/>
                <w:sz w:val="20"/>
                <w:szCs w:val="20"/>
              </w:rPr>
              <w:t xml:space="preserve">Blocs CES/CET cohérents (calibration, prix, demande).</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calib.py</w:t>
            </w:r>
          </w:p>
        </w:tc>
        <w:tc>
          <w:tcPr>
            <w:tcW w:type="dxa" w:w="6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Chargement MCS, réparations de données traçables, extraction institutionnelle complète, calibration.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cge.py</w:t>
            </w:r>
          </w:p>
        </w:tc>
        <w:tc>
          <w:tcPr>
            <w:tcW w:type="dxa" w:w="6360"/>
            <w:tcMar>
              <w:top w:type="dxa" w:w="60"/>
              <w:left w:type="dxa" w:w="100"/>
              <w:bottom w:type="dxa" w:w="60"/>
              <w:right w:type="dxa" w:w="100"/>
            </w:tcMar>
          </w:tcPr>
          <w:p>
            <w:r>
              <w:rPr>
                <w:rFonts w:ascii="Calibri" w:cs="Calibri" w:eastAsia="Calibri" w:hAnsi="Calibri"/>
                <w:b w:val="false"/>
                <w:bCs w:val="false"/>
                <w:color w:val="000000"/>
                <w:sz w:val="20"/>
                <w:szCs w:val="20"/>
              </w:rPr>
              <w:t xml:space="preserve">Modèle (prix, quantités, institutions, Walras), solveur log + solve_path (homotopie, pivotage), clôtures, dynamique.</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report.py</w:t>
            </w:r>
          </w:p>
        </w:tc>
        <w:tc>
          <w:tcPr>
            <w:tcW w:type="dxa" w:w="6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Agrégats, bien-être (EV), revenus, sectoriel, export Excel, graphiques.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scenarios.py</w:t>
            </w:r>
          </w:p>
        </w:tc>
        <w:tc>
          <w:tcPr>
            <w:tcW w:type="dxa" w:w="6360"/>
            <w:tcMar>
              <w:top w:type="dxa" w:w="60"/>
              <w:left w:type="dxa" w:w="100"/>
              <w:bottom w:type="dxa" w:w="60"/>
              <w:right w:type="dxa" w:w="100"/>
            </w:tcMar>
          </w:tcPr>
          <w:p>
            <w:r>
              <w:rPr>
                <w:rFonts w:ascii="Calibri" w:cs="Calibri" w:eastAsia="Calibri" w:hAnsi="Calibri"/>
                <w:b w:val="false"/>
                <w:bCs w:val="false"/>
                <w:color w:val="000000"/>
                <w:sz w:val="20"/>
                <w:szCs w:val="20"/>
              </w:rPr>
              <w:t xml:space="preserve">Constructeurs de chocs, exécution statique/dynamique via solve_path, sensibilité aux clôtures.</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validation_finale.py</w:t>
            </w:r>
          </w:p>
        </w:tc>
        <w:tc>
          <w:tcPr>
            <w:tcW w:type="dxa" w:w="6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Batterie de non-régression (8 tests) : à rejouer après toute modification.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CHANGELOG_REPARATION.md</w:t>
            </w:r>
          </w:p>
        </w:tc>
        <w:tc>
          <w:tcPr>
            <w:tcW w:type="dxa" w:w="6360"/>
            <w:tcMar>
              <w:top w:type="dxa" w:w="60"/>
              <w:left w:type="dxa" w:w="100"/>
              <w:bottom w:type="dxa" w:w="60"/>
              <w:right w:type="dxa" w:w="100"/>
            </w:tcMar>
          </w:tcPr>
          <w:p>
            <w:r>
              <w:rPr>
                <w:rFonts w:ascii="Calibri" w:cs="Calibri" w:eastAsia="Calibri" w:hAnsi="Calibri"/>
                <w:b w:val="false"/>
                <w:bCs w:val="false"/>
                <w:color w:val="000000"/>
                <w:sz w:val="20"/>
                <w:szCs w:val="20"/>
              </w:rPr>
              <w:t xml:space="preserve">Journal détaillé des corrections de l'audit du 12/07/2026.</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MCS_reconciliee_BF2018.xlsx / MCS_originale_BF2018.xlsx</w:t>
            </w:r>
          </w:p>
        </w:tc>
        <w:tc>
          <w:tcPr>
            <w:tcW w:type="dxa" w:w="6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Les deux matrices livrées (MCS, Macro, Nomenclature, Lisez-moi).</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20"/>
                <w:szCs w:val="20"/>
              </w:rPr>
              <w:t xml:space="preserve">data/SMx_reconcilie.npy / SMx_original.npy</w:t>
            </w:r>
          </w:p>
        </w:tc>
        <w:tc>
          <w:tcPr>
            <w:tcW w:type="dxa" w:w="6360"/>
            <w:tcMar>
              <w:top w:type="dxa" w:w="60"/>
              <w:left w:type="dxa" w:w="100"/>
              <w:bottom w:type="dxa" w:w="60"/>
              <w:right w:type="dxa" w:w="100"/>
            </w:tcMar>
          </w:tcPr>
          <w:p>
            <w:r>
              <w:rPr>
                <w:rFonts w:ascii="Calibri" w:cs="Calibri" w:eastAsia="Calibri" w:hAnsi="Calibri"/>
                <w:b w:val="false"/>
                <w:bCs w:val="false"/>
                <w:color w:val="000000"/>
                <w:sz w:val="20"/>
                <w:szCs w:val="20"/>
              </w:rPr>
              <w:t xml:space="preserve">Jeux de données binaires commutables via CGE(dataset=...).</w:t>
            </w:r>
          </w:p>
        </w:tc>
      </w:tr>
      <w:tr>
        <w:tc>
          <w:tcPr>
            <w:tcW w:type="dxa" w:w="300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backup_avant_reparation/</w:t>
            </w:r>
          </w:p>
        </w:tc>
        <w:tc>
          <w:tcPr>
            <w:tcW w:type="dxa" w:w="6360"/>
            <w:shd w:fill="F2F2F2" w:val="clear"/>
            <w:tcMar>
              <w:top w:type="dxa" w:w="60"/>
              <w:left w:type="dxa" w:w="100"/>
              <w:bottom w:type="dxa" w:w="60"/>
              <w:right w:type="dxa" w:w="100"/>
            </w:tcMar>
          </w:tcPr>
          <w:p>
            <w:r>
              <w:rPr>
                <w:rFonts w:ascii="Calibri" w:cs="Calibri" w:eastAsia="Calibri" w:hAnsi="Calibri"/>
                <w:b w:val="false"/>
                <w:bCs w:val="false"/>
                <w:color w:val="000000"/>
                <w:sz w:val="20"/>
                <w:szCs w:val="20"/>
              </w:rPr>
              <w:t xml:space="preserve">Version antérieure du code et des documents (référence).</w:t>
            </w:r>
          </w:p>
        </w:tc>
      </w:tr>
    </w:tbl>
    <w:p>
      <w:pPr>
        <w:spacing w:after="120" w:line="276"/>
        <w:jc w:val="both"/>
      </w:pPr>
      <w:r>
        <w:rPr>
          <w:rFonts w:ascii="Calibri" w:cs="Calibri" w:eastAsia="Calibri" w:hAnsi="Calibri"/>
          <w:sz w:val="22"/>
          <w:szCs w:val="22"/>
        </w:rPr>
        <w:t xml:space="preserve"/>
      </w:r>
    </w:p>
    <w:p>
      <w:pPr>
        <w:spacing w:after="120" w:line="276"/>
        <w:jc w:val="both"/>
      </w:pPr>
      <w:r>
        <w:rPr>
          <w:rFonts w:ascii="Calibri" w:cs="Calibri" w:eastAsia="Calibri" w:hAnsi="Calibri"/>
          <w:i/>
          <w:iCs/>
          <w:color w:val="606060"/>
          <w:sz w:val="22"/>
          <w:szCs w:val="22"/>
        </w:rPr>
        <w:t xml:space="preserve">— Fin du rapport technique (version 2) —</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2026-07-12T18:48:41.886Z</dcterms:created>
  <dcterms:modified xsi:type="dcterms:W3CDTF">2026-07-12T18:48:41.888Z</dcterms:modified>
</cp:coreProperties>
</file>

<file path=docProps/custom.xml><?xml version="1.0" encoding="utf-8"?>
<Properties xmlns="http://schemas.openxmlformats.org/officeDocument/2006/custom-properties" xmlns:vt="http://schemas.openxmlformats.org/officeDocument/2006/docPropsVTypes"/>
</file>