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46"/>
          <w:szCs w:val="46"/>
        </w:rPr>
        <w:t xml:space="preserve">MANUEL DE MISE EN ŒUVRE</w:t>
      </w:r>
    </w:p>
    <w:p>
      <w:pPr>
        <w:spacing w:after="0" w:before="160"/>
        <w:jc w:val="center"/>
      </w:pPr>
      <w:r>
        <w:rPr>
          <w:color w:val="2F5496"/>
          <w:sz w:val="26"/>
          <w:szCs w:val="26"/>
        </w:rPr>
        <w:t xml:space="preserve">Modèle MEGC Burkina Faso 2018 — version Python</w:t>
      </w:r>
    </w:p>
    <w:p>
      <w:pPr>
        <w:spacing w:after="0" w:before="80"/>
        <w:jc w:val="center"/>
      </w:pPr>
      <w:r>
        <w:rPr>
          <w:i/>
          <w:iCs/>
          <w:color w:val="808080"/>
          <w:sz w:val="20"/>
          <w:szCs w:val="20"/>
        </w:rPr>
        <w:t xml:space="preserve">Installation · prise en main · scénarios · clôtures · interprétation</w:t>
      </w:r>
    </w:p>
    <w:p>
      <w:pPr>
        <w:spacing w:after="0" w:before="1500"/>
        <w:jc w:val="center"/>
      </w:pPr>
      <w:r>
        <w:rPr>
          <w:sz w:val="19"/>
          <w:szCs w:val="19"/>
        </w:rPr>
        <w:t xml:space="preserve">Guide de l'utilisateur</w:t>
      </w:r>
    </w:p>
    <w:p>
      <w:pPr>
        <w:spacing w:before="120"/>
        <w:jc w:val="center"/>
      </w:pPr>
      <w:r>
        <w:rPr>
          <w:color w:val="808080"/>
          <w:sz w:val="18"/>
          <w:szCs w:val="18"/>
        </w:rPr>
        <w:t xml:space="preserve">Modèle d'équilibre général calculable — Burkina Faso 2018</w:t>
      </w:r>
    </w:p>
    <w:p>
      <w:r>
        <w:br w:type="page"/>
      </w:r>
    </w:p>
    <w:p>
      <w:pPr>
        <w:pStyle w:val="Heading1"/>
        <w:spacing w:after="110" w:before="240"/>
      </w:pPr>
      <w:r>
        <w:rPr>
          <w:color w:val="1F3864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40"/>
      </w:pPr>
      <w:r>
        <w:rPr>
          <w:color w:val="1F3864"/>
        </w:rPr>
        <w:t xml:space="preserve">1. Installation et prérequis</w:t>
      </w:r>
    </w:p>
    <w:p>
      <w:pPr>
        <w:spacing w:after="120" w:line="264"/>
        <w:jc w:val="both"/>
      </w:pPr>
      <w:r>
        <w:t xml:space="preserve">Le modèle est un ensemble de scripts Python autonomes. Prérequis : Python 3.9+ et quatre bibliothèques.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pip install numpy scipy openpyxl matplotlib</w:t>
      </w:r>
    </w:p>
    <w:p>
      <w:pPr>
        <w:spacing w:after="120" w:line="264"/>
        <w:jc w:val="both"/>
      </w:pPr>
      <w:r>
        <w:t xml:space="preserve">Placez-vous dans le dossier </w:t>
      </w:r>
      <w:r>
        <w:rPr>
          <w:rFonts w:ascii="Consolas" w:cs="Consolas" w:eastAsia="Consolas" w:hAnsi="Consolas"/>
          <w:sz w:val="18"/>
          <w:szCs w:val="18"/>
        </w:rPr>
        <w:t xml:space="preserve">PEP_BF_2018_python/</w:t>
      </w:r>
      <w:r>
        <w:t xml:space="preserve"> (qui contient </w:t>
      </w:r>
      <w:r>
        <w:rPr>
          <w:rFonts w:ascii="Consolas" w:cs="Consolas" w:eastAsia="Consolas" w:hAnsi="Consolas"/>
          <w:sz w:val="18"/>
          <w:szCs w:val="18"/>
        </w:rPr>
        <w:t xml:space="preserve">data/</w:t>
      </w:r>
      <w:r>
        <w:t xml:space="preserve">). Aucune compilation, aucune licence : tout s'exécute en Python.</w:t>
      </w:r>
    </w:p>
    <w:p>
      <w:pPr>
        <w:spacing w:after="120" w:line="264"/>
        <w:jc w:val="both"/>
      </w:pPr>
      <w:r>
        <w:rPr>
          <w:b/>
          <w:bCs/>
        </w:rPr>
        <w:t xml:space="preserve">Vérification rapide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python cge.py       # équilibre + choc fiscal + dynamique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scenarios.py # sensibilité aux clôtures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demo.py      # démonstration complète (scénarios, bien-être, exports)</w:t>
      </w:r>
    </w:p>
    <w:p>
      <w:pPr>
        <w:pStyle w:val="Heading1"/>
        <w:spacing w:after="110" w:before="240"/>
      </w:pPr>
      <w:r>
        <w:rPr>
          <w:color w:val="1F3864"/>
        </w:rPr>
        <w:t xml:space="preserve">2. Prise en main rapide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from cge import CGE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 = CGE()                 # charge la MCS et calibre</w:t>
      </w:r>
      <w:r>
        <w:rPr>
          <w:rFonts w:ascii="Consolas" w:cs="Consolas" w:eastAsia="Consolas" w:hAnsi="Consolas"/>
          <w:sz w:val="18"/>
          <w:szCs w:val="18"/>
        </w:rPr>
        <w:br/>
        <w:t xml:space="preserve">x, sol = m.solve()        # équilibre de référence (BAU)</w:t>
      </w:r>
      <w:r>
        <w:rPr>
          <w:rFonts w:ascii="Consolas" w:cs="Consolas" w:eastAsia="Consolas" w:hAnsi="Consolas"/>
          <w:sz w:val="18"/>
          <w:szCs w:val="18"/>
        </w:rPr>
        <w:br/>
        <w:t xml:space="preserve">r = m.report(x)           # dictionnaire de résultats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print(r['GDP_VA']/1e3)    # PIB (valeur ajoutée), en milliards FCFA</w:t>
      </w:r>
    </w:p>
    <w:p>
      <w:pPr>
        <w:spacing w:after="120" w:line="264"/>
        <w:jc w:val="both"/>
      </w:pPr>
      <w:r>
        <w:t xml:space="preserve">La méthode </w:t>
      </w:r>
      <w:r>
        <w:rPr>
          <w:rFonts w:ascii="Consolas" w:cs="Consolas" w:eastAsia="Consolas" w:hAnsi="Consolas"/>
          <w:sz w:val="18"/>
          <w:szCs w:val="18"/>
        </w:rPr>
        <w:t xml:space="preserve">solve()</w:t>
      </w:r>
      <w:r>
        <w:t xml:space="preserve"> renvoie le vecteur solution </w:t>
      </w:r>
      <w:r>
        <w:rPr>
          <w:rFonts w:ascii="Consolas" w:cs="Consolas" w:eastAsia="Consolas" w:hAnsi="Consolas"/>
          <w:sz w:val="18"/>
          <w:szCs w:val="18"/>
        </w:rPr>
        <w:t xml:space="preserve">x</w:t>
      </w:r>
      <w:r>
        <w:t xml:space="preserve"> et l'objet </w:t>
      </w:r>
      <w:r>
        <w:rPr>
          <w:rFonts w:ascii="Consolas" w:cs="Consolas" w:eastAsia="Consolas" w:hAnsi="Consolas"/>
          <w:sz w:val="18"/>
          <w:szCs w:val="18"/>
        </w:rPr>
        <w:t xml:space="preserve">sol</w:t>
      </w:r>
      <w:r>
        <w:t xml:space="preserve">. La méthode </w:t>
      </w:r>
      <w:r>
        <w:rPr>
          <w:rFonts w:ascii="Consolas" w:cs="Consolas" w:eastAsia="Consolas" w:hAnsi="Consolas"/>
          <w:sz w:val="18"/>
          <w:szCs w:val="18"/>
        </w:rPr>
        <w:t xml:space="preserve">report(x)</w:t>
      </w:r>
      <w:r>
        <w:t xml:space="preserve"> renvoie prix, quantités, revenus, recettes, bien-être. Le résidu de convergence se vérifie par </w:t>
      </w:r>
      <w:r>
        <w:rPr>
          <w:rFonts w:ascii="Consolas" w:cs="Consolas" w:eastAsia="Consolas" w:hAnsi="Consolas"/>
          <w:sz w:val="18"/>
          <w:szCs w:val="18"/>
        </w:rPr>
        <w:t xml:space="preserve">np.max(np.abs(m.residual(x)))</w:t>
      </w:r>
      <w:r>
        <w:t xml:space="preserve"> (attendu ~10⁻¹³ à l'équilibre de base).</w:t>
      </w:r>
    </w:p>
    <w:p>
      <w:pPr>
        <w:pStyle w:val="Heading1"/>
        <w:spacing w:after="110" w:before="240"/>
      </w:pPr>
      <w:r>
        <w:rPr>
          <w:color w:val="1F3864"/>
        </w:rPr>
        <w:t xml:space="preserve">3. Organisation des modules</w:t>
      </w:r>
    </w:p>
    <w:tbl>
      <w:tblPr>
        <w:tblW w:type="dxa" w:w="7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4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utiliser pour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cge.py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Créer le modèle, résoudre l'équilibre, choisir la clôture, la dynamique.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scenarios.py</w:t>
            </w:r>
          </w:p>
        </w:tc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Définir des chocs et lancer des simulations (statique / dynamique / sensibilité).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report.py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Mettre en forme les résultats, calculer le bien-être, exporter en Excel, tracer.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nests.py, calib.py</w:t>
            </w:r>
          </w:p>
        </w:tc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Cœur technique (rarement modifié directement).</w:t>
            </w:r>
          </w:p>
        </w:tc>
      </w:tr>
    </w:tbl>
    <w:p>
      <w:pPr>
        <w:pStyle w:val="Heading1"/>
        <w:spacing w:after="110" w:before="240"/>
      </w:pPr>
      <w:r>
        <w:rPr>
          <w:color w:val="1F3864"/>
        </w:rPr>
        <w:t xml:space="preserve">4. Résoudre l'équilibre</w:t>
      </w:r>
    </w:p>
    <w:p>
      <w:pPr>
        <w:spacing w:after="120" w:line="264"/>
        <w:jc w:val="both"/>
      </w:pPr>
      <w:r>
        <w:rPr>
          <w:b/>
          <w:bCs/>
        </w:rPr>
        <w:t xml:space="preserve">Changer les élasticités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m = CGE(elas={'sVA':1.2, 'sM':2.5})   # substitution VA plus faible, Armington plus forte</w:t>
      </w:r>
    </w:p>
    <w:p>
      <w:pPr>
        <w:spacing w:after="120" w:line="264"/>
        <w:jc w:val="both"/>
      </w:pPr>
      <w:r>
        <w:rPr>
          <w:b/>
          <w:bCs/>
        </w:rPr>
        <w:t xml:space="preserve">Capital sectoriel (long terme, mode PEP-1-t)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m = CGE(); m.sec_cap = True</w:t>
      </w:r>
      <w:r>
        <w:rPr>
          <w:rFonts w:ascii="Consolas" w:cs="Consolas" w:eastAsia="Consolas" w:hAnsi="Consolas"/>
          <w:sz w:val="18"/>
          <w:szCs w:val="18"/>
        </w:rPr>
        <w:br/>
        <w:t xml:space="preserve">x, sol = m.solve()   # rentes du capital spécifiques par branche</w:t>
      </w:r>
    </w:p>
    <w:p>
      <w:pPr>
        <w:spacing w:after="120" w:line="264"/>
        <w:jc w:val="both"/>
      </w:pPr>
      <w:r>
        <w:rPr>
          <w:i/>
          <w:iCs/>
        </w:rPr>
        <w:t xml:space="preserve">Note : </w:t>
      </w:r>
      <w:r>
        <w:t xml:space="preserve">le mode sectoriel est plus lent (système ~405 inconnues) ; privilégiez le capital mobile (défaut) pour l'itération rapide.</w:t>
      </w:r>
    </w:p>
    <w:p>
      <w:pPr>
        <w:pStyle w:val="Heading1"/>
        <w:spacing w:after="110" w:before="240"/>
      </w:pPr>
      <w:r>
        <w:rPr>
          <w:color w:val="1F3864"/>
        </w:rPr>
        <w:t xml:space="preserve">5. Définir et lancer des scénarios</w:t>
      </w:r>
    </w:p>
    <w:p>
      <w:pPr>
        <w:spacing w:after="120" w:line="264"/>
        <w:jc w:val="both"/>
      </w:pPr>
      <w:r>
        <w:t xml:space="preserve">Le module </w:t>
      </w:r>
      <w:r>
        <w:rPr>
          <w:rFonts w:ascii="Consolas" w:cs="Consolas" w:eastAsia="Consolas" w:hAnsi="Consolas"/>
          <w:sz w:val="18"/>
          <w:szCs w:val="18"/>
        </w:rPr>
        <w:t xml:space="preserve">scenarios.py</w:t>
      </w:r>
      <w:r>
        <w:t xml:space="preserve"> fournit des </w:t>
      </w:r>
      <w:r>
        <w:rPr>
          <w:b/>
          <w:bCs/>
        </w:rPr>
        <w:t xml:space="preserve">constructeurs de chocs</w:t>
      </w:r>
      <w:r>
        <w:t xml:space="preserve"> et des fonctions d'exécution qui comparent automatiquement le choc au BAU.</w:t>
      </w:r>
    </w:p>
    <w:p>
      <w:pPr>
        <w:pStyle w:val="Heading2"/>
        <w:spacing w:after="110" w:before="240"/>
      </w:pPr>
      <w:r>
        <w:rPr>
          <w:color w:val="2F5496"/>
        </w:rPr>
        <w:t xml:space="preserve">5.1 Constructeurs de chocs</w:t>
      </w:r>
    </w:p>
    <w:tbl>
      <w:tblPr>
        <w:tblW w:type="dxa" w:w="7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400"/>
        <w:gridCol w:w="2000"/>
        <w:gridCol w:w="320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Constructeur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  <w:tc>
          <w:tcPr>
            <w:tcW w:type="dxa" w:w="32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fiscal(prefix, add)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Hausse de la taxe produit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fiscal(prefix=(62,97), add=0.10)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tfp(branch_range, factor)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Choc de productivité (TFP)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tfp(branch_range=(1,27), factor=1.10)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world_price(commodities, exp_factor, imp_factor)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mondiaux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world_price(['P60'], exp_factor=0.8)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factor_supply(labour, capital)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Offre de facteurs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factor_supply(labour=1.05)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combine(a, b, ...)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Cumuler des chocs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combine(fiscal(...), tfp(...))</w:t>
            </w:r>
          </w:p>
        </w:tc>
      </w:tr>
    </w:tbl>
    <w:p>
      <w:pPr>
        <w:spacing w:after="80"/>
      </w:pPr>
    </w:p>
    <w:p>
      <w:pPr>
        <w:spacing w:after="120" w:line="264"/>
        <w:jc w:val="both"/>
      </w:pPr>
      <w:r>
        <w:rPr>
          <w:i/>
          <w:iCs/>
        </w:rPr>
        <w:t xml:space="preserve">Codes : </w:t>
      </w:r>
      <w:r>
        <w:t xml:space="preserve">les biens sont préfixés P (P1…P143), les branches A (A1…A93). Les bornes </w:t>
      </w:r>
      <w:r>
        <w:rPr>
          <w:rFonts w:ascii="Consolas" w:cs="Consolas" w:eastAsia="Consolas" w:hAnsi="Consolas"/>
          <w:sz w:val="18"/>
          <w:szCs w:val="18"/>
        </w:rPr>
        <w:t xml:space="preserve">prefix=(62,97)</w:t>
      </w:r>
      <w:r>
        <w:t xml:space="preserve"> ou </w:t>
      </w:r>
      <w:r>
        <w:rPr>
          <w:rFonts w:ascii="Consolas" w:cs="Consolas" w:eastAsia="Consolas" w:hAnsi="Consolas"/>
          <w:sz w:val="18"/>
          <w:szCs w:val="18"/>
        </w:rPr>
        <w:t xml:space="preserve">branch_range=(1,27)</w:t>
      </w:r>
      <w:r>
        <w:t xml:space="preserve"> désignent des plages de codes (ex. agroalimentaire, agriculture).</w:t>
      </w:r>
    </w:p>
    <w:p>
      <w:pPr>
        <w:pStyle w:val="Heading2"/>
        <w:spacing w:after="110" w:before="240"/>
      </w:pPr>
      <w:r>
        <w:rPr>
          <w:color w:val="2F5496"/>
        </w:rPr>
        <w:t xml:space="preserve">5.2 Exécution statique (choc vs BAU)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import scenarios as SC</w:t>
      </w:r>
      <w:r>
        <w:rPr>
          <w:rFonts w:ascii="Consolas" w:cs="Consolas" w:eastAsia="Consolas" w:hAnsi="Consolas"/>
          <w:sz w:val="18"/>
          <w:szCs w:val="18"/>
        </w:rPr>
        <w:br/>
        <w:t xml:space="preserve">res = SC.run_static(SC.fiscal(prefix=(62,97), add=0.10))</w:t>
      </w:r>
      <w:r>
        <w:rPr>
          <w:rFonts w:ascii="Consolas" w:cs="Consolas" w:eastAsia="Consolas" w:hAnsi="Consolas"/>
          <w:sz w:val="18"/>
          <w:szCs w:val="18"/>
        </w:rPr>
        <w:br/>
        <w:t xml:space="preserve"># affiche un tableau macro BAU vs choc + variation équivalente par ménage</w:t>
      </w:r>
      <w:r>
        <w:rPr>
          <w:rFonts w:ascii="Consolas" w:cs="Consolas" w:eastAsia="Consolas" w:hAnsi="Consolas"/>
          <w:sz w:val="18"/>
          <w:szCs w:val="18"/>
        </w:rPr>
        <w:br/>
        <w:t xml:space="preserve">res['r0']  # résultats BAU   ;   res['r1']  # résultats choc</w:t>
      </w:r>
    </w:p>
    <w:p>
      <w:pPr>
        <w:pStyle w:val="Heading2"/>
        <w:spacing w:after="110" w:before="240"/>
      </w:pPr>
      <w:r>
        <w:rPr>
          <w:color w:val="2F5496"/>
        </w:rPr>
        <w:t xml:space="preserve">5.3 Réglage direct (sans constructeur)</w:t>
      </w:r>
    </w:p>
    <w:p>
      <w:pPr>
        <w:spacing w:after="120" w:line="264"/>
        <w:jc w:val="both"/>
      </w:pPr>
      <w:r>
        <w:t xml:space="preserve">On peut modifier directement les leviers du modèle avant </w:t>
      </w:r>
      <w:r>
        <w:rPr>
          <w:rFonts w:ascii="Consolas" w:cs="Consolas" w:eastAsia="Consolas" w:hAnsi="Consolas"/>
          <w:sz w:val="18"/>
          <w:szCs w:val="18"/>
        </w:rPr>
        <w:t xml:space="preserve">solve()</w:t>
      </w:r>
      <w:r>
        <w:t xml:space="preserve"> :</w:t>
      </w:r>
    </w:p>
    <w:tbl>
      <w:tblPr>
        <w:tblW w:type="dxa" w:w="7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Levier</w:t>
            </w:r>
          </w:p>
        </w:tc>
        <w:tc>
          <w:tcPr>
            <w:tcW w:type="dxa" w:w="54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m.tic_sim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de taxe sur les produits (par bien)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m.p.B_VA</w:t>
            </w:r>
          </w:p>
        </w:tc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Productivité globale des facteurs (par branche)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m.pwm / m.pwe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mondiaux à l'import / à l'export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m.LS / m.KS</w:t>
            </w:r>
          </w:p>
        </w:tc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Offres de travail / de capital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m.ttip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de taxe sur la production</w:t>
            </w:r>
          </w:p>
        </w:tc>
      </w:tr>
    </w:tbl>
    <w:p>
      <w:r>
        <w:br w:type="page"/>
      </w:r>
    </w:p>
    <w:p>
      <w:pPr>
        <w:pStyle w:val="Heading1"/>
        <w:spacing w:after="110" w:before="240"/>
      </w:pPr>
      <w:r>
        <w:rPr>
          <w:color w:val="1F3864"/>
        </w:rPr>
        <w:t xml:space="preserve">6. Choisir un bouclage (clôture) et faire de la sensibilité</w:t>
      </w:r>
    </w:p>
    <w:p>
      <w:pPr>
        <w:spacing w:after="120" w:line="264"/>
        <w:jc w:val="both"/>
      </w:pPr>
      <w:r>
        <w:t xml:space="preserve">La </w:t>
      </w:r>
      <w:r>
        <w:rPr>
          <w:b/>
          <w:bCs/>
        </w:rPr>
        <w:t xml:space="preserve">clôture</w:t>
      </w:r>
      <w:r>
        <w:t xml:space="preserve"> détermine ce qui s'ajuste après un choc. Elle change les résultats — c'est l'axe clé de la robustesse. On compare toujours </w:t>
      </w:r>
      <w:r>
        <w:rPr>
          <w:b/>
          <w:bCs/>
        </w:rPr>
        <w:t xml:space="preserve">choc vs BAU sous la MÊME clôture</w:t>
      </w:r>
      <w:r>
        <w:t xml:space="preserve"> (les écarts, pas les niveaux absolus).</w:t>
      </w:r>
    </w:p>
    <w:tbl>
      <w:tblPr>
        <w:tblW w:type="dxa" w:w="7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200"/>
        <w:gridCol w:w="2400"/>
        <w:gridCol w:w="30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24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30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m.closure_lab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'plein_emploi' | 'chomage'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Emploi fixe &amp; salaire flexible (LT) vs salaire fixe &amp; chômage (CT)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m.closure_inv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'epargne' | 'exogene'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Investissement = épargne (néoclassique) vs investissement fixe (keynésien)</w:t>
            </w:r>
          </w:p>
        </w:tc>
      </w:tr>
    </w:tbl>
    <w:p>
      <w:pPr>
        <w:spacing w:after="80"/>
      </w:pPr>
    </w:p>
    <w:p>
      <w:pPr>
        <w:spacing w:after="120" w:line="264"/>
        <w:jc w:val="both"/>
      </w:pPr>
      <w:r>
        <w:rPr>
          <w:b/>
          <w:bCs/>
        </w:rPr>
        <w:t xml:space="preserve">Sensibilité automatique</w:t>
      </w:r>
      <w:r>
        <w:t xml:space="preserve"> — même choc sous plusieurs clôtures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SC.compare_closures(SC.factor_supply(labour=1.05))</w:t>
      </w:r>
      <w:r>
        <w:rPr>
          <w:rFonts w:ascii="Consolas" w:cs="Consolas" w:eastAsia="Consolas" w:hAnsi="Consolas"/>
          <w:sz w:val="18"/>
          <w:szCs w:val="18"/>
        </w:rPr>
        <w:br/>
        <w:t xml:space="preserve">#  plein_emploi/epargne : ΔPIB ≈ +1,9%   (long terme : plus de travail → plus de production)</w:t>
      </w:r>
      <w:r>
        <w:rPr>
          <w:rFonts w:ascii="Consolas" w:cs="Consolas" w:eastAsia="Consolas" w:hAnsi="Consolas"/>
          <w:sz w:val="18"/>
          <w:szCs w:val="18"/>
        </w:rPr>
        <w:br/>
        <w:t xml:space="preserve">#  chomage/exogene      : ΔPIB ≈  0%     (court terme : l'offre ne crée pas sa demande)</w:t>
      </w:r>
    </w:p>
    <w:p>
      <w:pPr>
        <w:spacing w:after="120" w:line="264"/>
        <w:jc w:val="both"/>
      </w:pPr>
      <w:r>
        <w:rPr>
          <w:b/>
          <w:bCs/>
        </w:rPr>
        <w:t xml:space="preserve">Recommandation Burkina Faso : </w:t>
      </w:r>
      <w:r>
        <w:t xml:space="preserve">référence long terme = </w:t>
      </w:r>
      <w:r>
        <w:rPr>
          <w:rFonts w:ascii="Consolas" w:cs="Consolas" w:eastAsia="Consolas" w:hAnsi="Consolas"/>
          <w:sz w:val="18"/>
          <w:szCs w:val="18"/>
        </w:rPr>
        <w:t xml:space="preserve">plein_emploi + epargne</w:t>
      </w:r>
      <w:r>
        <w:t xml:space="preserve"> avec change fixe (zone CFA) ; comparer au court terme </w:t>
      </w:r>
      <w:r>
        <w:rPr>
          <w:rFonts w:ascii="Consolas" w:cs="Consolas" w:eastAsia="Consolas" w:hAnsi="Consolas"/>
          <w:sz w:val="18"/>
          <w:szCs w:val="18"/>
        </w:rPr>
        <w:t xml:space="preserve">chomage + exogene</w:t>
      </w:r>
      <w:r>
        <w:t xml:space="preserve">. Si les conclusions qualitatives tiennent sous les deux clôtures, l'analyse est crédible.</w:t>
      </w:r>
    </w:p>
    <w:p>
      <w:pPr>
        <w:pStyle w:val="Heading1"/>
        <w:spacing w:after="110" w:before="240"/>
      </w:pPr>
      <w:r>
        <w:rPr>
          <w:color w:val="1F3864"/>
        </w:rPr>
        <w:t xml:space="preserve">7. Dynamique récursive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m = CGE()</w:t>
      </w:r>
      <w:r>
        <w:rPr>
          <w:rFonts w:ascii="Consolas" w:cs="Consolas" w:eastAsia="Consolas" w:hAnsi="Consolas"/>
          <w:sz w:val="18"/>
          <w:szCs w:val="18"/>
        </w:rPr>
        <w:br/>
        <w:t xml:space="preserve">chemin = m.solve_dynamic(T=10, delta=0.03, n=0.03)   # sentier BAU sur 10 périodes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choc permanent : +10% TFP agriculture, comparé au BAU</w:t>
      </w:r>
      <w:r>
        <w:rPr>
          <w:rFonts w:ascii="Consolas" w:cs="Consolas" w:eastAsia="Consolas" w:hAnsi="Consolas"/>
          <w:sz w:val="18"/>
          <w:szCs w:val="18"/>
        </w:rPr>
        <w:br/>
        <w:t xml:space="preserve">dyn = SC.run_dynamic(SC.tfp(branch_range=(1,27), factor=1.10), T=10)</w:t>
      </w:r>
      <w:r>
        <w:rPr>
          <w:rFonts w:ascii="Consolas" w:cs="Consolas" w:eastAsia="Consolas" w:hAnsi="Consolas"/>
          <w:sz w:val="18"/>
          <w:szCs w:val="18"/>
        </w:rPr>
        <w:br/>
        <w:t xml:space="preserve">dyn['bau'], dyn['shock']   # deux listes de résultats par période</w:t>
      </w:r>
    </w:p>
    <w:p>
      <w:pPr>
        <w:spacing w:after="120" w:line="264"/>
        <w:jc w:val="both"/>
      </w:pPr>
      <w:r>
        <w:t xml:space="preserve">Chaque élément du chemin contient </w:t>
      </w:r>
      <w:r>
        <w:rPr>
          <w:rFonts w:ascii="Consolas" w:cs="Consolas" w:eastAsia="Consolas" w:hAnsi="Consolas"/>
          <w:sz w:val="18"/>
          <w:szCs w:val="18"/>
        </w:rPr>
        <w:t xml:space="preserve">GDP_VA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KS</w:t>
      </w:r>
      <w:r>
        <w:t xml:space="preserve"> (capital), etc. Le capital sectoriel dynamique (</w:t>
      </w:r>
      <w:r>
        <w:rPr>
          <w:rFonts w:ascii="Consolas" w:cs="Consolas" w:eastAsia="Consolas" w:hAnsi="Consolas"/>
          <w:sz w:val="18"/>
          <w:szCs w:val="18"/>
        </w:rPr>
        <w:t xml:space="preserve">m.sec_cap=True</w:t>
      </w:r>
      <w:r>
        <w:t xml:space="preserve">) alloue l'investissement par rendement mais est plus lent ; réservez-le aux analyses de long terme.</w:t>
      </w:r>
    </w:p>
    <w:p>
      <w:pPr>
        <w:pStyle w:val="Heading1"/>
        <w:spacing w:after="110" w:before="240"/>
      </w:pPr>
      <w:r>
        <w:rPr>
          <w:color w:val="1F3864"/>
        </w:rPr>
        <w:t xml:space="preserve">8. Lire et exporter les résultats</w:t>
      </w:r>
    </w:p>
    <w:p>
      <w:pPr>
        <w:spacing w:after="120" w:line="264"/>
        <w:jc w:val="both"/>
      </w:pPr>
      <w:r>
        <w:rPr>
          <w:b/>
          <w:bCs/>
        </w:rPr>
        <w:t xml:space="preserve">Résumé à l'écran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import report as R</w:t>
      </w:r>
      <w:r>
        <w:rPr>
          <w:rFonts w:ascii="Consolas" w:cs="Consolas" w:eastAsia="Consolas" w:hAnsi="Consolas"/>
          <w:sz w:val="18"/>
          <w:szCs w:val="18"/>
        </w:rPr>
        <w:br/>
        <w:t xml:space="preserve">R.print_summary(m2, res['r0'], res['r1'], 'Mon scénario')</w:t>
      </w:r>
    </w:p>
    <w:p>
      <w:pPr>
        <w:spacing w:after="120" w:line="264"/>
        <w:jc w:val="both"/>
      </w:pPr>
      <w:r>
        <w:rPr>
          <w:b/>
          <w:bCs/>
        </w:rPr>
        <w:t xml:space="preserve">Bien-être (variation équivalente par ménage, en Mds FCFA)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R.equivalent_variation(m2, res['r0'], res['r1'])</w:t>
      </w:r>
    </w:p>
    <w:p>
      <w:pPr>
        <w:spacing w:after="120" w:line="264"/>
        <w:jc w:val="both"/>
      </w:pPr>
      <w:r>
        <w:rPr>
          <w:b/>
          <w:bCs/>
        </w:rPr>
        <w:t xml:space="preserve">Export Excel et graphique du sentier dynamique :</w:t>
      </w:r>
    </w:p>
    <w:p>
      <w:pPr>
        <w:pBdr>
          <w:left w:val="single" w:color="2F5496" w:sz="12"/>
        </w:pBdr>
        <w:shd w:fill="F2F2F2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R.export_excel('resultats.xlsx', m2, res['r0'], res['r1'], dyn_path=dyn['bau'], dyn_shock=dyn['shock'])</w:t>
      </w:r>
      <w:r>
        <w:rPr>
          <w:rFonts w:ascii="Consolas" w:cs="Consolas" w:eastAsia="Consolas" w:hAnsi="Consolas"/>
          <w:sz w:val="18"/>
          <w:szCs w:val="18"/>
        </w:rPr>
        <w:br/>
        <w:t xml:space="preserve">R.plot_dynamic(dyn['bau'], dyn['shock'], out='sentier.png', labels=('BAU','Choc'))</w:t>
      </w:r>
    </w:p>
    <w:p>
      <w:pPr>
        <w:spacing w:after="120" w:line="264"/>
        <w:jc w:val="both"/>
      </w:pPr>
      <w:r>
        <w:t xml:space="preserve">Le classeur Excel contient les onglets : Macro, Bien-être, Revenus, Secteurs, Dynamique.</w:t>
      </w:r>
    </w:p>
    <w:p>
      <w:pPr>
        <w:pStyle w:val="Heading1"/>
        <w:spacing w:after="110" w:before="240"/>
      </w:pPr>
      <w:r>
        <w:rPr>
          <w:color w:val="1F3864"/>
        </w:rPr>
        <w:t xml:space="preserve">9. Bonnes pratiques et pièges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b/>
          <w:bCs/>
        </w:rPr>
        <w:t xml:space="preserve">Comparer en écarts. </w:t>
      </w:r>
      <w:r>
        <w:t xml:space="preserve">Analysez toujours choc vs BAU sous la même clôture ; ne comparez pas des niveaux entre clôtures différentes.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b/>
          <w:bCs/>
        </w:rPr>
        <w:t xml:space="preserve">Gros chocs → homotopie. </w:t>
      </w:r>
      <w:r>
        <w:t xml:space="preserve">Pour un choc important (ex. &gt; 5 % de TFP), utilisez </w:t>
      </w:r>
      <w:r>
        <w:rPr>
          <w:rFonts w:ascii="Consolas" w:cs="Consolas" w:eastAsia="Consolas" w:hAnsi="Consolas"/>
          <w:sz w:val="18"/>
          <w:szCs w:val="18"/>
        </w:rPr>
        <w:t xml:space="preserve">run_static(..., steps=6)</w:t>
      </w:r>
      <w:r>
        <w:t xml:space="preserve"> : la montée progressive stabilise la convergence.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b/>
          <w:bCs/>
        </w:rPr>
        <w:t xml:space="preserve">Vérifiez le résidu. </w:t>
      </w:r>
      <w:r>
        <w:t xml:space="preserve">Après </w:t>
      </w:r>
      <w:r>
        <w:rPr>
          <w:rFonts w:ascii="Consolas" w:cs="Consolas" w:eastAsia="Consolas" w:hAnsi="Consolas"/>
          <w:sz w:val="18"/>
          <w:szCs w:val="18"/>
        </w:rPr>
        <w:t xml:space="preserve">solve()</w:t>
      </w:r>
      <w:r>
        <w:t xml:space="preserve">, contrôlez </w:t>
      </w:r>
      <w:r>
        <w:rPr>
          <w:rFonts w:ascii="Consolas" w:cs="Consolas" w:eastAsia="Consolas" w:hAnsi="Consolas"/>
          <w:sz w:val="18"/>
          <w:szCs w:val="18"/>
        </w:rPr>
        <w:t xml:space="preserve">np.max(np.abs(m.residual(x)))</w:t>
      </w:r>
      <w:r>
        <w:t xml:space="preserve"> ; un résidu &lt; 10⁻⁴ est satisfaisant, ~10⁻¹³ est idéal.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b/>
          <w:bCs/>
        </w:rPr>
        <w:t xml:space="preserve">Capital sectoriel = lent. </w:t>
      </w:r>
      <w:r>
        <w:t xml:space="preserve">Réservez-le aux analyses fines de long terme ; le capital mobile suffit à la plupart des questions.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b/>
          <w:bCs/>
        </w:rPr>
        <w:t xml:space="preserve">Zone CFA. </w:t>
      </w:r>
      <w:r>
        <w:t xml:space="preserve">Le change est fixe (numéraire e=1) : c'est le bon cadrage pour le Burkina Faso ; l'ajustement passe par les prix intérieurs.</w:t>
      </w:r>
    </w:p>
    <w:p>
      <w:pPr>
        <w:pStyle w:val="Heading1"/>
        <w:spacing w:after="110" w:before="240"/>
      </w:pPr>
      <w:r>
        <w:rPr>
          <w:color w:val="1F3864"/>
        </w:rPr>
        <w:t xml:space="preserve">10. Dépannage</w:t>
      </w:r>
    </w:p>
    <w:tbl>
      <w:tblPr>
        <w:tblW w:type="dxa" w:w="7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50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 probable / remède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Résidu élevé après un gros choc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Utiliser l'homotopie (steps=6–10) ; réchauffer depuis le BAU.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Convergence lente (capital sectoriel)</w:t>
            </w:r>
          </w:p>
        </w:tc>
        <w:tc>
          <w:tcPr>
            <w:tcW w:type="dxa" w:w="5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 (système ~405 inconnues) ; réduire l'horizon ou rester en capital mobile.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Résultats de niveau surprenants en clôture 'chomage'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Lire en écarts choc/BAU (la base sous chômage se décale ~1,6%).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5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Lancer depuis le dossier du modèle ; vérifier pip install.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Avertissements NumPy (invalid/divide)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Neutralisés (np.seterr) ; sans effet sur les résultats.</w:t>
            </w:r>
          </w:p>
        </w:tc>
      </w:tr>
    </w:tbl>
    <w:p>
      <w:pPr>
        <w:pStyle w:val="Heading1"/>
        <w:spacing w:after="110" w:before="240"/>
      </w:pPr>
      <w:r>
        <w:rPr>
          <w:color w:val="1F3864"/>
        </w:rPr>
        <w:t xml:space="preserve">11. Aide-mémoire</w:t>
      </w:r>
    </w:p>
    <w:tbl>
      <w:tblPr>
        <w:tblW w:type="dxa" w:w="7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 veux…</w:t>
            </w:r>
          </w:p>
        </w:tc>
        <w:tc>
          <w:tcPr>
            <w:tcW w:type="dxa" w:w="5000"/>
            <w:shd w:fill="2F549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Résoudre le BAU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m=CGE(); x,_=m.solve(); r=m.report(x)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Choc fiscal</w:t>
            </w:r>
          </w:p>
        </w:tc>
        <w:tc>
          <w:tcPr>
            <w:tcW w:type="dxa" w:w="5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SC.run_static(SC.fiscal(prefix=(62,97), add=0.10))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Choc de productivité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SC.run_static(SC.tfp(branch_range=(1,27), factor=1.10), steps=6)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Choc de prix mondial</w:t>
            </w:r>
          </w:p>
        </w:tc>
        <w:tc>
          <w:tcPr>
            <w:tcW w:type="dxa" w:w="5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SC.run_static(SC.world_price(['P60'], exp_factor=0.8))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Clôture court terme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m.closure_lab='chomage'; m.closure_inv='exogene'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Sensibilité aux clôtures</w:t>
            </w:r>
          </w:p>
        </w:tc>
        <w:tc>
          <w:tcPr>
            <w:tcW w:type="dxa" w:w="5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SC.compare_closures(choc)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Dynamique BAU vs choc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SC.run_dynamic(choc, T=10)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Bien-être par ménage</w:t>
            </w:r>
          </w:p>
        </w:tc>
        <w:tc>
          <w:tcPr>
            <w:tcW w:type="dxa" w:w="5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R.equivalent_variation(m, r0, r1)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R.export_excel('res.xlsx', m, r0, r1)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i/>
          <w:iCs/>
          <w:color w:val="808080"/>
        </w:rPr>
        <w:t xml:space="preserve">— Fin du manuel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Manuel de mise en œuvre — MEGC BF 2018 (Python)    |    </w:t>
    </w: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de mise en œuvre — MEGC BF 2018 (Python)</dc:title>
  <dc:creator>MEGC BF Python</dc:creator>
  <cp:lastModifiedBy>Un-named</cp:lastModifiedBy>
  <cp:revision>1</cp:revision>
  <dcterms:created xsi:type="dcterms:W3CDTF">2026-07-12T00:14:50.136Z</dcterms:created>
  <dcterms:modified xsi:type="dcterms:W3CDTF">2026-07-12T00:14:50.136Z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