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3864"/>
          <w:sz w:val="46"/>
          <w:szCs w:val="46"/>
        </w:rPr>
        <w:t xml:space="preserve">RAPPORT TECHNIQUE</w:t>
      </w:r>
    </w:p>
    <w:p>
      <w:pPr>
        <w:spacing w:after="0" w:before="160"/>
        <w:jc w:val="center"/>
      </w:pPr>
      <w:r>
        <w:rPr>
          <w:color w:val="2F5496"/>
          <w:sz w:val="26"/>
          <w:szCs w:val="26"/>
        </w:rPr>
        <w:t xml:space="preserve">Construction du modèle MEGC en Python</w:t>
      </w:r>
    </w:p>
    <w:p>
      <w:pPr>
        <w:spacing w:after="0" w:before="80"/>
        <w:jc w:val="center"/>
      </w:pPr>
      <w:r>
        <w:rPr>
          <w:i/>
          <w:iCs/>
          <w:color w:val="808080"/>
          <w:sz w:val="20"/>
          <w:szCs w:val="20"/>
        </w:rPr>
        <w:t xml:space="preserve">Architecture, calibration, résolution numérique et validation</w:t>
      </w:r>
    </w:p>
    <w:p>
      <w:pPr>
        <w:spacing w:after="0" w:before="1500"/>
        <w:jc w:val="center"/>
      </w:pPr>
      <w:r>
        <w:rPr>
          <w:sz w:val="19"/>
          <w:szCs w:val="19"/>
        </w:rPr>
        <w:t xml:space="preserve">Version Python — cœur PEP-1, extensions et bouclages</w:t>
      </w:r>
    </w:p>
    <w:p>
      <w:pPr>
        <w:spacing w:before="120"/>
        <w:jc w:val="center"/>
      </w:pPr>
      <w:r>
        <w:rPr>
          <w:color w:val="808080"/>
          <w:sz w:val="18"/>
          <w:szCs w:val="18"/>
        </w:rPr>
        <w:t xml:space="preserve">Modèle d'équilibre général calculable — Burkina Faso 2018</w:t>
      </w:r>
    </w:p>
    <w:p>
      <w:r>
        <w:br w:type="page"/>
      </w:r>
    </w:p>
    <w:p>
      <w:pPr>
        <w:pStyle w:val="Heading1"/>
        <w:spacing w:after="110" w:before="240"/>
      </w:pPr>
      <w:r>
        <w:rPr>
          <w:color w:val="1F3864"/>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110" w:before="240"/>
      </w:pPr>
      <w:r>
        <w:rPr>
          <w:color w:val="1F3864"/>
        </w:rPr>
        <w:t xml:space="preserve">1. Introduction et périmètre</w:t>
      </w:r>
    </w:p>
    <w:p>
      <w:pPr>
        <w:spacing w:after="120" w:line="264"/>
        <w:jc w:val="both"/>
      </w:pPr>
      <w:r>
        <w:t xml:space="preserve">Ce rapport documente la construction d'une implémentation </w:t>
      </w:r>
      <w:r>
        <w:rPr>
          <w:b/>
          <w:bCs/>
        </w:rPr>
        <w:t xml:space="preserve">Python</w:t>
      </w:r>
      <w:r>
        <w:t xml:space="preserve"> complète d'un modèle d'équilibre général calculable (MEGC) pour le Burkina Faso (année de base 2018), dérivée du modèle standard </w:t>
      </w:r>
      <w:r>
        <w:rPr>
          <w:b/>
          <w:bCs/>
        </w:rPr>
        <w:t xml:space="preserve">PEP-1</w:t>
      </w:r>
      <w:r>
        <w:t xml:space="preserve"> (Partnership for Economic Policy). L'objectif était de disposer d'un modèle </w:t>
      </w:r>
      <w:r>
        <w:rPr>
          <w:b/>
          <w:bCs/>
        </w:rPr>
        <w:t xml:space="preserve">exécutable, calibré et vérifié hors GAMS</w:t>
      </w:r>
      <w:r>
        <w:t xml:space="preserve">, suffisamment modulaire pour être étendu (taxes, marges, dynamique, bouclages) et utilisable pour l'évaluation de politiques.</w:t>
      </w:r>
    </w:p>
    <w:p>
      <w:pPr>
        <w:spacing w:after="120" w:line="264"/>
        <w:jc w:val="both"/>
      </w:pPr>
      <w:r>
        <w:t xml:space="preserve">La nomenclature retient le </w:t>
      </w:r>
      <w:r>
        <w:rPr>
          <w:b/>
          <w:bCs/>
        </w:rPr>
        <w:t xml:space="preserve">détail maximal</w:t>
      </w:r>
      <w:r>
        <w:t xml:space="preserve"> de la matrice de comptabilité sociale (MCS) : </w:t>
      </w:r>
      <w:r>
        <w:rPr>
          <w:b/>
          <w:bCs/>
        </w:rPr>
        <w:t xml:space="preserve">139 biens, 88 branches</w:t>
      </w:r>
      <w:r>
        <w:t xml:space="preserve">, 2 types de travail, 2 types de capital, 4 ménages, 2 entreprises, l'État et le reste du monde. Le modèle statique se résout comme un système carré de </w:t>
      </w:r>
      <w:r>
        <w:rPr>
          <w:b/>
          <w:bCs/>
        </w:rPr>
        <w:t xml:space="preserve">231 inconnues</w:t>
      </w:r>
      <w:r>
        <w:t xml:space="preserve"> (capital mobile) et reproduit l'année de base à la précision machine.</w:t>
      </w:r>
    </w:p>
    <w:p>
      <w:pPr>
        <w:spacing w:after="120" w:line="264"/>
        <w:jc w:val="both"/>
      </w:pPr>
      <w:r>
        <w:rPr>
          <w:b/>
          <w:bCs/>
        </w:rPr>
        <w:t xml:space="preserve">Principe de conception. </w:t>
      </w:r>
      <w:r>
        <w:t xml:space="preserve">Le modèle est écrit de façon </w:t>
      </w:r>
      <w:r>
        <w:rPr>
          <w:b/>
          <w:bCs/>
        </w:rPr>
        <w:t xml:space="preserve">vectorielle</w:t>
      </w:r>
      <w:r>
        <w:t xml:space="preserve"> (NumPy), sans boucles dans l'évaluation des résidus, et l'équilibre est défini comme le zéro d'une fonction résiduelle empilant les conditions de zéro-profit, l'équilibre des marchés des biens et des facteurs. La résolution utilise </w:t>
      </w:r>
      <w:r>
        <w:rPr>
          <w:rFonts w:ascii="Consolas" w:cs="Consolas" w:eastAsia="Consolas" w:hAnsi="Consolas"/>
          <w:sz w:val="18"/>
          <w:szCs w:val="18"/>
        </w:rPr>
        <w:t xml:space="preserve">scipy.optimize.root</w:t>
      </w:r>
      <w:r>
        <w:t xml:space="preserve"> (Levenberg-Marquardt).</w:t>
      </w:r>
    </w:p>
    <w:p>
      <w:pPr>
        <w:pStyle w:val="Heading1"/>
        <w:spacing w:after="110" w:before="240"/>
      </w:pPr>
      <w:r>
        <w:rPr>
          <w:color w:val="1F3864"/>
        </w:rPr>
        <w:t xml:space="preserve">2. Données et calibration</w:t>
      </w:r>
    </w:p>
    <w:p>
      <w:pPr>
        <w:pStyle w:val="Heading2"/>
        <w:spacing w:after="110" w:before="240"/>
      </w:pPr>
      <w:r>
        <w:rPr>
          <w:color w:val="2F5496"/>
        </w:rPr>
        <w:t xml:space="preserve">2.1 Source et chargement</w:t>
      </w:r>
    </w:p>
    <w:p>
      <w:pPr>
        <w:spacing w:after="120" w:line="264"/>
        <w:jc w:val="both"/>
      </w:pPr>
      <w:r>
        <w:t xml:space="preserve">Le modèle lit la MCS équilibrée au format PEP (fichier </w:t>
      </w:r>
      <w:r>
        <w:rPr>
          <w:rFonts w:ascii="Consolas" w:cs="Consolas" w:eastAsia="Consolas" w:hAnsi="Consolas"/>
          <w:sz w:val="18"/>
          <w:szCs w:val="18"/>
        </w:rPr>
        <w:t xml:space="preserve">data/SMx.npy</w:t>
      </w:r>
      <w:r>
        <w:t xml:space="preserve">, 334 comptes, issue de la reconstruction documentée par ailleurs). Le module </w:t>
      </w:r>
      <w:r>
        <w:rPr>
          <w:rFonts w:ascii="Consolas" w:cs="Consolas" w:eastAsia="Consolas" w:hAnsi="Consolas"/>
          <w:sz w:val="18"/>
          <w:szCs w:val="18"/>
        </w:rPr>
        <w:t xml:space="preserve">calib.py</w:t>
      </w:r>
      <w:r>
        <w:t xml:space="preserve"> extrait les flux (demandes factorielles, consommations intermédiaires, make, exportations, importations, taxes, transferts, épargnes) et calcule tous les paramètres.</w:t>
      </w:r>
    </w:p>
    <w:p>
      <w:pPr>
        <w:pStyle w:val="Heading2"/>
        <w:spacing w:after="110" w:before="240"/>
      </w:pPr>
      <w:r>
        <w:rPr>
          <w:color w:val="2F5496"/>
        </w:rPr>
        <w:t xml:space="preserve">2.2 Blocs CES/CET cohérents</w:t>
      </w:r>
    </w:p>
    <w:p>
      <w:pPr>
        <w:spacing w:after="120" w:line="264"/>
        <w:jc w:val="both"/>
      </w:pPr>
      <w:r>
        <w:t xml:space="preserve">Le module </w:t>
      </w:r>
      <w:r>
        <w:rPr>
          <w:rFonts w:ascii="Consolas" w:cs="Consolas" w:eastAsia="Consolas" w:hAnsi="Consolas"/>
          <w:sz w:val="18"/>
          <w:szCs w:val="18"/>
        </w:rPr>
        <w:t xml:space="preserve">nests.py</w:t>
      </w:r>
      <w:r>
        <w:t xml:space="preserve"> implémente des fonctions CES/CET dont la </w:t>
      </w:r>
      <w:r>
        <w:rPr>
          <w:b/>
          <w:bCs/>
        </w:rPr>
        <w:t xml:space="preserve">calibration, la fonction de prix et la fonction de demande sont mutuellement cohérentes</w:t>
      </w:r>
      <w:r>
        <w:t xml:space="preserve"> : au prix de référence unitaire, elles reproduisent exactement les quantités de base. La forme retenue est </w:t>
      </w:r>
      <w:r>
        <w:rPr>
          <w:i/>
          <w:iCs/>
        </w:rPr>
        <w:t xml:space="preserve">Q = B·[Σ βᵢ Xᵢ^ρ]^(1/ρ)</w:t>
      </w:r>
      <w:r>
        <w:t xml:space="preserve"> avec ρ=(σ−1)/σ pour les CES et ρ=(σ+1)/σ pour les CET (traitées comme des CES à élasticité négative). Un test de reconstruction atteste une erreur relative de l'ordre de </w:t>
      </w:r>
      <w:r>
        <w:rPr>
          <w:b/>
          <w:bCs/>
        </w:rPr>
        <w:t xml:space="preserve">10⁻¹⁶</w:t>
      </w:r>
      <w:r>
        <w:t xml:space="preserve"> (précision machine).</w:t>
      </w:r>
    </w:p>
    <w:p>
      <w:pPr>
        <w:spacing w:after="120" w:line="264"/>
        <w:jc w:val="both"/>
      </w:pPr>
      <w:r>
        <w:rPr>
          <w:b/>
          <w:bCs/>
        </w:rPr>
        <w:t xml:space="preserve">Robustesse. </w:t>
      </w:r>
      <w:r>
        <w:t xml:space="preserve">Les entrées factorielles nulles (branches n'employant qu'un type de travail/capital) sont gérées par masquage ; les rares cellules de capital négatives (artefacts de données) sont </w:t>
      </w:r>
      <w:r>
        <w:rPr>
          <w:b/>
          <w:bCs/>
        </w:rPr>
        <w:t xml:space="preserve">redistribuées</w:t>
      </w:r>
      <w:r>
        <w:t xml:space="preserve"> au sein de la branche pour préserver la valeur ajoutée totale.</w:t>
      </w:r>
    </w:p>
    <w:p>
      <w:pPr>
        <w:pStyle w:val="Heading2"/>
        <w:spacing w:after="110" w:before="240"/>
      </w:pPr>
      <w:r>
        <w:rPr>
          <w:color w:val="2F5496"/>
        </w:rPr>
        <w:t xml:space="preserve">2.3 Élasticités</w:t>
      </w:r>
    </w:p>
    <w:p>
      <w:pPr>
        <w:spacing w:after="120" w:line="264"/>
        <w:jc w:val="both"/>
      </w:pPr>
      <w:r>
        <w:t xml:space="preserve">Les élasticités de substitution/transformation ne proviennent pas de la MCS : valeurs par défaut PEP (σ_VA=1,5 ; σ_LD=σ_KD=0,8 ; σ_M=σ_X=σ_XT=2 ; Frisch=−1,5), paramétrables via </w:t>
      </w:r>
      <w:r>
        <w:rPr>
          <w:rFonts w:ascii="Consolas" w:cs="Consolas" w:eastAsia="Consolas" w:hAnsi="Consolas"/>
          <w:sz w:val="18"/>
          <w:szCs w:val="18"/>
        </w:rPr>
        <w:t xml:space="preserve">CGE(elas={...})</w:t>
      </w:r>
      <w:r>
        <w:t xml:space="preserve">.</w:t>
      </w:r>
    </w:p>
    <w:p>
      <w:pPr>
        <w:pStyle w:val="Heading1"/>
        <w:spacing w:after="110" w:before="240"/>
      </w:pPr>
      <w:r>
        <w:rPr>
          <w:color w:val="1F3864"/>
        </w:rPr>
        <w:t xml:space="preserve">3. Architecture du modèle</w:t>
      </w:r>
    </w:p>
    <w:p>
      <w:pPr>
        <w:pStyle w:val="Heading2"/>
        <w:spacing w:after="110" w:before="240"/>
      </w:pPr>
      <w:r>
        <w:rPr>
          <w:color w:val="2F5496"/>
        </w:rPr>
        <w:t xml:space="preserve">3.1 Structure économique</w:t>
      </w:r>
    </w:p>
    <w:p>
      <w:pPr>
        <w:spacing w:after="120" w:line="264"/>
        <w:jc w:val="both"/>
      </w:pPr>
      <w:r>
        <w:t xml:space="preserve">La production est emboîtée : chaque branche combine </w:t>
      </w:r>
      <w:r>
        <w:rPr>
          <w:b/>
          <w:bCs/>
        </w:rPr>
        <w:t xml:space="preserve">travail composite × capital composite</w:t>
      </w:r>
      <w:r>
        <w:t xml:space="preserve"> via une CES de valeur ajoutée, et les consommations intermédiaires suivent une technologie de Leontief. L'affectation de la production aux biens (matrice </w:t>
      </w:r>
      <w:r>
        <w:rPr>
          <w:i/>
          <w:iCs/>
        </w:rPr>
        <w:t xml:space="preserve">make</w:t>
      </w:r>
      <w:r>
        <w:t xml:space="preserve">) se fait à parts fixes ; la répartition entre </w:t>
      </w:r>
      <w:r>
        <w:rPr>
          <w:b/>
          <w:bCs/>
        </w:rPr>
        <w:t xml:space="preserve">ventes intérieures et exportations</w:t>
      </w:r>
      <w:r>
        <w:t xml:space="preserve"> suit une CET ; le bien composite absorbé sur le marché intérieur est un agrégat </w:t>
      </w:r>
      <w:r>
        <w:rPr>
          <w:b/>
          <w:bCs/>
        </w:rPr>
        <w:t xml:space="preserve">Armington</w:t>
      </w:r>
      <w:r>
        <w:t xml:space="preserve"> (production domestique / importations). La demande des ménages suit un </w:t>
      </w:r>
      <w:r>
        <w:rPr>
          <w:b/>
          <w:bCs/>
        </w:rPr>
        <w:t xml:space="preserve">système linéaire de dépenses (LES / Stone-Geary)</w:t>
      </w:r>
      <w:r>
        <w:t xml:space="preserve"> avec paramètre de Frisch.</w:t>
      </w:r>
    </w:p>
    <w:tbl>
      <w:tblPr>
        <w:tblW w:type="dxa" w:w="8000"/>
        <w:tblBorders>
          <w:top w:val="single" w:color="BBBBBB" w:sz="2"/>
          <w:left w:val="single" w:color="BBBBBB" w:sz="2"/>
          <w:bottom w:val="single" w:color="BBBBBB" w:sz="2"/>
          <w:right w:val="single" w:color="BBBBBB" w:sz="2"/>
          <w:insideH w:val="single" w:color="DDDDDD" w:sz="1"/>
          <w:insideV w:val="single" w:color="DDDDDD" w:sz="1"/>
        </w:tblBorders>
      </w:tblPr>
      <w:tblGrid>
        <w:gridCol w:w="2600"/>
        <w:gridCol w:w="2400"/>
        <w:gridCol w:w="3000"/>
      </w:tblGrid>
      <w:tr>
        <w:trPr>
          <w:tblHeader/>
        </w:trPr>
        <w:tc>
          <w:tcPr>
            <w:tcW w:type="dxa" w:w="2600"/>
            <w:shd w:fill="2F5496" w:color="auto" w:val="clear"/>
            <w:tcMar>
              <w:top w:type="dxa" w:w="40"/>
              <w:left w:type="dxa" w:w="80"/>
              <w:bottom w:type="dxa" w:w="40"/>
              <w:right w:type="dxa" w:w="80"/>
            </w:tcMar>
          </w:tcPr>
          <w:p>
            <w:pPr>
              <w:spacing w:after="0"/>
              <w:jc w:val="left"/>
            </w:pPr>
            <w:r>
              <w:rPr>
                <w:b/>
                <w:bCs/>
                <w:color w:val="FFFFFF"/>
                <w:sz w:val="18"/>
                <w:szCs w:val="18"/>
              </w:rPr>
              <w:t xml:space="preserve">Bloc</w:t>
            </w:r>
          </w:p>
        </w:tc>
        <w:tc>
          <w:tcPr>
            <w:tcW w:type="dxa" w:w="2400"/>
            <w:shd w:fill="2F5496" w:color="auto" w:val="clear"/>
            <w:tcMar>
              <w:top w:type="dxa" w:w="40"/>
              <w:left w:type="dxa" w:w="80"/>
              <w:bottom w:type="dxa" w:w="40"/>
              <w:right w:type="dxa" w:w="80"/>
            </w:tcMar>
          </w:tcPr>
          <w:p>
            <w:pPr>
              <w:spacing w:after="0"/>
              <w:jc w:val="left"/>
            </w:pPr>
            <w:r>
              <w:rPr>
                <w:b/>
                <w:bCs/>
                <w:color w:val="FFFFFF"/>
                <w:sz w:val="18"/>
                <w:szCs w:val="18"/>
              </w:rPr>
              <w:t xml:space="preserve">Fonction</w:t>
            </w:r>
          </w:p>
        </w:tc>
        <w:tc>
          <w:tcPr>
            <w:tcW w:type="dxa" w:w="3000"/>
            <w:shd w:fill="2F5496" w:color="auto" w:val="clear"/>
            <w:tcMar>
              <w:top w:type="dxa" w:w="40"/>
              <w:left w:type="dxa" w:w="80"/>
              <w:bottom w:type="dxa" w:w="40"/>
              <w:right w:type="dxa" w:w="80"/>
            </w:tcMar>
          </w:tcPr>
          <w:p>
            <w:pPr>
              <w:spacing w:after="0"/>
              <w:jc w:val="left"/>
            </w:pPr>
            <w:r>
              <w:rPr>
                <w:b/>
                <w:bCs/>
                <w:color w:val="FFFFFF"/>
                <w:sz w:val="18"/>
                <w:szCs w:val="18"/>
              </w:rPr>
              <w:t xml:space="preserve">Rôle</w:t>
            </w:r>
          </w:p>
        </w:tc>
      </w:tr>
      <w:tr>
        <w:tc>
          <w:tcPr>
            <w:tcW w:type="dxa" w:w="2600"/>
            <w:tcMar>
              <w:top w:type="dxa" w:w="40"/>
              <w:left w:type="dxa" w:w="80"/>
              <w:bottom w:type="dxa" w:w="40"/>
              <w:right w:type="dxa" w:w="80"/>
            </w:tcMar>
          </w:tcPr>
          <w:p>
            <w:pPr>
              <w:spacing w:after="0"/>
              <w:jc w:val="left"/>
            </w:pPr>
            <w:r>
              <w:rPr>
                <w:b w:val="false"/>
                <w:bCs w:val="false"/>
                <w:color w:val="000000"/>
                <w:sz w:val="18"/>
                <w:szCs w:val="18"/>
              </w:rPr>
              <w:t xml:space="preserve">Valeur ajoutée</w:t>
            </w:r>
          </w:p>
        </w:tc>
        <w:tc>
          <w:tcPr>
            <w:tcW w:type="dxa" w:w="2400"/>
            <w:tcMar>
              <w:top w:type="dxa" w:w="40"/>
              <w:left w:type="dxa" w:w="80"/>
              <w:bottom w:type="dxa" w:w="40"/>
              <w:right w:type="dxa" w:w="80"/>
            </w:tcMar>
          </w:tcPr>
          <w:p>
            <w:pPr>
              <w:spacing w:after="0"/>
              <w:jc w:val="left"/>
            </w:pPr>
            <w:r>
              <w:rPr>
                <w:b w:val="false"/>
                <w:bCs w:val="false"/>
                <w:color w:val="000000"/>
                <w:sz w:val="18"/>
                <w:szCs w:val="18"/>
              </w:rPr>
              <w:t xml:space="preserve">CES(travail, capital)</w:t>
            </w:r>
          </w:p>
        </w:tc>
        <w:tc>
          <w:tcPr>
            <w:tcW w:type="dxa" w:w="3000"/>
            <w:tcMar>
              <w:top w:type="dxa" w:w="40"/>
              <w:left w:type="dxa" w:w="80"/>
              <w:bottom w:type="dxa" w:w="40"/>
              <w:right w:type="dxa" w:w="80"/>
            </w:tcMar>
          </w:tcPr>
          <w:p>
            <w:pPr>
              <w:spacing w:after="0"/>
              <w:jc w:val="left"/>
            </w:pPr>
            <w:r>
              <w:rPr>
                <w:b w:val="false"/>
                <w:bCs w:val="false"/>
                <w:color w:val="000000"/>
                <w:sz w:val="18"/>
                <w:szCs w:val="18"/>
              </w:rPr>
              <w:t xml:space="preserve">Substitution facteurs</w:t>
            </w:r>
          </w:p>
        </w:tc>
      </w:tr>
      <w:tr>
        <w:tc>
          <w:tcPr>
            <w:tcW w:type="dxa" w:w="2600"/>
            <w:shd w:fill="F2F5FB" w:color="auto" w:val="clear"/>
            <w:tcMar>
              <w:top w:type="dxa" w:w="40"/>
              <w:left w:type="dxa" w:w="80"/>
              <w:bottom w:type="dxa" w:w="40"/>
              <w:right w:type="dxa" w:w="80"/>
            </w:tcMar>
          </w:tcPr>
          <w:p>
            <w:pPr>
              <w:spacing w:after="0"/>
              <w:jc w:val="left"/>
            </w:pPr>
            <w:r>
              <w:rPr>
                <w:b w:val="false"/>
                <w:bCs w:val="false"/>
                <w:color w:val="000000"/>
                <w:sz w:val="18"/>
                <w:szCs w:val="18"/>
              </w:rPr>
              <w:t xml:space="preserve">Travail / Capital composites</w:t>
            </w:r>
          </w:p>
        </w:tc>
        <w:tc>
          <w:tcPr>
            <w:tcW w:type="dxa" w:w="2400"/>
            <w:shd w:fill="F2F5FB" w:color="auto" w:val="clear"/>
            <w:tcMar>
              <w:top w:type="dxa" w:w="40"/>
              <w:left w:type="dxa" w:w="80"/>
              <w:bottom w:type="dxa" w:w="40"/>
              <w:right w:type="dxa" w:w="80"/>
            </w:tcMar>
          </w:tcPr>
          <w:p>
            <w:pPr>
              <w:spacing w:after="0"/>
              <w:jc w:val="left"/>
            </w:pPr>
            <w:r>
              <w:rPr>
                <w:b w:val="false"/>
                <w:bCs w:val="false"/>
                <w:color w:val="000000"/>
                <w:sz w:val="18"/>
                <w:szCs w:val="18"/>
              </w:rPr>
              <w:t xml:space="preserve">CES sur types</w:t>
            </w:r>
          </w:p>
        </w:tc>
        <w:tc>
          <w:tcPr>
            <w:tcW w:type="dxa" w:w="3000"/>
            <w:shd w:fill="F2F5FB" w:color="auto" w:val="clear"/>
            <w:tcMar>
              <w:top w:type="dxa" w:w="40"/>
              <w:left w:type="dxa" w:w="80"/>
              <w:bottom w:type="dxa" w:w="40"/>
              <w:right w:type="dxa" w:w="80"/>
            </w:tcMar>
          </w:tcPr>
          <w:p>
            <w:pPr>
              <w:spacing w:after="0"/>
              <w:jc w:val="left"/>
            </w:pPr>
            <w:r>
              <w:rPr>
                <w:b w:val="false"/>
                <w:bCs w:val="false"/>
                <w:color w:val="000000"/>
                <w:sz w:val="18"/>
                <w:szCs w:val="18"/>
              </w:rPr>
              <w:t xml:space="preserve">Agrégation des facteurs</w:t>
            </w:r>
          </w:p>
        </w:tc>
      </w:tr>
      <w:tr>
        <w:tc>
          <w:tcPr>
            <w:tcW w:type="dxa" w:w="2600"/>
            <w:tcMar>
              <w:top w:type="dxa" w:w="40"/>
              <w:left w:type="dxa" w:w="80"/>
              <w:bottom w:type="dxa" w:w="40"/>
              <w:right w:type="dxa" w:w="80"/>
            </w:tcMar>
          </w:tcPr>
          <w:p>
            <w:pPr>
              <w:spacing w:after="0"/>
              <w:jc w:val="left"/>
            </w:pPr>
            <w:r>
              <w:rPr>
                <w:b w:val="false"/>
                <w:bCs w:val="false"/>
                <w:color w:val="000000"/>
                <w:sz w:val="18"/>
                <w:szCs w:val="18"/>
              </w:rPr>
              <w:t xml:space="preserve">Consommation intermédiaire</w:t>
            </w:r>
          </w:p>
        </w:tc>
        <w:tc>
          <w:tcPr>
            <w:tcW w:type="dxa" w:w="2400"/>
            <w:tcMar>
              <w:top w:type="dxa" w:w="40"/>
              <w:left w:type="dxa" w:w="80"/>
              <w:bottom w:type="dxa" w:w="40"/>
              <w:right w:type="dxa" w:w="80"/>
            </w:tcMar>
          </w:tcPr>
          <w:p>
            <w:pPr>
              <w:spacing w:after="0"/>
              <w:jc w:val="left"/>
            </w:pPr>
            <w:r>
              <w:rPr>
                <w:b w:val="false"/>
                <w:bCs w:val="false"/>
                <w:color w:val="000000"/>
                <w:sz w:val="18"/>
                <w:szCs w:val="18"/>
              </w:rPr>
              <w:t xml:space="preserve">Leontief</w:t>
            </w:r>
          </w:p>
        </w:tc>
        <w:tc>
          <w:tcPr>
            <w:tcW w:type="dxa" w:w="3000"/>
            <w:tcMar>
              <w:top w:type="dxa" w:w="40"/>
              <w:left w:type="dxa" w:w="80"/>
              <w:bottom w:type="dxa" w:w="40"/>
              <w:right w:type="dxa" w:w="80"/>
            </w:tcMar>
          </w:tcPr>
          <w:p>
            <w:pPr>
              <w:spacing w:after="0"/>
              <w:jc w:val="left"/>
            </w:pPr>
            <w:r>
              <w:rPr>
                <w:b w:val="false"/>
                <w:bCs w:val="false"/>
                <w:color w:val="000000"/>
                <w:sz w:val="18"/>
                <w:szCs w:val="18"/>
              </w:rPr>
              <w:t xml:space="preserve">Coefficients techniques fixes</w:t>
            </w:r>
          </w:p>
        </w:tc>
      </w:tr>
      <w:tr>
        <w:tc>
          <w:tcPr>
            <w:tcW w:type="dxa" w:w="2600"/>
            <w:shd w:fill="F2F5FB" w:color="auto" w:val="clear"/>
            <w:tcMar>
              <w:top w:type="dxa" w:w="40"/>
              <w:left w:type="dxa" w:w="80"/>
              <w:bottom w:type="dxa" w:w="40"/>
              <w:right w:type="dxa" w:w="80"/>
            </w:tcMar>
          </w:tcPr>
          <w:p>
            <w:pPr>
              <w:spacing w:after="0"/>
              <w:jc w:val="left"/>
            </w:pPr>
            <w:r>
              <w:rPr>
                <w:b w:val="false"/>
                <w:bCs w:val="false"/>
                <w:color w:val="000000"/>
                <w:sz w:val="18"/>
                <w:szCs w:val="18"/>
              </w:rPr>
              <w:t xml:space="preserve">Production → biens (make)</w:t>
            </w:r>
          </w:p>
        </w:tc>
        <w:tc>
          <w:tcPr>
            <w:tcW w:type="dxa" w:w="2400"/>
            <w:shd w:fill="F2F5FB" w:color="auto" w:val="clear"/>
            <w:tcMar>
              <w:top w:type="dxa" w:w="40"/>
              <w:left w:type="dxa" w:w="80"/>
              <w:bottom w:type="dxa" w:w="40"/>
              <w:right w:type="dxa" w:w="80"/>
            </w:tcMar>
          </w:tcPr>
          <w:p>
            <w:pPr>
              <w:spacing w:after="0"/>
              <w:jc w:val="left"/>
            </w:pPr>
            <w:r>
              <w:rPr>
                <w:b w:val="false"/>
                <w:bCs w:val="false"/>
                <w:color w:val="000000"/>
                <w:sz w:val="18"/>
                <w:szCs w:val="18"/>
              </w:rPr>
              <w:t xml:space="preserve">Parts fixes</w:t>
            </w:r>
          </w:p>
        </w:tc>
        <w:tc>
          <w:tcPr>
            <w:tcW w:type="dxa" w:w="3000"/>
            <w:shd w:fill="F2F5FB" w:color="auto" w:val="clear"/>
            <w:tcMar>
              <w:top w:type="dxa" w:w="40"/>
              <w:left w:type="dxa" w:w="80"/>
              <w:bottom w:type="dxa" w:w="40"/>
              <w:right w:type="dxa" w:w="80"/>
            </w:tcMar>
          </w:tcPr>
          <w:p>
            <w:pPr>
              <w:spacing w:after="0"/>
              <w:jc w:val="left"/>
            </w:pPr>
            <w:r>
              <w:rPr>
                <w:b w:val="false"/>
                <w:bCs w:val="false"/>
                <w:color w:val="000000"/>
                <w:sz w:val="18"/>
                <w:szCs w:val="18"/>
              </w:rPr>
              <w:t xml:space="preserve">Multi-produits par branche</w:t>
            </w:r>
          </w:p>
        </w:tc>
      </w:tr>
      <w:tr>
        <w:tc>
          <w:tcPr>
            <w:tcW w:type="dxa" w:w="2600"/>
            <w:tcMar>
              <w:top w:type="dxa" w:w="40"/>
              <w:left w:type="dxa" w:w="80"/>
              <w:bottom w:type="dxa" w:w="40"/>
              <w:right w:type="dxa" w:w="80"/>
            </w:tcMar>
          </w:tcPr>
          <w:p>
            <w:pPr>
              <w:spacing w:after="0"/>
              <w:jc w:val="left"/>
            </w:pPr>
            <w:r>
              <w:rPr>
                <w:b w:val="false"/>
                <w:bCs w:val="false"/>
                <w:color w:val="000000"/>
                <w:sz w:val="18"/>
                <w:szCs w:val="18"/>
              </w:rPr>
              <w:t xml:space="preserve">Ventes intérieures / exportations</w:t>
            </w:r>
          </w:p>
        </w:tc>
        <w:tc>
          <w:tcPr>
            <w:tcW w:type="dxa" w:w="2400"/>
            <w:tcMar>
              <w:top w:type="dxa" w:w="40"/>
              <w:left w:type="dxa" w:w="80"/>
              <w:bottom w:type="dxa" w:w="40"/>
              <w:right w:type="dxa" w:w="80"/>
            </w:tcMar>
          </w:tcPr>
          <w:p>
            <w:pPr>
              <w:spacing w:after="0"/>
              <w:jc w:val="left"/>
            </w:pPr>
            <w:r>
              <w:rPr>
                <w:b w:val="false"/>
                <w:bCs w:val="false"/>
                <w:color w:val="000000"/>
                <w:sz w:val="18"/>
                <w:szCs w:val="18"/>
              </w:rPr>
              <w:t xml:space="preserve">CET</w:t>
            </w:r>
          </w:p>
        </w:tc>
        <w:tc>
          <w:tcPr>
            <w:tcW w:type="dxa" w:w="3000"/>
            <w:tcMar>
              <w:top w:type="dxa" w:w="40"/>
              <w:left w:type="dxa" w:w="80"/>
              <w:bottom w:type="dxa" w:w="40"/>
              <w:right w:type="dxa" w:w="80"/>
            </w:tcMar>
          </w:tcPr>
          <w:p>
            <w:pPr>
              <w:spacing w:after="0"/>
              <w:jc w:val="left"/>
            </w:pPr>
            <w:r>
              <w:rPr>
                <w:b w:val="false"/>
                <w:bCs w:val="false"/>
                <w:color w:val="000000"/>
                <w:sz w:val="18"/>
                <w:szCs w:val="18"/>
              </w:rPr>
              <w:t xml:space="preserve">Transformation à l'offre</w:t>
            </w:r>
          </w:p>
        </w:tc>
      </w:tr>
      <w:tr>
        <w:tc>
          <w:tcPr>
            <w:tcW w:type="dxa" w:w="2600"/>
            <w:shd w:fill="F2F5FB" w:color="auto" w:val="clear"/>
            <w:tcMar>
              <w:top w:type="dxa" w:w="40"/>
              <w:left w:type="dxa" w:w="80"/>
              <w:bottom w:type="dxa" w:w="40"/>
              <w:right w:type="dxa" w:w="80"/>
            </w:tcMar>
          </w:tcPr>
          <w:p>
            <w:pPr>
              <w:spacing w:after="0"/>
              <w:jc w:val="left"/>
            </w:pPr>
            <w:r>
              <w:rPr>
                <w:b w:val="false"/>
                <w:bCs w:val="false"/>
                <w:color w:val="000000"/>
                <w:sz w:val="18"/>
                <w:szCs w:val="18"/>
              </w:rPr>
              <w:t xml:space="preserve">Bien composite</w:t>
            </w:r>
          </w:p>
        </w:tc>
        <w:tc>
          <w:tcPr>
            <w:tcW w:type="dxa" w:w="2400"/>
            <w:shd w:fill="F2F5FB" w:color="auto" w:val="clear"/>
            <w:tcMar>
              <w:top w:type="dxa" w:w="40"/>
              <w:left w:type="dxa" w:w="80"/>
              <w:bottom w:type="dxa" w:w="40"/>
              <w:right w:type="dxa" w:w="80"/>
            </w:tcMar>
          </w:tcPr>
          <w:p>
            <w:pPr>
              <w:spacing w:after="0"/>
              <w:jc w:val="left"/>
            </w:pPr>
            <w:r>
              <w:rPr>
                <w:b w:val="false"/>
                <w:bCs w:val="false"/>
                <w:color w:val="000000"/>
                <w:sz w:val="18"/>
                <w:szCs w:val="18"/>
              </w:rPr>
              <w:t xml:space="preserve">Armington (CES)</w:t>
            </w:r>
          </w:p>
        </w:tc>
        <w:tc>
          <w:tcPr>
            <w:tcW w:type="dxa" w:w="3000"/>
            <w:shd w:fill="F2F5FB" w:color="auto" w:val="clear"/>
            <w:tcMar>
              <w:top w:type="dxa" w:w="40"/>
              <w:left w:type="dxa" w:w="80"/>
              <w:bottom w:type="dxa" w:w="40"/>
              <w:right w:type="dxa" w:w="80"/>
            </w:tcMar>
          </w:tcPr>
          <w:p>
            <w:pPr>
              <w:spacing w:after="0"/>
              <w:jc w:val="left"/>
            </w:pPr>
            <w:r>
              <w:rPr>
                <w:b w:val="false"/>
                <w:bCs w:val="false"/>
                <w:color w:val="000000"/>
                <w:sz w:val="18"/>
                <w:szCs w:val="18"/>
              </w:rPr>
              <w:t xml:space="preserve">Domestique vs importé</w:t>
            </w:r>
          </w:p>
        </w:tc>
      </w:tr>
      <w:tr>
        <w:tc>
          <w:tcPr>
            <w:tcW w:type="dxa" w:w="2600"/>
            <w:tcMar>
              <w:top w:type="dxa" w:w="40"/>
              <w:left w:type="dxa" w:w="80"/>
              <w:bottom w:type="dxa" w:w="40"/>
              <w:right w:type="dxa" w:w="80"/>
            </w:tcMar>
          </w:tcPr>
          <w:p>
            <w:pPr>
              <w:spacing w:after="0"/>
              <w:jc w:val="left"/>
            </w:pPr>
            <w:r>
              <w:rPr>
                <w:b w:val="false"/>
                <w:bCs w:val="false"/>
                <w:color w:val="000000"/>
                <w:sz w:val="18"/>
                <w:szCs w:val="18"/>
              </w:rPr>
              <w:t xml:space="preserve">Consommation des ménages</w:t>
            </w:r>
          </w:p>
        </w:tc>
        <w:tc>
          <w:tcPr>
            <w:tcW w:type="dxa" w:w="2400"/>
            <w:tcMar>
              <w:top w:type="dxa" w:w="40"/>
              <w:left w:type="dxa" w:w="80"/>
              <w:bottom w:type="dxa" w:w="40"/>
              <w:right w:type="dxa" w:w="80"/>
            </w:tcMar>
          </w:tcPr>
          <w:p>
            <w:pPr>
              <w:spacing w:after="0"/>
              <w:jc w:val="left"/>
            </w:pPr>
            <w:r>
              <w:rPr>
                <w:b w:val="false"/>
                <w:bCs w:val="false"/>
                <w:color w:val="000000"/>
                <w:sz w:val="18"/>
                <w:szCs w:val="18"/>
              </w:rPr>
              <w:t xml:space="preserve">LES (Stone-Geary)</w:t>
            </w:r>
          </w:p>
        </w:tc>
        <w:tc>
          <w:tcPr>
            <w:tcW w:type="dxa" w:w="3000"/>
            <w:tcMar>
              <w:top w:type="dxa" w:w="40"/>
              <w:left w:type="dxa" w:w="80"/>
              <w:bottom w:type="dxa" w:w="40"/>
              <w:right w:type="dxa" w:w="80"/>
            </w:tcMar>
          </w:tcPr>
          <w:p>
            <w:pPr>
              <w:spacing w:after="0"/>
              <w:jc w:val="left"/>
            </w:pPr>
            <w:r>
              <w:rPr>
                <w:b w:val="false"/>
                <w:bCs w:val="false"/>
                <w:color w:val="000000"/>
                <w:sz w:val="18"/>
                <w:szCs w:val="18"/>
              </w:rPr>
              <w:t xml:space="preserve">Effets revenu et prix</w:t>
            </w:r>
          </w:p>
        </w:tc>
      </w:tr>
    </w:tbl>
    <w:p>
      <w:pPr>
        <w:spacing w:after="80"/>
      </w:pPr>
    </w:p>
    <w:p>
      <w:pPr>
        <w:pStyle w:val="Heading2"/>
        <w:spacing w:after="110" w:before="240"/>
      </w:pPr>
      <w:r>
        <w:rPr>
          <w:color w:val="2F5496"/>
        </w:rPr>
        <w:t xml:space="preserve">3.2 Taxes en coin de prix</w:t>
      </w:r>
    </w:p>
    <w:p>
      <w:pPr>
        <w:spacing w:after="120" w:line="264"/>
        <w:jc w:val="both"/>
      </w:pPr>
      <w:r>
        <w:t xml:space="preserve">Les taxes sur les produits sont modélisées en </w:t>
      </w:r>
      <w:r>
        <w:rPr>
          <w:b/>
          <w:bCs/>
        </w:rPr>
        <w:t xml:space="preserve">coin de prix</w:t>
      </w:r>
      <w:r>
        <w:t xml:space="preserve"> : le prix d'achat s'écrit </w:t>
      </w:r>
      <w:r>
        <w:rPr>
          <w:i/>
          <w:iCs/>
        </w:rPr>
        <w:t xml:space="preserve">PC = (1+tic)·PA</w:t>
      </w:r>
      <w:r>
        <w:t xml:space="preserve"> où </w:t>
      </w:r>
      <w:r>
        <w:rPr>
          <w:i/>
          <w:iCs/>
        </w:rPr>
        <w:t xml:space="preserve">PA</w:t>
      </w:r>
      <w:r>
        <w:t xml:space="preserve"> est le prix Armington de base et </w:t>
      </w:r>
      <w:r>
        <w:rPr>
          <w:i/>
          <w:iCs/>
        </w:rPr>
        <w:t xml:space="preserve">tic</w:t>
      </w:r>
      <w:r>
        <w:t xml:space="preserve"> le taux de taxe. Les quantités de base sont recalibrées en valeurs de base (valeur/(1+tic)) et le part de valeur ajoutée est déduite de l'identité de l'output pour garantir la cohérence de la condition de zéro-profit. Les recettes fiscales (produits, production, impôts directs) sont endogènes, ce qui rend possibles les </w:t>
      </w:r>
      <w:r>
        <w:rPr>
          <w:b/>
          <w:bCs/>
        </w:rPr>
        <w:t xml:space="preserve">simulations de politique fiscale</w:t>
      </w:r>
      <w:r>
        <w:t xml:space="preserve"> (le prix à la consommation répond à la taxe).</w:t>
      </w:r>
    </w:p>
    <w:p>
      <w:pPr>
        <w:pStyle w:val="Heading2"/>
        <w:spacing w:after="110" w:before="240"/>
      </w:pPr>
      <w:r>
        <w:rPr>
          <w:color w:val="2F5496"/>
        </w:rPr>
        <w:t xml:space="preserve">3.3 Marges de commerce et de transport</w:t>
      </w:r>
    </w:p>
    <w:p>
      <w:pPr>
        <w:spacing w:after="120" w:line="264"/>
        <w:jc w:val="both"/>
      </w:pPr>
      <w:r>
        <w:t xml:space="preserve">Faute de matrice d'utilisation des marges par produit, les biens-marges (commerce, transport — identifiés par une taxe produit fortement négative dans la MCS) voient leur demande </w:t>
      </w:r>
      <w:r>
        <w:rPr>
          <w:b/>
          <w:bCs/>
        </w:rPr>
        <w:t xml:space="preserve">endogénéisée proportionnellement au volume total échangé</w:t>
      </w:r>
      <w:r>
        <w:t xml:space="preserve"> : la demande de services de marge du bien </w:t>
      </w:r>
      <w:r>
        <w:rPr>
          <w:i/>
          <w:iCs/>
        </w:rPr>
        <w:t xml:space="preserve">m</w:t>
      </w:r>
      <w:r>
        <w:t xml:space="preserve"> est </w:t>
      </w:r>
      <w:r>
        <w:rPr>
          <w:i/>
          <w:iCs/>
        </w:rPr>
        <w:t xml:space="preserve">pmarg_m · Q_total</w:t>
      </w:r>
      <w:r>
        <w:t xml:space="preserve">, ce qui reproduit exactement le benchmark et fait varier les marges avec l'activité commerciale. Le coefficient se réduit à un scalaire, ce qui préserve la simplicité et la vitesse.</w:t>
      </w:r>
    </w:p>
    <w:p>
      <w:pPr>
        <w:pStyle w:val="Heading2"/>
        <w:spacing w:after="110" w:before="240"/>
      </w:pPr>
      <w:r>
        <w:rPr>
          <w:color w:val="2F5496"/>
        </w:rPr>
        <w:t xml:space="preserve">3.4 Capital mobile ou sectoriel</w:t>
      </w:r>
    </w:p>
    <w:p>
      <w:pPr>
        <w:spacing w:after="120" w:line="264"/>
        <w:jc w:val="both"/>
      </w:pPr>
      <w:r>
        <w:t xml:space="preserve">Deux fermetures du marché du capital sont offertes. En </w:t>
      </w:r>
      <w:r>
        <w:rPr>
          <w:b/>
          <w:bCs/>
        </w:rPr>
        <w:t xml:space="preserve">capital mobile</w:t>
      </w:r>
      <w:r>
        <w:t xml:space="preserve"> (défaut), une rente unique par type de capital équilibre l'offre agrégée. En </w:t>
      </w:r>
      <w:r>
        <w:rPr>
          <w:b/>
          <w:bCs/>
        </w:rPr>
        <w:t xml:space="preserve">capital sectoriel</w:t>
      </w:r>
      <w:r>
        <w:t xml:space="preserve"> (</w:t>
      </w:r>
      <w:r>
        <w:rPr>
          <w:rFonts w:ascii="Consolas" w:cs="Consolas" w:eastAsia="Consolas" w:hAnsi="Consolas"/>
          <w:sz w:val="18"/>
          <w:szCs w:val="18"/>
        </w:rPr>
        <w:t xml:space="preserve">sec_cap=True</w:t>
      </w:r>
      <w:r>
        <w:t xml:space="preserve">, mode PEP-1-t), le capital est spécifique à chaque branche (rente sectorielle endogène) ; le système passe à ~405 inconnues et sert l'analyse de long terme avec accumulation par branche.</w:t>
      </w:r>
    </w:p>
    <w:p>
      <w:pPr>
        <w:pStyle w:val="Heading2"/>
        <w:spacing w:after="110" w:before="240"/>
      </w:pPr>
      <w:r>
        <w:rPr>
          <w:color w:val="2F5496"/>
        </w:rPr>
        <w:t xml:space="preserve">3.5 Bouclages macroéconomiques</w:t>
      </w:r>
    </w:p>
    <w:p>
      <w:pPr>
        <w:spacing w:after="120" w:line="264"/>
        <w:jc w:val="both"/>
      </w:pPr>
      <w:r>
        <w:t xml:space="preserve">Deux axes de clôture sont paramétrables, pour l'analyse de sensibilité entre horizons :</w:t>
      </w:r>
    </w:p>
    <w:tbl>
      <w:tblPr>
        <w:tblW w:type="dxa" w:w="8000"/>
        <w:tblBorders>
          <w:top w:val="single" w:color="BBBBBB" w:sz="2"/>
          <w:left w:val="single" w:color="BBBBBB" w:sz="2"/>
          <w:bottom w:val="single" w:color="BBBBBB" w:sz="2"/>
          <w:right w:val="single" w:color="BBBBBB" w:sz="2"/>
          <w:insideH w:val="single" w:color="DDDDDD" w:sz="1"/>
          <w:insideV w:val="single" w:color="DDDDDD" w:sz="1"/>
        </w:tblBorders>
      </w:tblPr>
      <w:tblGrid>
        <w:gridCol w:w="2200"/>
        <w:gridCol w:w="2600"/>
        <w:gridCol w:w="3200"/>
      </w:tblGrid>
      <w:tr>
        <w:trPr>
          <w:tblHeader/>
        </w:trPr>
        <w:tc>
          <w:tcPr>
            <w:tcW w:type="dxa" w:w="2200"/>
            <w:shd w:fill="2F5496" w:color="auto" w:val="clear"/>
            <w:tcMar>
              <w:top w:type="dxa" w:w="40"/>
              <w:left w:type="dxa" w:w="80"/>
              <w:bottom w:type="dxa" w:w="40"/>
              <w:right w:type="dxa" w:w="80"/>
            </w:tcMar>
          </w:tcPr>
          <w:p>
            <w:pPr>
              <w:spacing w:after="0"/>
              <w:jc w:val="left"/>
            </w:pPr>
            <w:r>
              <w:rPr>
                <w:b/>
                <w:bCs/>
                <w:color w:val="FFFFFF"/>
                <w:sz w:val="18"/>
                <w:szCs w:val="18"/>
              </w:rPr>
              <w:t xml:space="preserve">Axe</w:t>
            </w:r>
          </w:p>
        </w:tc>
        <w:tc>
          <w:tcPr>
            <w:tcW w:type="dxa" w:w="2600"/>
            <w:shd w:fill="2F5496" w:color="auto" w:val="clear"/>
            <w:tcMar>
              <w:top w:type="dxa" w:w="40"/>
              <w:left w:type="dxa" w:w="80"/>
              <w:bottom w:type="dxa" w:w="40"/>
              <w:right w:type="dxa" w:w="80"/>
            </w:tcMar>
          </w:tcPr>
          <w:p>
            <w:pPr>
              <w:spacing w:after="0"/>
              <w:jc w:val="left"/>
            </w:pPr>
            <w:r>
              <w:rPr>
                <w:b/>
                <w:bCs/>
                <w:color w:val="FFFFFF"/>
                <w:sz w:val="18"/>
                <w:szCs w:val="18"/>
              </w:rPr>
              <w:t xml:space="preserve">Options</w:t>
            </w:r>
          </w:p>
        </w:tc>
        <w:tc>
          <w:tcPr>
            <w:tcW w:type="dxa" w:w="3200"/>
            <w:shd w:fill="2F5496" w:color="auto" w:val="clear"/>
            <w:tcMar>
              <w:top w:type="dxa" w:w="40"/>
              <w:left w:type="dxa" w:w="80"/>
              <w:bottom w:type="dxa" w:w="40"/>
              <w:right w:type="dxa" w:w="80"/>
            </w:tcMar>
          </w:tcPr>
          <w:p>
            <w:pPr>
              <w:spacing w:after="0"/>
              <w:jc w:val="left"/>
            </w:pPr>
            <w:r>
              <w:rPr>
                <w:b/>
                <w:bCs/>
                <w:color w:val="FFFFFF"/>
                <w:sz w:val="18"/>
                <w:szCs w:val="18"/>
              </w:rPr>
              <w:t xml:space="preserve">Interprétation</w:t>
            </w:r>
          </w:p>
        </w:tc>
      </w:tr>
      <w:tr>
        <w:tc>
          <w:tcPr>
            <w:tcW w:type="dxa" w:w="2200"/>
            <w:tcMar>
              <w:top w:type="dxa" w:w="40"/>
              <w:left w:type="dxa" w:w="80"/>
              <w:bottom w:type="dxa" w:w="40"/>
              <w:right w:type="dxa" w:w="80"/>
            </w:tcMar>
          </w:tcPr>
          <w:p>
            <w:pPr>
              <w:spacing w:after="0"/>
              <w:jc w:val="left"/>
            </w:pPr>
            <w:r>
              <w:rPr>
                <w:b w:val="false"/>
                <w:bCs w:val="false"/>
                <w:color w:val="000000"/>
                <w:sz w:val="18"/>
                <w:szCs w:val="18"/>
              </w:rPr>
              <w:t xml:space="preserve">Marché du travail</w:t>
            </w:r>
          </w:p>
        </w:tc>
        <w:tc>
          <w:tcPr>
            <w:tcW w:type="dxa" w:w="2600"/>
            <w:tcMar>
              <w:top w:type="dxa" w:w="40"/>
              <w:left w:type="dxa" w:w="80"/>
              <w:bottom w:type="dxa" w:w="40"/>
              <w:right w:type="dxa" w:w="80"/>
            </w:tcMar>
          </w:tcPr>
          <w:p>
            <w:pPr>
              <w:spacing w:after="0"/>
              <w:jc w:val="left"/>
            </w:pPr>
            <w:r>
              <w:rPr>
                <w:b w:val="false"/>
                <w:bCs w:val="false"/>
                <w:color w:val="000000"/>
                <w:sz w:val="18"/>
                <w:szCs w:val="18"/>
              </w:rPr>
              <w:t xml:space="preserve">plein_emploi | chomage</w:t>
            </w:r>
          </w:p>
        </w:tc>
        <w:tc>
          <w:tcPr>
            <w:tcW w:type="dxa" w:w="3200"/>
            <w:tcMar>
              <w:top w:type="dxa" w:w="40"/>
              <w:left w:type="dxa" w:w="80"/>
              <w:bottom w:type="dxa" w:w="40"/>
              <w:right w:type="dxa" w:w="80"/>
            </w:tcMar>
          </w:tcPr>
          <w:p>
            <w:pPr>
              <w:spacing w:after="0"/>
              <w:jc w:val="left"/>
            </w:pPr>
            <w:r>
              <w:rPr>
                <w:b w:val="false"/>
                <w:bCs w:val="false"/>
                <w:color w:val="000000"/>
                <w:sz w:val="18"/>
                <w:szCs w:val="18"/>
              </w:rPr>
              <w:t xml:space="preserve">Offre fixe &amp; salaire flexible (LT) vs salaire réel fixe &amp; emploi flexible (CT)</w:t>
            </w:r>
          </w:p>
        </w:tc>
      </w:tr>
      <w:tr>
        <w:tc>
          <w:tcPr>
            <w:tcW w:type="dxa" w:w="2200"/>
            <w:shd w:fill="F2F5FB" w:color="auto" w:val="clear"/>
            <w:tcMar>
              <w:top w:type="dxa" w:w="40"/>
              <w:left w:type="dxa" w:w="80"/>
              <w:bottom w:type="dxa" w:w="40"/>
              <w:right w:type="dxa" w:w="80"/>
            </w:tcMar>
          </w:tcPr>
          <w:p>
            <w:pPr>
              <w:spacing w:after="0"/>
              <w:jc w:val="left"/>
            </w:pPr>
            <w:r>
              <w:rPr>
                <w:b w:val="false"/>
                <w:bCs w:val="false"/>
                <w:color w:val="000000"/>
                <w:sz w:val="18"/>
                <w:szCs w:val="18"/>
              </w:rPr>
              <w:t xml:space="preserve">Épargne-Investissement</w:t>
            </w:r>
          </w:p>
        </w:tc>
        <w:tc>
          <w:tcPr>
            <w:tcW w:type="dxa" w:w="2600"/>
            <w:shd w:fill="F2F5FB" w:color="auto" w:val="clear"/>
            <w:tcMar>
              <w:top w:type="dxa" w:w="40"/>
              <w:left w:type="dxa" w:w="80"/>
              <w:bottom w:type="dxa" w:w="40"/>
              <w:right w:type="dxa" w:w="80"/>
            </w:tcMar>
          </w:tcPr>
          <w:p>
            <w:pPr>
              <w:spacing w:after="0"/>
              <w:jc w:val="left"/>
            </w:pPr>
            <w:r>
              <w:rPr>
                <w:b w:val="false"/>
                <w:bCs w:val="false"/>
                <w:color w:val="000000"/>
                <w:sz w:val="18"/>
                <w:szCs w:val="18"/>
              </w:rPr>
              <w:t xml:space="preserve">epargne | exogene</w:t>
            </w:r>
          </w:p>
        </w:tc>
        <w:tc>
          <w:tcPr>
            <w:tcW w:type="dxa" w:w="3200"/>
            <w:shd w:fill="F2F5FB" w:color="auto" w:val="clear"/>
            <w:tcMar>
              <w:top w:type="dxa" w:w="40"/>
              <w:left w:type="dxa" w:w="80"/>
              <w:bottom w:type="dxa" w:w="40"/>
              <w:right w:type="dxa" w:w="80"/>
            </w:tcMar>
          </w:tcPr>
          <w:p>
            <w:pPr>
              <w:spacing w:after="0"/>
              <w:jc w:val="left"/>
            </w:pPr>
            <w:r>
              <w:rPr>
                <w:b w:val="false"/>
                <w:bCs w:val="false"/>
                <w:color w:val="000000"/>
                <w:sz w:val="18"/>
                <w:szCs w:val="18"/>
              </w:rPr>
              <w:t xml:space="preserve">Investissement tiré par l'épargne (néoclassique) vs investissement réel fixe (keynésien)</w:t>
            </w:r>
          </w:p>
        </w:tc>
      </w:tr>
    </w:tbl>
    <w:p>
      <w:pPr>
        <w:spacing w:after="80"/>
      </w:pPr>
    </w:p>
    <w:p>
      <w:pPr>
        <w:spacing w:after="120" w:line="264"/>
        <w:jc w:val="both"/>
      </w:pPr>
      <w:r>
        <w:t xml:space="preserve">Le </w:t>
      </w:r>
      <w:r>
        <w:rPr>
          <w:b/>
          <w:bCs/>
        </w:rPr>
        <w:t xml:space="preserve">numéraire est le taux de change</w:t>
      </w:r>
      <w:r>
        <w:t xml:space="preserve"> (e=1), cohérent avec l'ancrage du franc CFA à l'euro. La clôture budgétaire de l'État est </w:t>
      </w:r>
      <w:r>
        <w:rPr>
          <w:i/>
          <w:iCs/>
        </w:rPr>
        <w:t xml:space="preserve">dépenses réelles + épargne fixes</w:t>
      </w:r>
      <w:r>
        <w:t xml:space="preserve"> (standard PEP).</w:t>
      </w:r>
    </w:p>
    <w:p>
      <w:r>
        <w:br w:type="page"/>
      </w:r>
    </w:p>
    <w:p>
      <w:pPr>
        <w:pStyle w:val="Heading1"/>
        <w:spacing w:after="110" w:before="240"/>
      </w:pPr>
      <w:r>
        <w:rPr>
          <w:color w:val="1F3864"/>
        </w:rPr>
        <w:t xml:space="preserve">4. Résolution numérique</w:t>
      </w:r>
    </w:p>
    <w:p>
      <w:pPr>
        <w:spacing w:after="120" w:line="264"/>
        <w:jc w:val="both"/>
      </w:pPr>
      <w:r>
        <w:t xml:space="preserve">L'équilibre est le zéro d'un système carré. Les inconnues (capital mobile) sont les prix locaux des biens (139), les salaires (2), les rentes (2) et les niveaux de production par branche (88). Les résidus empilent : zéro-profit par branche (88), équilibre des marchés des biens (139), équilibre des marchés des facteurs (2 + 2).</w:t>
      </w:r>
    </w:p>
    <w:p>
      <w:pPr>
        <w:pStyle w:val="Heading2"/>
        <w:spacing w:after="110" w:before="240"/>
      </w:pPr>
      <w:r>
        <w:rPr>
          <w:color w:val="2F5496"/>
        </w:rPr>
        <w:t xml:space="preserve">4.1 Conditionnement : résidus relatifs</w:t>
      </w:r>
    </w:p>
    <w:p>
      <w:pPr>
        <w:spacing w:after="120" w:line="264"/>
        <w:jc w:val="both"/>
      </w:pPr>
      <w:r>
        <w:t xml:space="preserve">Point clé de robustesse : </w:t>
      </w:r>
      <w:r>
        <w:rPr>
          <w:b/>
          <w:bCs/>
        </w:rPr>
        <w:t xml:space="preserve">tous les résidus sont normalisés en termes relatifs</w:t>
      </w:r>
      <w:r>
        <w:t xml:space="preserve"> (écart divisé par la grandeur de référence du compte). Sans cela, les résidus s'étalaient sur plusieurs ordres de grandeur et Levenberg-Marquardt stagnait. Après normalisation, l'équilibre de base se résout à </w:t>
      </w:r>
      <w:r>
        <w:rPr>
          <w:b/>
          <w:bCs/>
        </w:rPr>
        <w:t xml:space="preserve">~10⁻¹³</w:t>
      </w:r>
      <w:r>
        <w:t xml:space="preserve"> (précision machine) en capital mobile comme sectoriel.</w:t>
      </w:r>
    </w:p>
    <w:p>
      <w:pPr>
        <w:pStyle w:val="Heading2"/>
        <w:spacing w:after="110" w:before="240"/>
      </w:pPr>
      <w:r>
        <w:rPr>
          <w:color w:val="2F5496"/>
        </w:rPr>
        <w:t xml:space="preserve">4.2 Homotopie pour les grands chocs</w:t>
      </w:r>
    </w:p>
    <w:p>
      <w:pPr>
        <w:spacing w:after="120" w:line="264"/>
        <w:jc w:val="both"/>
      </w:pPr>
      <w:r>
        <w:t xml:space="preserve">Les chocs importants (ex. +10 % de productivité) éloignent fortement l'équilibre et ralentissent la convergence directe. Le solveur applique alors une </w:t>
      </w:r>
      <w:r>
        <w:rPr>
          <w:b/>
          <w:bCs/>
        </w:rPr>
        <w:t xml:space="preserve">homotopie</w:t>
      </w:r>
      <w:r>
        <w:t xml:space="preserve"> : le choc est monté progressivement de 0 à 1 en plusieurs pas, chaque pas réchauffant la solution précédente (</w:t>
      </w:r>
      <w:r>
        <w:rPr>
          <w:rFonts w:ascii="Consolas" w:cs="Consolas" w:eastAsia="Consolas" w:hAnsi="Consolas"/>
          <w:sz w:val="18"/>
          <w:szCs w:val="18"/>
        </w:rPr>
        <w:t xml:space="preserve">run_static(..., steps=5)</w:t>
      </w:r>
      <w:r>
        <w:t xml:space="preserve">). Cela stabilise la convergence.</w:t>
      </w:r>
    </w:p>
    <w:p>
      <w:pPr>
        <w:spacing w:after="120" w:line="264"/>
        <w:jc w:val="both"/>
      </w:pPr>
      <w:r>
        <w:rPr>
          <w:b/>
          <w:bCs/>
          <w:color w:val="C55A11"/>
        </w:rPr>
        <w:t xml:space="preserve">Recommandation (passage à l'échelle) : </w:t>
      </w:r>
      <w:r>
        <w:rPr>
          <w:color w:val="C55A11"/>
        </w:rPr>
        <w:t xml:space="preserve">le Jacobien est actuellement dense (différences finies). Pour un modèle national (~231–405 variables) la résolution est de l'ordre de la seconde. Pour un futur modèle multi-régional (&gt;10 000 variables), il faudrait fournir un motif de parcimonie (Jacobien creux) ou recourir à la différentiation automatique (JAX/CasADi).</w:t>
      </w:r>
    </w:p>
    <w:p>
      <w:pPr>
        <w:pStyle w:val="Heading1"/>
        <w:spacing w:after="110" w:before="240"/>
      </w:pPr>
      <w:r>
        <w:rPr>
          <w:color w:val="1F3864"/>
        </w:rPr>
        <w:t xml:space="preserve">5. Dynamique récursive</w:t>
      </w:r>
    </w:p>
    <w:p>
      <w:pPr>
        <w:spacing w:after="120" w:line="264"/>
        <w:jc w:val="both"/>
      </w:pPr>
      <w:r>
        <w:t xml:space="preserve">La dynamique résout l'équilibre statique période par période. Entre deux périodes : le </w:t>
      </w:r>
      <w:r>
        <w:rPr>
          <w:b/>
          <w:bCs/>
        </w:rPr>
        <w:t xml:space="preserve">capital s'accumule</w:t>
      </w:r>
      <w:r>
        <w:t xml:space="preserve"> (K₍ₜ₊₁₎ = (1−δ)·Kₜ + investissement réel), le </w:t>
      </w:r>
      <w:r>
        <w:rPr>
          <w:b/>
          <w:bCs/>
        </w:rPr>
        <w:t xml:space="preserve">travail croît</w:t>
      </w:r>
      <w:r>
        <w:t xml:space="preserve"> au taux n. En capital sectoriel, l'</w:t>
      </w:r>
      <w:r>
        <w:rPr>
          <w:b/>
          <w:bCs/>
        </w:rPr>
        <w:t xml:space="preserve">investissement est alloué aux branches selon leur rendement relatif</w:t>
      </w:r>
      <w:r>
        <w:t xml:space="preserve"> (formulation de type PEP-1-t, élasticité σ_inv). Les sentiers du BAU et d'un choc se comparent en écart. Les chocs dynamiques réchauffent chaque période depuis le sentier BAU pour accélérer la convergence.</w:t>
      </w:r>
    </w:p>
    <w:p>
      <w:pPr>
        <w:pStyle w:val="Heading1"/>
        <w:spacing w:after="110" w:before="240"/>
      </w:pPr>
      <w:r>
        <w:rPr>
          <w:color w:val="1F3864"/>
        </w:rPr>
        <w:t xml:space="preserve">6. Reporting et bien-être</w:t>
      </w:r>
    </w:p>
    <w:p>
      <w:pPr>
        <w:spacing w:after="120" w:line="264"/>
        <w:jc w:val="both"/>
      </w:pPr>
      <w:r>
        <w:t xml:space="preserve">Le module </w:t>
      </w:r>
      <w:r>
        <w:rPr>
          <w:rFonts w:ascii="Consolas" w:cs="Consolas" w:eastAsia="Consolas" w:hAnsi="Consolas"/>
          <w:sz w:val="18"/>
          <w:szCs w:val="18"/>
        </w:rPr>
        <w:t xml:space="preserve">report.py</w:t>
      </w:r>
      <w:r>
        <w:t xml:space="preserve"> produit les agrégats macro (PIB par la valeur ajoutée et par les dépenses, consommation, investissement, commerce), les </w:t>
      </w:r>
      <w:r>
        <w:rPr>
          <w:b/>
          <w:bCs/>
        </w:rPr>
        <w:t xml:space="preserve">recettes publiques par type de taxe</w:t>
      </w:r>
      <w:r>
        <w:t xml:space="preserve">, les revenus et l'épargne par ménage, des tableaux sectoriels (production, VA, prix), et surtout la </w:t>
      </w:r>
      <w:r>
        <w:rPr>
          <w:b/>
          <w:bCs/>
        </w:rPr>
        <w:t xml:space="preserve">variation équivalente (EV)</w:t>
      </w:r>
      <w:r>
        <w:t xml:space="preserve"> par ménage — mesure monétaire du bien-être reconstruite à partir de la fonction de dépense LES. Exports natifs vers Excel et graphiques du sentier dynamique (</w:t>
      </w:r>
      <w:r>
        <w:rPr>
          <w:rFonts w:ascii="Consolas" w:cs="Consolas" w:eastAsia="Consolas" w:hAnsi="Consolas"/>
          <w:sz w:val="18"/>
          <w:szCs w:val="18"/>
        </w:rPr>
        <w:t xml:space="preserve">matplotlib</w:t>
      </w:r>
      <w:r>
        <w:t xml:space="preserve">).</w:t>
      </w:r>
    </w:p>
    <w:p>
      <w:pPr>
        <w:pStyle w:val="Heading1"/>
        <w:spacing w:after="110" w:before="240"/>
      </w:pPr>
      <w:r>
        <w:rPr>
          <w:color w:val="1F3864"/>
        </w:rPr>
        <w:t xml:space="preserve">7. Validation</w:t>
      </w:r>
    </w:p>
    <w:p>
      <w:pPr>
        <w:spacing w:after="120" w:line="264"/>
        <w:jc w:val="both"/>
      </w:pPr>
      <w:r>
        <w:t xml:space="preserve">Toutes les vérifications ci-dessous ont été </w:t>
      </w:r>
      <w:r>
        <w:rPr>
          <w:b/>
          <w:bCs/>
        </w:rPr>
        <w:t xml:space="preserve">exécutées</w:t>
      </w:r>
      <w:r>
        <w:t xml:space="preserve"> :</w:t>
      </w:r>
    </w:p>
    <w:tbl>
      <w:tblPr>
        <w:tblW w:type="dxa" w:w="7200"/>
        <w:tblBorders>
          <w:top w:val="single" w:color="BBBBBB" w:sz="2"/>
          <w:left w:val="single" w:color="BBBBBB" w:sz="2"/>
          <w:bottom w:val="single" w:color="BBBBBB" w:sz="2"/>
          <w:right w:val="single" w:color="BBBBBB" w:sz="2"/>
          <w:insideH w:val="single" w:color="DDDDDD" w:sz="1"/>
          <w:insideV w:val="single" w:color="DDDDDD" w:sz="1"/>
        </w:tblBorders>
      </w:tblPr>
      <w:tblGrid>
        <w:gridCol w:w="5200"/>
        <w:gridCol w:w="2000"/>
      </w:tblGrid>
      <w:tr>
        <w:trPr>
          <w:tblHeader/>
        </w:trPr>
        <w:tc>
          <w:tcPr>
            <w:tcW w:type="dxa" w:w="5200"/>
            <w:shd w:fill="2F5496" w:color="auto" w:val="clear"/>
            <w:tcMar>
              <w:top w:type="dxa" w:w="40"/>
              <w:left w:type="dxa" w:w="80"/>
              <w:bottom w:type="dxa" w:w="40"/>
              <w:right w:type="dxa" w:w="80"/>
            </w:tcMar>
          </w:tcPr>
          <w:p>
            <w:pPr>
              <w:spacing w:after="0"/>
              <w:jc w:val="left"/>
            </w:pPr>
            <w:r>
              <w:rPr>
                <w:b/>
                <w:bCs/>
                <w:color w:val="FFFFFF"/>
                <w:sz w:val="18"/>
                <w:szCs w:val="18"/>
              </w:rPr>
              <w:t xml:space="preserve">Test</w:t>
            </w:r>
          </w:p>
        </w:tc>
        <w:tc>
          <w:tcPr>
            <w:tcW w:type="dxa" w:w="2000"/>
            <w:shd w:fill="2F5496" w:color="auto" w:val="clear"/>
            <w:tcMar>
              <w:top w:type="dxa" w:w="40"/>
              <w:left w:type="dxa" w:w="80"/>
              <w:bottom w:type="dxa" w:w="40"/>
              <w:right w:type="dxa" w:w="80"/>
            </w:tcMar>
          </w:tcPr>
          <w:p>
            <w:pPr>
              <w:spacing w:after="0"/>
              <w:jc w:val="left"/>
            </w:pPr>
            <w:r>
              <w:rPr>
                <w:b/>
                <w:bCs/>
                <w:color w:val="FFFFFF"/>
                <w:sz w:val="18"/>
                <w:szCs w:val="18"/>
              </w:rPr>
              <w:t xml:space="preserve">Résultat</w:t>
            </w:r>
          </w:p>
        </w:tc>
      </w:tr>
      <w:tr>
        <w:tc>
          <w:tcPr>
            <w:tcW w:type="dxa" w:w="5200"/>
            <w:tcMar>
              <w:top w:type="dxa" w:w="40"/>
              <w:left w:type="dxa" w:w="80"/>
              <w:bottom w:type="dxa" w:w="40"/>
              <w:right w:type="dxa" w:w="80"/>
            </w:tcMar>
          </w:tcPr>
          <w:p>
            <w:pPr>
              <w:spacing w:after="0"/>
              <w:jc w:val="left"/>
            </w:pPr>
            <w:r>
              <w:rPr>
                <w:b w:val="false"/>
                <w:bCs w:val="false"/>
                <w:color w:val="000000"/>
                <w:sz w:val="18"/>
                <w:szCs w:val="18"/>
              </w:rPr>
              <w:t xml:space="preserve">Reconstruction des blocs CES/CET (prix=1 → quantités de base)</w:t>
            </w:r>
          </w:p>
        </w:tc>
        <w:tc>
          <w:tcPr>
            <w:tcW w:type="dxa" w:w="2000"/>
            <w:tcMar>
              <w:top w:type="dxa" w:w="40"/>
              <w:left w:type="dxa" w:w="80"/>
              <w:bottom w:type="dxa" w:w="40"/>
              <w:right w:type="dxa" w:w="80"/>
            </w:tcMar>
          </w:tcPr>
          <w:p>
            <w:pPr>
              <w:spacing w:after="0"/>
              <w:jc w:val="left"/>
            </w:pPr>
            <w:r>
              <w:rPr>
                <w:b w:val="false"/>
                <w:bCs w:val="false"/>
                <w:color w:val="000000"/>
                <w:sz w:val="18"/>
                <w:szCs w:val="18"/>
              </w:rPr>
              <w:t xml:space="preserve">erreur 10⁻¹⁶</w:t>
            </w:r>
          </w:p>
        </w:tc>
      </w:tr>
      <w:tr>
        <w:tc>
          <w:tcPr>
            <w:tcW w:type="dxa" w:w="5200"/>
            <w:shd w:fill="F2F5FB" w:color="auto" w:val="clear"/>
            <w:tcMar>
              <w:top w:type="dxa" w:w="40"/>
              <w:left w:type="dxa" w:w="80"/>
              <w:bottom w:type="dxa" w:w="40"/>
              <w:right w:type="dxa" w:w="80"/>
            </w:tcMar>
          </w:tcPr>
          <w:p>
            <w:pPr>
              <w:spacing w:after="0"/>
              <w:jc w:val="left"/>
            </w:pPr>
            <w:r>
              <w:rPr>
                <w:b w:val="false"/>
                <w:bCs w:val="false"/>
                <w:color w:val="000000"/>
                <w:sz w:val="18"/>
                <w:szCs w:val="18"/>
              </w:rPr>
              <w:t xml:space="preserve">Calibration : réplication de l'année de base</w:t>
            </w:r>
          </w:p>
        </w:tc>
        <w:tc>
          <w:tcPr>
            <w:tcW w:type="dxa" w:w="2000"/>
            <w:shd w:fill="F2F5FB" w:color="auto" w:val="clear"/>
            <w:tcMar>
              <w:top w:type="dxa" w:w="40"/>
              <w:left w:type="dxa" w:w="80"/>
              <w:bottom w:type="dxa" w:w="40"/>
              <w:right w:type="dxa" w:w="80"/>
            </w:tcMar>
          </w:tcPr>
          <w:p>
            <w:pPr>
              <w:spacing w:after="0"/>
              <w:jc w:val="left"/>
            </w:pPr>
            <w:r>
              <w:rPr>
                <w:b w:val="false"/>
                <w:bCs w:val="false"/>
                <w:color w:val="000000"/>
                <w:sz w:val="18"/>
                <w:szCs w:val="18"/>
              </w:rPr>
              <w:t xml:space="preserve">exacte</w:t>
            </w:r>
          </w:p>
        </w:tc>
      </w:tr>
      <w:tr>
        <w:tc>
          <w:tcPr>
            <w:tcW w:type="dxa" w:w="5200"/>
            <w:tcMar>
              <w:top w:type="dxa" w:w="40"/>
              <w:left w:type="dxa" w:w="80"/>
              <w:bottom w:type="dxa" w:w="40"/>
              <w:right w:type="dxa" w:w="80"/>
            </w:tcMar>
          </w:tcPr>
          <w:p>
            <w:pPr>
              <w:spacing w:after="0"/>
              <w:jc w:val="left"/>
            </w:pPr>
            <w:r>
              <w:rPr>
                <w:b w:val="false"/>
                <w:bCs w:val="false"/>
                <w:color w:val="000000"/>
                <w:sz w:val="18"/>
                <w:szCs w:val="18"/>
              </w:rPr>
              <w:t xml:space="preserve">Équilibre de référence (statique, capital mobile)</w:t>
            </w:r>
          </w:p>
        </w:tc>
        <w:tc>
          <w:tcPr>
            <w:tcW w:type="dxa" w:w="2000"/>
            <w:tcMar>
              <w:top w:type="dxa" w:w="40"/>
              <w:left w:type="dxa" w:w="80"/>
              <w:bottom w:type="dxa" w:w="40"/>
              <w:right w:type="dxa" w:w="80"/>
            </w:tcMar>
          </w:tcPr>
          <w:p>
            <w:pPr>
              <w:spacing w:after="0"/>
              <w:jc w:val="left"/>
            </w:pPr>
            <w:r>
              <w:rPr>
                <w:b w:val="false"/>
                <w:bCs w:val="false"/>
                <w:color w:val="000000"/>
                <w:sz w:val="18"/>
                <w:szCs w:val="18"/>
              </w:rPr>
              <w:t xml:space="preserve">résidu ~10⁻¹³</w:t>
            </w:r>
          </w:p>
        </w:tc>
      </w:tr>
      <w:tr>
        <w:tc>
          <w:tcPr>
            <w:tcW w:type="dxa" w:w="5200"/>
            <w:shd w:fill="F2F5FB" w:color="auto" w:val="clear"/>
            <w:tcMar>
              <w:top w:type="dxa" w:w="40"/>
              <w:left w:type="dxa" w:w="80"/>
              <w:bottom w:type="dxa" w:w="40"/>
              <w:right w:type="dxa" w:w="80"/>
            </w:tcMar>
          </w:tcPr>
          <w:p>
            <w:pPr>
              <w:spacing w:after="0"/>
              <w:jc w:val="left"/>
            </w:pPr>
            <w:r>
              <w:rPr>
                <w:b w:val="false"/>
                <w:bCs w:val="false"/>
                <w:color w:val="000000"/>
                <w:sz w:val="18"/>
                <w:szCs w:val="18"/>
              </w:rPr>
              <w:t xml:space="preserve">Équilibre de référence (capital sectoriel)</w:t>
            </w:r>
          </w:p>
        </w:tc>
        <w:tc>
          <w:tcPr>
            <w:tcW w:type="dxa" w:w="2000"/>
            <w:shd w:fill="F2F5FB" w:color="auto" w:val="clear"/>
            <w:tcMar>
              <w:top w:type="dxa" w:w="40"/>
              <w:left w:type="dxa" w:w="80"/>
              <w:bottom w:type="dxa" w:w="40"/>
              <w:right w:type="dxa" w:w="80"/>
            </w:tcMar>
          </w:tcPr>
          <w:p>
            <w:pPr>
              <w:spacing w:after="0"/>
              <w:jc w:val="left"/>
            </w:pPr>
            <w:r>
              <w:rPr>
                <w:b w:val="false"/>
                <w:bCs w:val="false"/>
                <w:color w:val="000000"/>
                <w:sz w:val="18"/>
                <w:szCs w:val="18"/>
              </w:rPr>
              <w:t xml:space="preserve">résidu ~10⁻¹³</w:t>
            </w:r>
          </w:p>
        </w:tc>
      </w:tr>
      <w:tr>
        <w:tc>
          <w:tcPr>
            <w:tcW w:type="dxa" w:w="5200"/>
            <w:tcMar>
              <w:top w:type="dxa" w:w="40"/>
              <w:left w:type="dxa" w:w="80"/>
              <w:bottom w:type="dxa" w:w="40"/>
              <w:right w:type="dxa" w:w="80"/>
            </w:tcMar>
          </w:tcPr>
          <w:p>
            <w:pPr>
              <w:spacing w:after="0"/>
              <w:jc w:val="left"/>
            </w:pPr>
            <w:r>
              <w:rPr>
                <w:b w:val="false"/>
                <w:bCs w:val="false"/>
                <w:color w:val="000000"/>
                <w:sz w:val="18"/>
                <w:szCs w:val="18"/>
              </w:rPr>
              <w:t xml:space="preserve">Marchés des facteurs &amp; zéro-profit</w:t>
            </w:r>
          </w:p>
        </w:tc>
        <w:tc>
          <w:tcPr>
            <w:tcW w:type="dxa" w:w="2000"/>
            <w:tcMar>
              <w:top w:type="dxa" w:w="40"/>
              <w:left w:type="dxa" w:w="80"/>
              <w:bottom w:type="dxa" w:w="40"/>
              <w:right w:type="dxa" w:w="80"/>
            </w:tcMar>
          </w:tcPr>
          <w:p>
            <w:pPr>
              <w:spacing w:after="0"/>
              <w:jc w:val="left"/>
            </w:pPr>
            <w:r>
              <w:rPr>
                <w:b w:val="false"/>
                <w:bCs w:val="false"/>
                <w:color w:val="000000"/>
                <w:sz w:val="18"/>
                <w:szCs w:val="18"/>
              </w:rPr>
              <w:t xml:space="preserve">exacts</w:t>
            </w:r>
          </w:p>
        </w:tc>
      </w:tr>
      <w:tr>
        <w:tc>
          <w:tcPr>
            <w:tcW w:type="dxa" w:w="5200"/>
            <w:shd w:fill="F2F5FB" w:color="auto" w:val="clear"/>
            <w:tcMar>
              <w:top w:type="dxa" w:w="40"/>
              <w:left w:type="dxa" w:w="80"/>
              <w:bottom w:type="dxa" w:w="40"/>
              <w:right w:type="dxa" w:w="80"/>
            </w:tcMar>
          </w:tcPr>
          <w:p>
            <w:pPr>
              <w:spacing w:after="0"/>
              <w:jc w:val="left"/>
            </w:pPr>
            <w:r>
              <w:rPr>
                <w:b w:val="false"/>
                <w:bCs w:val="false"/>
                <w:color w:val="000000"/>
                <w:sz w:val="18"/>
                <w:szCs w:val="18"/>
              </w:rPr>
              <w:t xml:space="preserve">Réponse taxe produit (pass-through au prix conso)</w:t>
            </w:r>
          </w:p>
        </w:tc>
        <w:tc>
          <w:tcPr>
            <w:tcW w:type="dxa" w:w="2000"/>
            <w:shd w:fill="F2F5FB" w:color="auto" w:val="clear"/>
            <w:tcMar>
              <w:top w:type="dxa" w:w="40"/>
              <w:left w:type="dxa" w:w="80"/>
              <w:bottom w:type="dxa" w:w="40"/>
              <w:right w:type="dxa" w:w="80"/>
            </w:tcMar>
          </w:tcPr>
          <w:p>
            <w:pPr>
              <w:spacing w:after="0"/>
              <w:jc w:val="left"/>
            </w:pPr>
            <w:r>
              <w:rPr>
                <w:b w:val="false"/>
                <w:bCs w:val="false"/>
                <w:color w:val="000000"/>
                <w:sz w:val="18"/>
                <w:szCs w:val="18"/>
              </w:rPr>
              <w:t xml:space="preserve">cohérente</w:t>
            </w:r>
          </w:p>
        </w:tc>
      </w:tr>
      <w:tr>
        <w:tc>
          <w:tcPr>
            <w:tcW w:type="dxa" w:w="5200"/>
            <w:tcMar>
              <w:top w:type="dxa" w:w="40"/>
              <w:left w:type="dxa" w:w="80"/>
              <w:bottom w:type="dxa" w:w="40"/>
              <w:right w:type="dxa" w:w="80"/>
            </w:tcMar>
          </w:tcPr>
          <w:p>
            <w:pPr>
              <w:spacing w:after="0"/>
              <w:jc w:val="left"/>
            </w:pPr>
            <w:r>
              <w:rPr>
                <w:b w:val="false"/>
                <w:bCs w:val="false"/>
                <w:color w:val="000000"/>
                <w:sz w:val="18"/>
                <w:szCs w:val="18"/>
              </w:rPr>
              <w:t xml:space="preserve">Sensibilité aux clôtures (offre travail +5%)</w:t>
            </w:r>
          </w:p>
        </w:tc>
        <w:tc>
          <w:tcPr>
            <w:tcW w:type="dxa" w:w="2000"/>
            <w:tcMar>
              <w:top w:type="dxa" w:w="40"/>
              <w:left w:type="dxa" w:w="80"/>
              <w:bottom w:type="dxa" w:w="40"/>
              <w:right w:type="dxa" w:w="80"/>
            </w:tcMar>
          </w:tcPr>
          <w:p>
            <w:pPr>
              <w:spacing w:after="0"/>
              <w:jc w:val="right"/>
            </w:pPr>
            <w:r>
              <w:rPr>
                <w:b w:val="false"/>
                <w:bCs w:val="false"/>
                <w:color w:val="000000"/>
                <w:sz w:val="18"/>
                <w:szCs w:val="18"/>
              </w:rPr>
              <w:t xml:space="preserve">+1,9% (LT) / 0% (CT)</w:t>
            </w:r>
          </w:p>
        </w:tc>
      </w:tr>
      <w:tr>
        <w:tc>
          <w:tcPr>
            <w:tcW w:type="dxa" w:w="5200"/>
            <w:shd w:fill="F2F5FB" w:color="auto" w:val="clear"/>
            <w:tcMar>
              <w:top w:type="dxa" w:w="40"/>
              <w:left w:type="dxa" w:w="80"/>
              <w:bottom w:type="dxa" w:w="40"/>
              <w:right w:type="dxa" w:w="80"/>
            </w:tcMar>
          </w:tcPr>
          <w:p>
            <w:pPr>
              <w:spacing w:after="0"/>
              <w:jc w:val="left"/>
            </w:pPr>
            <w:r>
              <w:rPr>
                <w:b w:val="false"/>
                <w:bCs w:val="false"/>
                <w:color w:val="000000"/>
                <w:sz w:val="18"/>
                <w:szCs w:val="18"/>
              </w:rPr>
              <w:t xml:space="preserve">Dynamique BAU et choc</w:t>
            </w:r>
          </w:p>
        </w:tc>
        <w:tc>
          <w:tcPr>
            <w:tcW w:type="dxa" w:w="2000"/>
            <w:shd w:fill="F2F5FB" w:color="auto" w:val="clear"/>
            <w:tcMar>
              <w:top w:type="dxa" w:w="40"/>
              <w:left w:type="dxa" w:w="80"/>
              <w:bottom w:type="dxa" w:w="40"/>
              <w:right w:type="dxa" w:w="80"/>
            </w:tcMar>
          </w:tcPr>
          <w:p>
            <w:pPr>
              <w:spacing w:after="0"/>
              <w:jc w:val="left"/>
            </w:pPr>
            <w:r>
              <w:rPr>
                <w:b w:val="false"/>
                <w:bCs w:val="false"/>
                <w:color w:val="000000"/>
                <w:sz w:val="18"/>
                <w:szCs w:val="18"/>
              </w:rPr>
              <w:t xml:space="preserve">sentiers cohérents</w:t>
            </w:r>
          </w:p>
        </w:tc>
      </w:tr>
    </w:tbl>
    <w:p>
      <w:pPr>
        <w:spacing w:after="80"/>
      </w:pPr>
    </w:p>
    <w:p>
      <w:pPr>
        <w:spacing w:after="120" w:line="264"/>
        <w:jc w:val="both"/>
      </w:pPr>
      <w:r>
        <w:t xml:space="preserve">Agrégats de contrôle de l'équilibre de référence (Mds FCFA) : PIB (VA) ≈ </w:t>
      </w:r>
      <w:r>
        <w:rPr>
          <w:b/>
          <w:bCs/>
        </w:rPr>
        <w:t xml:space="preserve">7 937</w:t>
      </w:r>
      <w:r>
        <w:t xml:space="preserve">, consommation des ménages ≈ 7 257, investissement ≈ 1 991, exportations ≈ 2 265, importations ≈ 270.</w:t>
      </w:r>
    </w:p>
    <w:p>
      <w:pPr>
        <w:pStyle w:val="Heading1"/>
        <w:spacing w:after="110" w:before="240"/>
      </w:pPr>
      <w:r>
        <w:rPr>
          <w:color w:val="1F3864"/>
        </w:rPr>
        <w:t xml:space="preserve">8. Limites et choix de modélisation</w:t>
      </w:r>
    </w:p>
    <w:p>
      <w:pPr>
        <w:pStyle w:val="ListParagraph"/>
        <w:numPr>
          <w:ilvl w:val="0"/>
          <w:numId w:val="1"/>
        </w:numPr>
        <w:spacing w:after="70"/>
        <w:jc w:val="both"/>
      </w:pPr>
      <w:r>
        <w:rPr>
          <w:b/>
          <w:bCs/>
        </w:rPr>
        <w:t xml:space="preserve">Unité fictive I8</w:t>
      </w:r>
      <w:r>
        <w:t xml:space="preserve"> (≈ 57 % du PIB) exogénéisée en variation de stocks : préserve le bloc réel mais reste un montant important dans un compte exogène.</w:t>
      </w:r>
    </w:p>
    <w:p>
      <w:pPr>
        <w:pStyle w:val="ListParagraph"/>
        <w:numPr>
          <w:ilvl w:val="0"/>
          <w:numId w:val="1"/>
        </w:numPr>
        <w:spacing w:after="70"/>
        <w:jc w:val="both"/>
      </w:pPr>
      <w:r>
        <w:rPr>
          <w:b/>
          <w:bCs/>
        </w:rPr>
        <w:t xml:space="preserve">Marges</w:t>
      </w:r>
      <w:r>
        <w:t xml:space="preserve"> réparties uniformément (proportionnelles au volume), faute de matrice de marges par bien.</w:t>
      </w:r>
    </w:p>
    <w:p>
      <w:pPr>
        <w:pStyle w:val="ListParagraph"/>
        <w:numPr>
          <w:ilvl w:val="0"/>
          <w:numId w:val="1"/>
        </w:numPr>
        <w:spacing w:after="70"/>
        <w:jc w:val="both"/>
      </w:pPr>
      <w:r>
        <w:rPr>
          <w:b/>
          <w:bCs/>
        </w:rPr>
        <w:t xml:space="preserve">Clôture de chômage</w:t>
      </w:r>
      <w:r>
        <w:t xml:space="preserve"> : la base se décale d'environ 1,6 % (l'imperfection résiduelle du benchmark n'est pas ancrée sans la contrainte d'emploi) ; les résultats se lisent en </w:t>
      </w:r>
      <w:r>
        <w:rPr>
          <w:i/>
          <w:iCs/>
        </w:rPr>
        <w:t xml:space="preserve">écarts choc/BAU sous une même clôture</w:t>
      </w:r>
      <w:r>
        <w:t xml:space="preserve">.</w:t>
      </w:r>
    </w:p>
    <w:p>
      <w:pPr>
        <w:pStyle w:val="ListParagraph"/>
        <w:numPr>
          <w:ilvl w:val="0"/>
          <w:numId w:val="1"/>
        </w:numPr>
        <w:spacing w:after="70"/>
        <w:jc w:val="both"/>
      </w:pPr>
      <w:r>
        <w:rPr>
          <w:b/>
          <w:bCs/>
        </w:rPr>
        <w:t xml:space="preserve">Clôtures budgétaire (déficit flexible) et de change flexible</w:t>
      </w:r>
      <w:r>
        <w:t xml:space="preserve"> non incluses : elles exigent de réconcilier la comptabilité des marges nettées avec un système revenu-dépense pleinement explicite.</w:t>
      </w:r>
    </w:p>
    <w:p>
      <w:pPr>
        <w:pStyle w:val="ListParagraph"/>
        <w:numPr>
          <w:ilvl w:val="0"/>
          <w:numId w:val="1"/>
        </w:numPr>
        <w:spacing w:after="70"/>
        <w:jc w:val="both"/>
      </w:pPr>
      <w:r>
        <w:rPr>
          <w:b/>
          <w:bCs/>
        </w:rPr>
        <w:t xml:space="preserve">Élasticités</w:t>
      </w:r>
      <w:r>
        <w:t xml:space="preserve"> par défaut PEP, à remplacer par des estimations propres au Burkina Faso.</w:t>
      </w:r>
    </w:p>
    <w:p>
      <w:pPr>
        <w:pStyle w:val="ListParagraph"/>
        <w:numPr>
          <w:ilvl w:val="0"/>
          <w:numId w:val="1"/>
        </w:numPr>
        <w:spacing w:after="70"/>
        <w:jc w:val="both"/>
      </w:pPr>
      <w:r>
        <w:rPr>
          <w:b/>
          <w:bCs/>
        </w:rPr>
        <w:t xml:space="preserve">Résidu de base</w:t>
      </w:r>
      <w:r>
        <w:t xml:space="preserve"> ≈ 0,1 % lié à des comptes anormaux (VA négative, commerce) ; identité PIB côté dépenses affectée par le traitement des marges/stocks.</w:t>
      </w:r>
    </w:p>
    <w:p>
      <w:pPr>
        <w:pStyle w:val="Heading1"/>
        <w:spacing w:after="110" w:before="240"/>
      </w:pPr>
      <w:r>
        <w:rPr>
          <w:color w:val="1F3864"/>
        </w:rPr>
        <w:t xml:space="preserve">9. Annexe — organisation du code</w:t>
      </w:r>
    </w:p>
    <w:tbl>
      <w:tblPr>
        <w:tblW w:type="dxa" w:w="7600"/>
        <w:tblBorders>
          <w:top w:val="single" w:color="BBBBBB" w:sz="2"/>
          <w:left w:val="single" w:color="BBBBBB" w:sz="2"/>
          <w:bottom w:val="single" w:color="BBBBBB" w:sz="2"/>
          <w:right w:val="single" w:color="BBBBBB" w:sz="2"/>
          <w:insideH w:val="single" w:color="DDDDDD" w:sz="1"/>
          <w:insideV w:val="single" w:color="DDDDDD" w:sz="1"/>
        </w:tblBorders>
      </w:tblPr>
      <w:tblGrid>
        <w:gridCol w:w="2400"/>
        <w:gridCol w:w="5200"/>
      </w:tblGrid>
      <w:tr>
        <w:trPr>
          <w:tblHeader/>
        </w:trPr>
        <w:tc>
          <w:tcPr>
            <w:tcW w:type="dxa" w:w="2400"/>
            <w:shd w:fill="2F5496" w:color="auto" w:val="clear"/>
            <w:tcMar>
              <w:top w:type="dxa" w:w="40"/>
              <w:left w:type="dxa" w:w="80"/>
              <w:bottom w:type="dxa" w:w="40"/>
              <w:right w:type="dxa" w:w="80"/>
            </w:tcMar>
          </w:tcPr>
          <w:p>
            <w:pPr>
              <w:spacing w:after="0"/>
              <w:jc w:val="left"/>
            </w:pPr>
            <w:r>
              <w:rPr>
                <w:b/>
                <w:bCs/>
                <w:color w:val="FFFFFF"/>
                <w:sz w:val="18"/>
                <w:szCs w:val="18"/>
              </w:rPr>
              <w:t xml:space="preserve">Fichier</w:t>
            </w:r>
          </w:p>
        </w:tc>
        <w:tc>
          <w:tcPr>
            <w:tcW w:type="dxa" w:w="5200"/>
            <w:shd w:fill="2F5496" w:color="auto" w:val="clear"/>
            <w:tcMar>
              <w:top w:type="dxa" w:w="40"/>
              <w:left w:type="dxa" w:w="80"/>
              <w:bottom w:type="dxa" w:w="40"/>
              <w:right w:type="dxa" w:w="80"/>
            </w:tcMar>
          </w:tcPr>
          <w:p>
            <w:pPr>
              <w:spacing w:after="0"/>
              <w:jc w:val="left"/>
            </w:pPr>
            <w:r>
              <w:rPr>
                <w:b/>
                <w:bCs/>
                <w:color w:val="FFFFFF"/>
                <w:sz w:val="18"/>
                <w:szCs w:val="18"/>
              </w:rPr>
              <w:t xml:space="preserve">Contenu</w:t>
            </w:r>
          </w:p>
        </w:tc>
      </w:tr>
      <w:tr>
        <w:tc>
          <w:tcPr>
            <w:tcW w:type="dxa" w:w="2400"/>
            <w:tcMar>
              <w:top w:type="dxa" w:w="40"/>
              <w:left w:type="dxa" w:w="80"/>
              <w:bottom w:type="dxa" w:w="40"/>
              <w:right w:type="dxa" w:w="80"/>
            </w:tcMar>
          </w:tcPr>
          <w:p>
            <w:pPr>
              <w:spacing w:after="0"/>
              <w:jc w:val="left"/>
            </w:pPr>
            <w:r>
              <w:rPr>
                <w:b w:val="false"/>
                <w:bCs w:val="false"/>
                <w:color w:val="000000"/>
                <w:sz w:val="18"/>
                <w:szCs w:val="18"/>
              </w:rPr>
              <w:t xml:space="preserve">nests.py</w:t>
            </w:r>
          </w:p>
        </w:tc>
        <w:tc>
          <w:tcPr>
            <w:tcW w:type="dxa" w:w="5200"/>
            <w:tcMar>
              <w:top w:type="dxa" w:w="40"/>
              <w:left w:type="dxa" w:w="80"/>
              <w:bottom w:type="dxa" w:w="40"/>
              <w:right w:type="dxa" w:w="80"/>
            </w:tcMar>
          </w:tcPr>
          <w:p>
            <w:pPr>
              <w:spacing w:after="0"/>
              <w:jc w:val="left"/>
            </w:pPr>
            <w:r>
              <w:rPr>
                <w:b w:val="false"/>
                <w:bCs w:val="false"/>
                <w:color w:val="000000"/>
                <w:sz w:val="18"/>
                <w:szCs w:val="18"/>
              </w:rPr>
              <w:t xml:space="preserve">Blocs CES/CET cohérents (calibration, prix, demande).</w:t>
            </w:r>
          </w:p>
        </w:tc>
      </w:tr>
      <w:tr>
        <w:tc>
          <w:tcPr>
            <w:tcW w:type="dxa" w:w="2400"/>
            <w:shd w:fill="F2F5FB" w:color="auto" w:val="clear"/>
            <w:tcMar>
              <w:top w:type="dxa" w:w="40"/>
              <w:left w:type="dxa" w:w="80"/>
              <w:bottom w:type="dxa" w:w="40"/>
              <w:right w:type="dxa" w:w="80"/>
            </w:tcMar>
          </w:tcPr>
          <w:p>
            <w:pPr>
              <w:spacing w:after="0"/>
              <w:jc w:val="left"/>
            </w:pPr>
            <w:r>
              <w:rPr>
                <w:b w:val="false"/>
                <w:bCs w:val="false"/>
                <w:color w:val="000000"/>
                <w:sz w:val="18"/>
                <w:szCs w:val="18"/>
              </w:rPr>
              <w:t xml:space="preserve">calib.py</w:t>
            </w:r>
          </w:p>
        </w:tc>
        <w:tc>
          <w:tcPr>
            <w:tcW w:type="dxa" w:w="5200"/>
            <w:shd w:fill="F2F5FB" w:color="auto" w:val="clear"/>
            <w:tcMar>
              <w:top w:type="dxa" w:w="40"/>
              <w:left w:type="dxa" w:w="80"/>
              <w:bottom w:type="dxa" w:w="40"/>
              <w:right w:type="dxa" w:w="80"/>
            </w:tcMar>
          </w:tcPr>
          <w:p>
            <w:pPr>
              <w:spacing w:after="0"/>
              <w:jc w:val="left"/>
            </w:pPr>
            <w:r>
              <w:rPr>
                <w:b w:val="false"/>
                <w:bCs w:val="false"/>
                <w:color w:val="000000"/>
                <w:sz w:val="18"/>
                <w:szCs w:val="18"/>
              </w:rPr>
              <w:t xml:space="preserve">Chargement MCS, extraction des flux, calibration des paramètres.</w:t>
            </w:r>
          </w:p>
        </w:tc>
      </w:tr>
      <w:tr>
        <w:tc>
          <w:tcPr>
            <w:tcW w:type="dxa" w:w="2400"/>
            <w:tcMar>
              <w:top w:type="dxa" w:w="40"/>
              <w:left w:type="dxa" w:w="80"/>
              <w:bottom w:type="dxa" w:w="40"/>
              <w:right w:type="dxa" w:w="80"/>
            </w:tcMar>
          </w:tcPr>
          <w:p>
            <w:pPr>
              <w:spacing w:after="0"/>
              <w:jc w:val="left"/>
            </w:pPr>
            <w:r>
              <w:rPr>
                <w:b w:val="false"/>
                <w:bCs w:val="false"/>
                <w:color w:val="000000"/>
                <w:sz w:val="18"/>
                <w:szCs w:val="18"/>
              </w:rPr>
              <w:t xml:space="preserve">cge.py</w:t>
            </w:r>
          </w:p>
        </w:tc>
        <w:tc>
          <w:tcPr>
            <w:tcW w:type="dxa" w:w="5200"/>
            <w:tcMar>
              <w:top w:type="dxa" w:w="40"/>
              <w:left w:type="dxa" w:w="80"/>
              <w:bottom w:type="dxa" w:w="40"/>
              <w:right w:type="dxa" w:w="80"/>
            </w:tcMar>
          </w:tcPr>
          <w:p>
            <w:pPr>
              <w:spacing w:after="0"/>
              <w:jc w:val="left"/>
            </w:pPr>
            <w:r>
              <w:rPr>
                <w:b w:val="false"/>
                <w:bCs w:val="false"/>
                <w:color w:val="000000"/>
                <w:sz w:val="18"/>
                <w:szCs w:val="18"/>
              </w:rPr>
              <w:t xml:space="preserve">Modèle (résidu, prix, quantités, budgets), solveur, clôtures, dynamique.</w:t>
            </w:r>
          </w:p>
        </w:tc>
      </w:tr>
      <w:tr>
        <w:tc>
          <w:tcPr>
            <w:tcW w:type="dxa" w:w="2400"/>
            <w:shd w:fill="F2F5FB" w:color="auto" w:val="clear"/>
            <w:tcMar>
              <w:top w:type="dxa" w:w="40"/>
              <w:left w:type="dxa" w:w="80"/>
              <w:bottom w:type="dxa" w:w="40"/>
              <w:right w:type="dxa" w:w="80"/>
            </w:tcMar>
          </w:tcPr>
          <w:p>
            <w:pPr>
              <w:spacing w:after="0"/>
              <w:jc w:val="left"/>
            </w:pPr>
            <w:r>
              <w:rPr>
                <w:b w:val="false"/>
                <w:bCs w:val="false"/>
                <w:color w:val="000000"/>
                <w:sz w:val="18"/>
                <w:szCs w:val="18"/>
              </w:rPr>
              <w:t xml:space="preserve">report.py</w:t>
            </w:r>
          </w:p>
        </w:tc>
        <w:tc>
          <w:tcPr>
            <w:tcW w:type="dxa" w:w="5200"/>
            <w:shd w:fill="F2F5FB" w:color="auto" w:val="clear"/>
            <w:tcMar>
              <w:top w:type="dxa" w:w="40"/>
              <w:left w:type="dxa" w:w="80"/>
              <w:bottom w:type="dxa" w:w="40"/>
              <w:right w:type="dxa" w:w="80"/>
            </w:tcMar>
          </w:tcPr>
          <w:p>
            <w:pPr>
              <w:spacing w:after="0"/>
              <w:jc w:val="left"/>
            </w:pPr>
            <w:r>
              <w:rPr>
                <w:b w:val="false"/>
                <w:bCs w:val="false"/>
                <w:color w:val="000000"/>
                <w:sz w:val="18"/>
                <w:szCs w:val="18"/>
              </w:rPr>
              <w:t xml:space="preserve">Agrégats, bien-être (EV), revenus, sectoriel, export Excel, graphiques.</w:t>
            </w:r>
          </w:p>
        </w:tc>
      </w:tr>
      <w:tr>
        <w:tc>
          <w:tcPr>
            <w:tcW w:type="dxa" w:w="2400"/>
            <w:tcMar>
              <w:top w:type="dxa" w:w="40"/>
              <w:left w:type="dxa" w:w="80"/>
              <w:bottom w:type="dxa" w:w="40"/>
              <w:right w:type="dxa" w:w="80"/>
            </w:tcMar>
          </w:tcPr>
          <w:p>
            <w:pPr>
              <w:spacing w:after="0"/>
              <w:jc w:val="left"/>
            </w:pPr>
            <w:r>
              <w:rPr>
                <w:b w:val="false"/>
                <w:bCs w:val="false"/>
                <w:color w:val="000000"/>
                <w:sz w:val="18"/>
                <w:szCs w:val="18"/>
              </w:rPr>
              <w:t xml:space="preserve">scenarios.py</w:t>
            </w:r>
          </w:p>
        </w:tc>
        <w:tc>
          <w:tcPr>
            <w:tcW w:type="dxa" w:w="5200"/>
            <w:tcMar>
              <w:top w:type="dxa" w:w="40"/>
              <w:left w:type="dxa" w:w="80"/>
              <w:bottom w:type="dxa" w:w="40"/>
              <w:right w:type="dxa" w:w="80"/>
            </w:tcMar>
          </w:tcPr>
          <w:p>
            <w:pPr>
              <w:spacing w:after="0"/>
              <w:jc w:val="left"/>
            </w:pPr>
            <w:r>
              <w:rPr>
                <w:b w:val="false"/>
                <w:bCs w:val="false"/>
                <w:color w:val="000000"/>
                <w:sz w:val="18"/>
                <w:szCs w:val="18"/>
              </w:rPr>
              <w:t xml:space="preserve">Constructeurs de chocs, exécution, sensibilité aux clôtures, homotopie.</w:t>
            </w:r>
          </w:p>
        </w:tc>
      </w:tr>
      <w:tr>
        <w:tc>
          <w:tcPr>
            <w:tcW w:type="dxa" w:w="2400"/>
            <w:shd w:fill="F2F5FB" w:color="auto" w:val="clear"/>
            <w:tcMar>
              <w:top w:type="dxa" w:w="40"/>
              <w:left w:type="dxa" w:w="80"/>
              <w:bottom w:type="dxa" w:w="40"/>
              <w:right w:type="dxa" w:w="80"/>
            </w:tcMar>
          </w:tcPr>
          <w:p>
            <w:pPr>
              <w:spacing w:after="0"/>
              <w:jc w:val="left"/>
            </w:pPr>
            <w:r>
              <w:rPr>
                <w:b w:val="false"/>
                <w:bCs w:val="false"/>
                <w:color w:val="000000"/>
                <w:sz w:val="18"/>
                <w:szCs w:val="18"/>
              </w:rPr>
              <w:t xml:space="preserve">data/</w:t>
            </w:r>
          </w:p>
        </w:tc>
        <w:tc>
          <w:tcPr>
            <w:tcW w:type="dxa" w:w="5200"/>
            <w:shd w:fill="F2F5FB" w:color="auto" w:val="clear"/>
            <w:tcMar>
              <w:top w:type="dxa" w:w="40"/>
              <w:left w:type="dxa" w:w="80"/>
              <w:bottom w:type="dxa" w:w="40"/>
              <w:right w:type="dxa" w:w="80"/>
            </w:tcMar>
          </w:tcPr>
          <w:p>
            <w:pPr>
              <w:spacing w:after="0"/>
              <w:jc w:val="left"/>
            </w:pPr>
            <w:r>
              <w:rPr>
                <w:b w:val="false"/>
                <w:bCs w:val="false"/>
                <w:color w:val="000000"/>
                <w:sz w:val="18"/>
                <w:szCs w:val="18"/>
              </w:rPr>
              <w:t xml:space="preserve">MCS équilibrée + métadonnées.</w:t>
            </w:r>
          </w:p>
        </w:tc>
      </w:tr>
    </w:tbl>
    <w:p>
      <w:pPr>
        <w:spacing w:after="160"/>
      </w:pPr>
    </w:p>
    <w:p>
      <w:pPr>
        <w:jc w:val="center"/>
      </w:pPr>
      <w:r>
        <w:rPr>
          <w:i/>
          <w:iCs/>
          <w:color w:val="808080"/>
        </w:rPr>
        <w:t xml:space="preserve">— Fin du rapport technique —</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Rapport technique — MEGC BF 2018 (Python)    |    </w:t>
    </w:r>
    <w:r>
      <w:rPr>
        <w:color w:val="8080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80"/>
    </w:pPr>
    <w:rPr>
      <w:b/>
      <w:bCs/>
      <w:color w:val="1F3864"/>
      <w:sz w:val="30"/>
      <w:szCs w:val="30"/>
    </w:rPr>
  </w:style>
  <w:style w:type="paragraph" w:styleId="Heading2">
    <w:name w:val="Heading 2"/>
    <w:basedOn w:val="Normal"/>
    <w:next w:val="Normal"/>
    <w:qFormat/>
    <w:pPr>
      <w:spacing w:after="100" w:before="200"/>
    </w:pPr>
    <w:rPr>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technique — Construction du modèle Python</dc:title>
  <dc:creator>MEGC BF Python</dc:creator>
  <cp:lastModifiedBy>Un-named</cp:lastModifiedBy>
  <cp:revision>1</cp:revision>
  <dcterms:created xsi:type="dcterms:W3CDTF">2026-07-12T00:13:41.973Z</dcterms:created>
  <dcterms:modified xsi:type="dcterms:W3CDTF">2026-07-12T00:13:41.985Z</dcterms:modified>
</cp:coreProperties>
</file>

<file path=docProps/custom.xml><?xml version="1.0" encoding="utf-8"?>
<Properties xmlns="http://schemas.openxmlformats.org/officeDocument/2006/custom-properties" xmlns:vt="http://schemas.openxmlformats.org/officeDocument/2006/docPropsVTypes"/>
</file>