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MANUEL DE MISE EN ŒUVRE</w:t>
      </w:r>
    </w:p>
    <w:p>
      <w:pPr>
        <w:spacing w:after="200"/>
        <w:jc w:val="center"/>
      </w:pPr>
      <w:r>
        <w:rPr>
          <w:color w:val="404040"/>
          <w:sz w:val="28"/>
          <w:szCs w:val="28"/>
        </w:rPr>
        <w:t xml:space="preserve">Modèle MEGC Burkina Faso 2018 — version Python</w:t>
      </w:r>
    </w:p>
    <w:p>
      <w:pPr>
        <w:spacing w:after="120"/>
        <w:jc w:val="center"/>
      </w:pPr>
      <w:r>
        <w:rPr>
          <w:i/>
          <w:iCs/>
          <w:color w:val="606060"/>
          <w:sz w:val="24"/>
          <w:szCs w:val="24"/>
        </w:rPr>
        <w:t xml:space="preserve">Installation · prise en main · scénarios · clôtures · interprétation</w:t>
      </w:r>
    </w:p>
    <w:p>
      <w:pPr>
        <w:spacing w:before="1800"/>
        <w:jc w:val="center"/>
      </w:pPr>
      <w:r>
        <w:rPr>
          <w:color w:val="606060"/>
          <w:sz w:val="22"/>
          <w:szCs w:val="22"/>
        </w:rPr>
        <w:t xml:space="preserve">Modèle d'équilibre général calculable — Burkina Faso 2018</w:t>
      </w:r>
    </w:p>
    <w:p>
      <w:pPr>
        <w:jc w:val="center"/>
      </w:pPr>
      <w:r>
        <w:t>Version 3 — actualisée après l'audit du solveur (coins de complémentarité), 15 juillet 2026</w:t>
      </w:r>
    </w:p>
    <w:p>
      <w:r>
        <w:br w:type="page"/>
      </w:r>
    </w:p>
    <w:p>
      <w:pPr>
        <w:pStyle w:val="Heading1"/>
        <w:spacing w:after="160" w:before="320"/>
      </w:pPr>
      <w:r>
        <w:rPr>
          <w:rFonts w:ascii="Calibri" w:cs="Calibri" w:eastAsia="Calibri" w:hAnsi="Calibri"/>
          <w:b/>
          <w:bCs/>
          <w:color w:val="1F3864"/>
          <w:sz w:val="30"/>
          <w:szCs w:val="30"/>
        </w:rPr>
        <w:t xml:space="preserve">1. Installation et prérequis</w:t>
      </w:r>
    </w:p>
    <w:p>
      <w:pPr>
        <w:spacing w:after="120" w:line="276"/>
        <w:jc w:val="both"/>
      </w:pPr>
      <w:r>
        <w:rPr>
          <w:rFonts w:ascii="Calibri" w:cs="Calibri" w:eastAsia="Calibri" w:hAnsi="Calibri"/>
          <w:sz w:val="22"/>
          <w:szCs w:val="22"/>
        </w:rPr>
        <w:t xml:space="preserve">Le modèle est un ensemble de scripts Python autonomes. Prérequis : Python 3.9+ et quatre bibliothèques.</w:t>
      </w:r>
    </w:p>
    <w:p>
      <w:pPr>
        <w:shd w:fill="F5F5F5" w:val="clear"/>
        <w:spacing w:after="60"/>
      </w:pPr>
      <w:r>
        <w:rPr>
          <w:rFonts w:ascii="Consolas" w:cs="Consolas" w:eastAsia="Consolas" w:hAnsi="Consolas"/>
          <w:sz w:val="19"/>
          <w:szCs w:val="19"/>
        </w:rPr>
        <w:t xml:space="preserve">pip install numpy scipy openpyxl matplotlib</w:t>
      </w:r>
    </w:p>
    <w:p>
      <w:pPr>
        <w:spacing w:after="120" w:line="276"/>
        <w:jc w:val="both"/>
      </w:pPr>
      <w:r>
        <w:rPr>
          <w:rFonts w:ascii="Calibri" w:cs="Calibri" w:eastAsia="Calibri" w:hAnsi="Calibri"/>
          <w:sz w:val="22"/>
          <w:szCs w:val="22"/>
        </w:rPr>
        <w:t xml:space="preserve">Placez-vous dans le dossier du modèle (qui contient data/). Aucune compilation, aucune licence.</w:t>
      </w:r>
    </w:p>
    <w:p>
      <w:pPr>
        <w:spacing w:after="120" w:line="276"/>
        <w:jc w:val="both"/>
      </w:pPr>
      <w:r>
        <w:rPr>
          <w:rFonts w:ascii="Calibri" w:cs="Calibri" w:eastAsia="Calibri" w:hAnsi="Calibri"/>
          <w:b/>
          <w:bCs/>
          <w:sz w:val="22"/>
          <w:szCs w:val="22"/>
        </w:rPr>
        <w:t xml:space="preserve">Vérification complète (recommandée après installation ou modification) :</w:t>
      </w:r>
    </w:p>
    <w:p>
      <w:pPr>
        <w:shd w:fill="F5F5F5" w:val="clear"/>
        <w:spacing w:after="60"/>
      </w:pPr>
      <w:r>
        <w:rPr>
          <w:rFonts w:ascii="Consolas" w:cs="Consolas" w:eastAsia="Consolas" w:hAnsi="Consolas"/>
          <w:sz w:val="19"/>
          <w:szCs w:val="19"/>
        </w:rPr>
        <w:t xml:space="preserve">python validation_finale.py    # batterie de 8 tests, tous doivent afficher REUSSI (~ minutes)</w:t>
      </w:r>
    </w:p>
    <w:p>
      <w:pPr>
        <w:shd w:fill="F5F5F5" w:val="clear"/>
        <w:spacing w:after="60"/>
      </w:pPr>
      <w:r>
        <w:rPr>
          <w:rFonts w:ascii="Consolas" w:cs="Consolas" w:eastAsia="Consolas" w:hAnsi="Consolas"/>
          <w:sz w:val="19"/>
          <w:szCs w:val="19"/>
        </w:rPr>
        <w:t xml:space="preserve">python demo.py                 # démonstration (scénarios, bien-être, exports)</w:t>
      </w:r>
    </w:p>
    <w:p>
      <w:pPr>
        <w:pStyle w:val="Heading1"/>
        <w:spacing w:after="160" w:before="320"/>
      </w:pPr>
      <w:r>
        <w:rPr>
          <w:rFonts w:ascii="Calibri" w:cs="Calibri" w:eastAsia="Calibri" w:hAnsi="Calibri"/>
          <w:b/>
          <w:bCs/>
          <w:color w:val="1F3864"/>
          <w:sz w:val="30"/>
          <w:szCs w:val="30"/>
        </w:rPr>
        <w:t xml:space="preserve">2. Prise en main rapide</w:t>
      </w:r>
    </w:p>
    <w:p>
      <w:pPr>
        <w:shd w:fill="F5F5F5" w:val="clear"/>
        <w:spacing w:after="60"/>
      </w:pPr>
      <w:r>
        <w:rPr>
          <w:rFonts w:ascii="Consolas" w:cs="Consolas" w:eastAsia="Consolas" w:hAnsi="Consolas"/>
          <w:sz w:val="19"/>
          <w:szCs w:val="19"/>
        </w:rPr>
        <w:t xml:space="preserve">from cge import CGE</w:t>
      </w:r>
    </w:p>
    <w:p>
      <w:pPr>
        <w:shd w:fill="F5F5F5" w:val="clear"/>
        <w:spacing w:after="60"/>
      </w:pPr>
      <w:r>
        <w:rPr>
          <w:rFonts w:ascii="Consolas" w:cs="Consolas" w:eastAsia="Consolas" w:hAnsi="Consolas"/>
          <w:sz w:val="19"/>
          <w:szCs w:val="19"/>
        </w:rPr>
        <w:t xml:space="preserve">import numpy as np</w:t>
      </w:r>
    </w:p>
    <w:p>
      <w:pPr>
        <w:shd w:fill="F5F5F5" w:val="clear"/>
        <w:spacing w:after="60"/>
      </w:pPr>
      <w:r>
        <w:rPr>
          <w:rFonts w:ascii="Consolas" w:cs="Consolas" w:eastAsia="Consolas" w:hAnsi="Consolas"/>
          <w:sz w:val="19"/>
          <w:szCs w:val="19"/>
        </w:rPr>
        <w:t xml:space="preserve">m = CGE()                       # MCS réconciliée (défaut) ; CGE(dataset='original') pour l'ancienne</w:t>
      </w:r>
    </w:p>
    <w:p>
      <w:pPr>
        <w:shd w:fill="F5F5F5" w:val="clear"/>
        <w:spacing w:after="60"/>
      </w:pPr>
      <w:r>
        <w:rPr>
          <w:rFonts w:ascii="Consolas" w:cs="Consolas" w:eastAsia="Consolas" w:hAnsi="Consolas"/>
          <w:sz w:val="19"/>
          <w:szCs w:val="19"/>
        </w:rPr>
        <w:t xml:space="preserve">x, sol = m.solve()              # équilibre de référence (BAU)</w:t>
      </w:r>
    </w:p>
    <w:p>
      <w:pPr>
        <w:shd w:fill="F5F5F5" w:val="clear"/>
        <w:spacing w:after="60"/>
      </w:pPr>
      <w:r>
        <w:rPr>
          <w:rFonts w:ascii="Consolas" w:cs="Consolas" w:eastAsia="Consolas" w:hAnsi="Consolas"/>
          <w:sz w:val="19"/>
          <w:szCs w:val="19"/>
        </w:rPr>
        <w:t xml:space="preserve">r = m.report(x)                 # dictionnaire de résultats</w:t>
      </w:r>
    </w:p>
    <w:p>
      <w:pPr>
        <w:shd w:fill="F5F5F5" w:val="clear"/>
        <w:spacing w:after="60"/>
      </w:pPr>
      <w:r>
        <w:rPr>
          <w:rFonts w:ascii="Consolas" w:cs="Consolas" w:eastAsia="Consolas" w:hAnsi="Consolas"/>
          <w:sz w:val="19"/>
          <w:szCs w:val="19"/>
        </w:rPr>
        <w:t xml:space="preserve">print(r['GDP_VA']/1e3)          # PIB (valeur ajoutée), en Mds FCFA</w:t>
      </w:r>
    </w:p>
    <w:p>
      <w:pPr>
        <w:spacing w:after="120" w:line="276"/>
        <w:jc w:val="both"/>
      </w:pPr>
      <w:r>
        <w:rPr>
          <w:rFonts w:ascii="Calibri" w:cs="Calibri" w:eastAsia="Calibri" w:hAnsi="Calibri"/>
          <w:sz w:val="22"/>
          <w:szCs w:val="22"/>
        </w:rPr>
        <w:t xml:space="preserve"/>
      </w:r>
    </w:p>
    <w:p>
      <w:pPr>
        <w:spacing w:after="120" w:line="276"/>
        <w:jc w:val="both"/>
      </w:pPr>
      <w:r>
        <w:rPr>
          <w:rFonts w:ascii="Calibri" w:cs="Calibri" w:eastAsia="Calibri" w:hAnsi="Calibri"/>
          <w:b/>
          <w:bCs/>
          <w:sz w:val="22"/>
          <w:szCs w:val="22"/>
        </w:rPr>
        <w:t xml:space="preserve">Deux diagnostics à vérifier systématiquement : </w:t>
      </w:r>
      <w:r>
        <w:rPr>
          <w:rFonts w:ascii="Calibri" w:cs="Calibri" w:eastAsia="Calibri" w:hAnsi="Calibri"/>
          <w:sz w:val="22"/>
          <w:szCs w:val="22"/>
        </w:rPr>
        <w:t xml:space="preserve">le résidu np.max(np.abs(m.residual(x))) (attendu ~1e-12 à la base, &lt; 1e-8 après choc) et la loi de Walras r['walras'] (attendu ≈ 0 : c'est la contrainte extérieure, équation redondante du système — si elle s'écarte de zéro, la solution n'est pas un équilibre).</w:t>
      </w:r>
    </w:p>
    <w:p>
      <w:pPr>
        <w:pStyle w:val="Heading1"/>
        <w:spacing w:after="160" w:before="320"/>
      </w:pPr>
      <w:r>
        <w:rPr>
          <w:rFonts w:ascii="Calibri" w:cs="Calibri" w:eastAsia="Calibri" w:hAnsi="Calibri"/>
          <w:b/>
          <w:bCs/>
          <w:color w:val="1F3864"/>
          <w:sz w:val="30"/>
          <w:szCs w:val="30"/>
        </w:rPr>
        <w:t xml:space="preserve">3. Organisation des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65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À utiliser pour</w:t>
            </w:r>
          </w:p>
        </w:tc>
      </w:tr>
      <w:tr>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cge.py</w:t>
            </w:r>
          </w:p>
        </w:tc>
        <w:tc>
          <w:tcPr>
            <w:tcW w:type="dxa" w:w="6560"/>
            <w:tcMar>
              <w:top w:type="dxa" w:w="60"/>
              <w:left w:type="dxa" w:w="100"/>
              <w:bottom w:type="dxa" w:w="60"/>
              <w:right w:type="dxa" w:w="100"/>
            </w:tcMar>
          </w:tcPr>
          <w:p>
            <w:r>
              <w:rPr>
                <w:rFonts w:ascii="Calibri" w:cs="Calibri" w:eastAsia="Calibri" w:hAnsi="Calibri"/>
                <w:b w:val="false"/>
                <w:bCs w:val="false"/>
                <w:color w:val="000000"/>
                <w:sz w:val="20"/>
                <w:szCs w:val="20"/>
              </w:rPr>
              <w:t xml:space="preserve">Créer le modèle, résoudre (solve, solve_path), choisir les clôtures, la dynamique.</w:t>
            </w:r>
          </w:p>
        </w:tc>
      </w:tr>
      <w:tr>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scenarios.py</w:t>
            </w:r>
          </w:p>
        </w:tc>
        <w:tc>
          <w:tcPr>
            <w:tcW w:type="dxa" w:w="6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Définir des chocs et lancer des simulations comparées au BAU.</w:t>
            </w:r>
          </w:p>
        </w:tc>
      </w:tr>
      <w:tr>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report.py</w:t>
            </w:r>
          </w:p>
        </w:tc>
        <w:tc>
          <w:tcPr>
            <w:tcW w:type="dxa" w:w="6560"/>
            <w:tcMar>
              <w:top w:type="dxa" w:w="60"/>
              <w:left w:type="dxa" w:w="100"/>
              <w:bottom w:type="dxa" w:w="60"/>
              <w:right w:type="dxa" w:w="100"/>
            </w:tcMar>
          </w:tcPr>
          <w:p>
            <w:r>
              <w:rPr>
                <w:rFonts w:ascii="Calibri" w:cs="Calibri" w:eastAsia="Calibri" w:hAnsi="Calibri"/>
                <w:b w:val="false"/>
                <w:bCs w:val="false"/>
                <w:color w:val="000000"/>
                <w:sz w:val="20"/>
                <w:szCs w:val="20"/>
              </w:rPr>
              <w:t xml:space="preserve">Mettre en forme, bien-être (EV), exporter en Excel, tracer.</w:t>
            </w:r>
          </w:p>
        </w:tc>
      </w:tr>
      <w:tr>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nests.py, calib.py</w:t>
            </w:r>
          </w:p>
        </w:tc>
        <w:tc>
          <w:tcPr>
            <w:tcW w:type="dxa" w:w="6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Cœur technique (rarement modifié).</w:t>
            </w:r>
          </w:p>
        </w:tc>
      </w:tr>
      <w:tr>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validation_finale.py</w:t>
            </w:r>
          </w:p>
        </w:tc>
        <w:tc>
          <w:tcPr>
            <w:tcW w:type="dxa" w:w="6560"/>
            <w:tcMar>
              <w:top w:type="dxa" w:w="60"/>
              <w:left w:type="dxa" w:w="100"/>
              <w:bottom w:type="dxa" w:w="60"/>
              <w:right w:type="dxa" w:w="100"/>
            </w:tcMar>
          </w:tcPr>
          <w:p>
            <w:r>
              <w:rPr>
                <w:rFonts w:ascii="Calibri" w:cs="Calibri" w:eastAsia="Calibri" w:hAnsi="Calibri"/>
                <w:b w:val="false"/>
                <w:bCs w:val="false"/>
                <w:color w:val="000000"/>
                <w:sz w:val="20"/>
                <w:szCs w:val="20"/>
              </w:rPr>
              <w:t xml:space="preserve">Batterie de non-régression à rejouer après toute modification.</w:t>
            </w:r>
          </w:p>
        </w:tc>
      </w:tr>
    </w:tbl>
    <w:p>
      <w:pPr>
        <w:spacing w:after="120" w:line="276"/>
        <w:jc w:val="both"/>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4. Résoudre l'équilibre</w:t>
      </w:r>
    </w:p>
    <w:p>
      <w:pPr>
        <w:spacing w:after="120" w:line="276"/>
        <w:jc w:val="both"/>
      </w:pPr>
      <w:r>
        <w:rPr>
          <w:rFonts w:ascii="Calibri" w:cs="Calibri" w:eastAsia="Calibri" w:hAnsi="Calibri"/>
          <w:b/>
          <w:bCs/>
          <w:sz w:val="22"/>
          <w:szCs w:val="22"/>
        </w:rPr>
        <w:t xml:space="preserve">Changer les élasticités : </w:t>
      </w:r>
    </w:p>
    <w:p>
      <w:pPr>
        <w:shd w:fill="F5F5F5" w:val="clear"/>
        <w:spacing w:after="60"/>
      </w:pPr>
      <w:r>
        <w:rPr>
          <w:rFonts w:ascii="Consolas" w:cs="Consolas" w:eastAsia="Consolas" w:hAnsi="Consolas"/>
          <w:sz w:val="19"/>
          <w:szCs w:val="19"/>
        </w:rPr>
        <w:t xml:space="preserve">m = CGE(elas={'sVA':1.2, 'sM':2.5})</w:t>
      </w:r>
    </w:p>
    <w:p>
      <w:pPr>
        <w:spacing w:after="120" w:line="276"/>
        <w:jc w:val="both"/>
      </w:pPr>
      <w:r>
        <w:rPr>
          <w:rFonts w:ascii="Calibri" w:cs="Calibri" w:eastAsia="Calibri" w:hAnsi="Calibri"/>
          <w:b/>
          <w:bCs/>
          <w:sz w:val="22"/>
          <w:szCs w:val="22"/>
        </w:rPr>
        <w:t xml:space="preserve">Fermeture du capital : </w:t>
      </w:r>
      <w:r>
        <w:rPr>
          <w:rFonts w:ascii="Calibri" w:cs="Calibri" w:eastAsia="Calibri" w:hAnsi="Calibri"/>
          <w:sz w:val="22"/>
          <w:szCs w:val="22"/>
        </w:rPr>
        <w:t xml:space="preserve">le capital SECTORIEL est le défaut (PEP-1-t) : rentes par branche, robuste aux chocs. Le capital mobile (m.sec_cap=False) est utilisable pour de petits chocs, mais déconseillé pour les grands (branches exportatrices en solution de coin).</w:t>
      </w:r>
    </w:p>
    <w:p>
      <w:pPr>
        <w:pStyle w:val="Heading2"/>
        <w:spacing w:after="120" w:before="240"/>
      </w:pPr>
      <w:r>
        <w:rPr>
          <w:rFonts w:ascii="Calibri" w:cs="Calibri" w:eastAsia="Calibri" w:hAnsi="Calibri"/>
          <w:b/>
          <w:bCs/>
          <w:color w:val="1F3864"/>
          <w:sz w:val="25"/>
          <w:szCs w:val="25"/>
        </w:rPr>
        <w:t xml:space="preserve">4.1 Choisir le jeu de données selon le choc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60"/>
        <w:gridCol w:w="2800"/>
      </w:tblGrid>
      <w:tr>
        <w:trPr>
          <w:tblHeader/>
        </w:trPr>
        <w:tc>
          <w:tcPr>
            <w:tcW w:type="dxa" w:w="3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 d'analyse</w:t>
            </w:r>
          </w:p>
        </w:tc>
        <w:tc>
          <w:tcPr>
            <w:tcW w:type="dxa" w:w="27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Jeu recommandé</w:t>
            </w:r>
          </w:p>
        </w:tc>
        <w:tc>
          <w:tcPr>
            <w:tcW w:type="dxa" w:w="2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Précision attendue</w:t>
            </w:r>
          </w:p>
        </w:tc>
      </w:tr>
      <w:tr>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Prix mondiaux, exportations, chocs extérieurs</w:t>
            </w:r>
          </w:p>
        </w:tc>
        <w:tc>
          <w:tcPr>
            <w:tcW w:type="dxa" w:w="2760"/>
            <w:tcMar>
              <w:top w:type="dxa" w:w="60"/>
              <w:left w:type="dxa" w:w="100"/>
              <w:bottom w:type="dxa" w:w="60"/>
              <w:right w:type="dxa" w:w="100"/>
            </w:tcMar>
          </w:tcPr>
          <w:p>
            <w:r>
              <w:rPr>
                <w:rFonts w:ascii="Calibri" w:cs="Calibri" w:eastAsia="Calibri" w:hAnsi="Calibri"/>
                <w:b w:val="false"/>
                <w:bCs w:val="false"/>
                <w:color w:val="000000"/>
                <w:sz w:val="20"/>
                <w:szCs w:val="20"/>
              </w:rPr>
              <w:t xml:space="preserve">CGE() — réconcilié (défaut)</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~1e-14, Walras 0</w:t>
            </w:r>
          </w:p>
        </w:tc>
      </w:tr>
      <w:tr>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Fiscalité intérieure ≤ ~3 pts</w:t>
            </w:r>
          </w:p>
        </w:tc>
        <w:tc>
          <w:tcPr>
            <w:tcW w:type="dxa" w:w="27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CGE() — réconcilié (défaut)</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~1e-14 via homotopie</w:t>
            </w:r>
          </w:p>
        </w:tc>
      </w:tr>
      <w:tr>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Grandes réformes fiscales (&gt; 3 pts)</w:t>
            </w:r>
          </w:p>
        </w:tc>
        <w:tc>
          <w:tcPr>
            <w:tcW w:type="dxa" w:w="2760"/>
            <w:tcMar>
              <w:top w:type="dxa" w:w="60"/>
              <w:left w:type="dxa" w:w="100"/>
              <w:bottom w:type="dxa" w:w="60"/>
              <w:right w:type="dxa" w:w="100"/>
            </w:tcMar>
          </w:tcPr>
          <w:p>
            <w:r>
              <w:rPr>
                <w:rFonts w:ascii="Calibri" w:cs="Calibri" w:eastAsia="Calibri" w:hAnsi="Calibri"/>
                <w:b w:val="false"/>
                <w:bCs w:val="false"/>
                <w:color w:val="000000"/>
                <w:sz w:val="20"/>
                <w:szCs w:val="20"/>
              </w:rPr>
              <w:t xml:space="preserve">CGE(dataset='original')</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~1e-14, Walras 0</w:t>
            </w:r>
          </w:p>
        </w:tc>
      </w:tr>
      <w:tr>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Productivité, offre de facteurs</w:t>
            </w:r>
          </w:p>
        </w:tc>
        <w:tc>
          <w:tcPr>
            <w:tcW w:type="dxa" w:w="27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l'un ou l'autre</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~1e-14 via homotopie</w:t>
            </w:r>
          </w:p>
        </w:tc>
      </w:tr>
      <w:tr>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Politique douanière</w:t>
            </w:r>
          </w:p>
        </w:tc>
        <w:tc>
          <w:tcPr>
            <w:tcW w:type="dxa" w:w="2760"/>
            <w:tcMar>
              <w:top w:type="dxa" w:w="60"/>
              <w:left w:type="dxa" w:w="100"/>
              <w:bottom w:type="dxa" w:w="60"/>
              <w:right w:type="dxa" w:w="100"/>
            </w:tcMar>
          </w:tcPr>
          <w:p>
            <w:r>
              <w:rPr>
                <w:rFonts w:ascii="Calibri" w:cs="Calibri" w:eastAsia="Calibri" w:hAnsi="Calibri"/>
                <w:b w:val="false"/>
                <w:bCs w:val="false"/>
                <w:color w:val="000000"/>
                <w:sz w:val="20"/>
                <w:szCs w:val="20"/>
              </w:rPr>
              <w:t xml:space="preserve">aucun (compte TM vide)</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non simulable</w:t>
            </w:r>
          </w:p>
        </w:tc>
      </w:tr>
    </w:tbl>
    <w:p>
      <w:pPr>
        <w:spacing w:after="120" w:line="276"/>
        <w:jc w:val="both"/>
      </w:pPr>
      <w:r>
        <w:rPr>
          <w:rFonts w:ascii="Calibri" w:cs="Calibri" w:eastAsia="Calibri" w:hAnsi="Calibri"/>
          <w:sz w:val="22"/>
          <w:szCs w:val="22"/>
        </w:rPr>
        <w:t xml:space="preserve">Les deux matrices sont consultables en Excel : MCS_reconciliee_BF2018.xlsx et MCS_originale_BF2018.xlsx (feuilles Lisez-moi, MCS complète, Macro, Nomenclature avec libellés des branches et produits).</w:t>
      </w:r>
    </w:p>
    <w:p>
      <w:pPr>
        <w:pStyle w:val="Heading1"/>
        <w:spacing w:after="160" w:before="320"/>
      </w:pPr>
      <w:r>
        <w:rPr>
          <w:rFonts w:ascii="Calibri" w:cs="Calibri" w:eastAsia="Calibri" w:hAnsi="Calibri"/>
          <w:b/>
          <w:bCs/>
          <w:color w:val="1F3864"/>
          <w:sz w:val="30"/>
          <w:szCs w:val="30"/>
        </w:rPr>
        <w:t xml:space="preserve">5. Définir et lancer des scénarios</w:t>
      </w:r>
    </w:p>
    <w:p>
      <w:pPr>
        <w:pStyle w:val="Heading2"/>
        <w:spacing w:after="120" w:before="240"/>
      </w:pPr>
      <w:r>
        <w:rPr>
          <w:rFonts w:ascii="Calibri" w:cs="Calibri" w:eastAsia="Calibri" w:hAnsi="Calibri"/>
          <w:b/>
          <w:bCs/>
          <w:color w:val="1F3864"/>
          <w:sz w:val="25"/>
          <w:szCs w:val="25"/>
        </w:rPr>
        <w:t xml:space="preserve">5.1 Constructeurs de chocs (scenarios.py)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Constructeur</w:t>
            </w:r>
          </w:p>
        </w:tc>
        <w:tc>
          <w:tcPr>
            <w:tcW w:type="dxa" w:w="2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Effet</w:t>
            </w:r>
          </w:p>
        </w:tc>
        <w:tc>
          <w:tcPr>
            <w:tcW w:type="dxa" w:w="25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Exemple</w:t>
            </w:r>
          </w:p>
        </w:tc>
      </w:tr>
      <w:tr>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fiscal(prefix, add)</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Taxe produit</w:t>
            </w:r>
          </w:p>
        </w:tc>
        <w:tc>
          <w:tcPr>
            <w:tcW w:type="dxa" w:w="2560"/>
            <w:tcMar>
              <w:top w:type="dxa" w:w="60"/>
              <w:left w:type="dxa" w:w="100"/>
              <w:bottom w:type="dxa" w:w="60"/>
              <w:right w:type="dxa" w:w="100"/>
            </w:tcMar>
          </w:tcPr>
          <w:p>
            <w:r>
              <w:rPr>
                <w:rFonts w:ascii="Calibri" w:cs="Calibri" w:eastAsia="Calibri" w:hAnsi="Calibri"/>
                <w:b w:val="false"/>
                <w:bCs w:val="false"/>
                <w:color w:val="000000"/>
                <w:sz w:val="20"/>
                <w:szCs w:val="20"/>
              </w:rPr>
              <w:t xml:space="preserve">fiscal(prefix=(62,97), add=0.10)</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tfp(branch_range, factor)</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Productivité</w:t>
            </w:r>
          </w:p>
        </w:tc>
        <w:tc>
          <w:tcPr>
            <w:tcW w:type="dxa" w:w="2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tfp(branch_range=(1,27), factor=1.10)</w:t>
            </w:r>
          </w:p>
        </w:tc>
      </w:tr>
      <w:tr>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world_price(commodities, exp_factor, imp_factor)</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Prix mondiaux</w:t>
            </w:r>
          </w:p>
        </w:tc>
        <w:tc>
          <w:tcPr>
            <w:tcW w:type="dxa" w:w="2560"/>
            <w:tcMar>
              <w:top w:type="dxa" w:w="60"/>
              <w:left w:type="dxa" w:w="100"/>
              <w:bottom w:type="dxa" w:w="60"/>
              <w:right w:type="dxa" w:w="100"/>
            </w:tcMar>
          </w:tcPr>
          <w:p>
            <w:r>
              <w:rPr>
                <w:rFonts w:ascii="Calibri" w:cs="Calibri" w:eastAsia="Calibri" w:hAnsi="Calibri"/>
                <w:b w:val="false"/>
                <w:bCs w:val="false"/>
                <w:color w:val="000000"/>
                <w:sz w:val="20"/>
                <w:szCs w:val="20"/>
              </w:rPr>
              <w:t xml:space="preserve">world_price(['P60'], exp_factor=0.8)</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factor_supply(labour, capital)</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Offre de facteurs</w:t>
            </w:r>
          </w:p>
        </w:tc>
        <w:tc>
          <w:tcPr>
            <w:tcW w:type="dxa" w:w="2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factor_supply(labour=1.05)</w:t>
            </w:r>
          </w:p>
        </w:tc>
      </w:tr>
      <w:tr>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combine(a, b, ...)</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Cumul de chocs</w:t>
            </w:r>
          </w:p>
        </w:tc>
        <w:tc>
          <w:tcPr>
            <w:tcW w:type="dxa" w:w="2560"/>
            <w:tcMar>
              <w:top w:type="dxa" w:w="60"/>
              <w:left w:type="dxa" w:w="100"/>
              <w:bottom w:type="dxa" w:w="60"/>
              <w:right w:type="dxa" w:w="100"/>
            </w:tcMar>
          </w:tcPr>
          <w:p>
            <w:r>
              <w:rPr>
                <w:rFonts w:ascii="Calibri" w:cs="Calibri" w:eastAsia="Calibri" w:hAnsi="Calibri"/>
                <w:b w:val="false"/>
                <w:bCs w:val="false"/>
                <w:color w:val="000000"/>
                <w:sz w:val="20"/>
                <w:szCs w:val="20"/>
              </w:rPr>
              <w:t xml:space="preserve">combine(fiscal(...), tfp(...))</w:t>
            </w:r>
          </w:p>
        </w:tc>
      </w:tr>
      <w:tr>
        <w:tc>
          <w:tcPr>
            <w:tcW w:type="dxa" w:w="4200"/>
          </w:tcPr>
          <w:p>
            <w:r>
              <w:t>social_transfer(amount_total)</w:t>
            </w:r>
          </w:p>
        </w:tc>
        <w:tc>
          <w:tcPr>
            <w:tcW w:type="dxa" w:w="2600"/>
          </w:tcPr>
          <w:p>
            <w:r>
              <w:t>Transfert État→ménages</w:t>
            </w:r>
          </w:p>
        </w:tc>
        <w:tc>
          <w:tcPr>
            <w:tcW w:type="dxa" w:w="2560"/>
          </w:tcPr>
          <w:p>
            <w:r>
              <w:t>social_transfer(10.0)</w:t>
            </w:r>
          </w:p>
        </w:tc>
      </w:tr>
      <w:tr>
        <w:tc>
          <w:tcPr>
            <w:tcW w:type="dxa" w:w="4200"/>
          </w:tcPr>
          <w:p>
            <w:r>
              <w:t>input_subsidy(inputs, sectors, sub_rate)</w:t>
            </w:r>
          </w:p>
        </w:tc>
        <w:tc>
          <w:tcPr>
            <w:tcW w:type="dxa" w:w="2600"/>
          </w:tcPr>
          <w:p>
            <w:r>
              <w:t>Subvention d'intrants</w:t>
            </w:r>
          </w:p>
        </w:tc>
        <w:tc>
          <w:tcPr>
            <w:tcW w:type="dxa" w:w="2560"/>
          </w:tcPr>
          <w:p>
            <w:r>
              <w:t>input_subsidy(sectors=['A3','A4'], sub_rate=0.20)</w:t>
            </w:r>
          </w:p>
        </w:tc>
      </w:tr>
    </w:tbl>
    <w:p>
      <w:pPr>
        <w:spacing w:after="120" w:line="276"/>
        <w:jc w:val="both"/>
      </w:pPr>
      <w:r>
        <w:rPr>
          <w:rFonts w:ascii="Calibri" w:cs="Calibri" w:eastAsia="Calibri" w:hAnsi="Calibri"/>
          <w:sz w:val="22"/>
          <w:szCs w:val="22"/>
        </w:rPr>
        <w:t xml:space="preserve">Codes : biens P1…, branches A1… ; prefix=(62,97) désigne une plage de codes (ex. agroalimentaire).</w:t>
      </w:r>
    </w:p>
    <w:p>
      <w:pPr>
        <w:pStyle w:val="Heading2"/>
        <w:spacing w:after="120" w:before="240"/>
      </w:pPr>
      <w:r>
        <w:rPr>
          <w:rFonts w:ascii="Calibri" w:cs="Calibri" w:eastAsia="Calibri" w:hAnsi="Calibri"/>
          <w:b/>
          <w:bCs/>
          <w:color w:val="1F3864"/>
          <w:sz w:val="25"/>
          <w:szCs w:val="25"/>
        </w:rPr>
        <w:t xml:space="preserve">5.2 Exécution statique (choc vs BAU)</w:t>
      </w:r>
    </w:p>
    <w:p>
      <w:pPr>
        <w:shd w:fill="F5F5F5" w:val="clear"/>
        <w:spacing w:after="60"/>
      </w:pPr>
      <w:r>
        <w:rPr>
          <w:rFonts w:ascii="Consolas" w:cs="Consolas" w:eastAsia="Consolas" w:hAnsi="Consolas"/>
          <w:sz w:val="19"/>
          <w:szCs w:val="19"/>
        </w:rPr>
        <w:t xml:space="preserve">import scenarios as SC</w:t>
      </w:r>
    </w:p>
    <w:p>
      <w:pPr>
        <w:shd w:fill="F5F5F5" w:val="clear"/>
        <w:spacing w:after="60"/>
      </w:pPr>
      <w:r>
        <w:rPr>
          <w:rFonts w:ascii="Consolas" w:cs="Consolas" w:eastAsia="Consolas" w:hAnsi="Consolas"/>
          <w:sz w:val="19"/>
          <w:szCs w:val="19"/>
        </w:rPr>
        <w:t xml:space="preserve">res = SC.run_static(SC.fiscal(prefix=(62,97), add=0.10))</w:t>
      </w:r>
    </w:p>
    <w:p>
      <w:pPr>
        <w:shd w:fill="F5F5F5" w:val="clear"/>
        <w:spacing w:after="60"/>
      </w:pPr>
      <w:r>
        <w:rPr>
          <w:rFonts w:ascii="Consolas" w:cs="Consolas" w:eastAsia="Consolas" w:hAnsi="Consolas"/>
          <w:sz w:val="19"/>
          <w:szCs w:val="19"/>
        </w:rPr>
        <w:t xml:space="preserve">res['r0'], res['r1']   # résultats BAU et choc</w:t>
      </w:r>
    </w:p>
    <w:p>
      <w:pPr>
        <w:spacing w:after="120" w:line="276"/>
        <w:jc w:val="both"/>
      </w:pPr>
      <w:r>
        <w:rPr>
          <w:rFonts w:ascii="Calibri" w:cs="Calibri" w:eastAsia="Calibri" w:hAnsi="Calibri"/>
          <w:sz w:val="22"/>
          <w:szCs w:val="22"/>
        </w:rPr>
        <w:t xml:space="preserve">run_static résout le choc par homotopie adaptative (solve_path) : montée progressive du choc, pas réduit automatiquement en cas de difficulté, pivotage des rentes en coin. Comptez de quelques secondes (chocs modérés) à plusieurs minutes (grands chocs).</w:t>
      </w:r>
    </w:p>
    <w:p>
      <w:pPr>
        <w:pStyle w:val="Heading2"/>
        <w:spacing w:after="120" w:before="240"/>
      </w:pPr>
      <w:r>
        <w:rPr>
          <w:rFonts w:ascii="Calibri" w:cs="Calibri" w:eastAsia="Calibri" w:hAnsi="Calibri"/>
          <w:b/>
          <w:bCs/>
          <w:color w:val="1F3864"/>
          <w:sz w:val="25"/>
          <w:szCs w:val="25"/>
        </w:rPr>
        <w:t xml:space="preserve">5.3 Choc sur mesure avec solve_path</w:t>
      </w:r>
    </w:p>
    <w:p>
      <w:pPr>
        <w:shd w:fill="F5F5F5" w:val="clear"/>
        <w:spacing w:after="60"/>
      </w:pPr>
      <w:r>
        <w:rPr>
          <w:rFonts w:ascii="Consolas" w:cs="Consolas" w:eastAsia="Consolas" w:hAnsi="Consolas"/>
          <w:sz w:val="19"/>
          <w:szCs w:val="19"/>
        </w:rPr>
        <w:t xml:space="preserve">m = CGE(); xb,_ = m.solve()                    # BAU</w:t>
      </w:r>
    </w:p>
    <w:p>
      <w:pPr>
        <w:shd w:fill="F5F5F5" w:val="clear"/>
        <w:spacing w:after="60"/>
      </w:pPr>
      <w:r>
        <w:rPr>
          <w:rFonts w:ascii="Consolas" w:cs="Consolas" w:eastAsia="Consolas" w:hAnsi="Consolas"/>
          <w:sz w:val="19"/>
          <w:szCs w:val="19"/>
        </w:rPr>
        <w:t xml:space="preserve">i60 = m.d.I.index('P60')                        # or</w:t>
      </w:r>
    </w:p>
    <w:p>
      <w:pPr>
        <w:shd w:fill="F5F5F5" w:val="clear"/>
        <w:spacing w:after="60"/>
      </w:pPr>
      <w:r>
        <w:rPr>
          <w:rFonts w:ascii="Consolas" w:cs="Consolas" w:eastAsia="Consolas" w:hAnsi="Consolas"/>
          <w:sz w:val="19"/>
          <w:szCs w:val="19"/>
        </w:rPr>
        <w:t xml:space="preserve">def setter(mm, s):                              # s monte de 0 à 1</w:t>
      </w:r>
    </w:p>
    <w:p>
      <w:pPr>
        <w:shd w:fill="F5F5F5" w:val="clear"/>
        <w:spacing w:after="60"/>
      </w:pPr>
      <w:r>
        <w:rPr>
          <w:rFonts w:ascii="Consolas" w:cs="Consolas" w:eastAsia="Consolas" w:hAnsi="Consolas"/>
          <w:sz w:val="19"/>
          <w:szCs w:val="19"/>
        </w:rPr>
        <w:t xml:space="preserve">    mm.pwe = np.ones(mm.nI); mm.pwe[i60] = 1 - 0.20*s</w:t>
      </w:r>
    </w:p>
    <w:p>
      <w:pPr>
        <w:shd w:fill="F5F5F5" w:val="clear"/>
        <w:spacing w:after="60"/>
      </w:pPr>
      <w:r>
        <w:rPr>
          <w:rFonts w:ascii="Consolas" w:cs="Consolas" w:eastAsia="Consolas" w:hAnsi="Consolas"/>
          <w:sz w:val="19"/>
          <w:szCs w:val="19"/>
        </w:rPr>
        <w:t xml:space="preserve">x, info = m.solve_path(setter, x0=xb)           # info['s']=1 et info['res']&lt;1e-8 attendus</w:t>
      </w:r>
    </w:p>
    <w:p>
      <w:pPr>
        <w:shd w:fill="F5F5F5" w:val="clear"/>
        <w:spacing w:after="60"/>
      </w:pPr>
      <w:r>
        <w:rPr>
          <w:rFonts w:ascii="Consolas" w:cs="Consolas" w:eastAsia="Consolas" w:hAnsi="Consolas"/>
          <w:sz w:val="19"/>
          <w:szCs w:val="19"/>
        </w:rPr>
        <w:t xml:space="preserve">r1 = m.report(x)</w:t>
      </w:r>
    </w:p>
    <w:p>
      <w:pPr>
        <w:shd w:fill="F5F5F5" w:val="clear"/>
        <w:spacing w:after="60"/>
      </w:pPr>
      <w:r>
        <w:t>Depuis la version 3, solve_path garantit l'application du choc à 100 % ou émet un avertissement explicite (plus de troncature silencieuse). Le dictionnaire info retourné contient s (fraction du choc appliquée, doit valoir 1.0), res (résidu final), idle (cellules de capital oisif) et free (produits devenus biens libres, prix épinglé au plancher). Vérifier systématiquement info['ok'] avant d'interpréter des résultats.</w:t>
      </w:r>
    </w:p>
    <w:p>
      <w:pPr>
        <w:spacing w:after="120" w:line="276"/>
        <w:jc w:val="both"/>
      </w:pPr>
      <w:r>
        <w:rPr>
          <w:rFonts w:ascii="Calibri" w:cs="Calibri" w:eastAsia="Calibri" w:hAnsi="Calibri"/>
          <w:sz w:val="22"/>
          <w:szCs w:val="22"/>
        </w:rPr>
        <w:t xml:space="preserve">info contient la fraction de choc atteinte (s), le résidu final, et les cellules de capital oisif (idle). Si s &lt; 1, le sentier s'est arrêté : augmentez max_time, ou réduisez l'ampleur du choc.</w:t>
      </w:r>
    </w:p>
    <w:p>
      <w:pPr>
        <w:pStyle w:val="Heading2"/>
        <w:spacing w:after="120" w:before="240"/>
      </w:pPr>
      <w:r>
        <w:rPr>
          <w:rFonts w:ascii="Calibri" w:cs="Calibri" w:eastAsia="Calibri" w:hAnsi="Calibri"/>
          <w:b/>
          <w:bCs/>
          <w:color w:val="1F3864"/>
          <w:sz w:val="25"/>
          <w:szCs w:val="25"/>
        </w:rPr>
        <w:t xml:space="preserve">5.4 Leviers 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Levier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Signification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m.tic_sim</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Taux de taxe sur les produits (par bien)</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m.p.B_VA</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Productivité globale des facteurs (par branche)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m.pwm / m.pwe</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Prix mondiaux à l'import / export</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m.LS / m.KDj</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Offre de travail / capital sectoriel par branche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m.ttip</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Taux de taxe sur la production</w:t>
            </w:r>
          </w:p>
        </w:tc>
      </w:tr>
    </w:tbl>
    <w:p>
      <w:pPr>
        <w:spacing w:after="120" w:line="276"/>
        <w:jc w:val="both"/>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6. Clôtures et sensibilité</w:t>
      </w:r>
    </w:p>
    <w:p>
      <w:pPr>
        <w:spacing w:after="120" w:line="276"/>
        <w:jc w:val="both"/>
      </w:pPr>
      <w:r>
        <w:rPr>
          <w:rFonts w:ascii="Calibri" w:cs="Calibri" w:eastAsia="Calibri" w:hAnsi="Calibri"/>
          <w:sz w:val="22"/>
          <w:szCs w:val="22"/>
        </w:rPr>
        <w:t xml:space="preserve">La clôture détermine ce qui s'ajuste après un choc. Comparez toujours choc vs BAU sous la MÊME clôture, en écarts.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Paramètre</w:t>
            </w:r>
          </w:p>
        </w:tc>
        <w:tc>
          <w:tcPr>
            <w:tcW w:type="dxa" w:w="3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Options</w:t>
            </w:r>
          </w:p>
        </w:tc>
        <w:tc>
          <w:tcPr>
            <w:tcW w:type="dxa" w:w="31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Sens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m.closure_lab</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'plein_emploi' | 'chomage'</w:t>
            </w:r>
          </w:p>
        </w:tc>
        <w:tc>
          <w:tcPr>
            <w:tcW w:type="dxa" w:w="3160"/>
            <w:tcMar>
              <w:top w:type="dxa" w:w="60"/>
              <w:left w:type="dxa" w:w="100"/>
              <w:bottom w:type="dxa" w:w="60"/>
              <w:right w:type="dxa" w:w="100"/>
            </w:tcMar>
          </w:tcPr>
          <w:p>
            <w:r>
              <w:rPr>
                <w:rFonts w:ascii="Calibri" w:cs="Calibri" w:eastAsia="Calibri" w:hAnsi="Calibri"/>
                <w:b w:val="false"/>
                <w:bCs w:val="false"/>
                <w:color w:val="000000"/>
                <w:sz w:val="20"/>
                <w:szCs w:val="20"/>
              </w:rPr>
              <w:t xml:space="preserve">Salaire flexible (LT) vs salaire RÉEL fixe — indexé sur l'IPC — et emploi flexible (CT)</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m.closure_inv</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'epargne' | 'exogene'</w:t>
            </w:r>
          </w:p>
        </w:tc>
        <w:tc>
          <w:tcPr>
            <w:tcW w:type="dxa" w:w="3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Investissement = épargne (néoclassique) vs investissement réel fixe (keynésien, à réserver à la clôture chômage)</w:t>
            </w:r>
          </w:p>
        </w:tc>
      </w:tr>
    </w:tbl>
    <w:p>
      <w:pPr>
        <w:spacing w:after="120" w:line="276"/>
        <w:jc w:val="both"/>
      </w:pPr>
      <w:r>
        <w:rPr>
          <w:rFonts w:ascii="Calibri" w:cs="Calibri" w:eastAsia="Calibri" w:hAnsi="Calibri"/>
          <w:sz w:val="22"/>
          <w:szCs w:val="22"/>
        </w:rPr>
        <w:t xml:space="preserve"/>
      </w:r>
    </w:p>
    <w:p>
      <w:pPr>
        <w:shd w:fill="F5F5F5" w:val="clear"/>
        <w:spacing w:after="60"/>
      </w:pPr>
      <w:r>
        <w:rPr>
          <w:rFonts w:ascii="Consolas" w:cs="Consolas" w:eastAsia="Consolas" w:hAnsi="Consolas"/>
          <w:sz w:val="19"/>
          <w:szCs w:val="19"/>
        </w:rPr>
        <w:t xml:space="preserve">SC.compare_closures(SC.factor_supply(labour=1.05))</w:t>
      </w:r>
    </w:p>
    <w:p>
      <w:pPr>
        <w:spacing w:after="120" w:line="276"/>
        <w:jc w:val="both"/>
      </w:pPr>
      <w:r>
        <w:rPr>
          <w:rFonts w:ascii="Calibri" w:cs="Calibri" w:eastAsia="Calibri" w:hAnsi="Calibri"/>
          <w:sz w:val="22"/>
          <w:szCs w:val="22"/>
        </w:rPr>
        <w:t xml:space="preserve">En clôture chômage, fixez le salaire réel de référence après le BAU : m.Wbar = (m._store['W']/m._store['cpi']).copy(). Les fonctions de scenarios.py le font automatiquement.</w:t>
      </w:r>
    </w:p>
    <w:p>
      <w:pPr>
        <w:spacing w:after="120" w:line="276"/>
        <w:jc w:val="both"/>
      </w:pPr>
      <w:r>
        <w:rPr>
          <w:rFonts w:ascii="Calibri" w:cs="Calibri" w:eastAsia="Calibri" w:hAnsi="Calibri"/>
          <w:b/>
          <w:bCs/>
          <w:sz w:val="22"/>
          <w:szCs w:val="22"/>
        </w:rPr>
        <w:t xml:space="preserve">Recommandation Burkina Faso : </w:t>
      </w:r>
      <w:r>
        <w:rPr>
          <w:rFonts w:ascii="Calibri" w:cs="Calibri" w:eastAsia="Calibri" w:hAnsi="Calibri"/>
          <w:sz w:val="22"/>
          <w:szCs w:val="22"/>
        </w:rPr>
        <w:t xml:space="preserve">référence long terme = plein_emploi + epargne (change fixe, zone CFA) ; contrepoint court terme = chomage + exogene. Des conclusions qualitatives stables sous les deux clôtures sont crédibles.</w:t>
      </w:r>
    </w:p>
    <w:p>
      <w:pPr>
        <w:pStyle w:val="Heading1"/>
        <w:spacing w:after="160" w:before="320"/>
      </w:pPr>
      <w:r>
        <w:rPr>
          <w:rFonts w:ascii="Calibri" w:cs="Calibri" w:eastAsia="Calibri" w:hAnsi="Calibri"/>
          <w:b/>
          <w:bCs/>
          <w:color w:val="1F3864"/>
          <w:sz w:val="30"/>
          <w:szCs w:val="30"/>
        </w:rPr>
        <w:t xml:space="preserve">7. Dynamique récursive</w:t>
      </w:r>
    </w:p>
    <w:p>
      <w:pPr>
        <w:shd w:fill="F5F5F5" w:val="clear"/>
        <w:spacing w:after="60"/>
      </w:pPr>
      <w:r>
        <w:rPr>
          <w:rFonts w:ascii="Consolas" w:cs="Consolas" w:eastAsia="Consolas" w:hAnsi="Consolas"/>
          <w:sz w:val="19"/>
          <w:szCs w:val="19"/>
        </w:rPr>
        <w:t xml:space="preserve">m = CGE()</w:t>
      </w:r>
    </w:p>
    <w:p>
      <w:pPr>
        <w:shd w:fill="F5F5F5" w:val="clear"/>
        <w:spacing w:after="60"/>
      </w:pPr>
      <w:r>
        <w:rPr>
          <w:rFonts w:ascii="Consolas" w:cs="Consolas" w:eastAsia="Consolas" w:hAnsi="Consolas"/>
          <w:sz w:val="19"/>
          <w:szCs w:val="19"/>
        </w:rPr>
        <w:t xml:space="preserve">chemin = m.solve_dynamic(T=10, delta=0.03, n=0.03)     # BAU</w:t>
      </w:r>
    </w:p>
    <w:p>
      <w:pPr>
        <w:shd w:fill="F5F5F5" w:val="clear"/>
        <w:spacing w:after="60"/>
      </w:pPr>
      <w:r>
        <w:rPr>
          <w:rFonts w:ascii="Consolas" w:cs="Consolas" w:eastAsia="Consolas" w:hAnsi="Consolas"/>
          <w:sz w:val="19"/>
          <w:szCs w:val="19"/>
        </w:rPr>
        <w:t xml:space="preserve">dyn = SC.run_dynamic(SC.tfp(branch_range=(1,27), factor=1.10), T=10)</w:t>
      </w:r>
    </w:p>
    <w:p>
      <w:pPr>
        <w:spacing w:after="120" w:line="276"/>
        <w:jc w:val="both"/>
      </w:pPr>
      <w:r>
        <w:rPr>
          <w:rFonts w:ascii="Calibri" w:cs="Calibri" w:eastAsia="Calibri" w:hAnsi="Calibri"/>
          <w:sz w:val="22"/>
          <w:szCs w:val="22"/>
        </w:rPr>
        <w:t xml:space="preserve">Chaque période est résolue par homotopie sur l'accumulation des facteurs (convergence garantie, ~minute par période). L'investissement est alloué aux branches selon les rendements relatifs. Vérifiez p['conv'] et p['walras'] sur chaque période du chemin.</w:t>
      </w:r>
    </w:p>
    <w:p>
      <w:pPr>
        <w:pStyle w:val="Heading1"/>
        <w:spacing w:after="160" w:before="320"/>
      </w:pPr>
      <w:r>
        <w:rPr>
          <w:rFonts w:ascii="Calibri" w:cs="Calibri" w:eastAsia="Calibri" w:hAnsi="Calibri"/>
          <w:b/>
          <w:bCs/>
          <w:color w:val="1F3864"/>
          <w:sz w:val="30"/>
          <w:szCs w:val="30"/>
        </w:rPr>
        <w:t xml:space="preserve">8. Lire et exporter les résultats</w:t>
      </w:r>
    </w:p>
    <w:p>
      <w:pPr>
        <w:shd w:fill="F5F5F5" w:val="clear"/>
        <w:spacing w:after="60"/>
      </w:pPr>
      <w:r>
        <w:rPr>
          <w:rFonts w:ascii="Consolas" w:cs="Consolas" w:eastAsia="Consolas" w:hAnsi="Consolas"/>
          <w:sz w:val="19"/>
          <w:szCs w:val="19"/>
        </w:rPr>
        <w:t xml:space="preserve">import report as R</w:t>
      </w:r>
    </w:p>
    <w:p>
      <w:pPr>
        <w:shd w:fill="F5F5F5" w:val="clear"/>
        <w:spacing w:after="60"/>
      </w:pPr>
      <w:r>
        <w:rPr>
          <w:rFonts w:ascii="Consolas" w:cs="Consolas" w:eastAsia="Consolas" w:hAnsi="Consolas"/>
          <w:sz w:val="19"/>
          <w:szCs w:val="19"/>
        </w:rPr>
        <w:t xml:space="preserve">R.print_summary(m2, res['r0'], res['r1'], 'Mon scénario')</w:t>
      </w:r>
    </w:p>
    <w:p>
      <w:pPr>
        <w:shd w:fill="F5F5F5" w:val="clear"/>
        <w:spacing w:after="60"/>
      </w:pPr>
      <w:r>
        <w:rPr>
          <w:rFonts w:ascii="Consolas" w:cs="Consolas" w:eastAsia="Consolas" w:hAnsi="Consolas"/>
          <w:sz w:val="19"/>
          <w:szCs w:val="19"/>
        </w:rPr>
        <w:t xml:space="preserve">R.equivalent_variation(m2, res['r0'], res['r1'])        # bien-être par ménage (Mds FCFA)</w:t>
      </w:r>
    </w:p>
    <w:p>
      <w:pPr>
        <w:shd w:fill="F5F5F5" w:val="clear"/>
        <w:spacing w:after="60"/>
      </w:pPr>
      <w:r>
        <w:rPr>
          <w:rFonts w:ascii="Consolas" w:cs="Consolas" w:eastAsia="Consolas" w:hAnsi="Consolas"/>
          <w:sz w:val="19"/>
          <w:szCs w:val="19"/>
        </w:rPr>
        <w:t xml:space="preserve">R.export_excel('resultats.xlsx', m2, res['r0'], res['r1'], dyn_path=dyn['bau'], dyn_shock=dyn.get('shock'))</w:t>
      </w:r>
    </w:p>
    <w:p>
      <w:pPr>
        <w:shd w:fill="F5F5F5" w:val="clear"/>
        <w:spacing w:after="60"/>
      </w:pPr>
      <w:r>
        <w:rPr>
          <w:rFonts w:ascii="Consolas" w:cs="Consolas" w:eastAsia="Consolas" w:hAnsi="Consolas"/>
          <w:sz w:val="19"/>
          <w:szCs w:val="19"/>
        </w:rPr>
        <w:t xml:space="preserve">R.plot_dynamic(dyn['bau'], dyn.get('shock'), out='sentier.png')</w:t>
      </w:r>
    </w:p>
    <w:p>
      <w:pPr>
        <w:spacing w:after="120" w:line="276"/>
        <w:jc w:val="both"/>
      </w:pPr>
      <w:r>
        <w:rPr>
          <w:rFonts w:ascii="Calibri" w:cs="Calibri" w:eastAsia="Calibri" w:hAnsi="Calibri"/>
          <w:sz w:val="22"/>
          <w:szCs w:val="22"/>
        </w:rPr>
        <w:t xml:space="preserve">Le rapport r contient aussi : SG (épargne publique), SF (firmes), SROW, walras, cpi, chomage_pct, GVTrev et ses composantes.</w:t>
      </w:r>
    </w:p>
    <w:p>
      <w:pPr>
        <w:pStyle w:val="Heading1"/>
        <w:spacing w:after="160" w:before="320"/>
      </w:pPr>
      <w:r>
        <w:rPr>
          <w:rFonts w:ascii="Calibri" w:cs="Calibri" w:eastAsia="Calibri" w:hAnsi="Calibri"/>
          <w:b/>
          <w:bCs/>
          <w:color w:val="1F3864"/>
          <w:sz w:val="30"/>
          <w:szCs w:val="30"/>
        </w:rPr>
        <w:t xml:space="preserve">9. Bonnes pratiques et pièges</w:t>
      </w:r>
    </w:p>
    <w:p>
      <w:pPr>
        <w:pStyle w:val="ListParagraph"/>
        <w:numPr>
          <w:ilvl w:val="0"/>
          <w:numId w:val="2"/>
        </w:numPr>
        <w:spacing w:after="80" w:line="276"/>
        <w:jc w:val="both"/>
      </w:pPr>
      <w:r>
        <w:rPr>
          <w:rFonts w:ascii="Calibri" w:cs="Calibri" w:eastAsia="Calibri" w:hAnsi="Calibri"/>
          <w:b/>
          <w:bCs/>
          <w:sz w:val="22"/>
          <w:szCs w:val="22"/>
        </w:rPr>
        <w:t xml:space="preserve">Vérifiez résidu ET Walras après chaque résolution </w:t>
      </w:r>
      <w:r>
        <w:rPr>
          <w:rFonts w:ascii="Calibri" w:cs="Calibri" w:eastAsia="Calibri" w:hAnsi="Calibri"/>
          <w:sz w:val="22"/>
          <w:szCs w:val="22"/>
        </w:rPr>
        <w:t xml:space="preserve">(r['walras'] ≈ 0). Un résidu correct avec un Walras non nul signale un pseudo-équilibre : rejetez la solution.</w:t>
      </w:r>
    </w:p>
    <w:p>
      <w:pPr>
        <w:pStyle w:val="ListParagraph"/>
        <w:numPr>
          <w:ilvl w:val="0"/>
          <w:numId w:val="2"/>
        </w:numPr>
        <w:spacing w:after="80" w:line="276"/>
        <w:jc w:val="both"/>
      </w:pPr>
      <w:r>
        <w:rPr>
          <w:rFonts w:ascii="Calibri" w:cs="Calibri" w:eastAsia="Calibri" w:hAnsi="Calibri"/>
          <w:b/>
          <w:bCs/>
          <w:sz w:val="22"/>
          <w:szCs w:val="22"/>
        </w:rPr>
        <w:t xml:space="preserve">Comparez en écarts </w:t>
      </w:r>
      <w:r>
        <w:rPr>
          <w:rFonts w:ascii="Calibri" w:cs="Calibri" w:eastAsia="Calibri" w:hAnsi="Calibri"/>
          <w:sz w:val="22"/>
          <w:szCs w:val="22"/>
        </w:rPr>
        <w:t xml:space="preserve">choc vs BAU sous la même clôture ; jamais des niveaux entre clôtures différentes.</w:t>
      </w:r>
    </w:p>
    <w:p>
      <w:pPr>
        <w:pStyle w:val="ListParagraph"/>
        <w:numPr>
          <w:ilvl w:val="0"/>
          <w:numId w:val="2"/>
        </w:numPr>
        <w:spacing w:after="80" w:line="276"/>
        <w:jc w:val="both"/>
      </w:pPr>
      <w:r>
        <w:rPr>
          <w:rFonts w:ascii="Calibri" w:cs="Calibri" w:eastAsia="Calibri" w:hAnsi="Calibri"/>
          <w:b/>
          <w:bCs/>
          <w:sz w:val="22"/>
          <w:szCs w:val="22"/>
        </w:rPr>
        <w:t xml:space="preserve">Gros chocs : solve_path </w:t>
      </w:r>
      <w:r>
        <w:rPr>
          <w:rFonts w:ascii="Calibri" w:cs="Calibri" w:eastAsia="Calibri" w:hAnsi="Calibri"/>
          <w:sz w:val="22"/>
          <w:szCs w:val="22"/>
        </w:rPr>
        <w:t xml:space="preserve">(ou run_static qui l'appelle). Une résolution directe peut échouer dès que des rentes sectorielles s'annulent.</w:t>
      </w:r>
    </w:p>
    <w:p>
      <w:pPr>
        <w:pStyle w:val="ListParagraph"/>
        <w:numPr>
          <w:ilvl w:val="0"/>
          <w:numId w:val="2"/>
        </w:numPr>
        <w:spacing w:after="80" w:line="276"/>
        <w:jc w:val="both"/>
      </w:pPr>
      <w:r>
        <w:rPr>
          <w:rFonts w:ascii="Calibri" w:cs="Calibri" w:eastAsia="Calibri" w:hAnsi="Calibri"/>
          <w:b/>
          <w:bCs/>
          <w:sz w:val="22"/>
          <w:szCs w:val="22"/>
        </w:rPr>
        <w:t xml:space="preserve">Choisissez le jeu de données selon le choc. </w:t>
      </w:r>
      <w:r>
        <w:rPr>
          <w:rFonts w:ascii="Calibri" w:cs="Calibri" w:eastAsia="Calibri" w:hAnsi="Calibri"/>
          <w:sz w:val="22"/>
          <w:szCs w:val="22"/>
        </w:rPr>
        <w:t xml:space="preserve">dataset='reconcilie' (défaut) : secteur extérieur réaliste, chocs de prix mondiaux exacts ; chocs fiscaux fiables jusqu'à ~+3 pts. dataset='original' : chocs fiscaux exacts à toute ampleur, mais secteur extérieur inutilisable. Toujours pas de droits de douane dans les données.</w:t>
      </w:r>
    </w:p>
    <w:p>
      <w:pPr>
        <w:pStyle w:val="ListParagraph"/>
        <w:numPr>
          <w:ilvl w:val="0"/>
          <w:numId w:val="2"/>
        </w:numPr>
        <w:spacing w:after="80" w:line="276"/>
        <w:jc w:val="both"/>
      </w:pPr>
      <w:r>
        <w:rPr>
          <w:rFonts w:ascii="Calibri" w:cs="Calibri" w:eastAsia="Calibri" w:hAnsi="Calibri"/>
          <w:b/>
          <w:bCs/>
          <w:sz w:val="22"/>
          <w:szCs w:val="22"/>
        </w:rPr>
        <w:t xml:space="preserve">Sensibilité aux élasticités obligatoire </w:t>
      </w:r>
      <w:r>
        <w:rPr>
          <w:rFonts w:ascii="Calibri" w:cs="Calibri" w:eastAsia="Calibri" w:hAnsi="Calibri"/>
          <w:sz w:val="22"/>
          <w:szCs w:val="22"/>
        </w:rPr>
        <w:t xml:space="preserve">pour toute publication (élasticités uniformes par défaut) : rejouez le scénario avec CGE(elas={...}) sur une grille (p. ex. σ_M et σ_X à ±50 %) et rapportez la fourchette.</w:t>
      </w:r>
    </w:p>
    <w:p>
      <w:pPr>
        <w:pStyle w:val="ListParagraph"/>
        <w:numPr>
          <w:ilvl w:val="0"/>
          <w:numId w:val="2"/>
        </w:numPr>
        <w:spacing w:after="80" w:line="276"/>
        <w:jc w:val="both"/>
      </w:pPr>
      <w:r>
        <w:rPr>
          <w:rFonts w:ascii="Calibri" w:cs="Calibri" w:eastAsia="Calibri" w:hAnsi="Calibri"/>
          <w:b/>
          <w:bCs/>
          <w:sz w:val="22"/>
          <w:szCs w:val="22"/>
        </w:rPr>
        <w:t xml:space="preserve">Lisez les résultats en écarts relatifs, pas en niveaux </w:t>
      </w:r>
      <w:r>
        <w:rPr>
          <w:rFonts w:ascii="Calibri" w:cs="Calibri" w:eastAsia="Calibri" w:hAnsi="Calibri"/>
          <w:sz w:val="22"/>
          <w:szCs w:val="22"/>
        </w:rPr>
        <w:t xml:space="preserve">: le PIB du jeu réconcilié (9 866 Mds) inclut l'économie informelle de la macro-MCS et dépasse le PIB officiel.</w:t>
      </w:r>
    </w:p>
    <w:p>
      <w:pPr>
        <w:pStyle w:val="ListParagraph"/>
        <w:numPr>
          <w:ilvl w:val="0"/>
          <w:numId w:val="2"/>
        </w:numPr>
        <w:spacing w:after="80" w:line="276"/>
        <w:jc w:val="both"/>
      </w:pPr>
      <w:r>
        <w:rPr>
          <w:rFonts w:ascii="Calibri" w:cs="Calibri" w:eastAsia="Calibri" w:hAnsi="Calibri"/>
          <w:b/>
          <w:bCs/>
          <w:sz w:val="22"/>
          <w:szCs w:val="22"/>
        </w:rPr>
        <w:t xml:space="preserve">Zone CFA : </w:t>
      </w:r>
      <w:r>
        <w:rPr>
          <w:rFonts w:ascii="Calibri" w:cs="Calibri" w:eastAsia="Calibri" w:hAnsi="Calibri"/>
          <w:sz w:val="22"/>
          <w:szCs w:val="22"/>
        </w:rPr>
        <w:t xml:space="preserve">change fixe (numéraire e=1), solde courant fixé ; l'ajustement passe par les prix intérieurs.</w:t>
      </w:r>
    </w:p>
    <w:p>
      <w:pPr>
        <w:pStyle w:val="Heading1"/>
        <w:spacing w:after="160" w:before="320"/>
      </w:pPr>
      <w:r>
        <w:rPr>
          <w:rFonts w:ascii="Calibri" w:cs="Calibri" w:eastAsia="Calibri" w:hAnsi="Calibri"/>
          <w:b/>
          <w:bCs/>
          <w:color w:val="1F3864"/>
          <w:sz w:val="30"/>
          <w:szCs w:val="30"/>
        </w:rPr>
        <w:t xml:space="preserve">10. Dépannage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Symptôme</w:t>
            </w:r>
          </w:p>
        </w:tc>
        <w:tc>
          <w:tcPr>
            <w:tcW w:type="dxa" w:w="47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Cause probable / remède</w:t>
            </w:r>
          </w:p>
        </w:tc>
      </w:tr>
      <w:tr>
        <w:tc>
          <w:tcPr>
            <w:tcW w:type="dxa" w:w="4600"/>
            <w:tcMar>
              <w:top w:type="dxa" w:w="60"/>
              <w:left w:type="dxa" w:w="100"/>
              <w:bottom w:type="dxa" w:w="60"/>
              <w:right w:type="dxa" w:w="100"/>
            </w:tcMar>
          </w:tcPr>
          <w:p>
            <w:r>
              <w:rPr>
                <w:rFonts w:ascii="Calibri" w:cs="Calibri" w:eastAsia="Calibri" w:hAnsi="Calibri"/>
                <w:b w:val="false"/>
                <w:bCs w:val="false"/>
                <w:color w:val="000000"/>
                <w:sz w:val="20"/>
                <w:szCs w:val="20"/>
              </w:rPr>
              <w:t xml:space="preserve">Avertissement « convergence douteuse »</w:t>
            </w:r>
          </w:p>
        </w:tc>
        <w:tc>
          <w:tcPr>
            <w:tcW w:type="dxa" w:w="4760"/>
            <w:tcMar>
              <w:top w:type="dxa" w:w="60"/>
              <w:left w:type="dxa" w:w="100"/>
              <w:bottom w:type="dxa" w:w="60"/>
              <w:right w:type="dxa" w:w="100"/>
            </w:tcMar>
          </w:tcPr>
          <w:p>
            <w:r>
              <w:rPr>
                <w:rFonts w:ascii="Calibri" w:cs="Calibri" w:eastAsia="Calibri" w:hAnsi="Calibri"/>
                <w:b w:val="false"/>
                <w:bCs w:val="false"/>
                <w:color w:val="000000"/>
                <w:sz w:val="20"/>
                <w:szCs w:val="20"/>
              </w:rPr>
              <w:t xml:space="preserve">Choc trop grand pour une résolution directe : utiliser solve_path / run_static.</w:t>
            </w:r>
          </w:p>
        </w:tc>
      </w:tr>
      <w:tr>
        <w:tc>
          <w:tcPr>
            <w:tcW w:type="dxa" w:w="4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Avertissement « loi de Walras violée »</w:t>
            </w:r>
          </w:p>
        </w:tc>
        <w:tc>
          <w:tcPr>
            <w:tcW w:type="dxa" w:w="47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La solution n'est pas un équilibre : ne pas l'interpréter ; repasser par solve_path.</w:t>
            </w:r>
          </w:p>
        </w:tc>
      </w:tr>
      <w:tr>
        <w:tc>
          <w:tcPr>
            <w:tcW w:type="dxa" w:w="4600"/>
            <w:tcMar>
              <w:top w:type="dxa" w:w="60"/>
              <w:left w:type="dxa" w:w="100"/>
              <w:bottom w:type="dxa" w:w="60"/>
              <w:right w:type="dxa" w:w="100"/>
            </w:tcMar>
          </w:tcPr>
          <w:p>
            <w:r>
              <w:rPr>
                <w:rFonts w:ascii="Calibri" w:cs="Calibri" w:eastAsia="Calibri" w:hAnsi="Calibri"/>
                <w:b w:val="false"/>
                <w:bCs w:val="false"/>
                <w:color w:val="000000"/>
                <w:sz w:val="20"/>
                <w:szCs w:val="20"/>
              </w:rPr>
              <w:t xml:space="preserve">solve_path s'arrête à s &lt; 1</w:t>
            </w:r>
          </w:p>
        </w:tc>
        <w:tc>
          <w:tcPr>
            <w:tcW w:type="dxa" w:w="4760"/>
            <w:tcMar>
              <w:top w:type="dxa" w:w="60"/>
              <w:left w:type="dxa" w:w="100"/>
              <w:bottom w:type="dxa" w:w="60"/>
              <w:right w:type="dxa" w:w="100"/>
            </w:tcMar>
          </w:tcPr>
          <w:p>
            <w:r>
              <w:t>Rare depuis la v3 (pivot des biens libres + Newton amorti + prédicteur sécant). Augmenter max_time ; consulter info['free'] et les avertissements ; vérifier info['ok'].</w:t>
            </w:r>
          </w:p>
        </w:tc>
      </w:tr>
      <w:tr>
        <w:tc>
          <w:tcPr>
            <w:tcW w:type="dxa" w:w="4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Dynamique lente</w:t>
            </w:r>
          </w:p>
        </w:tc>
        <w:tc>
          <w:tcPr>
            <w:tcW w:type="dxa" w:w="4760"/>
            <w:shd w:fill="F2F2F2" w:val="clear"/>
            <w:tcMar>
              <w:top w:type="dxa" w:w="60"/>
              <w:left w:type="dxa" w:w="100"/>
              <w:bottom w:type="dxa" w:w="60"/>
              <w:right w:type="dxa" w:w="100"/>
            </w:tcMar>
          </w:tcPr>
          <w:p>
            <w:r>
              <w:t>Nettement plus rapide depuis la v3 (~secondes/période). Réduire T pour les itérations exploratoires ; augmenter pour les sentiers publiés.</w:t>
            </w:r>
          </w:p>
        </w:tc>
      </w:tr>
      <w:tr>
        <w:tc>
          <w:tcPr>
            <w:tcW w:type="dxa" w:w="4600"/>
            <w:tcMar>
              <w:top w:type="dxa" w:w="60"/>
              <w:left w:type="dxa" w:w="100"/>
              <w:bottom w:type="dxa" w:w="60"/>
              <w:right w:type="dxa" w:w="100"/>
            </w:tcMar>
          </w:tcPr>
          <w:p>
            <w:r>
              <w:rPr>
                <w:rFonts w:ascii="Calibri" w:cs="Calibri" w:eastAsia="Calibri" w:hAnsi="Calibri"/>
                <w:b w:val="false"/>
                <w:bCs w:val="false"/>
                <w:color w:val="000000"/>
                <w:sz w:val="20"/>
                <w:szCs w:val="20"/>
              </w:rPr>
              <w:t xml:space="preserve">Résultats de niveau surprenants en 'chomage'</w:t>
            </w:r>
          </w:p>
        </w:tc>
        <w:tc>
          <w:tcPr>
            <w:tcW w:type="dxa" w:w="4760"/>
            <w:tcMar>
              <w:top w:type="dxa" w:w="60"/>
              <w:left w:type="dxa" w:w="100"/>
              <w:bottom w:type="dxa" w:w="60"/>
              <w:right w:type="dxa" w:w="100"/>
            </w:tcMar>
          </w:tcPr>
          <w:p>
            <w:r>
              <w:rPr>
                <w:rFonts w:ascii="Calibri" w:cs="Calibri" w:eastAsia="Calibri" w:hAnsi="Calibri"/>
                <w:b w:val="false"/>
                <w:bCs w:val="false"/>
                <w:color w:val="000000"/>
                <w:sz w:val="20"/>
                <w:szCs w:val="20"/>
              </w:rPr>
              <w:t xml:space="preserve">Lire en écarts choc/BAU ; vérifier que Wbar a été fixé après le BAU.</w:t>
            </w:r>
          </w:p>
        </w:tc>
      </w:tr>
      <w:tr>
        <w:tc>
          <w:tcPr>
            <w:tcW w:type="dxa" w:w="4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ModuleNotFoundError</w:t>
            </w:r>
          </w:p>
        </w:tc>
        <w:tc>
          <w:tcPr>
            <w:tcW w:type="dxa" w:w="47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Lancer depuis le dossier du modèle ; vérifier pip install.</w:t>
            </w:r>
          </w:p>
        </w:tc>
      </w:tr>
      <w:tr>
        <w:tc>
          <w:tcPr>
            <w:tcW w:type="dxa" w:w="4600"/>
          </w:tcPr>
          <w:p>
            <w:r>
              <w:t>info['free'] non vide après un choc</w:t>
            </w:r>
          </w:p>
        </w:tc>
        <w:tc>
          <w:tcPr>
            <w:tcW w:type="dxa" w:w="4760"/>
          </w:tcPr>
          <w:p>
            <w:r>
              <w:t>Normal sous choc fort : produits sans consommation finale (ex. P50) dont le prix atteint le plancher (bien libre, excédent librement disposé, Walras préservé). Interpréter les prix relatifs de ces produits avec prudence (artefact des coefficients fixes).</w:t>
            </w:r>
          </w:p>
        </w:tc>
      </w:tr>
    </w:tbl>
    <w:p>
      <w:pPr>
        <w:spacing w:after="120" w:line="276"/>
        <w:jc w:val="both"/>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11. Aide-mémoire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Je veux…</w:t>
            </w:r>
          </w:p>
        </w:tc>
        <w:tc>
          <w:tcPr>
            <w:tcW w:type="dxa" w:w="53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Comment</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Résoudre le BAU</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m=CGE(); x,_=m.solve(); r=m.report(x)</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Valider l'installation / une modification</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python validation_finale.py</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Choc fiscal</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SC.run_static(SC.fiscal(prefix=(62,97), add=0.10))</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Choc de productivité</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SC.run_static(SC.tfp(branch_range=(1,27), factor=1.10))</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Choc de prix mondial (grand)</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m.solve_path(setter, x0=xb)</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Clôture court terme</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m.closure_lab='chomage'; m.closure_inv='exogene'</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Sensibilité aux clôtures</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SC.compare_closures(choc)</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Dynamique BAU vs choc</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SC.run_dynamic(choc, T=10)</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Bien-être par ménage</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R.equivalent_variation(m, r0, r1)</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Export Excel</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R.export_excel('res.xlsx', m, r0, r1)</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Choc extérieur / commerce</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CGE() (jeu réconcilié, défaut)</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Grande réforme fiscale</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CGE(dataset='original')</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Consulter les matrices</w:t>
            </w:r>
          </w:p>
        </w:tc>
        <w:tc>
          <w:tcPr>
            <w:tcW w:type="dxa" w:w="5360"/>
            <w:tcMar>
              <w:top w:type="dxa" w:w="60"/>
              <w:left w:type="dxa" w:w="100"/>
              <w:bottom w:type="dxa" w:w="60"/>
              <w:right w:type="dxa" w:w="100"/>
            </w:tcMar>
          </w:tcPr>
          <w:p>
            <w:r>
              <w:rPr>
                <w:rFonts w:ascii="Calibri" w:cs="Calibri" w:eastAsia="Calibri" w:hAnsi="Calibri"/>
                <w:b w:val="false"/>
                <w:bCs w:val="false"/>
                <w:color w:val="000000"/>
                <w:sz w:val="20"/>
                <w:szCs w:val="20"/>
              </w:rPr>
              <w:t xml:space="preserve">MCS_reconciliee_BF2018.xlsx / MCS_originale_BF2018.xlsx</w:t>
            </w:r>
          </w:p>
        </w:tc>
      </w:tr>
      <w:tr>
        <w:tc>
          <w:tcPr>
            <w:tcW w:type="dxa" w:w="4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Vérifier un équilibre</w:t>
            </w:r>
          </w:p>
        </w:tc>
        <w:tc>
          <w:tcPr>
            <w:tcW w:type="dxa" w:w="5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max|residual| &lt; 1e-8 ET r['walras'] ≈ 0</w:t>
            </w:r>
          </w:p>
        </w:tc>
      </w:tr>
      <w:tr>
        <w:tc>
          <w:tcPr>
            <w:tcW w:type="dxa" w:w="4000"/>
          </w:tcPr>
          <w:p>
            <w:r>
              <w:t>Simuler une subvention d'intrants (ex. engrais riz)</w:t>
            </w:r>
          </w:p>
        </w:tc>
        <w:tc>
          <w:tcPr>
            <w:tcW w:type="dxa" w:w="5360"/>
          </w:tcPr>
          <w:p>
            <w:r>
              <w:t>SC.input_subsidy(sectors=['A3','A4'], sub_rate=0.20) — exemples complets : run_scenario_riz.py et run_scenario_riz_pousse.py (balayage 20/50/80 %).</w:t>
            </w:r>
          </w:p>
        </w:tc>
      </w:tr>
      <w:tr>
        <w:tc>
          <w:tcPr>
            <w:tcW w:type="dxa" w:w="4000"/>
          </w:tcPr>
          <w:p>
            <w:r>
              <w:t>Vérifier le modèle après une modification</w:t>
            </w:r>
          </w:p>
        </w:tc>
        <w:tc>
          <w:tcPr>
            <w:tcW w:type="dxa" w:w="5360"/>
          </w:tcPr>
          <w:p>
            <w:r>
              <w:t>python -m pytest tests/ -q (5 tests, ~20 s) puis python validation_finale.py (T1-T8, ~1 min, tout doit afficher REUSSI).</w:t>
            </w:r>
          </w:p>
        </w:tc>
      </w:tr>
    </w:tbl>
    <w:p>
      <w:pPr>
        <w:spacing w:after="120" w:line="276"/>
        <w:jc w:val="both"/>
      </w:pPr>
      <w:r>
        <w:rPr>
          <w:rFonts w:ascii="Calibri" w:cs="Calibri" w:eastAsia="Calibri" w:hAnsi="Calibri"/>
          <w:sz w:val="22"/>
          <w:szCs w:val="22"/>
        </w:rPr>
        <w:t xml:space="preserve"/>
      </w:r>
    </w:p>
    <w:p>
      <w:pPr>
        <w:spacing w:after="120" w:line="276"/>
        <w:jc w:val="both"/>
      </w:pPr>
      <w:r>
        <w:t>— Fin du manuel (version 3) —</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2026-07-12T18:49:06.389Z</dcterms:created>
  <dcterms:modified xsi:type="dcterms:W3CDTF">2026-07-12T18:49:06.389Z</dcterms:modified>
</cp:coreProperties>
</file>

<file path=docProps/custom.xml><?xml version="1.0" encoding="utf-8"?>
<Properties xmlns="http://schemas.openxmlformats.org/officeDocument/2006/custom-properties" xmlns:vt="http://schemas.openxmlformats.org/officeDocument/2006/docPropsVTypes"/>
</file>