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spacing w:after="200"/>
        <w:pBdr>
          <w:left w:val="single" w:sz="18" w:space="7" w:color="AF7E00"/>
        </w:pBdr>
      </w:pPr>
      <w:r>
        <w:rPr>
          <w:rFonts w:ascii="Times New Roman" w:hAnsi="Times New Roman" w:eastAsia="Times New Roman" w:cs="Times New Roman"/>
          <w:b/>
          <w:color w:val="AE7B00"/>
          <w:sz w:val="34"/>
        </w:rPr>
        <w:t>PRI-Audit: a falsification-first framework for testing patient-level gain from high-resolution psoriasis transcriptomics</w:t>
      </w:r>
    </w:p>
    <w:p>
      <w:pPr>
        <w:keepNext/>
        <w:spacing w:after="40"/>
      </w:pPr>
      <w:r>
        <w:rPr>
          <w:rFonts w:ascii="Times New Roman" w:hAnsi="Times New Roman" w:eastAsia="Times New Roman" w:cs="Times New Roman"/>
          <w:color w:val="1F1F1F"/>
          <w:sz w:val="22"/>
        </w:rPr>
        <w:t>[Author names to be supplied]</w:t>
      </w:r>
    </w:p>
    <w:p>
      <w:pPr>
        <w:keepNext/>
        <w:spacing w:after="40"/>
      </w:pPr>
      <w:r>
        <w:rPr>
          <w:rFonts w:ascii="Times New Roman" w:hAnsi="Times New Roman" w:eastAsia="Times New Roman" w:cs="Times New Roman"/>
          <w:color w:val="1F1F1F"/>
          <w:sz w:val="20"/>
        </w:rPr>
        <w:t>[Affiliations to be supplied]</w:t>
      </w:r>
    </w:p>
    <w:p>
      <w:pPr>
        <w:keepNext/>
        <w:spacing w:after="160"/>
      </w:pPr>
      <w:r>
        <w:rPr>
          <w:rFonts w:ascii="Times New Roman" w:hAnsi="Times New Roman" w:eastAsia="Times New Roman" w:cs="Times New Roman"/>
          <w:color w:val="1F1F1F"/>
          <w:sz w:val="19"/>
        </w:rPr>
        <w:t>Corresponding author: [Name, postal address, and e-mail to be supplied]</w:t>
      </w:r>
    </w:p>
    <w:p>
      <w:pPr>
        <w:pStyle w:val="2"/>
      </w:pPr>
      <w:r>
        <w:rPr>
          <w:rFonts w:ascii="Times New Roman" w:hAnsi="Times New Roman" w:eastAsia="Times New Roman" w:cs="Times New Roman"/>
          <w:b/>
          <w:color w:val="1F1F1F"/>
          <w:sz w:val="30"/>
        </w:rPr>
        <w:t>Abstract</w:t>
      </w:r>
    </w:p>
    <w:p>
      <w:pPr>
        <w:pStyle w:val="PRIAbstract"/>
      </w:pPr>
      <w:r>
        <w:rPr>
          <w:rFonts w:ascii="Times New Roman" w:hAnsi="Times New Roman" w:eastAsia="Times New Roman" w:cs="Times New Roman"/>
          <w:b/>
          <w:color w:val="1F1F1F"/>
          <w:sz w:val="22"/>
        </w:rPr>
        <w:t>Background:</w:t>
      </w:r>
      <w:r>
        <w:rPr>
          <w:rFonts w:ascii="Times New Roman" w:hAnsi="Times New Roman" w:eastAsia="Times New Roman" w:cs="Times New Roman"/>
          <w:b w:val="0"/>
          <w:color w:val="1F1F1F"/>
          <w:sz w:val="22"/>
        </w:rPr>
        <w:t xml:space="preserve"> High-resolution transcriptomic studies can provide thousands of cells or spatial spots from a small number of patients. Their biological detail is substantial, but it does not itself establish that a derived representation improves prediction for a new patient. We developed PRI-Audit (Patient-level Resolution Incremental-value Audit) to test that specific claim.</w:t>
      </w:r>
    </w:p>
    <w:p>
      <w:pPr>
        <w:pStyle w:val="PRIAbstract"/>
      </w:pPr>
      <w:r>
        <w:rPr>
          <w:rFonts w:ascii="Times New Roman" w:hAnsi="Times New Roman" w:eastAsia="Times New Roman" w:cs="Times New Roman"/>
          <w:b/>
          <w:color w:val="1F1F1F"/>
          <w:sz w:val="22"/>
        </w:rPr>
        <w:t>Methods:</w:t>
      </w:r>
      <w:r>
        <w:rPr>
          <w:rFonts w:ascii="Times New Roman" w:hAnsi="Times New Roman" w:eastAsia="Times New Roman" w:cs="Times New Roman"/>
          <w:b w:val="0"/>
          <w:color w:val="1F1F1F"/>
          <w:sz w:val="22"/>
        </w:rPr>
        <w:t xml:space="preserve"> PRI-Audit enforces four linked conditions: biological-unit isolation; refitting of all adaptive preprocessing within the outer held-out unit; comparison against an expression reference matched for folds and feature budget; and representation-specific counterfactual diagnostics. We reconstructed three primary high-resolution GEO inputs from raw files, assigned frozen roles to 11 public psoriasis cohorts, and evaluated low-rank, fold-local spot-topic, cell-neighbourhood, and spatial-graph representations with independent-unit bootstrap inference. Diagnostic contrasts included global fitting, random measurement splits, an intentionally unmatched expression comparator, and within-sample coordinate shuffling. A fixed known-truth hierarchy simulation assessed the complete evidence gate under null, coordinate-signal, source-overlap and weak-reference scenarios. An independently selected public Visium cohort was used as a strictly labelled expression/PCA boundary replication.</w:t>
      </w:r>
    </w:p>
    <w:p>
      <w:pPr>
        <w:pStyle w:val="PRIAbstract"/>
      </w:pPr>
      <w:r>
        <w:rPr>
          <w:rFonts w:ascii="Times New Roman" w:hAnsi="Times New Roman" w:eastAsia="Times New Roman" w:cs="Times New Roman"/>
          <w:b/>
          <w:color w:val="1F1F1F"/>
          <w:sz w:val="22"/>
        </w:rPr>
        <w:t>Results:</w:t>
      </w:r>
      <w:r>
        <w:rPr>
          <w:rFonts w:ascii="Times New Roman" w:hAnsi="Times New Roman" w:eastAsia="Times New Roman" w:cs="Times New Roman"/>
          <w:b w:val="0"/>
          <w:color w:val="1F1F1F"/>
          <w:sz w:val="22"/>
        </w:rPr>
        <w:t xml:space="preserve"> Raw reconstruction was exact for GSE151177 (18 samples × 33,538 genes), GSE173706 (33 × 33,538), and GSE206391 (66 × 16,685). Strict expression AUROC was 0.946, 1.000, and 0.908 in the three respective primary cohorts. PCA and NMF increments over matched expression were +0.018 (95% CI 0.000 to 0.097) and +0.036 (0.000 to 0.156) in GSE151177, 0.000 in GSE173706, and +0.002 (−0.024 to 0.038) and −0.036 (−0.099 to 0.003) in GSE206391. A fold-local eight-topic spot representation and expression-plus-topic fusion in GSE206391 were also lower than dimension-matched expression PCA (ΔAUROC −0.089 and −0.085). Spatial-graph and expression-plus-spatial models had increments of −0.021 (−0.087 to 0.038) and −0.026 (−0.073 to 0.014). Across 400 simulations per condition, the strict gate had zero false-positive declarations under no spatial increment and 0.755–0.903 power for a zero-mean coordinate signal; source-overlapping random cell splits had median AUROC 1.000 whereas patient-LOO performance was near chance. A weakened 16-HVG comparator manufactured an apparent PCA gain of +0.082. Coordinate shuffling left spatial-graph AUROC unchanged (0.870 observed; 0.870 null mean; P=0.563). In the independent five-patient GSE202011 boundary replication, expression and PCA both saturated at AUROC 1.000.</w:t>
      </w:r>
    </w:p>
    <w:p>
      <w:pPr>
        <w:pStyle w:val="PRIAbstract"/>
      </w:pPr>
      <w:r>
        <w:rPr>
          <w:rFonts w:ascii="Times New Roman" w:hAnsi="Times New Roman" w:eastAsia="Times New Roman" w:cs="Times New Roman"/>
          <w:b/>
          <w:color w:val="1F1F1F"/>
          <w:sz w:val="22"/>
        </w:rPr>
        <w:t>Conclusions:</w:t>
      </w:r>
      <w:r>
        <w:rPr>
          <w:rFonts w:ascii="Times New Roman" w:hAnsi="Times New Roman" w:eastAsia="Times New Roman" w:cs="Times New Roman"/>
          <w:b w:val="0"/>
          <w:color w:val="1F1F1F"/>
          <w:sz w:val="22"/>
        </w:rPr>
        <w:t xml:space="preserve"> In the available public psoriasis cohorts, the tested high-resolution representations did not demonstrate a reproducible incremental patient-level AUROC over matched expression. PRI-Audit does not claim that high-resolution biology is absent. It makes the stronger predictive-gain claim reproducible, falsifiable, and appropriately bounded.</w:t>
      </w:r>
    </w:p>
    <w:p>
      <w:pPr>
        <w:pStyle w:val="PRIAbstract"/>
      </w:pPr>
      <w:r>
        <w:rPr>
          <w:rFonts w:ascii="Times New Roman" w:hAnsi="Times New Roman" w:eastAsia="Times New Roman" w:cs="Times New Roman"/>
          <w:b/>
          <w:color w:val="1F1F1F"/>
          <w:sz w:val="22"/>
        </w:rPr>
        <w:t>Keywords:</w:t>
      </w:r>
      <w:r>
        <w:rPr>
          <w:rFonts w:ascii="Times New Roman" w:hAnsi="Times New Roman" w:eastAsia="Times New Roman" w:cs="Times New Roman"/>
          <w:b w:val="0"/>
          <w:color w:val="1F1F1F"/>
          <w:sz w:val="22"/>
        </w:rPr>
        <w:t xml:space="preserve"> psoriasis; single-cell RNA sequencing; spatial transcriptomics; patient-level validation; leakage; falsification; reproducibility; public data</w:t>
      </w:r>
    </w:p>
    <w:p>
      <w:pPr>
        <w:pStyle w:val="2"/>
      </w:pPr>
      <w:r>
        <w:rPr>
          <w:rFonts w:ascii="Times New Roman" w:hAnsi="Times New Roman" w:eastAsia="Times New Roman" w:cs="Times New Roman"/>
          <w:b/>
          <w:color w:val="1F1F1F"/>
          <w:sz w:val="30"/>
        </w:rPr>
        <w:t>1. Introduction</w:t>
      </w:r>
    </w:p>
    <w:p>
      <w:pPr/>
      <w:r>
        <w:rPr>
          <w:rFonts w:ascii="Times New Roman" w:hAnsi="Times New Roman" w:eastAsia="Times New Roman" w:cs="Times New Roman"/>
          <w:b w:val="0"/>
          <w:color w:val="1F1F1F"/>
          <w:sz w:val="23"/>
        </w:rPr>
        <w:t>Psoriasis is a chronic immune-mediated inflammatory skin disease with a recurrent lesional transcriptional programme involving keratinocyte activation, cytokine signalling, immune recruitment and tissue remodelling [1–3]. Single-cell and spatial technologies have made this programme more anatomically and cellularly specific [4–6]. These technologies are indispensable for mechanism-oriented questions. A different question, however, is often left implicit: does the additional measurement resolution produce a reproducible predictive benefit at the level at which new patients enter a study?</w:t>
      </w:r>
    </w:p>
    <w:p>
      <w:pPr/>
      <w:r>
        <w:rPr>
          <w:rFonts w:ascii="Times New Roman" w:hAnsi="Times New Roman" w:eastAsia="Times New Roman" w:cs="Times New Roman"/>
          <w:b w:val="0"/>
          <w:color w:val="1F1F1F"/>
          <w:sz w:val="23"/>
        </w:rPr>
        <w:t>That distinction matters because high-resolution designs are nested. Thousands of cells or spots may originate from a small number of biopsies and patients. Measurements sharing a patient inherit biology, sample processing and batch structure; they are not thousands of independent validation cases. Splitting cells or spots at random can therefore estimate interpolation among measurements from biopsies already represented in training rather than prediction for a new biological unit [7,8]. Leakage can also enter before the supervised learner: feature selection, scaling, factorisation, clustering and graph construction fitted using all samples allow the held-out unit to influence its own representation [9,10].</w:t>
      </w:r>
    </w:p>
    <w:p>
      <w:pPr/>
      <w:r>
        <w:rPr>
          <w:rFonts w:ascii="Times New Roman" w:hAnsi="Times New Roman" w:eastAsia="Times New Roman" w:cs="Times New Roman"/>
          <w:b w:val="0"/>
          <w:color w:val="1F1F1F"/>
          <w:sz w:val="23"/>
        </w:rPr>
        <w:t>Even a perfectly isolated candidate model can be judged against an inadequate control. A complex cell-state or spatial representation may be compared with an expression baseline using fewer genes, different folds or a different effective training set. High absolute AUROC then shows disease association, not incremental value created by the added resolution. This is especially consequential in psoriasis because patient-level expression can already be strongly discriminative. A strong expression reference establishes an empirical ceiling that a high-resolution representation must clear to support a claim of predictive increment.</w:t>
      </w:r>
    </w:p>
    <w:p>
      <w:pPr/>
      <w:r>
        <w:rPr>
          <w:rFonts w:ascii="Times New Roman" w:hAnsi="Times New Roman" w:eastAsia="Times New Roman" w:cs="Times New Roman"/>
          <w:b w:val="0"/>
          <w:color w:val="1F1F1F"/>
          <w:sz w:val="23"/>
        </w:rPr>
        <w:t>We therefore frame the problem as a falsification task rather than a search for the highest apparent score. PRI-Audit is a reusable evaluation framework that couples: (i) a biological-unit split and resampling boundary, (ii) fold-local construction of every adaptive object, (iii) a paired comparison with a matched expression reference, and (iv) counterfactual nulls tailored to the claimed information source. It evaluates the proposition that a representation produces additional patient-level predictive information, rather than the weaker proposition that high-resolution measurements contain biology.</w:t>
      </w:r>
    </w:p>
    <w:p>
      <w:pPr/>
      <w:r>
        <w:rPr>
          <w:rFonts w:ascii="Times New Roman" w:hAnsi="Times New Roman" w:eastAsia="Times New Roman" w:cs="Times New Roman"/>
          <w:b w:val="0"/>
          <w:color w:val="1F1F1F"/>
          <w:sz w:val="23"/>
        </w:rPr>
        <w:t>We apply this framework to 11 public GEO psoriasis datasets with deliberately heterogeneous roles. Three high-resolution cohorts form the primary representation benchmark; seven bulk or longitudinal cohorts provide biological/provenance context; and one in-vitro perturbation dataset is not counted as a patient-prediction fold. The primary claim is narrow: in the public cohorts tested here, have low-rank or spatial representations demonstrated a reproducible patient-level AUROC increment over a comparable expression model?</w:t>
      </w:r>
    </w:p>
    <w:p>
      <w:pPr>
        <w:pStyle w:val="2"/>
      </w:pPr>
      <w:r>
        <w:rPr>
          <w:rFonts w:ascii="Times New Roman" w:hAnsi="Times New Roman" w:eastAsia="Times New Roman" w:cs="Times New Roman"/>
          <w:b/>
          <w:color w:val="1F1F1F"/>
          <w:sz w:val="30"/>
        </w:rPr>
        <w:t>2. Materials and methods</w:t>
      </w:r>
    </w:p>
    <w:p>
      <w:pPr>
        <w:pStyle w:val="3"/>
      </w:pPr>
      <w:r>
        <w:rPr>
          <w:rFonts w:ascii="Times New Roman" w:hAnsi="Times New Roman" w:eastAsia="Times New Roman" w:cs="Times New Roman"/>
          <w:b/>
          <w:color w:val="1F1F1F"/>
          <w:sz w:val="26"/>
        </w:rPr>
        <w:t>2.1. Framework, target estimand, and frozen evidence gate</w:t>
      </w:r>
    </w:p>
    <w:p>
      <w:pPr/>
      <w:r>
        <w:rPr>
          <w:rFonts w:ascii="Times New Roman" w:hAnsi="Times New Roman" w:eastAsia="Times New Roman" w:cs="Times New Roman"/>
          <w:b w:val="0"/>
          <w:color w:val="1F1F1F"/>
          <w:sz w:val="23"/>
        </w:rPr>
        <w:t>PRI-Audit was designed as an evaluation algorithm, not as a new clinical classifier. Its inferential unit was the patient, donor, or dataset-defined biological sample. Cells and spots were nested measurements and were never treated as independent test cases. The framework separates data role assignment, fold-local representation construction, matched comparison, counterfactual falsification, and evidence-to-claim translation (Figure 2).</w:t>
      </w:r>
    </w:p>
    <w:p>
      <w:pPr>
        <w:keepNext/>
        <w:keepLines/>
        <w:spacing w:before="100" w:after="0"/>
        <w:jc w:val="center"/>
      </w:pPr>
      <w:r>
        <w:drawing>
          <wp:inline xmlns:a="http://schemas.openxmlformats.org/drawingml/2006/main" xmlns:pic="http://schemas.openxmlformats.org/drawingml/2006/picture">
            <wp:extent cx="5157216" cy="2900934"/>
            <wp:docPr id="1" name="Figure 2" title="Figure 2" descr="Four-stage PRI-Audit workflow from public data to bounded evidence claims."/>
            <wp:cNvGraphicFramePr>
              <a:graphicFrameLocks noChangeAspect="1"/>
            </wp:cNvGraphicFramePr>
            <a:graphic>
              <a:graphicData uri="http://schemas.openxmlformats.org/drawingml/2006/picture">
                <pic:pic>
                  <pic:nvPicPr>
                    <pic:cNvPr id="0" name="paper_v20_fig2_overall_framework.png"/>
                    <pic:cNvPicPr/>
                  </pic:nvPicPr>
                  <pic:blipFill>
                    <a:blip r:embed="rId26"/>
                    <a:stretch>
                      <a:fillRect/>
                    </a:stretch>
                  </pic:blipFill>
                  <pic:spPr>
                    <a:xfrm>
                      <a:off x="0" y="0"/>
                      <a:ext cx="5157216" cy="2900934"/>
                    </a:xfrm>
                    <a:prstGeom prst="rect"/>
                  </pic:spPr>
                </pic:pic>
              </a:graphicData>
            </a:graphic>
          </wp:inline>
        </w:drawing>
      </w:r>
    </w:p>
    <w:p>
      <w:pPr>
        <w:pStyle w:val="PRICaption"/>
      </w:pPr>
      <w:r>
        <w:rPr>
          <w:rFonts w:ascii="Times New Roman" w:hAnsi="Times New Roman" w:eastAsia="Times New Roman" w:cs="Times New Roman"/>
          <w:b w:val="0"/>
          <w:color w:val="1F1F1F"/>
          <w:sz w:val="18"/>
        </w:rPr>
        <w:t>Figure 2. PRI-Audit framework. Public data are assigned distinct evidential roles; adaptive objects are fitted only in outer-fold training groups; each candidate is compared with matched expression on identical held-out units; and the final claim is filtered through independent-unit uncertainty and representation-specific falsification. The framework supports the bounded conclusion, not a new clinical classifier claim.</w:t>
      </w:r>
    </w:p>
    <w:p>
      <w:pPr/>
      <w:r>
        <w:rPr>
          <w:rFonts w:ascii="Times New Roman" w:hAnsi="Times New Roman" w:eastAsia="Times New Roman" w:cs="Times New Roman"/>
          <w:b w:val="0"/>
          <w:color w:val="1F1F1F"/>
          <w:sz w:val="23"/>
        </w:rPr>
        <w:t>For outer held-out biological group g and representation family m, the representation applied to unit i was</w:t>
      </w:r>
    </w:p>
    <w:p>
      <w:pPr>
        <w:pStyle w:val="PRIEquation"/>
      </w:pPr>
      <w:r>
        <w:rPr>
          <w:rFonts w:ascii="Times New Roman" w:hAnsi="Times New Roman" w:eastAsia="Times New Roman" w:cs="Times New Roman"/>
          <w:i/>
          <w:color w:val="1F1F1F"/>
          <w:sz w:val="21"/>
        </w:rPr>
        <w:t>rᵢ,ₘ⁽⁻ᵍ⁾ = Tₘ(Xᵢ; θ̂ₘ⁽⁻ᵍ⁾),     θ̂ₘ⁽⁻ᵍ⁾ = Fit({Xⱼ : group(j) ≠ g}).     (1)</w:t>
      </w:r>
    </w:p>
    <w:p>
      <w:pPr/>
      <w:r>
        <w:rPr>
          <w:rFonts w:ascii="Times New Roman" w:hAnsi="Times New Roman" w:eastAsia="Times New Roman" w:cs="Times New Roman"/>
          <w:b w:val="0"/>
          <w:color w:val="1F1F1F"/>
          <w:sz w:val="23"/>
        </w:rPr>
        <w:t>where every adaptive parameter θ, including highly-variable-gene selection, scaling, PCA/NMF factors, cell-neighbourhood dictionaries, graph summaries and classifier coefficients, was fitted using only groups other than g. Candidate and matched expression-reference predictions were then compared on the same held-out observations:</w:t>
      </w:r>
    </w:p>
    <w:p>
      <w:pPr>
        <w:pStyle w:val="PRIEquation"/>
      </w:pPr>
      <w:r>
        <w:rPr>
          <w:rFonts w:ascii="Times New Roman" w:hAnsi="Times New Roman" w:eastAsia="Times New Roman" w:cs="Times New Roman"/>
          <w:i/>
          <w:color w:val="1F1F1F"/>
          <w:sz w:val="21"/>
        </w:rPr>
        <w:t>Δₘ⁽ᵈ⁾ = AUROC(y⁽ᵈ⁾, p̂candidate,m⁽ᵈ⁾) − AUROC(y⁽ᵈ⁾, p̂expression,m⁽ᵈ⁾).     (2)</w:t>
      </w:r>
    </w:p>
    <w:p>
      <w:pPr/>
      <w:r>
        <w:rPr>
          <w:rFonts w:ascii="Times New Roman" w:hAnsi="Times New Roman" w:eastAsia="Times New Roman" w:cs="Times New Roman"/>
          <w:b w:val="0"/>
          <w:color w:val="1F1F1F"/>
          <w:sz w:val="23"/>
        </w:rPr>
        <w:t>The pre-specified practical threshold was ΔAUROC ≥ 0.05. An incremental predictive claim was permitted only when the point estimate cleared this threshold, the independent-unit bootstrap lower bound was above zero, construction was strict, and the representation-specific counterfactual diagnostic was compatible with the claimed information source:</w:t>
      </w:r>
    </w:p>
    <w:p>
      <w:pPr>
        <w:pStyle w:val="PRIEquation"/>
      </w:pPr>
      <w:r>
        <w:rPr>
          <w:rFonts w:ascii="Times New Roman" w:hAnsi="Times New Roman" w:eastAsia="Times New Roman" w:cs="Times New Roman"/>
          <w:i/>
          <w:color w:val="1F1F1F"/>
          <w:sz w:val="21"/>
        </w:rPr>
        <w:t>Gₘ = 1[Δₘ ≥ 0.05] × 1[Lₘ,0.95 &gt; 0] × 1[Sₘ = 1] × 1[Fₘ = 1].     (3)</w:t>
      </w:r>
    </w:p>
    <w:p>
      <w:pPr/>
      <w:r>
        <w:rPr>
          <w:rFonts w:ascii="Times New Roman" w:hAnsi="Times New Roman" w:eastAsia="Times New Roman" w:cs="Times New Roman"/>
          <w:b w:val="0"/>
          <w:color w:val="1F1F1F"/>
          <w:sz w:val="23"/>
        </w:rPr>
        <w:t>This conjunction intentionally prevents a disease-associated representation from being translated automatically into an incremental-value claim.</w:t>
      </w:r>
    </w:p>
    <w:p>
      <w:pPr/>
      <w:r>
        <w:rPr>
          <w:rFonts w:ascii="Times New Roman" w:hAnsi="Times New Roman" w:eastAsia="Times New Roman" w:cs="Times New Roman"/>
          <w:b/>
          <w:color w:val="1F1F1F"/>
          <w:sz w:val="23"/>
        </w:rPr>
        <w:t>Algorithm 1. PRI-Audit decision contract.</w:t>
      </w:r>
      <w:r>
        <w:rPr>
          <w:rFonts w:ascii="Times New Roman" w:hAnsi="Times New Roman" w:eastAsia="Times New Roman" w:cs="Times New Roman"/>
          <w:b w:val="0"/>
          <w:color w:val="1F1F1F"/>
          <w:sz w:val="23"/>
        </w:rPr>
        <w:t xml:space="preserve"> (1) Register the independent biological unit, candidate family, matched expression reference, practical-value threshold and counterfactual before inspecting results. (2) For each held-out unit, fit every adaptive transformation and classifier only in the remaining units. (3) Emit paired out-of-fold candidate and reference predictions for the identical held-out units. (4) Compute ΔAUROC and resample the independent unit for uncertainty. (5) Apply the counterfactual that breaks the candidate's claimed resolution-specific source while retaining the remaining design. (6) Report an incremental-value claim only if all components of Equation 3 are satisfied; otherwise report the bounded result and preserve the failed test.</w:t>
      </w:r>
    </w:p>
    <w:p>
      <w:pPr>
        <w:pStyle w:val="3"/>
      </w:pPr>
      <w:r>
        <w:rPr>
          <w:rFonts w:ascii="Times New Roman" w:hAnsi="Times New Roman" w:eastAsia="Times New Roman" w:cs="Times New Roman"/>
          <w:b/>
          <w:color w:val="1F1F1F"/>
          <w:sz w:val="26"/>
        </w:rPr>
        <w:t>2.2. Public data roles and raw-input reconstruction</w:t>
      </w:r>
    </w:p>
    <w:p>
      <w:pPr/>
      <w:r>
        <w:rPr>
          <w:rFonts w:ascii="Times New Roman" w:hAnsi="Times New Roman" w:eastAsia="Times New Roman" w:cs="Times New Roman"/>
          <w:b w:val="0"/>
          <w:color w:val="1F1F1F"/>
          <w:sz w:val="23"/>
        </w:rPr>
        <w:t>All inputs were de-identified GEO datasets. Their roles were frozen before v21 analysis and are shown in Table 1. GSE151177 was the sample-level single-cell benchmark, GSE173706 the paired-donor single-cell benchmark, and GSE206391 the paired-patient spatial benchmark. GSE202011 was selected independently by metadata compatibility as a five-patient high-resolution expression/PCA boundary replication; its archive contained no spot-coordinate files, so it was never used or described as an external spatial-graph test. The remaining seven bulk/longitudinal datasets and GSE24767 perturbation dataset preserve biological and provenance context, rather than being miscounted as interchangeable classifier folds.</w:t>
      </w:r>
    </w:p>
    <w:p>
      <w:pPr>
        <w:pStyle w:val="PRITableCaption"/>
      </w:pPr>
      <w:r>
        <w:rPr>
          <w:rFonts w:ascii="Times New Roman" w:hAnsi="Times New Roman" w:eastAsia="Times New Roman" w:cs="Times New Roman"/>
          <w:b w:val="0"/>
          <w:color w:val="1F1F1F"/>
          <w:sz w:val="19"/>
        </w:rPr>
        <w:t>Table 1. Public cohorts, independent units, and frozen analytical roles.</w:t>
      </w:r>
    </w:p>
    <w:tbl>
      <w:tblPr>
        <w:tblW w:type="dxa" w:w="8308"/>
        <w:jc w:val="center"/>
        <w:tblLayout w:type="fixed"/>
        <w:tblLook w:firstColumn="1" w:firstRow="1" w:lastColumn="0" w:lastRow="0" w:noHBand="0" w:noVBand="1" w:val="04A0"/>
      </w:tblPr>
      <w:tblGrid>
        <w:gridCol w:w="1094"/>
        <w:gridCol w:w="792"/>
        <w:gridCol w:w="1512"/>
        <w:gridCol w:w="720"/>
        <w:gridCol w:w="460"/>
        <w:gridCol w:w="3729"/>
      </w:tblGrid>
      <w:tr>
        <w:trPr>
          <w:trHeight w:hRule="atLeast"/>
          <w:tblHeader w:val="true"/>
          <w:cantSplit/>
        </w:trPr>
        <w:tc>
          <w:tcPr>
            <w:tcW w:type="dxa" w:w="1094"/>
            <w:shd w:fill="D9D9D9"/>
            <w:vAlign w:val="center"/>
          </w:tcPr>
          <w:p>
            <w:pPr>
              <w:pStyle w:val="PRITableText"/>
              <w:keepLines/>
              <w:jc w:val="center"/>
            </w:pPr>
            <w:r/>
            <w:r>
              <w:rPr>
                <w:rFonts w:ascii="Times New Roman" w:hAnsi="Times New Roman" w:eastAsia="Times New Roman" w:cs="Times New Roman"/>
                <w:b/>
                <w:color w:val="1F1F1F"/>
                <w:sz w:val="14"/>
              </w:rPr>
              <w:t>Cohort</w:t>
            </w:r>
          </w:p>
        </w:tc>
        <w:tc>
          <w:tcPr>
            <w:tcW w:type="dxa" w:w="792"/>
            <w:shd w:fill="D9D9D9"/>
            <w:vAlign w:val="center"/>
          </w:tcPr>
          <w:p>
            <w:pPr>
              <w:pStyle w:val="PRITableText"/>
              <w:keepLines/>
              <w:jc w:val="center"/>
            </w:pPr>
            <w:r/>
            <w:r>
              <w:rPr>
                <w:rFonts w:ascii="Times New Roman" w:hAnsi="Times New Roman" w:eastAsia="Times New Roman" w:cs="Times New Roman"/>
                <w:b/>
                <w:color w:val="1F1F1F"/>
                <w:sz w:val="14"/>
              </w:rPr>
              <w:t>Modality</w:t>
            </w:r>
          </w:p>
        </w:tc>
        <w:tc>
          <w:tcPr>
            <w:tcW w:type="dxa" w:w="1512"/>
            <w:shd w:fill="D9D9D9"/>
            <w:vAlign w:val="center"/>
          </w:tcPr>
          <w:p>
            <w:pPr>
              <w:pStyle w:val="PRITableText"/>
              <w:keepLines/>
              <w:jc w:val="center"/>
            </w:pPr>
            <w:r/>
            <w:r>
              <w:rPr>
                <w:rFonts w:ascii="Times New Roman" w:hAnsi="Times New Roman" w:eastAsia="Times New Roman" w:cs="Times New Roman"/>
                <w:b/>
                <w:color w:val="1F1F1F"/>
                <w:sz w:val="14"/>
              </w:rPr>
              <w:t>Frozen role</w:t>
            </w:r>
          </w:p>
        </w:tc>
        <w:tc>
          <w:tcPr>
            <w:tcW w:type="dxa" w:w="720"/>
            <w:shd w:fill="D9D9D9"/>
            <w:vAlign w:val="center"/>
          </w:tcPr>
          <w:p>
            <w:pPr>
              <w:pStyle w:val="PRITableText"/>
              <w:keepLines/>
              <w:jc w:val="center"/>
            </w:pPr>
            <w:r/>
            <w:r>
              <w:rPr>
                <w:rFonts w:ascii="Times New Roman" w:hAnsi="Times New Roman" w:eastAsia="Times New Roman" w:cs="Times New Roman"/>
                <w:b/>
                <w:color w:val="1F1F1F"/>
                <w:sz w:val="14"/>
              </w:rPr>
              <w:t>Unit</w:t>
            </w:r>
          </w:p>
        </w:tc>
        <w:tc>
          <w:tcPr>
            <w:tcW w:type="dxa" w:w="460"/>
            <w:shd w:fill="D9D9D9"/>
            <w:vAlign w:val="center"/>
          </w:tcPr>
          <w:p>
            <w:pPr>
              <w:pStyle w:val="PRITableText"/>
              <w:keepLines/>
              <w:jc w:val="center"/>
            </w:pPr>
            <w:r/>
            <w:r>
              <w:rPr>
                <w:rFonts w:ascii="Times New Roman" w:hAnsi="Times New Roman" w:eastAsia="Times New Roman" w:cs="Times New Roman"/>
                <w:b/>
                <w:color w:val="1F1F1F"/>
                <w:sz w:val="14"/>
              </w:rPr>
              <w:t>n</w:t>
            </w:r>
          </w:p>
        </w:tc>
        <w:tc>
          <w:tcPr>
            <w:tcW w:type="dxa" w:w="3729"/>
            <w:shd w:fill="D9D9D9"/>
            <w:vAlign w:val="center"/>
          </w:tcPr>
          <w:p>
            <w:pPr>
              <w:pStyle w:val="PRITableText"/>
              <w:keepLines/>
              <w:jc w:val="center"/>
            </w:pPr>
            <w:r/>
            <w:r>
              <w:rPr>
                <w:rFonts w:ascii="Times New Roman" w:hAnsi="Times New Roman" w:eastAsia="Times New Roman" w:cs="Times New Roman"/>
                <w:b/>
                <w:color w:val="1F1F1F"/>
                <w:sz w:val="14"/>
              </w:rPr>
              <w:t>PRI-Audit use</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4"/>
              </w:rPr>
              <w:t>GSE117239</w:t>
            </w:r>
          </w:p>
        </w:tc>
        <w:tc>
          <w:tcPr>
            <w:tcW w:type="dxa" w:w="792"/>
            <w:vAlign w:val="center"/>
          </w:tcPr>
          <w:p>
            <w:pPr>
              <w:pStyle w:val="PRITableText"/>
              <w:keepLines/>
              <w:jc w:val="left"/>
            </w:pPr>
            <w:r/>
            <w:r>
              <w:rPr>
                <w:rFonts w:ascii="Times New Roman" w:hAnsi="Times New Roman" w:eastAsia="Times New Roman" w:cs="Times New Roman"/>
                <w:b w:val="0"/>
                <w:color w:val="1F1F1F"/>
                <w:sz w:val="14"/>
              </w:rPr>
              <w:t>bulk</w:t>
            </w:r>
          </w:p>
        </w:tc>
        <w:tc>
          <w:tcPr>
            <w:tcW w:type="dxa" w:w="1512"/>
            <w:vAlign w:val="center"/>
          </w:tcPr>
          <w:p>
            <w:pPr>
              <w:pStyle w:val="PRITableText"/>
              <w:keepLines/>
              <w:jc w:val="left"/>
            </w:pPr>
            <w:r/>
            <w:r>
              <w:rPr>
                <w:rFonts w:ascii="Times New Roman" w:hAnsi="Times New Roman" w:eastAsia="Times New Roman" w:cs="Times New Roman"/>
                <w:b w:val="0"/>
                <w:color w:val="1F1F1F"/>
                <w:sz w:val="14"/>
              </w:rPr>
              <w:t>paired treatment/baseline context</w:t>
            </w:r>
          </w:p>
        </w:tc>
        <w:tc>
          <w:tcPr>
            <w:tcW w:type="dxa" w:w="720"/>
            <w:vAlign w:val="center"/>
          </w:tcPr>
          <w:p>
            <w:pPr>
              <w:pStyle w:val="PRITableText"/>
              <w:keepLines/>
              <w:jc w:val="left"/>
            </w:pPr>
            <w:r/>
            <w:r>
              <w:rPr>
                <w:rFonts w:ascii="Times New Roman" w:hAnsi="Times New Roman" w:eastAsia="Times New Roman" w:cs="Times New Roman"/>
                <w:b w:val="0"/>
                <w:color w:val="1F1F1F"/>
                <w:sz w:val="14"/>
              </w:rPr>
              <w:t>patient</w:t>
            </w:r>
          </w:p>
        </w:tc>
        <w:tc>
          <w:tcPr>
            <w:tcW w:type="dxa" w:w="460"/>
            <w:vAlign w:val="center"/>
          </w:tcPr>
          <w:p>
            <w:pPr>
              <w:pStyle w:val="PRITableText"/>
              <w:keepLines/>
              <w:jc w:val="center"/>
            </w:pPr>
            <w:r/>
            <w:r>
              <w:rPr>
                <w:rFonts w:ascii="Times New Roman" w:hAnsi="Times New Roman" w:eastAsia="Times New Roman" w:cs="Times New Roman"/>
                <w:b w:val="0"/>
                <w:color w:val="1F1F1F"/>
                <w:sz w:val="14"/>
              </w:rPr>
              <w:t>324</w:t>
            </w:r>
          </w:p>
        </w:tc>
        <w:tc>
          <w:tcPr>
            <w:tcW w:type="dxa" w:w="3729"/>
            <w:vAlign w:val="center"/>
          </w:tcPr>
          <w:p>
            <w:pPr>
              <w:pStyle w:val="PRITableText"/>
              <w:keepLines/>
              <w:jc w:val="left"/>
            </w:pPr>
            <w:r/>
            <w:r>
              <w:rPr>
                <w:rFonts w:ascii="Times New Roman" w:hAnsi="Times New Roman" w:eastAsia="Times New Roman" w:cs="Times New Roman"/>
                <w:b w:val="0"/>
                <w:color w:val="1F1F1F"/>
                <w:sz w:val="14"/>
              </w:rPr>
              <w:t>context / provenance only; not a classifier fold</w:t>
            </w:r>
          </w:p>
        </w:tc>
      </w:tr>
      <w:tr>
        <w:trPr>
          <w:trHeight w:hRule="atLeast"/>
          <w:cantSplit/>
        </w:trPr>
        <w:tc>
          <w:tcPr>
            <w:tcW w:type="dxa" w:w="1094"/>
            <w:shd w:fill="F5F5F5"/>
            <w:vAlign w:val="center"/>
          </w:tcPr>
          <w:p>
            <w:pPr>
              <w:pStyle w:val="PRITableText"/>
              <w:keepLines/>
              <w:jc w:val="center"/>
            </w:pPr>
            <w:r/>
            <w:r>
              <w:rPr>
                <w:rFonts w:ascii="Times New Roman" w:hAnsi="Times New Roman" w:eastAsia="Times New Roman" w:cs="Times New Roman"/>
                <w:b w:val="0"/>
                <w:color w:val="1F1F1F"/>
                <w:sz w:val="14"/>
              </w:rPr>
              <w:t>GSE136757</w:t>
            </w:r>
          </w:p>
        </w:tc>
        <w:tc>
          <w:tcPr>
            <w:tcW w:type="dxa" w:w="792"/>
            <w:shd w:fill="F5F5F5"/>
            <w:vAlign w:val="center"/>
          </w:tcPr>
          <w:p>
            <w:pPr>
              <w:pStyle w:val="PRITableText"/>
              <w:keepLines/>
              <w:jc w:val="left"/>
            </w:pPr>
            <w:r/>
            <w:r>
              <w:rPr>
                <w:rFonts w:ascii="Times New Roman" w:hAnsi="Times New Roman" w:eastAsia="Times New Roman" w:cs="Times New Roman"/>
                <w:b w:val="0"/>
                <w:color w:val="1F1F1F"/>
                <w:sz w:val="14"/>
              </w:rPr>
              <w:t>bulk</w:t>
            </w:r>
          </w:p>
        </w:tc>
        <w:tc>
          <w:tcPr>
            <w:tcW w:type="dxa" w:w="1512"/>
            <w:shd w:fill="F5F5F5"/>
            <w:vAlign w:val="center"/>
          </w:tcPr>
          <w:p>
            <w:pPr>
              <w:pStyle w:val="PRITableText"/>
              <w:keepLines/>
              <w:jc w:val="left"/>
            </w:pPr>
            <w:r/>
            <w:r>
              <w:rPr>
                <w:rFonts w:ascii="Times New Roman" w:hAnsi="Times New Roman" w:eastAsia="Times New Roman" w:cs="Times New Roman"/>
                <w:b w:val="0"/>
                <w:color w:val="1F1F1F"/>
                <w:sz w:val="14"/>
              </w:rPr>
              <w:t>paired treatment/baseline context</w:t>
            </w:r>
          </w:p>
        </w:tc>
        <w:tc>
          <w:tcPr>
            <w:tcW w:type="dxa" w:w="720"/>
            <w:shd w:fill="F5F5F5"/>
            <w:vAlign w:val="center"/>
          </w:tcPr>
          <w:p>
            <w:pPr>
              <w:pStyle w:val="PRITableText"/>
              <w:keepLines/>
              <w:jc w:val="left"/>
            </w:pPr>
            <w:r/>
            <w:r>
              <w:rPr>
                <w:rFonts w:ascii="Times New Roman" w:hAnsi="Times New Roman" w:eastAsia="Times New Roman" w:cs="Times New Roman"/>
                <w:b w:val="0"/>
                <w:color w:val="1F1F1F"/>
                <w:sz w:val="14"/>
              </w:rPr>
              <w:t>patient</w:t>
            </w:r>
          </w:p>
        </w:tc>
        <w:tc>
          <w:tcPr>
            <w:tcW w:type="dxa" w:w="460"/>
            <w:shd w:fill="F5F5F5"/>
            <w:vAlign w:val="center"/>
          </w:tcPr>
          <w:p>
            <w:pPr>
              <w:pStyle w:val="PRITableText"/>
              <w:keepLines/>
              <w:jc w:val="center"/>
            </w:pPr>
            <w:r/>
            <w:r>
              <w:rPr>
                <w:rFonts w:ascii="Times New Roman" w:hAnsi="Times New Roman" w:eastAsia="Times New Roman" w:cs="Times New Roman"/>
                <w:b w:val="0"/>
                <w:color w:val="1F1F1F"/>
                <w:sz w:val="14"/>
              </w:rPr>
              <w:t>105</w:t>
            </w:r>
          </w:p>
        </w:tc>
        <w:tc>
          <w:tcPr>
            <w:tcW w:type="dxa" w:w="3729"/>
            <w:shd w:fill="F5F5F5"/>
            <w:vAlign w:val="center"/>
          </w:tcPr>
          <w:p>
            <w:pPr>
              <w:pStyle w:val="PRITableText"/>
              <w:keepLines/>
              <w:jc w:val="left"/>
            </w:pPr>
            <w:r/>
            <w:r>
              <w:rPr>
                <w:rFonts w:ascii="Times New Roman" w:hAnsi="Times New Roman" w:eastAsia="Times New Roman" w:cs="Times New Roman"/>
                <w:b w:val="0"/>
                <w:color w:val="1F1F1F"/>
                <w:sz w:val="14"/>
              </w:rPr>
              <w:t>context / provenance only; not a classifier fold</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4"/>
              </w:rPr>
              <w:t>GSE151177</w:t>
            </w:r>
          </w:p>
        </w:tc>
        <w:tc>
          <w:tcPr>
            <w:tcW w:type="dxa" w:w="792"/>
            <w:vAlign w:val="center"/>
          </w:tcPr>
          <w:p>
            <w:pPr>
              <w:pStyle w:val="PRITableText"/>
              <w:keepLines/>
              <w:jc w:val="left"/>
            </w:pPr>
            <w:r/>
            <w:r>
              <w:rPr>
                <w:rFonts w:ascii="Times New Roman" w:hAnsi="Times New Roman" w:eastAsia="Times New Roman" w:cs="Times New Roman"/>
                <w:b w:val="0"/>
                <w:color w:val="1F1F1F"/>
                <w:sz w:val="14"/>
              </w:rPr>
              <w:t>single-cell RNA-seq</w:t>
            </w:r>
          </w:p>
        </w:tc>
        <w:tc>
          <w:tcPr>
            <w:tcW w:type="dxa" w:w="1512"/>
            <w:vAlign w:val="center"/>
          </w:tcPr>
          <w:p>
            <w:pPr>
              <w:pStyle w:val="PRITableText"/>
              <w:keepLines/>
              <w:jc w:val="left"/>
            </w:pPr>
            <w:r/>
            <w:r>
              <w:rPr>
                <w:rFonts w:ascii="Times New Roman" w:hAnsi="Times New Roman" w:eastAsia="Times New Roman" w:cs="Times New Roman"/>
                <w:b w:val="0"/>
                <w:color w:val="1F1F1F"/>
                <w:sz w:val="14"/>
              </w:rPr>
              <w:t>primary strict sample-level benchmark</w:t>
            </w:r>
          </w:p>
        </w:tc>
        <w:tc>
          <w:tcPr>
            <w:tcW w:type="dxa" w:w="720"/>
            <w:vAlign w:val="center"/>
          </w:tcPr>
          <w:p>
            <w:pPr>
              <w:pStyle w:val="PRITableText"/>
              <w:keepLines/>
              <w:jc w:val="left"/>
            </w:pPr>
            <w:r/>
            <w:r>
              <w:rPr>
                <w:rFonts w:ascii="Times New Roman" w:hAnsi="Times New Roman" w:eastAsia="Times New Roman" w:cs="Times New Roman"/>
                <w:b w:val="0"/>
                <w:color w:val="1F1F1F"/>
                <w:sz w:val="14"/>
              </w:rPr>
              <w:t>sample</w:t>
            </w:r>
          </w:p>
        </w:tc>
        <w:tc>
          <w:tcPr>
            <w:tcW w:type="dxa" w:w="460"/>
            <w:vAlign w:val="center"/>
          </w:tcPr>
          <w:p>
            <w:pPr>
              <w:pStyle w:val="PRITableText"/>
              <w:keepLines/>
              <w:jc w:val="center"/>
            </w:pPr>
            <w:r/>
            <w:r>
              <w:rPr>
                <w:rFonts w:ascii="Times New Roman" w:hAnsi="Times New Roman" w:eastAsia="Times New Roman" w:cs="Times New Roman"/>
                <w:b w:val="0"/>
                <w:color w:val="1F1F1F"/>
                <w:sz w:val="14"/>
              </w:rPr>
              <w:t>—</w:t>
            </w:r>
          </w:p>
        </w:tc>
        <w:tc>
          <w:tcPr>
            <w:tcW w:type="dxa" w:w="3729"/>
            <w:vAlign w:val="center"/>
          </w:tcPr>
          <w:p>
            <w:pPr>
              <w:pStyle w:val="PRITableText"/>
              <w:keepLines/>
              <w:jc w:val="left"/>
            </w:pPr>
            <w:r/>
            <w:r>
              <w:rPr>
                <w:rFonts w:ascii="Times New Roman" w:hAnsi="Times New Roman" w:eastAsia="Times New Roman" w:cs="Times New Roman"/>
                <w:b w:val="0"/>
                <w:color w:val="1F1F1F"/>
                <w:sz w:val="14"/>
              </w:rPr>
              <w:t>18 source samples; leave-one-sample-out</w:t>
            </w:r>
          </w:p>
        </w:tc>
      </w:tr>
      <w:tr>
        <w:trPr>
          <w:trHeight w:hRule="atLeast"/>
          <w:cantSplit/>
        </w:trPr>
        <w:tc>
          <w:tcPr>
            <w:tcW w:type="dxa" w:w="1094"/>
            <w:shd w:fill="F5F5F5"/>
            <w:vAlign w:val="center"/>
          </w:tcPr>
          <w:p>
            <w:pPr>
              <w:pStyle w:val="PRITableText"/>
              <w:keepLines/>
              <w:jc w:val="center"/>
            </w:pPr>
            <w:r/>
            <w:r>
              <w:rPr>
                <w:rFonts w:ascii="Times New Roman" w:hAnsi="Times New Roman" w:eastAsia="Times New Roman" w:cs="Times New Roman"/>
                <w:b w:val="0"/>
                <w:color w:val="1F1F1F"/>
                <w:sz w:val="14"/>
              </w:rPr>
              <w:t>GSE153007</w:t>
            </w:r>
          </w:p>
        </w:tc>
        <w:tc>
          <w:tcPr>
            <w:tcW w:type="dxa" w:w="792"/>
            <w:shd w:fill="F5F5F5"/>
            <w:vAlign w:val="center"/>
          </w:tcPr>
          <w:p>
            <w:pPr>
              <w:pStyle w:val="PRITableText"/>
              <w:keepLines/>
              <w:jc w:val="left"/>
            </w:pPr>
            <w:r/>
            <w:r>
              <w:rPr>
                <w:rFonts w:ascii="Times New Roman" w:hAnsi="Times New Roman" w:eastAsia="Times New Roman" w:cs="Times New Roman"/>
                <w:b w:val="0"/>
                <w:color w:val="1F1F1F"/>
                <w:sz w:val="14"/>
              </w:rPr>
              <w:t>bulk</w:t>
            </w:r>
          </w:p>
        </w:tc>
        <w:tc>
          <w:tcPr>
            <w:tcW w:type="dxa" w:w="1512"/>
            <w:shd w:fill="F5F5F5"/>
            <w:vAlign w:val="center"/>
          </w:tcPr>
          <w:p>
            <w:pPr>
              <w:pStyle w:val="PRITableText"/>
              <w:keepLines/>
              <w:jc w:val="left"/>
            </w:pPr>
            <w:r/>
            <w:r>
              <w:rPr>
                <w:rFonts w:ascii="Times New Roman" w:hAnsi="Times New Roman" w:eastAsia="Times New Roman" w:cs="Times New Roman"/>
                <w:b w:val="0"/>
                <w:color w:val="1F1F1F"/>
                <w:sz w:val="14"/>
              </w:rPr>
              <w:t>independent paired LS/NL disease context</w:t>
            </w:r>
          </w:p>
        </w:tc>
        <w:tc>
          <w:tcPr>
            <w:tcW w:type="dxa" w:w="720"/>
            <w:shd w:fill="F5F5F5"/>
            <w:vAlign w:val="center"/>
          </w:tcPr>
          <w:p>
            <w:pPr>
              <w:pStyle w:val="PRITableText"/>
              <w:keepLines/>
              <w:jc w:val="left"/>
            </w:pPr>
            <w:r/>
            <w:r>
              <w:rPr>
                <w:rFonts w:ascii="Times New Roman" w:hAnsi="Times New Roman" w:eastAsia="Times New Roman" w:cs="Times New Roman"/>
                <w:b w:val="0"/>
                <w:color w:val="1F1F1F"/>
                <w:sz w:val="14"/>
              </w:rPr>
              <w:t>patient</w:t>
            </w:r>
          </w:p>
        </w:tc>
        <w:tc>
          <w:tcPr>
            <w:tcW w:type="dxa" w:w="460"/>
            <w:shd w:fill="F5F5F5"/>
            <w:vAlign w:val="center"/>
          </w:tcPr>
          <w:p>
            <w:pPr>
              <w:pStyle w:val="PRITableText"/>
              <w:keepLines/>
              <w:jc w:val="center"/>
            </w:pPr>
            <w:r/>
            <w:r>
              <w:rPr>
                <w:rFonts w:ascii="Times New Roman" w:hAnsi="Times New Roman" w:eastAsia="Times New Roman" w:cs="Times New Roman"/>
                <w:b w:val="0"/>
                <w:color w:val="1F1F1F"/>
                <w:sz w:val="14"/>
              </w:rPr>
              <w:t>75</w:t>
            </w:r>
          </w:p>
        </w:tc>
        <w:tc>
          <w:tcPr>
            <w:tcW w:type="dxa" w:w="3729"/>
            <w:shd w:fill="F5F5F5"/>
            <w:vAlign w:val="center"/>
          </w:tcPr>
          <w:p>
            <w:pPr>
              <w:pStyle w:val="PRITableText"/>
              <w:keepLines/>
              <w:jc w:val="left"/>
            </w:pPr>
            <w:r/>
            <w:r>
              <w:rPr>
                <w:rFonts w:ascii="Times New Roman" w:hAnsi="Times New Roman" w:eastAsia="Times New Roman" w:cs="Times New Roman"/>
                <w:b w:val="0"/>
                <w:color w:val="1F1F1F"/>
                <w:sz w:val="14"/>
              </w:rPr>
              <w:t>context / provenance only; not a classifier fold</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4"/>
              </w:rPr>
              <w:t>GSE173706</w:t>
            </w:r>
          </w:p>
        </w:tc>
        <w:tc>
          <w:tcPr>
            <w:tcW w:type="dxa" w:w="792"/>
            <w:vAlign w:val="center"/>
          </w:tcPr>
          <w:p>
            <w:pPr>
              <w:pStyle w:val="PRITableText"/>
              <w:keepLines/>
              <w:jc w:val="left"/>
            </w:pPr>
            <w:r/>
            <w:r>
              <w:rPr>
                <w:rFonts w:ascii="Times New Roman" w:hAnsi="Times New Roman" w:eastAsia="Times New Roman" w:cs="Times New Roman"/>
                <w:b w:val="0"/>
                <w:color w:val="1F1F1F"/>
                <w:sz w:val="14"/>
              </w:rPr>
              <w:t>single-cell RNA-seq</w:t>
            </w:r>
          </w:p>
        </w:tc>
        <w:tc>
          <w:tcPr>
            <w:tcW w:type="dxa" w:w="1512"/>
            <w:vAlign w:val="center"/>
          </w:tcPr>
          <w:p>
            <w:pPr>
              <w:pStyle w:val="PRITableText"/>
              <w:keepLines/>
              <w:jc w:val="left"/>
            </w:pPr>
            <w:r/>
            <w:r>
              <w:rPr>
                <w:rFonts w:ascii="Times New Roman" w:hAnsi="Times New Roman" w:eastAsia="Times New Roman" w:cs="Times New Roman"/>
                <w:b w:val="0"/>
                <w:color w:val="1F1F1F"/>
                <w:sz w:val="14"/>
              </w:rPr>
              <w:t>primary strict paired-donor benchmark</w:t>
            </w:r>
          </w:p>
        </w:tc>
        <w:tc>
          <w:tcPr>
            <w:tcW w:type="dxa" w:w="720"/>
            <w:vAlign w:val="center"/>
          </w:tcPr>
          <w:p>
            <w:pPr>
              <w:pStyle w:val="PRITableText"/>
              <w:keepLines/>
              <w:jc w:val="left"/>
            </w:pPr>
            <w:r/>
            <w:r>
              <w:rPr>
                <w:rFonts w:ascii="Times New Roman" w:hAnsi="Times New Roman" w:eastAsia="Times New Roman" w:cs="Times New Roman"/>
                <w:b w:val="0"/>
                <w:color w:val="1F1F1F"/>
                <w:sz w:val="14"/>
              </w:rPr>
              <w:t>donor</w:t>
            </w:r>
          </w:p>
        </w:tc>
        <w:tc>
          <w:tcPr>
            <w:tcW w:type="dxa" w:w="460"/>
            <w:vAlign w:val="center"/>
          </w:tcPr>
          <w:p>
            <w:pPr>
              <w:pStyle w:val="PRITableText"/>
              <w:keepLines/>
              <w:jc w:val="center"/>
            </w:pPr>
            <w:r/>
            <w:r>
              <w:rPr>
                <w:rFonts w:ascii="Times New Roman" w:hAnsi="Times New Roman" w:eastAsia="Times New Roman" w:cs="Times New Roman"/>
                <w:b w:val="0"/>
                <w:color w:val="1F1F1F"/>
                <w:sz w:val="14"/>
              </w:rPr>
              <w:t>—</w:t>
            </w:r>
          </w:p>
        </w:tc>
        <w:tc>
          <w:tcPr>
            <w:tcW w:type="dxa" w:w="3729"/>
            <w:vAlign w:val="center"/>
          </w:tcPr>
          <w:p>
            <w:pPr>
              <w:pStyle w:val="PRITableText"/>
              <w:keepLines/>
              <w:jc w:val="left"/>
            </w:pPr>
            <w:r/>
            <w:r>
              <w:rPr>
                <w:rFonts w:ascii="Times New Roman" w:hAnsi="Times New Roman" w:eastAsia="Times New Roman" w:cs="Times New Roman"/>
                <w:b w:val="0"/>
                <w:color w:val="1F1F1F"/>
                <w:sz w:val="14"/>
              </w:rPr>
              <w:t>22 PP/PN samples from 11 paired donors; leave-one-donor-out</w:t>
            </w:r>
          </w:p>
        </w:tc>
      </w:tr>
      <w:tr>
        <w:trPr>
          <w:trHeight w:hRule="atLeast"/>
          <w:cantSplit/>
        </w:trPr>
        <w:tc>
          <w:tcPr>
            <w:tcW w:type="dxa" w:w="1094"/>
            <w:shd w:fill="F5F5F5"/>
            <w:vAlign w:val="center"/>
          </w:tcPr>
          <w:p>
            <w:pPr>
              <w:pStyle w:val="PRITableText"/>
              <w:keepLines/>
              <w:jc w:val="center"/>
            </w:pPr>
            <w:r/>
            <w:r>
              <w:rPr>
                <w:rFonts w:ascii="Times New Roman" w:hAnsi="Times New Roman" w:eastAsia="Times New Roman" w:cs="Times New Roman"/>
                <w:b w:val="0"/>
                <w:color w:val="1F1F1F"/>
                <w:sz w:val="14"/>
              </w:rPr>
              <w:t>GSE182740</w:t>
            </w:r>
          </w:p>
        </w:tc>
        <w:tc>
          <w:tcPr>
            <w:tcW w:type="dxa" w:w="792"/>
            <w:shd w:fill="F5F5F5"/>
            <w:vAlign w:val="center"/>
          </w:tcPr>
          <w:p>
            <w:pPr>
              <w:pStyle w:val="PRITableText"/>
              <w:keepLines/>
              <w:jc w:val="left"/>
            </w:pPr>
            <w:r/>
            <w:r>
              <w:rPr>
                <w:rFonts w:ascii="Times New Roman" w:hAnsi="Times New Roman" w:eastAsia="Times New Roman" w:cs="Times New Roman"/>
                <w:b w:val="0"/>
                <w:color w:val="1F1F1F"/>
                <w:sz w:val="14"/>
              </w:rPr>
              <w:t>bulk</w:t>
            </w:r>
          </w:p>
        </w:tc>
        <w:tc>
          <w:tcPr>
            <w:tcW w:type="dxa" w:w="1512"/>
            <w:shd w:fill="F5F5F5"/>
            <w:vAlign w:val="center"/>
          </w:tcPr>
          <w:p>
            <w:pPr>
              <w:pStyle w:val="PRITableText"/>
              <w:keepLines/>
              <w:jc w:val="left"/>
            </w:pPr>
            <w:r/>
            <w:r>
              <w:rPr>
                <w:rFonts w:ascii="Times New Roman" w:hAnsi="Times New Roman" w:eastAsia="Times New Roman" w:cs="Times New Roman"/>
                <w:b w:val="0"/>
                <w:color w:val="1F1F1F"/>
                <w:sz w:val="14"/>
              </w:rPr>
              <w:t>independent paired LS/NL disease context</w:t>
            </w:r>
          </w:p>
        </w:tc>
        <w:tc>
          <w:tcPr>
            <w:tcW w:type="dxa" w:w="720"/>
            <w:shd w:fill="F5F5F5"/>
            <w:vAlign w:val="center"/>
          </w:tcPr>
          <w:p>
            <w:pPr>
              <w:pStyle w:val="PRITableText"/>
              <w:keepLines/>
              <w:jc w:val="left"/>
            </w:pPr>
            <w:r/>
            <w:r>
              <w:rPr>
                <w:rFonts w:ascii="Times New Roman" w:hAnsi="Times New Roman" w:eastAsia="Times New Roman" w:cs="Times New Roman"/>
                <w:b w:val="0"/>
                <w:color w:val="1F1F1F"/>
                <w:sz w:val="14"/>
              </w:rPr>
              <w:t>patient</w:t>
            </w:r>
          </w:p>
        </w:tc>
        <w:tc>
          <w:tcPr>
            <w:tcW w:type="dxa" w:w="460"/>
            <w:shd w:fill="F5F5F5"/>
            <w:vAlign w:val="center"/>
          </w:tcPr>
          <w:p>
            <w:pPr>
              <w:pStyle w:val="PRITableText"/>
              <w:keepLines/>
              <w:jc w:val="center"/>
            </w:pPr>
            <w:r/>
            <w:r>
              <w:rPr>
                <w:rFonts w:ascii="Times New Roman" w:hAnsi="Times New Roman" w:eastAsia="Times New Roman" w:cs="Times New Roman"/>
                <w:b w:val="0"/>
                <w:color w:val="1F1F1F"/>
                <w:sz w:val="14"/>
              </w:rPr>
              <w:t>75</w:t>
            </w:r>
          </w:p>
        </w:tc>
        <w:tc>
          <w:tcPr>
            <w:tcW w:type="dxa" w:w="3729"/>
            <w:shd w:fill="F5F5F5"/>
            <w:vAlign w:val="center"/>
          </w:tcPr>
          <w:p>
            <w:pPr>
              <w:pStyle w:val="PRITableText"/>
              <w:keepLines/>
              <w:jc w:val="left"/>
            </w:pPr>
            <w:r/>
            <w:r>
              <w:rPr>
                <w:rFonts w:ascii="Times New Roman" w:hAnsi="Times New Roman" w:eastAsia="Times New Roman" w:cs="Times New Roman"/>
                <w:b w:val="0"/>
                <w:color w:val="1F1F1F"/>
                <w:sz w:val="14"/>
              </w:rPr>
              <w:t>context / provenance only; not a classifier fold</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4"/>
              </w:rPr>
              <w:t>GSE206391</w:t>
            </w:r>
          </w:p>
        </w:tc>
        <w:tc>
          <w:tcPr>
            <w:tcW w:type="dxa" w:w="792"/>
            <w:vAlign w:val="center"/>
          </w:tcPr>
          <w:p>
            <w:pPr>
              <w:pStyle w:val="PRITableText"/>
              <w:keepLines/>
              <w:jc w:val="left"/>
            </w:pPr>
            <w:r/>
            <w:r>
              <w:rPr>
                <w:rFonts w:ascii="Times New Roman" w:hAnsi="Times New Roman" w:eastAsia="Times New Roman" w:cs="Times New Roman"/>
                <w:b w:val="0"/>
                <w:color w:val="1F1F1F"/>
                <w:sz w:val="14"/>
              </w:rPr>
              <w:t>spatial transcriptomics</w:t>
            </w:r>
          </w:p>
        </w:tc>
        <w:tc>
          <w:tcPr>
            <w:tcW w:type="dxa" w:w="1512"/>
            <w:vAlign w:val="center"/>
          </w:tcPr>
          <w:p>
            <w:pPr>
              <w:pStyle w:val="PRITableText"/>
              <w:keepLines/>
              <w:jc w:val="left"/>
            </w:pPr>
            <w:r/>
            <w:r>
              <w:rPr>
                <w:rFonts w:ascii="Times New Roman" w:hAnsi="Times New Roman" w:eastAsia="Times New Roman" w:cs="Times New Roman"/>
                <w:b w:val="0"/>
                <w:color w:val="1F1F1F"/>
                <w:sz w:val="14"/>
              </w:rPr>
              <w:t>primary strict paired-patient spatial benchmark</w:t>
            </w:r>
          </w:p>
        </w:tc>
        <w:tc>
          <w:tcPr>
            <w:tcW w:type="dxa" w:w="720"/>
            <w:vAlign w:val="center"/>
          </w:tcPr>
          <w:p>
            <w:pPr>
              <w:pStyle w:val="PRITableText"/>
              <w:keepLines/>
              <w:jc w:val="left"/>
            </w:pPr>
            <w:r/>
            <w:r>
              <w:rPr>
                <w:rFonts w:ascii="Times New Roman" w:hAnsi="Times New Roman" w:eastAsia="Times New Roman" w:cs="Times New Roman"/>
                <w:b w:val="0"/>
                <w:color w:val="1F1F1F"/>
                <w:sz w:val="14"/>
              </w:rPr>
              <w:t>patient</w:t>
            </w:r>
          </w:p>
        </w:tc>
        <w:tc>
          <w:tcPr>
            <w:tcW w:type="dxa" w:w="460"/>
            <w:vAlign w:val="center"/>
          </w:tcPr>
          <w:p>
            <w:pPr>
              <w:pStyle w:val="PRITableText"/>
              <w:keepLines/>
              <w:jc w:val="center"/>
            </w:pPr>
            <w:r/>
            <w:r>
              <w:rPr>
                <w:rFonts w:ascii="Times New Roman" w:hAnsi="Times New Roman" w:eastAsia="Times New Roman" w:cs="Times New Roman"/>
                <w:b w:val="0"/>
                <w:color w:val="1F1F1F"/>
                <w:sz w:val="14"/>
              </w:rPr>
              <w:t>—</w:t>
            </w:r>
          </w:p>
        </w:tc>
        <w:tc>
          <w:tcPr>
            <w:tcW w:type="dxa" w:w="3729"/>
            <w:vAlign w:val="center"/>
          </w:tcPr>
          <w:p>
            <w:pPr>
              <w:pStyle w:val="PRITableText"/>
              <w:keepLines/>
              <w:jc w:val="left"/>
            </w:pPr>
            <w:r/>
            <w:r>
              <w:rPr>
                <w:rFonts w:ascii="Times New Roman" w:hAnsi="Times New Roman" w:eastAsia="Times New Roman" w:cs="Times New Roman"/>
                <w:b w:val="0"/>
                <w:color w:val="1F1F1F"/>
                <w:sz w:val="14"/>
              </w:rPr>
              <w:t>48 LS/NL samples from 12 paired patients; leave-one-patient-out</w:t>
            </w:r>
          </w:p>
        </w:tc>
      </w:tr>
      <w:tr>
        <w:trPr>
          <w:trHeight w:hRule="atLeast"/>
          <w:cantSplit/>
        </w:trPr>
        <w:tc>
          <w:tcPr>
            <w:tcW w:type="dxa" w:w="1094"/>
            <w:shd w:fill="F5F5F5"/>
            <w:vAlign w:val="center"/>
          </w:tcPr>
          <w:p>
            <w:pPr>
              <w:pStyle w:val="PRITableText"/>
              <w:keepLines/>
              <w:jc w:val="center"/>
            </w:pPr>
            <w:r/>
            <w:r>
              <w:rPr>
                <w:rFonts w:ascii="Times New Roman" w:hAnsi="Times New Roman" w:eastAsia="Times New Roman" w:cs="Times New Roman"/>
                <w:b w:val="0"/>
                <w:color w:val="1F1F1F"/>
                <w:sz w:val="14"/>
              </w:rPr>
              <w:t>GSE24767</w:t>
            </w:r>
          </w:p>
        </w:tc>
        <w:tc>
          <w:tcPr>
            <w:tcW w:type="dxa" w:w="792"/>
            <w:shd w:fill="F5F5F5"/>
            <w:vAlign w:val="center"/>
          </w:tcPr>
          <w:p>
            <w:pPr>
              <w:pStyle w:val="PRITableText"/>
              <w:keepLines/>
              <w:jc w:val="left"/>
            </w:pPr>
            <w:r/>
            <w:r>
              <w:rPr>
                <w:rFonts w:ascii="Times New Roman" w:hAnsi="Times New Roman" w:eastAsia="Times New Roman" w:cs="Times New Roman"/>
                <w:b w:val="0"/>
                <w:color w:val="1F1F1F"/>
                <w:sz w:val="14"/>
              </w:rPr>
              <w:t>bulk perturbation</w:t>
            </w:r>
          </w:p>
        </w:tc>
        <w:tc>
          <w:tcPr>
            <w:tcW w:type="dxa" w:w="1512"/>
            <w:shd w:fill="F5F5F5"/>
            <w:vAlign w:val="center"/>
          </w:tcPr>
          <w:p>
            <w:pPr>
              <w:pStyle w:val="PRITableText"/>
              <w:keepLines/>
              <w:jc w:val="left"/>
            </w:pPr>
            <w:r/>
            <w:r>
              <w:rPr>
                <w:rFonts w:ascii="Times New Roman" w:hAnsi="Times New Roman" w:eastAsia="Times New Roman" w:cs="Times New Roman"/>
                <w:b w:val="0"/>
                <w:color w:val="1F1F1F"/>
                <w:sz w:val="14"/>
              </w:rPr>
              <w:t>cytokine perturbation prior; not a patient prediction cohort</w:t>
            </w:r>
          </w:p>
        </w:tc>
        <w:tc>
          <w:tcPr>
            <w:tcW w:type="dxa" w:w="720"/>
            <w:shd w:fill="F5F5F5"/>
            <w:vAlign w:val="center"/>
          </w:tcPr>
          <w:p>
            <w:pPr>
              <w:pStyle w:val="PRITableText"/>
              <w:keepLines/>
              <w:jc w:val="left"/>
            </w:pPr>
            <w:r/>
            <w:r>
              <w:rPr>
                <w:rFonts w:ascii="Times New Roman" w:hAnsi="Times New Roman" w:eastAsia="Times New Roman" w:cs="Times New Roman"/>
                <w:b w:val="0"/>
                <w:color w:val="1F1F1F"/>
                <w:sz w:val="14"/>
              </w:rPr>
              <w:t>in-vitro perturbation sample</w:t>
            </w:r>
          </w:p>
        </w:tc>
        <w:tc>
          <w:tcPr>
            <w:tcW w:type="dxa" w:w="460"/>
            <w:shd w:fill="F5F5F5"/>
            <w:vAlign w:val="center"/>
          </w:tcPr>
          <w:p>
            <w:pPr>
              <w:pStyle w:val="PRITableText"/>
              <w:keepLines/>
              <w:jc w:val="center"/>
            </w:pPr>
            <w:r/>
            <w:r>
              <w:rPr>
                <w:rFonts w:ascii="Times New Roman" w:hAnsi="Times New Roman" w:eastAsia="Times New Roman" w:cs="Times New Roman"/>
                <w:b w:val="0"/>
                <w:color w:val="1F1F1F"/>
                <w:sz w:val="14"/>
              </w:rPr>
              <w:t>22</w:t>
            </w:r>
          </w:p>
        </w:tc>
        <w:tc>
          <w:tcPr>
            <w:tcW w:type="dxa" w:w="3729"/>
            <w:shd w:fill="F5F5F5"/>
            <w:vAlign w:val="center"/>
          </w:tcPr>
          <w:p>
            <w:pPr>
              <w:pStyle w:val="PRITableText"/>
              <w:keepLines/>
              <w:jc w:val="left"/>
            </w:pPr>
            <w:r/>
            <w:r>
              <w:rPr>
                <w:rFonts w:ascii="Times New Roman" w:hAnsi="Times New Roman" w:eastAsia="Times New Roman" w:cs="Times New Roman"/>
                <w:b w:val="0"/>
                <w:color w:val="1F1F1F"/>
                <w:sz w:val="14"/>
              </w:rPr>
              <w:t>context / provenance only; not a classifier fold</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4"/>
              </w:rPr>
              <w:t>GSE51440</w:t>
            </w:r>
          </w:p>
        </w:tc>
        <w:tc>
          <w:tcPr>
            <w:tcW w:type="dxa" w:w="792"/>
            <w:vAlign w:val="center"/>
          </w:tcPr>
          <w:p>
            <w:pPr>
              <w:pStyle w:val="PRITableText"/>
              <w:keepLines/>
              <w:jc w:val="left"/>
            </w:pPr>
            <w:r/>
            <w:r>
              <w:rPr>
                <w:rFonts w:ascii="Times New Roman" w:hAnsi="Times New Roman" w:eastAsia="Times New Roman" w:cs="Times New Roman"/>
                <w:b w:val="0"/>
                <w:color w:val="1F1F1F"/>
                <w:sz w:val="14"/>
              </w:rPr>
              <w:t>bulk</w:t>
            </w:r>
          </w:p>
        </w:tc>
        <w:tc>
          <w:tcPr>
            <w:tcW w:type="dxa" w:w="1512"/>
            <w:vAlign w:val="center"/>
          </w:tcPr>
          <w:p>
            <w:pPr>
              <w:pStyle w:val="PRITableText"/>
              <w:keepLines/>
              <w:jc w:val="left"/>
            </w:pPr>
            <w:r/>
            <w:r>
              <w:rPr>
                <w:rFonts w:ascii="Times New Roman" w:hAnsi="Times New Roman" w:eastAsia="Times New Roman" w:cs="Times New Roman"/>
                <w:b w:val="0"/>
                <w:color w:val="1F1F1F"/>
                <w:sz w:val="14"/>
              </w:rPr>
              <w:t>paired treatment/baseline context</w:t>
            </w:r>
          </w:p>
        </w:tc>
        <w:tc>
          <w:tcPr>
            <w:tcW w:type="dxa" w:w="720"/>
            <w:vAlign w:val="center"/>
          </w:tcPr>
          <w:p>
            <w:pPr>
              <w:pStyle w:val="PRITableText"/>
              <w:keepLines/>
              <w:jc w:val="left"/>
            </w:pPr>
            <w:r/>
            <w:r>
              <w:rPr>
                <w:rFonts w:ascii="Times New Roman" w:hAnsi="Times New Roman" w:eastAsia="Times New Roman" w:cs="Times New Roman"/>
                <w:b w:val="0"/>
                <w:color w:val="1F1F1F"/>
                <w:sz w:val="14"/>
              </w:rPr>
              <w:t>patient</w:t>
            </w:r>
          </w:p>
        </w:tc>
        <w:tc>
          <w:tcPr>
            <w:tcW w:type="dxa" w:w="460"/>
            <w:vAlign w:val="center"/>
          </w:tcPr>
          <w:p>
            <w:pPr>
              <w:pStyle w:val="PRITableText"/>
              <w:keepLines/>
              <w:jc w:val="center"/>
            </w:pPr>
            <w:r/>
            <w:r>
              <w:rPr>
                <w:rFonts w:ascii="Times New Roman" w:hAnsi="Times New Roman" w:eastAsia="Times New Roman" w:cs="Times New Roman"/>
                <w:b w:val="0"/>
                <w:color w:val="1F1F1F"/>
                <w:sz w:val="14"/>
              </w:rPr>
              <w:t>59</w:t>
            </w:r>
          </w:p>
        </w:tc>
        <w:tc>
          <w:tcPr>
            <w:tcW w:type="dxa" w:w="3729"/>
            <w:vAlign w:val="center"/>
          </w:tcPr>
          <w:p>
            <w:pPr>
              <w:pStyle w:val="PRITableText"/>
              <w:keepLines/>
              <w:jc w:val="left"/>
            </w:pPr>
            <w:r/>
            <w:r>
              <w:rPr>
                <w:rFonts w:ascii="Times New Roman" w:hAnsi="Times New Roman" w:eastAsia="Times New Roman" w:cs="Times New Roman"/>
                <w:b w:val="0"/>
                <w:color w:val="1F1F1F"/>
                <w:sz w:val="14"/>
              </w:rPr>
              <w:t>context / provenance only; not a classifier fold</w:t>
            </w:r>
          </w:p>
        </w:tc>
      </w:tr>
      <w:tr>
        <w:trPr>
          <w:trHeight w:hRule="atLeast"/>
          <w:cantSplit/>
        </w:trPr>
        <w:tc>
          <w:tcPr>
            <w:tcW w:type="dxa" w:w="1094"/>
            <w:shd w:fill="F5F5F5"/>
            <w:vAlign w:val="center"/>
          </w:tcPr>
          <w:p>
            <w:pPr>
              <w:pStyle w:val="PRITableText"/>
              <w:keepLines/>
              <w:jc w:val="center"/>
            </w:pPr>
            <w:r/>
            <w:r>
              <w:rPr>
                <w:rFonts w:ascii="Times New Roman" w:hAnsi="Times New Roman" w:eastAsia="Times New Roman" w:cs="Times New Roman"/>
                <w:b w:val="0"/>
                <w:color w:val="1F1F1F"/>
                <w:sz w:val="14"/>
              </w:rPr>
              <w:t>GSE57225</w:t>
            </w:r>
          </w:p>
        </w:tc>
        <w:tc>
          <w:tcPr>
            <w:tcW w:type="dxa" w:w="792"/>
            <w:shd w:fill="F5F5F5"/>
            <w:vAlign w:val="center"/>
          </w:tcPr>
          <w:p>
            <w:pPr>
              <w:pStyle w:val="PRITableText"/>
              <w:keepLines/>
              <w:jc w:val="left"/>
            </w:pPr>
            <w:r/>
            <w:r>
              <w:rPr>
                <w:rFonts w:ascii="Times New Roman" w:hAnsi="Times New Roman" w:eastAsia="Times New Roman" w:cs="Times New Roman"/>
                <w:b w:val="0"/>
                <w:color w:val="1F1F1F"/>
                <w:sz w:val="14"/>
              </w:rPr>
              <w:t>bulk</w:t>
            </w:r>
          </w:p>
        </w:tc>
        <w:tc>
          <w:tcPr>
            <w:tcW w:type="dxa" w:w="1512"/>
            <w:shd w:fill="F5F5F5"/>
            <w:vAlign w:val="center"/>
          </w:tcPr>
          <w:p>
            <w:pPr>
              <w:pStyle w:val="PRITableText"/>
              <w:keepLines/>
              <w:jc w:val="left"/>
            </w:pPr>
            <w:r/>
            <w:r>
              <w:rPr>
                <w:rFonts w:ascii="Times New Roman" w:hAnsi="Times New Roman" w:eastAsia="Times New Roman" w:cs="Times New Roman"/>
                <w:b w:val="0"/>
                <w:color w:val="1F1F1F"/>
                <w:sz w:val="14"/>
              </w:rPr>
              <w:t>independent paired LS/NL disease context</w:t>
            </w:r>
          </w:p>
        </w:tc>
        <w:tc>
          <w:tcPr>
            <w:tcW w:type="dxa" w:w="720"/>
            <w:shd w:fill="F5F5F5"/>
            <w:vAlign w:val="center"/>
          </w:tcPr>
          <w:p>
            <w:pPr>
              <w:pStyle w:val="PRITableText"/>
              <w:keepLines/>
              <w:jc w:val="left"/>
            </w:pPr>
            <w:r/>
            <w:r>
              <w:rPr>
                <w:rFonts w:ascii="Times New Roman" w:hAnsi="Times New Roman" w:eastAsia="Times New Roman" w:cs="Times New Roman"/>
                <w:b w:val="0"/>
                <w:color w:val="1F1F1F"/>
                <w:sz w:val="14"/>
              </w:rPr>
              <w:t>patient</w:t>
            </w:r>
          </w:p>
        </w:tc>
        <w:tc>
          <w:tcPr>
            <w:tcW w:type="dxa" w:w="460"/>
            <w:shd w:fill="F5F5F5"/>
            <w:vAlign w:val="center"/>
          </w:tcPr>
          <w:p>
            <w:pPr>
              <w:pStyle w:val="PRITableText"/>
              <w:keepLines/>
              <w:jc w:val="center"/>
            </w:pPr>
            <w:r/>
            <w:r>
              <w:rPr>
                <w:rFonts w:ascii="Times New Roman" w:hAnsi="Times New Roman" w:eastAsia="Times New Roman" w:cs="Times New Roman"/>
                <w:b w:val="0"/>
                <w:color w:val="1F1F1F"/>
                <w:sz w:val="14"/>
              </w:rPr>
              <w:t>62</w:t>
            </w:r>
          </w:p>
        </w:tc>
        <w:tc>
          <w:tcPr>
            <w:tcW w:type="dxa" w:w="3729"/>
            <w:shd w:fill="F5F5F5"/>
            <w:vAlign w:val="center"/>
          </w:tcPr>
          <w:p>
            <w:pPr>
              <w:pStyle w:val="PRITableText"/>
              <w:keepLines/>
              <w:jc w:val="left"/>
            </w:pPr>
            <w:r/>
            <w:r>
              <w:rPr>
                <w:rFonts w:ascii="Times New Roman" w:hAnsi="Times New Roman" w:eastAsia="Times New Roman" w:cs="Times New Roman"/>
                <w:b w:val="0"/>
                <w:color w:val="1F1F1F"/>
                <w:sz w:val="14"/>
              </w:rPr>
              <w:t>context / provenance only; not a classifier fold</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4"/>
              </w:rPr>
              <w:t>GSE85034</w:t>
            </w:r>
          </w:p>
        </w:tc>
        <w:tc>
          <w:tcPr>
            <w:tcW w:type="dxa" w:w="792"/>
            <w:vAlign w:val="center"/>
          </w:tcPr>
          <w:p>
            <w:pPr>
              <w:pStyle w:val="PRITableText"/>
              <w:keepLines/>
              <w:jc w:val="left"/>
            </w:pPr>
            <w:r/>
            <w:r>
              <w:rPr>
                <w:rFonts w:ascii="Times New Roman" w:hAnsi="Times New Roman" w:eastAsia="Times New Roman" w:cs="Times New Roman"/>
                <w:b w:val="0"/>
                <w:color w:val="1F1F1F"/>
                <w:sz w:val="14"/>
              </w:rPr>
              <w:t>bulk</w:t>
            </w:r>
          </w:p>
        </w:tc>
        <w:tc>
          <w:tcPr>
            <w:tcW w:type="dxa" w:w="1512"/>
            <w:vAlign w:val="center"/>
          </w:tcPr>
          <w:p>
            <w:pPr>
              <w:pStyle w:val="PRITableText"/>
              <w:keepLines/>
              <w:jc w:val="left"/>
            </w:pPr>
            <w:r/>
            <w:r>
              <w:rPr>
                <w:rFonts w:ascii="Times New Roman" w:hAnsi="Times New Roman" w:eastAsia="Times New Roman" w:cs="Times New Roman"/>
                <w:b w:val="0"/>
                <w:color w:val="1F1F1F"/>
                <w:sz w:val="14"/>
              </w:rPr>
              <w:t>independent longitudinal treatment replication</w:t>
            </w:r>
          </w:p>
        </w:tc>
        <w:tc>
          <w:tcPr>
            <w:tcW w:type="dxa" w:w="720"/>
            <w:vAlign w:val="center"/>
          </w:tcPr>
          <w:p>
            <w:pPr>
              <w:pStyle w:val="PRITableText"/>
              <w:keepLines/>
              <w:jc w:val="left"/>
            </w:pPr>
            <w:r/>
            <w:r>
              <w:rPr>
                <w:rFonts w:ascii="Times New Roman" w:hAnsi="Times New Roman" w:eastAsia="Times New Roman" w:cs="Times New Roman"/>
                <w:b w:val="0"/>
                <w:color w:val="1F1F1F"/>
                <w:sz w:val="14"/>
              </w:rPr>
              <w:t>patient</w:t>
            </w:r>
          </w:p>
        </w:tc>
        <w:tc>
          <w:tcPr>
            <w:tcW w:type="dxa" w:w="460"/>
            <w:vAlign w:val="center"/>
          </w:tcPr>
          <w:p>
            <w:pPr>
              <w:pStyle w:val="PRITableText"/>
              <w:keepLines/>
              <w:jc w:val="center"/>
            </w:pPr>
            <w:r/>
            <w:r>
              <w:rPr>
                <w:rFonts w:ascii="Times New Roman" w:hAnsi="Times New Roman" w:eastAsia="Times New Roman" w:cs="Times New Roman"/>
                <w:b w:val="0"/>
                <w:color w:val="1F1F1F"/>
                <w:sz w:val="14"/>
              </w:rPr>
              <w:t>179</w:t>
            </w:r>
          </w:p>
        </w:tc>
        <w:tc>
          <w:tcPr>
            <w:tcW w:type="dxa" w:w="3729"/>
            <w:vAlign w:val="center"/>
          </w:tcPr>
          <w:p>
            <w:pPr>
              <w:pStyle w:val="PRITableText"/>
              <w:keepLines/>
              <w:jc w:val="left"/>
            </w:pPr>
            <w:r/>
            <w:r>
              <w:rPr>
                <w:rFonts w:ascii="Times New Roman" w:hAnsi="Times New Roman" w:eastAsia="Times New Roman" w:cs="Times New Roman"/>
                <w:b w:val="0"/>
                <w:color w:val="1F1F1F"/>
                <w:sz w:val="14"/>
              </w:rPr>
              <w:t>context / provenance only; not a classifier fold</w:t>
            </w:r>
          </w:p>
        </w:tc>
      </w:tr>
    </w:tbl>
    <w:p>
      <w:pPr>
        <w:pStyle w:val="PRICaption"/>
      </w:pPr>
      <w:r>
        <w:rPr>
          <w:rFonts w:ascii="Times New Roman" w:hAnsi="Times New Roman" w:eastAsia="Times New Roman" w:cs="Times New Roman"/>
          <w:b w:val="0"/>
          <w:color w:val="1F1F1F"/>
          <w:sz w:val="17"/>
        </w:rPr>
        <w:t>Cells and spots quantify measurement density; they never increase the independent inferential-unit count. GSE202011 is reported separately as a pre-specified external boundary replication.</w:t>
      </w:r>
    </w:p>
    <w:p>
      <w:pPr/>
      <w:r>
        <w:rPr>
          <w:rFonts w:ascii="Times New Roman" w:hAnsi="Times New Roman" w:eastAsia="Times New Roman" w:cs="Times New Roman"/>
          <w:b w:val="0"/>
          <w:color w:val="1F1F1F"/>
          <w:sz w:val="23"/>
        </w:rPr>
        <w:t>We rebuilt the three primary high-resolution inputs from their public raw sources. GSE151177 and GSE173706 were reconstructed as sample-by-gene pseudobulk matrices after the frozen cell-level filtering protocol. GSE206391 was reconstructed from raw spatial matrices with in-tissue filtering. Exact canonical matrix and metadata equality was required before any v21 result was interpreted. Raw source hashes, input paths, software requirements, random seeds, output hashes, and every figure/table source are retained in the reproducibility manifest.</w:t>
      </w:r>
    </w:p>
    <w:p>
      <w:pPr>
        <w:pStyle w:val="3"/>
      </w:pPr>
      <w:r>
        <w:rPr>
          <w:rFonts w:ascii="Times New Roman" w:hAnsi="Times New Roman" w:eastAsia="Times New Roman" w:cs="Times New Roman"/>
          <w:b/>
          <w:color w:val="1F1F1F"/>
          <w:sz w:val="26"/>
        </w:rPr>
        <w:t>2.3. Matched expression, low-rank, and spatial representations</w:t>
      </w:r>
    </w:p>
    <w:p>
      <w:pPr/>
      <w:r>
        <w:rPr>
          <w:rFonts w:ascii="Times New Roman" w:hAnsi="Times New Roman" w:eastAsia="Times New Roman" w:cs="Times New Roman"/>
          <w:b w:val="0"/>
          <w:color w:val="1F1F1F"/>
          <w:sz w:val="23"/>
        </w:rPr>
        <w:t>For each held-out unit, 2,000 highly variable genes were selected only in training data. The matched expression reference used the resulting log-transformed sample-level matrix. PCA and NMF used the same fold-specific gene budget, eligible samples, outer folds, and class-balanced logistic-regression downstream learner. This control removes the possibility that a candidate gains merely by receiving a broader feature set or a different split.</w:t>
      </w:r>
    </w:p>
    <w:p>
      <w:pPr/>
      <w:r>
        <w:rPr>
          <w:rFonts w:ascii="Times New Roman" w:hAnsi="Times New Roman" w:eastAsia="Times New Roman" w:cs="Times New Roman"/>
          <w:b w:val="0"/>
          <w:color w:val="1F1F1F"/>
          <w:sz w:val="23"/>
        </w:rPr>
        <w:t>The GSE206391 spatial graph used fold-specific highly variable genes, local expression-neighbour agreement, and local contrast on a coordinate graph. A 1,000-feature spatial graph was compared with 1,000-HVG expression; a 1,500-feature expression-plus-spatial representation was compared with 1,500-HVG expression. These paired constructions were the spatial primary tests. The algorithmic modules and their permitted information hand-offs are shown in Figure 3.</w:t>
      </w:r>
    </w:p>
    <w:p>
      <w:pPr>
        <w:keepNext/>
        <w:keepLines/>
        <w:spacing w:before="100" w:after="0"/>
        <w:jc w:val="center"/>
      </w:pPr>
      <w:r>
        <w:drawing>
          <wp:inline xmlns:a="http://schemas.openxmlformats.org/drawingml/2006/main" xmlns:pic="http://schemas.openxmlformats.org/drawingml/2006/picture">
            <wp:extent cx="5157216" cy="2900934"/>
            <wp:docPr id="2" name="Figure 3" title="Figure 3" descr="PRI-Audit module architecture with biological-unit boundary and matched comparator."/>
            <wp:cNvGraphicFramePr>
              <a:graphicFrameLocks noChangeAspect="1"/>
            </wp:cNvGraphicFramePr>
            <a:graphic>
              <a:graphicData uri="http://schemas.openxmlformats.org/drawingml/2006/picture">
                <pic:pic>
                  <pic:nvPicPr>
                    <pic:cNvPr id="0" name="paper_v20_fig3_algorithm_architecture.png"/>
                    <pic:cNvPicPr/>
                  </pic:nvPicPr>
                  <pic:blipFill>
                    <a:blip r:embed="rId27"/>
                    <a:stretch>
                      <a:fillRect/>
                    </a:stretch>
                  </pic:blipFill>
                  <pic:spPr>
                    <a:xfrm>
                      <a:off x="0" y="0"/>
                      <a:ext cx="5157216" cy="2900934"/>
                    </a:xfrm>
                    <a:prstGeom prst="rect"/>
                  </pic:spPr>
                </pic:pic>
              </a:graphicData>
            </a:graphic>
          </wp:inline>
        </w:drawing>
      </w:r>
    </w:p>
    <w:p>
      <w:pPr>
        <w:pStyle w:val="PRICaption"/>
      </w:pPr>
      <w:r>
        <w:rPr>
          <w:rFonts w:ascii="Times New Roman" w:hAnsi="Times New Roman" w:eastAsia="Times New Roman" w:cs="Times New Roman"/>
          <w:b w:val="0"/>
          <w:color w:val="1F1F1F"/>
          <w:sz w:val="18"/>
        </w:rPr>
        <w:t>Figure 3. Algorithmic architecture and module contracts. M1 defines the independent unit; M2 fits fold-local preprocessing; M3 constructs candidate and matched-expression representations; M4 computes paired held-out increments; M5 applies source-specific counterfactual diagnostics; and M6 maps only supported evidence to claim language. The held-out unit bypasses every fitting operation.</w:t>
      </w:r>
    </w:p>
    <w:p>
      <w:pPr/>
      <w:r>
        <w:rPr>
          <w:rFonts w:ascii="Times New Roman" w:hAnsi="Times New Roman" w:eastAsia="Times New Roman" w:cs="Times New Roman"/>
          <w:b w:val="0"/>
          <w:color w:val="1F1F1F"/>
          <w:sz w:val="23"/>
        </w:rPr>
        <w:t>For a gene h in sample i and spatial neighbourhood N(u), the graph encoder used a local agreement statistic and local contrast:</w:t>
      </w:r>
    </w:p>
    <w:p>
      <w:pPr>
        <w:pStyle w:val="PRIEquation"/>
      </w:pPr>
      <w:r>
        <w:rPr>
          <w:rFonts w:ascii="Times New Roman" w:hAnsi="Times New Roman" w:eastAsia="Times New Roman" w:cs="Times New Roman"/>
          <w:i/>
          <w:color w:val="1F1F1F"/>
          <w:sz w:val="21"/>
        </w:rPr>
        <w:t>Iᵢh = [nᵢ⁻¹ Σᵤ zᵢᵤh z̄ᵢ,N(u),h] / [nᵢ⁻¹ Σᵤ zᵢᵤh² + ε],     zᵢᵤh = xᵢᵤh − x̄ᵢh.     (4)</w:t>
      </w:r>
    </w:p>
    <w:p>
      <w:pPr>
        <w:pStyle w:val="PRIEquation"/>
      </w:pPr>
      <w:r>
        <w:rPr>
          <w:rFonts w:ascii="Times New Roman" w:hAnsi="Times New Roman" w:eastAsia="Times New Roman" w:cs="Times New Roman"/>
          <w:i/>
          <w:color w:val="1F1F1F"/>
          <w:sz w:val="21"/>
        </w:rPr>
        <w:t>Cᵢh = nᵢ⁻¹ Σᵤ |xᵢᵤh − x̄ᵢ,N(u),h|.     (5)</w:t>
      </w:r>
    </w:p>
    <w:p>
      <w:pPr/>
      <w:r>
        <w:rPr>
          <w:rFonts w:ascii="Times New Roman" w:hAnsi="Times New Roman" w:eastAsia="Times New Roman" w:cs="Times New Roman"/>
          <w:b w:val="0"/>
          <w:color w:val="1F1F1F"/>
          <w:sz w:val="23"/>
        </w:rPr>
        <w:t>The exact feature vectors and fold outputs are preserved, so the spatial claim can be tested without asserting that graph statistics exhaust all possible spatial biology.</w:t>
      </w:r>
    </w:p>
    <w:p>
      <w:pPr>
        <w:pStyle w:val="3"/>
      </w:pPr>
      <w:r>
        <w:rPr>
          <w:rFonts w:ascii="Times New Roman" w:hAnsi="Times New Roman" w:eastAsia="Times New Roman" w:cs="Times New Roman"/>
          <w:b/>
          <w:color w:val="1F1F1F"/>
          <w:sz w:val="26"/>
        </w:rPr>
        <w:t>2.4. Known-truth simulation and fold-local spot-topic comparator</w:t>
      </w:r>
    </w:p>
    <w:p>
      <w:pPr/>
      <w:r>
        <w:rPr>
          <w:rFonts w:ascii="Times New Roman" w:hAnsi="Times New Roman" w:eastAsia="Times New Roman" w:cs="Times New Roman"/>
          <w:b w:val="0"/>
          <w:color w:val="1F1F1F"/>
          <w:sz w:val="23"/>
        </w:rPr>
        <w:t>The real datasets cannot reveal whether a decision rule is calibrated when the true incremental value is known. We therefore fixed a hierarchy simulation with 12, 24 or 48 paired patients, two samples per patient and 40 nested measurements per sample. The data-generating process independently controlled aggregate disease expression, a coordinate-associated effect with zero pseudobulk mean, and a sample fingerprint. Four scenarios tested no spatial increment, true coordinate-specific increment, source-overlap without disease signal, and an intentionally weakened expression reference. The complete PRI-Audit gate required ΔAUROC ≥0.05 and a paired patient-bootstrap lower 95% bound above zero. The formal run used 400 repeats for every patient-count/scenario combination; the full protocol and parameters are retained in Supplementary Table S1.</w:t>
      </w:r>
    </w:p>
    <w:p>
      <w:pPr/>
      <w:r>
        <w:rPr>
          <w:rFonts w:ascii="Times New Roman" w:hAnsi="Times New Roman" w:eastAsia="Times New Roman" w:cs="Times New Roman"/>
          <w:b w:val="0"/>
          <w:color w:val="1F1F1F"/>
          <w:sz w:val="23"/>
        </w:rPr>
        <w:t>To address whether the real-data comparison was restricted to simple low-rank encoders, we added a pre-specified, fold-local high-resolution spot-topic comparator in GSE206391. For every outer held-patient fold, 500 pseudobulk HVGs and an eight-topic MiniBatchNMF model were fitted only on training-patient spots. Topic activations were averaged within sample. The eight-dimensional topic model was compared with an eight-dimensional fold-local expression PCA, while the 16-dimensional expression-plus-topic fusion was compared with 16-dimensional expression PCA. The primary analysis sampled 300 spots per sample; 150 and 450 spots were held as robustness checks (Supplementary Table S2).</w:t>
      </w:r>
    </w:p>
    <w:p>
      <w:pPr>
        <w:pStyle w:val="3"/>
      </w:pPr>
      <w:r>
        <w:rPr>
          <w:rFonts w:ascii="Times New Roman" w:hAnsi="Times New Roman" w:eastAsia="Times New Roman" w:cs="Times New Roman"/>
          <w:b/>
          <w:color w:val="1F1F1F"/>
          <w:sz w:val="26"/>
        </w:rPr>
        <w:t>2.5. Counterfactual diagnostics and uncertainty</w:t>
      </w:r>
    </w:p>
    <w:p>
      <w:pPr/>
      <w:r>
        <w:rPr>
          <w:rFonts w:ascii="Times New Roman" w:hAnsi="Times New Roman" w:eastAsia="Times New Roman" w:cs="Times New Roman"/>
          <w:b w:val="0"/>
          <w:color w:val="1F1F1F"/>
          <w:sz w:val="23"/>
        </w:rPr>
        <w:t>The analysis deliberately contrasted strict evaluation with practices that estimate different quantities. A random cell/spot split used global feature selection and PCA, then split measurement rows randomly. This was retained only to show source-sample overlap and identify its estimand. A global-versus-fully-nested cell-neighbourhood analysis compared K=8, 16 and 32 neighbourhood dictionaries. An intentionally weakened strict 16-HVG expression reference was used as a didactic mismatch sensitivity; it could never satisfy the primary evidence gate.</w:t>
      </w:r>
    </w:p>
    <w:p>
      <w:pPr/>
      <w:r>
        <w:rPr>
          <w:rFonts w:ascii="Times New Roman" w:hAnsi="Times New Roman" w:eastAsia="Times New Roman" w:cs="Times New Roman"/>
          <w:b w:val="0"/>
          <w:color w:val="1F1F1F"/>
          <w:sz w:val="23"/>
        </w:rPr>
        <w:t>For spatial specificity, coordinates were shuffled within every sample while preserving counts, labels, outer folds and fold-specific HVGs. This counterfactual tests whether the selected graph representation gains patient-level information from the observed coordinate assignment. It does not test whether spatially varying expression exists. Label-permutation and bootstrap calculations resampled the dataset-specific independent unit, not cells or spots. Primary label-null calculations used 500 permutations; strict increments used 5,000 independent-unit bootstrap draws where reported. The finite-permutation tail probability used the usual correction:</w:t>
      </w:r>
    </w:p>
    <w:p>
      <w:pPr>
        <w:pStyle w:val="PRIEquation"/>
      </w:pPr>
      <w:r>
        <w:rPr>
          <w:rFonts w:ascii="Times New Roman" w:hAnsi="Times New Roman" w:eastAsia="Times New Roman" w:cs="Times New Roman"/>
          <w:i/>
          <w:color w:val="1F1F1F"/>
          <w:sz w:val="21"/>
        </w:rPr>
        <w:t>P = (1 + #{Tᵇ ≥ Tobs}) / (B + 1).     (6)</w:t>
      </w:r>
    </w:p>
    <w:p>
      <w:pPr>
        <w:pStyle w:val="3"/>
      </w:pPr>
      <w:r>
        <w:rPr>
          <w:rFonts w:ascii="Times New Roman" w:hAnsi="Times New Roman" w:eastAsia="Times New Roman" w:cs="Times New Roman"/>
          <w:b/>
          <w:color w:val="1F1F1F"/>
          <w:sz w:val="26"/>
        </w:rPr>
        <w:t>2.6. Independent boundary replication and reproducibility</w:t>
      </w:r>
    </w:p>
    <w:p>
      <w:pPr/>
      <w:r>
        <w:rPr>
          <w:rFonts w:ascii="Times New Roman" w:hAnsi="Times New Roman" w:eastAsia="Times New Roman" w:cs="Times New Roman"/>
          <w:b w:val="0"/>
          <w:color w:val="1F1F1F"/>
          <w:sz w:val="23"/>
        </w:rPr>
        <w:t>The external candidate-selection ledger was completed before matrix inspection. For GSE202011, five biologic-naive psoriasis lesion/non-lesion pairs were fixed; the first ST14 lesion technical section was selected deterministically. Strict leave-one-patient-out expression and PCA were run without re-tuning. A saturated comparison is reported as a boundary replication, not as proof of equivalence or a high-resolution advantage.</w:t>
      </w:r>
    </w:p>
    <w:p>
      <w:pPr/>
      <w:r>
        <w:rPr>
          <w:rFonts w:ascii="Times New Roman" w:hAnsi="Times New Roman" w:eastAsia="Times New Roman" w:cs="Times New Roman"/>
          <w:b w:val="0"/>
          <w:color w:val="1F1F1F"/>
          <w:sz w:val="23"/>
        </w:rPr>
        <w:t>The complete analysis is orchestrated by one submission-reproduction runner. It executes raw reconstruction, strict and diagnostic comparisons, the coordinate null, external boundary analysis, table/figure creation and a final source manifest. A completed 13-step execution log records return code zero for every step. The archive is designed to permit an independent reader to reproduce both positive disease-signal results and the negative incremental-value conclusion.</w:t>
      </w:r>
    </w:p>
    <w:p>
      <w:pPr>
        <w:pStyle w:val="2"/>
      </w:pPr>
      <w:r>
        <w:rPr>
          <w:rFonts w:ascii="Times New Roman" w:hAnsi="Times New Roman" w:eastAsia="Times New Roman" w:cs="Times New Roman"/>
          <w:b/>
          <w:color w:val="1F1F1F"/>
          <w:sz w:val="30"/>
        </w:rPr>
        <w:t>3. Results</w:t>
      </w:r>
    </w:p>
    <w:p>
      <w:pPr>
        <w:pStyle w:val="3"/>
      </w:pPr>
      <w:r>
        <w:rPr>
          <w:rFonts w:ascii="Times New Roman" w:hAnsi="Times New Roman" w:eastAsia="Times New Roman" w:cs="Times New Roman"/>
          <w:b/>
          <w:color w:val="1F1F1F"/>
          <w:sz w:val="26"/>
        </w:rPr>
        <w:t>3.1. The 11-cohort landscape separates biological breadth from predictive replication</w:t>
      </w:r>
    </w:p>
    <w:p>
      <w:pPr/>
      <w:r>
        <w:rPr>
          <w:rFonts w:ascii="Times New Roman" w:hAnsi="Times New Roman" w:eastAsia="Times New Roman" w:cs="Times New Roman"/>
          <w:b w:val="0"/>
          <w:color w:val="1F1F1F"/>
          <w:sz w:val="23"/>
        </w:rPr>
        <w:t>Figure 1 provides data-derived views of all 11 public datasets across paired bulk, single-cell, spatial and perturbation scales. It is descriptive: it shows the data structure that motivated the audit, not a model-selection surface. The central design consequence is visible across modalities: thousands of measurements are nested in a substantially smaller number of patients, donors or biological samples. Table 1 therefore preserves each cohort's role and prevents the seven contextual cohorts from being counted as seven extra high-resolution tests.</w:t>
      </w:r>
    </w:p>
    <w:p>
      <w:pPr>
        <w:keepNext/>
        <w:keepLines/>
        <w:spacing w:before="100" w:after="0"/>
        <w:jc w:val="center"/>
      </w:pPr>
      <w:r>
        <w:drawing>
          <wp:inline xmlns:a="http://schemas.openxmlformats.org/drawingml/2006/main" xmlns:pic="http://schemas.openxmlformats.org/drawingml/2006/picture">
            <wp:extent cx="5157216" cy="2900934"/>
            <wp:docPr id="3" name="Figure 1" title="Figure 1" descr="Data-derived atlas of public psoriasis cohorts across bulk, single-cell, spatial and perturbation scales."/>
            <wp:cNvGraphicFramePr>
              <a:graphicFrameLocks noChangeAspect="1"/>
            </wp:cNvGraphicFramePr>
            <a:graphic>
              <a:graphicData uri="http://schemas.openxmlformats.org/drawingml/2006/picture">
                <pic:pic>
                  <pic:nvPicPr>
                    <pic:cNvPr id="0" name="paper_v19_fig1_dataset_atlas.png"/>
                    <pic:cNvPicPr/>
                  </pic:nvPicPr>
                  <pic:blipFill>
                    <a:blip r:embed="rId28"/>
                    <a:stretch>
                      <a:fillRect/>
                    </a:stretch>
                  </pic:blipFill>
                  <pic:spPr>
                    <a:xfrm>
                      <a:off x="0" y="0"/>
                      <a:ext cx="5157216" cy="2900934"/>
                    </a:xfrm>
                    <a:prstGeom prst="rect"/>
                  </pic:spPr>
                </pic:pic>
              </a:graphicData>
            </a:graphic>
          </wp:inline>
        </w:drawing>
      </w:r>
    </w:p>
    <w:p>
      <w:pPr>
        <w:pStyle w:val="PRICaption"/>
      </w:pPr>
      <w:r>
        <w:rPr>
          <w:rFonts w:ascii="Times New Roman" w:hAnsi="Times New Roman" w:eastAsia="Times New Roman" w:cs="Times New Roman"/>
          <w:b w:val="0"/>
          <w:color w:val="1F1F1F"/>
          <w:sz w:val="18"/>
        </w:rPr>
        <w:t>Figure 1. Data-derived landscape of the 11 public psoriasis datasets. Seven paired bulk cohorts, two single-cell cohorts, one spatial cohort and one perturbation cohort are displayed at their native biological scales. The panels are descriptive only: they do not enter feature selection, model fitting, performance estimation or claim selection. Cohort roles and independent units are specified in Table 1.</w:t>
      </w:r>
    </w:p>
    <w:p>
      <w:pPr/>
      <w:r>
        <w:rPr>
          <w:rFonts w:ascii="Times New Roman" w:hAnsi="Times New Roman" w:eastAsia="Times New Roman" w:cs="Times New Roman"/>
          <w:b w:val="0"/>
          <w:color w:val="1F1F1F"/>
          <w:sz w:val="23"/>
        </w:rPr>
        <w:t>The raw reconstruction check succeeded before any v21 inference. GSE151177 rebuilt exactly as 18 samples × 33,538 genes, GSE173706 as 33 × 33,538, and GSE206391 as 66 × 16,685. Metadata and canonical count contents were exact. A missing mitochondrial Ensembl identifier discovered during the GSE173706 rebuild was corrected before formal analysis; it is documented rather than silently absorbed. This result turns the reported analysis into a public-input reconstruction rather than an unverifiable continuation of an earlier result directory.</w:t>
      </w:r>
    </w:p>
    <w:p>
      <w:pPr>
        <w:pStyle w:val="3"/>
      </w:pPr>
      <w:r>
        <w:rPr>
          <w:rFonts w:ascii="Times New Roman" w:hAnsi="Times New Roman" w:eastAsia="Times New Roman" w:cs="Times New Roman"/>
          <w:b/>
          <w:color w:val="1F1F1F"/>
          <w:sz w:val="26"/>
        </w:rPr>
        <w:t>3.2. Strict matched comparisons do not demonstrate low-rank or spatial incremental value</w:t>
      </w:r>
    </w:p>
    <w:p>
      <w:pPr/>
      <w:r>
        <w:rPr>
          <w:rFonts w:ascii="Times New Roman" w:hAnsi="Times New Roman" w:eastAsia="Times New Roman" w:cs="Times New Roman"/>
          <w:b w:val="0"/>
          <w:color w:val="1F1F1F"/>
          <w:sz w:val="23"/>
        </w:rPr>
        <w:t>Strict expression was strongly discriminative in all three primary high-resolution datasets: AUROC 0.946 in GSE151177, 1.000 in GSE173706, and 0.908 in GSE206391. PCA and NMF did not cross the pre-specified incremental threshold in any primary comparison (Table 2; Figure 4A). In GSE151177, PCA and NMF had point increments of +0.018 and +0.036; their 95% intervals included zero. GSE173706 was comparison-saturated at AUROC 1.000. In GSE206391, PCA was essentially tied with matched expression (+0.002), whereas NMF was lower (−0.036).</w:t>
      </w:r>
    </w:p>
    <w:p>
      <w:pPr>
        <w:pStyle w:val="PRITableCaption"/>
      </w:pPr>
      <w:r>
        <w:rPr>
          <w:rFonts w:ascii="Times New Roman" w:hAnsi="Times New Roman" w:eastAsia="Times New Roman" w:cs="Times New Roman"/>
          <w:b w:val="0"/>
          <w:color w:val="1F1F1F"/>
          <w:sz w:val="19"/>
        </w:rPr>
        <w:t>Table 2. Strict matched representation comparisons and incremental-value boundary.</w:t>
      </w:r>
    </w:p>
    <w:tbl>
      <w:tblPr>
        <w:tblW w:type="dxa" w:w="8308"/>
        <w:jc w:val="center"/>
        <w:tblLayout w:type="fixed"/>
        <w:tblLook w:firstColumn="1" w:firstRow="1" w:lastColumn="0" w:lastRow="0" w:noHBand="0" w:noVBand="1" w:val="04A0"/>
      </w:tblPr>
      <w:tblGrid>
        <w:gridCol w:w="1007"/>
        <w:gridCol w:w="1080"/>
        <w:gridCol w:w="936"/>
        <w:gridCol w:w="1007"/>
        <w:gridCol w:w="720"/>
        <w:gridCol w:w="1641"/>
        <w:gridCol w:w="1915"/>
      </w:tblGrid>
      <w:tr>
        <w:trPr>
          <w:trHeight w:hRule="atLeast"/>
          <w:tblHeader w:val="true"/>
          <w:cantSplit/>
        </w:trPr>
        <w:tc>
          <w:tcPr>
            <w:tcW w:type="dxa" w:w="1007"/>
            <w:shd w:fill="D9D9D9"/>
            <w:vAlign w:val="center"/>
          </w:tcPr>
          <w:p>
            <w:pPr>
              <w:pStyle w:val="PRITableText"/>
              <w:keepLines/>
              <w:jc w:val="center"/>
            </w:pPr>
            <w:r/>
            <w:r>
              <w:rPr>
                <w:rFonts w:ascii="Times New Roman" w:hAnsi="Times New Roman" w:eastAsia="Times New Roman" w:cs="Times New Roman"/>
                <w:b/>
                <w:color w:val="1F1F1F"/>
                <w:sz w:val="14"/>
              </w:rPr>
              <w:t>Cohort</w:t>
            </w:r>
          </w:p>
        </w:tc>
        <w:tc>
          <w:tcPr>
            <w:tcW w:type="dxa" w:w="1080"/>
            <w:shd w:fill="D9D9D9"/>
            <w:vAlign w:val="center"/>
          </w:tcPr>
          <w:p>
            <w:pPr>
              <w:pStyle w:val="PRITableText"/>
              <w:keepLines/>
              <w:jc w:val="center"/>
            </w:pPr>
            <w:r/>
            <w:r>
              <w:rPr>
                <w:rFonts w:ascii="Times New Roman" w:hAnsi="Times New Roman" w:eastAsia="Times New Roman" w:cs="Times New Roman"/>
                <w:b/>
                <w:color w:val="1F1F1F"/>
                <w:sz w:val="14"/>
              </w:rPr>
              <w:t>Unit / split</w:t>
            </w:r>
          </w:p>
        </w:tc>
        <w:tc>
          <w:tcPr>
            <w:tcW w:type="dxa" w:w="936"/>
            <w:shd w:fill="D9D9D9"/>
            <w:vAlign w:val="center"/>
          </w:tcPr>
          <w:p>
            <w:pPr>
              <w:pStyle w:val="PRITableText"/>
              <w:keepLines/>
              <w:jc w:val="center"/>
            </w:pPr>
            <w:r/>
            <w:r>
              <w:rPr>
                <w:rFonts w:ascii="Times New Roman" w:hAnsi="Times New Roman" w:eastAsia="Times New Roman" w:cs="Times New Roman"/>
                <w:b/>
                <w:color w:val="1F1F1F"/>
                <w:sz w:val="14"/>
              </w:rPr>
              <w:t>Candidate</w:t>
            </w:r>
          </w:p>
        </w:tc>
        <w:tc>
          <w:tcPr>
            <w:tcW w:type="dxa" w:w="1007"/>
            <w:shd w:fill="D9D9D9"/>
            <w:vAlign w:val="center"/>
          </w:tcPr>
          <w:p>
            <w:pPr>
              <w:pStyle w:val="PRITableText"/>
              <w:keepLines/>
              <w:jc w:val="center"/>
            </w:pPr>
            <w:r/>
            <w:r>
              <w:rPr>
                <w:rFonts w:ascii="Times New Roman" w:hAnsi="Times New Roman" w:eastAsia="Times New Roman" w:cs="Times New Roman"/>
                <w:b/>
                <w:color w:val="1F1F1F"/>
                <w:sz w:val="14"/>
              </w:rPr>
              <w:t>Matched reference</w:t>
            </w:r>
          </w:p>
        </w:tc>
        <w:tc>
          <w:tcPr>
            <w:tcW w:type="dxa" w:w="720"/>
            <w:shd w:fill="D9D9D9"/>
            <w:vAlign w:val="center"/>
          </w:tcPr>
          <w:p>
            <w:pPr>
              <w:pStyle w:val="PRITableText"/>
              <w:keepLines/>
              <w:jc w:val="center"/>
            </w:pPr>
            <w:r/>
            <w:r>
              <w:rPr>
                <w:rFonts w:ascii="Times New Roman" w:hAnsi="Times New Roman" w:eastAsia="Times New Roman" w:cs="Times New Roman"/>
                <w:b/>
                <w:color w:val="1F1F1F"/>
                <w:sz w:val="14"/>
              </w:rPr>
              <w:t>AUROC</w:t>
            </w:r>
          </w:p>
        </w:tc>
        <w:tc>
          <w:tcPr>
            <w:tcW w:type="dxa" w:w="1641"/>
            <w:shd w:fill="D9D9D9"/>
            <w:vAlign w:val="center"/>
          </w:tcPr>
          <w:p>
            <w:pPr>
              <w:pStyle w:val="PRITableText"/>
              <w:keepLines/>
              <w:jc w:val="center"/>
            </w:pPr>
            <w:r/>
            <w:r>
              <w:rPr>
                <w:rFonts w:ascii="Times New Roman" w:hAnsi="Times New Roman" w:eastAsia="Times New Roman" w:cs="Times New Roman"/>
                <w:b/>
                <w:color w:val="1F1F1F"/>
                <w:sz w:val="14"/>
              </w:rPr>
              <w:t>ΔAUROC (95% CI)</w:t>
            </w:r>
          </w:p>
        </w:tc>
        <w:tc>
          <w:tcPr>
            <w:tcW w:type="dxa" w:w="1915"/>
            <w:shd w:fill="D9D9D9"/>
            <w:vAlign w:val="center"/>
          </w:tcPr>
          <w:p>
            <w:pPr>
              <w:pStyle w:val="PRITableText"/>
              <w:keepLines/>
              <w:jc w:val="center"/>
            </w:pPr>
            <w:r/>
            <w:r>
              <w:rPr>
                <w:rFonts w:ascii="Times New Roman" w:hAnsi="Times New Roman" w:eastAsia="Times New Roman" w:cs="Times New Roman"/>
                <w:b/>
                <w:color w:val="1F1F1F"/>
                <w:sz w:val="14"/>
              </w:rPr>
              <w:t>Status</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4"/>
              </w:rPr>
              <w:t>GSE151177</w:t>
            </w:r>
          </w:p>
        </w:tc>
        <w:tc>
          <w:tcPr>
            <w:tcW w:type="dxa" w:w="1080"/>
            <w:vAlign w:val="center"/>
          </w:tcPr>
          <w:p>
            <w:pPr>
              <w:pStyle w:val="PRITableText"/>
              <w:keepLines/>
              <w:jc w:val="left"/>
            </w:pPr>
            <w:r/>
            <w:r>
              <w:rPr>
                <w:rFonts w:ascii="Times New Roman" w:hAnsi="Times New Roman" w:eastAsia="Times New Roman" w:cs="Times New Roman"/>
                <w:b w:val="0"/>
                <w:color w:val="1F1F1F"/>
                <w:sz w:val="14"/>
              </w:rPr>
              <w:t>18 samples; LOO</w:t>
            </w:r>
          </w:p>
        </w:tc>
        <w:tc>
          <w:tcPr>
            <w:tcW w:type="dxa" w:w="936"/>
            <w:vAlign w:val="center"/>
          </w:tcPr>
          <w:p>
            <w:pPr>
              <w:pStyle w:val="PRITableText"/>
              <w:keepLines/>
              <w:jc w:val="left"/>
            </w:pPr>
            <w:r/>
            <w:r>
              <w:rPr>
                <w:rFonts w:ascii="Times New Roman" w:hAnsi="Times New Roman" w:eastAsia="Times New Roman" w:cs="Times New Roman"/>
                <w:b w:val="0"/>
                <w:color w:val="1F1F1F"/>
                <w:sz w:val="14"/>
              </w:rPr>
              <w:t>PCA</w:t>
            </w:r>
          </w:p>
        </w:tc>
        <w:tc>
          <w:tcPr>
            <w:tcW w:type="dxa" w:w="1007"/>
            <w:vAlign w:val="center"/>
          </w:tcPr>
          <w:p>
            <w:pPr>
              <w:pStyle w:val="PRITableText"/>
              <w:keepLines/>
              <w:jc w:val="left"/>
            </w:pPr>
            <w:r/>
            <w:r>
              <w:rPr>
                <w:rFonts w:ascii="Times New Roman" w:hAnsi="Times New Roman" w:eastAsia="Times New Roman" w:cs="Times New Roman"/>
                <w:b w:val="0"/>
                <w:color w:val="1F1F1F"/>
                <w:sz w:val="14"/>
              </w:rPr>
              <w:t>Expr. (2k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4"/>
              </w:rPr>
              <w:t>0.964</w:t>
            </w:r>
          </w:p>
        </w:tc>
        <w:tc>
          <w:tcPr>
            <w:tcW w:type="dxa" w:w="1641"/>
            <w:vAlign w:val="center"/>
          </w:tcPr>
          <w:p>
            <w:pPr>
              <w:pStyle w:val="PRITableText"/>
              <w:keepLines/>
              <w:jc w:val="center"/>
            </w:pPr>
            <w:r/>
            <w:r>
              <w:rPr>
                <w:rFonts w:ascii="Times New Roman" w:hAnsi="Times New Roman" w:eastAsia="Times New Roman" w:cs="Times New Roman"/>
                <w:b w:val="0"/>
                <w:color w:val="1F1F1F"/>
                <w:sz w:val="14"/>
              </w:rPr>
              <w:t>+0.018 (+0.000, +0.097)</w:t>
            </w:r>
          </w:p>
        </w:tc>
        <w:tc>
          <w:tcPr>
            <w:tcW w:type="dxa" w:w="1915"/>
            <w:vAlign w:val="center"/>
          </w:tcPr>
          <w:p>
            <w:pPr>
              <w:pStyle w:val="PRITableText"/>
              <w:keepLines/>
              <w:jc w:val="left"/>
            </w:pPr>
            <w:r/>
            <w:r>
              <w:rPr>
                <w:rFonts w:ascii="Times New Roman" w:hAnsi="Times New Roman" w:eastAsia="Times New Roman" w:cs="Times New Roman"/>
                <w:b w:val="0"/>
                <w:color w:val="1F1F1F"/>
                <w:sz w:val="14"/>
              </w:rPr>
              <w:t>primary</w:t>
            </w:r>
          </w:p>
        </w:tc>
      </w:tr>
      <w:tr>
        <w:trPr>
          <w:trHeight w:hRule="atLeast"/>
          <w:cantSplit/>
        </w:trPr>
        <w:tc>
          <w:tcPr>
            <w:tcW w:type="dxa" w:w="1007"/>
            <w:shd w:fill="F5F5F5"/>
            <w:vAlign w:val="center"/>
          </w:tcPr>
          <w:p>
            <w:pPr>
              <w:pStyle w:val="PRITableText"/>
              <w:keepLines/>
              <w:jc w:val="center"/>
            </w:pPr>
            <w:r/>
            <w:r>
              <w:rPr>
                <w:rFonts w:ascii="Times New Roman" w:hAnsi="Times New Roman" w:eastAsia="Times New Roman" w:cs="Times New Roman"/>
                <w:b w:val="0"/>
                <w:color w:val="1F1F1F"/>
                <w:sz w:val="14"/>
              </w:rPr>
              <w:t>GSE151177</w:t>
            </w:r>
          </w:p>
        </w:tc>
        <w:tc>
          <w:tcPr>
            <w:tcW w:type="dxa" w:w="1080"/>
            <w:shd w:fill="F5F5F5"/>
            <w:vAlign w:val="center"/>
          </w:tcPr>
          <w:p>
            <w:pPr>
              <w:pStyle w:val="PRITableText"/>
              <w:keepLines/>
              <w:jc w:val="left"/>
            </w:pPr>
            <w:r/>
            <w:r>
              <w:rPr>
                <w:rFonts w:ascii="Times New Roman" w:hAnsi="Times New Roman" w:eastAsia="Times New Roman" w:cs="Times New Roman"/>
                <w:b w:val="0"/>
                <w:color w:val="1F1F1F"/>
                <w:sz w:val="14"/>
              </w:rPr>
              <w:t>18 samples; LOO</w:t>
            </w:r>
          </w:p>
        </w:tc>
        <w:tc>
          <w:tcPr>
            <w:tcW w:type="dxa" w:w="936"/>
            <w:shd w:fill="F5F5F5"/>
            <w:vAlign w:val="center"/>
          </w:tcPr>
          <w:p>
            <w:pPr>
              <w:pStyle w:val="PRITableText"/>
              <w:keepLines/>
              <w:jc w:val="left"/>
            </w:pPr>
            <w:r/>
            <w:r>
              <w:rPr>
                <w:rFonts w:ascii="Times New Roman" w:hAnsi="Times New Roman" w:eastAsia="Times New Roman" w:cs="Times New Roman"/>
                <w:b w:val="0"/>
                <w:color w:val="1F1F1F"/>
                <w:sz w:val="14"/>
              </w:rPr>
              <w:t>NMF</w:t>
            </w:r>
          </w:p>
        </w:tc>
        <w:tc>
          <w:tcPr>
            <w:tcW w:type="dxa" w:w="1007"/>
            <w:shd w:fill="F5F5F5"/>
            <w:vAlign w:val="center"/>
          </w:tcPr>
          <w:p>
            <w:pPr>
              <w:pStyle w:val="PRITableText"/>
              <w:keepLines/>
              <w:jc w:val="left"/>
            </w:pPr>
            <w:r/>
            <w:r>
              <w:rPr>
                <w:rFonts w:ascii="Times New Roman" w:hAnsi="Times New Roman" w:eastAsia="Times New Roman" w:cs="Times New Roman"/>
                <w:b w:val="0"/>
                <w:color w:val="1F1F1F"/>
                <w:sz w:val="14"/>
              </w:rPr>
              <w:t>Expr. (2k HVGs)</w:t>
            </w:r>
          </w:p>
        </w:tc>
        <w:tc>
          <w:tcPr>
            <w:tcW w:type="dxa" w:w="720"/>
            <w:shd w:fill="F5F5F5"/>
            <w:vAlign w:val="center"/>
          </w:tcPr>
          <w:p>
            <w:pPr>
              <w:pStyle w:val="PRITableText"/>
              <w:keepLines/>
              <w:jc w:val="center"/>
            </w:pPr>
            <w:r/>
            <w:r>
              <w:rPr>
                <w:rFonts w:ascii="Times New Roman" w:hAnsi="Times New Roman" w:eastAsia="Times New Roman" w:cs="Times New Roman"/>
                <w:b w:val="0"/>
                <w:color w:val="1F1F1F"/>
                <w:sz w:val="14"/>
              </w:rPr>
              <w:t>0.982</w:t>
            </w:r>
          </w:p>
        </w:tc>
        <w:tc>
          <w:tcPr>
            <w:tcW w:type="dxa" w:w="1641"/>
            <w:shd w:fill="F5F5F5"/>
            <w:vAlign w:val="center"/>
          </w:tcPr>
          <w:p>
            <w:pPr>
              <w:pStyle w:val="PRITableText"/>
              <w:keepLines/>
              <w:jc w:val="center"/>
            </w:pPr>
            <w:r/>
            <w:r>
              <w:rPr>
                <w:rFonts w:ascii="Times New Roman" w:hAnsi="Times New Roman" w:eastAsia="Times New Roman" w:cs="Times New Roman"/>
                <w:b w:val="0"/>
                <w:color w:val="1F1F1F"/>
                <w:sz w:val="14"/>
              </w:rPr>
              <w:t>+0.036 (+0.000, +0.156)</w:t>
            </w:r>
          </w:p>
        </w:tc>
        <w:tc>
          <w:tcPr>
            <w:tcW w:type="dxa" w:w="1915"/>
            <w:shd w:fill="F5F5F5"/>
            <w:vAlign w:val="center"/>
          </w:tcPr>
          <w:p>
            <w:pPr>
              <w:pStyle w:val="PRITableText"/>
              <w:keepLines/>
              <w:jc w:val="left"/>
            </w:pPr>
            <w:r/>
            <w:r>
              <w:rPr>
                <w:rFonts w:ascii="Times New Roman" w:hAnsi="Times New Roman" w:eastAsia="Times New Roman" w:cs="Times New Roman"/>
                <w:b w:val="0"/>
                <w:color w:val="1F1F1F"/>
                <w:sz w:val="14"/>
              </w:rPr>
              <w:t>primary</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4"/>
              </w:rPr>
              <w:t>GSE173706</w:t>
            </w:r>
          </w:p>
        </w:tc>
        <w:tc>
          <w:tcPr>
            <w:tcW w:type="dxa" w:w="1080"/>
            <w:vAlign w:val="center"/>
          </w:tcPr>
          <w:p>
            <w:pPr>
              <w:pStyle w:val="PRITableText"/>
              <w:keepLines/>
              <w:jc w:val="left"/>
            </w:pPr>
            <w:r/>
            <w:r>
              <w:rPr>
                <w:rFonts w:ascii="Times New Roman" w:hAnsi="Times New Roman" w:eastAsia="Times New Roman" w:cs="Times New Roman"/>
                <w:b w:val="0"/>
                <w:color w:val="1F1F1F"/>
                <w:sz w:val="14"/>
              </w:rPr>
              <w:t>11 donors; LODO</w:t>
            </w:r>
          </w:p>
        </w:tc>
        <w:tc>
          <w:tcPr>
            <w:tcW w:type="dxa" w:w="936"/>
            <w:vAlign w:val="center"/>
          </w:tcPr>
          <w:p>
            <w:pPr>
              <w:pStyle w:val="PRITableText"/>
              <w:keepLines/>
              <w:jc w:val="left"/>
            </w:pPr>
            <w:r/>
            <w:r>
              <w:rPr>
                <w:rFonts w:ascii="Times New Roman" w:hAnsi="Times New Roman" w:eastAsia="Times New Roman" w:cs="Times New Roman"/>
                <w:b w:val="0"/>
                <w:color w:val="1F1F1F"/>
                <w:sz w:val="14"/>
              </w:rPr>
              <w:t>PCA</w:t>
            </w:r>
          </w:p>
        </w:tc>
        <w:tc>
          <w:tcPr>
            <w:tcW w:type="dxa" w:w="1007"/>
            <w:vAlign w:val="center"/>
          </w:tcPr>
          <w:p>
            <w:pPr>
              <w:pStyle w:val="PRITableText"/>
              <w:keepLines/>
              <w:jc w:val="left"/>
            </w:pPr>
            <w:r/>
            <w:r>
              <w:rPr>
                <w:rFonts w:ascii="Times New Roman" w:hAnsi="Times New Roman" w:eastAsia="Times New Roman" w:cs="Times New Roman"/>
                <w:b w:val="0"/>
                <w:color w:val="1F1F1F"/>
                <w:sz w:val="14"/>
              </w:rPr>
              <w:t>Expr. (2k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4"/>
              </w:rPr>
              <w:t>1.0</w:t>
            </w:r>
          </w:p>
        </w:tc>
        <w:tc>
          <w:tcPr>
            <w:tcW w:type="dxa" w:w="1641"/>
            <w:vAlign w:val="center"/>
          </w:tcPr>
          <w:p>
            <w:pPr>
              <w:pStyle w:val="PRITableText"/>
              <w:keepLines/>
              <w:jc w:val="center"/>
            </w:pPr>
            <w:r/>
            <w:r>
              <w:rPr>
                <w:rFonts w:ascii="Times New Roman" w:hAnsi="Times New Roman" w:eastAsia="Times New Roman" w:cs="Times New Roman"/>
                <w:b w:val="0"/>
                <w:color w:val="1F1F1F"/>
                <w:sz w:val="14"/>
              </w:rPr>
              <w:t>+0.000 (+0.000, +0.000)</w:t>
            </w:r>
          </w:p>
        </w:tc>
        <w:tc>
          <w:tcPr>
            <w:tcW w:type="dxa" w:w="1915"/>
            <w:vAlign w:val="center"/>
          </w:tcPr>
          <w:p>
            <w:pPr>
              <w:pStyle w:val="PRITableText"/>
              <w:keepLines/>
              <w:jc w:val="left"/>
            </w:pPr>
            <w:r/>
            <w:r>
              <w:rPr>
                <w:rFonts w:ascii="Times New Roman" w:hAnsi="Times New Roman" w:eastAsia="Times New Roman" w:cs="Times New Roman"/>
                <w:b w:val="0"/>
                <w:color w:val="1F1F1F"/>
                <w:sz w:val="14"/>
              </w:rPr>
              <w:t>primary</w:t>
            </w:r>
          </w:p>
        </w:tc>
      </w:tr>
      <w:tr>
        <w:trPr>
          <w:trHeight w:hRule="atLeast"/>
          <w:cantSplit/>
        </w:trPr>
        <w:tc>
          <w:tcPr>
            <w:tcW w:type="dxa" w:w="1007"/>
            <w:shd w:fill="F5F5F5"/>
            <w:vAlign w:val="center"/>
          </w:tcPr>
          <w:p>
            <w:pPr>
              <w:pStyle w:val="PRITableText"/>
              <w:keepLines/>
              <w:jc w:val="center"/>
            </w:pPr>
            <w:r/>
            <w:r>
              <w:rPr>
                <w:rFonts w:ascii="Times New Roman" w:hAnsi="Times New Roman" w:eastAsia="Times New Roman" w:cs="Times New Roman"/>
                <w:b w:val="0"/>
                <w:color w:val="1F1F1F"/>
                <w:sz w:val="14"/>
              </w:rPr>
              <w:t>GSE173706</w:t>
            </w:r>
          </w:p>
        </w:tc>
        <w:tc>
          <w:tcPr>
            <w:tcW w:type="dxa" w:w="1080"/>
            <w:shd w:fill="F5F5F5"/>
            <w:vAlign w:val="center"/>
          </w:tcPr>
          <w:p>
            <w:pPr>
              <w:pStyle w:val="PRITableText"/>
              <w:keepLines/>
              <w:jc w:val="left"/>
            </w:pPr>
            <w:r/>
            <w:r>
              <w:rPr>
                <w:rFonts w:ascii="Times New Roman" w:hAnsi="Times New Roman" w:eastAsia="Times New Roman" w:cs="Times New Roman"/>
                <w:b w:val="0"/>
                <w:color w:val="1F1F1F"/>
                <w:sz w:val="14"/>
              </w:rPr>
              <w:t>11 donors; LODO</w:t>
            </w:r>
          </w:p>
        </w:tc>
        <w:tc>
          <w:tcPr>
            <w:tcW w:type="dxa" w:w="936"/>
            <w:shd w:fill="F5F5F5"/>
            <w:vAlign w:val="center"/>
          </w:tcPr>
          <w:p>
            <w:pPr>
              <w:pStyle w:val="PRITableText"/>
              <w:keepLines/>
              <w:jc w:val="left"/>
            </w:pPr>
            <w:r/>
            <w:r>
              <w:rPr>
                <w:rFonts w:ascii="Times New Roman" w:hAnsi="Times New Roman" w:eastAsia="Times New Roman" w:cs="Times New Roman"/>
                <w:b w:val="0"/>
                <w:color w:val="1F1F1F"/>
                <w:sz w:val="14"/>
              </w:rPr>
              <w:t>NMF</w:t>
            </w:r>
          </w:p>
        </w:tc>
        <w:tc>
          <w:tcPr>
            <w:tcW w:type="dxa" w:w="1007"/>
            <w:shd w:fill="F5F5F5"/>
            <w:vAlign w:val="center"/>
          </w:tcPr>
          <w:p>
            <w:pPr>
              <w:pStyle w:val="PRITableText"/>
              <w:keepLines/>
              <w:jc w:val="left"/>
            </w:pPr>
            <w:r/>
            <w:r>
              <w:rPr>
                <w:rFonts w:ascii="Times New Roman" w:hAnsi="Times New Roman" w:eastAsia="Times New Roman" w:cs="Times New Roman"/>
                <w:b w:val="0"/>
                <w:color w:val="1F1F1F"/>
                <w:sz w:val="14"/>
              </w:rPr>
              <w:t>Expr. (2k HVGs)</w:t>
            </w:r>
          </w:p>
        </w:tc>
        <w:tc>
          <w:tcPr>
            <w:tcW w:type="dxa" w:w="720"/>
            <w:shd w:fill="F5F5F5"/>
            <w:vAlign w:val="center"/>
          </w:tcPr>
          <w:p>
            <w:pPr>
              <w:pStyle w:val="PRITableText"/>
              <w:keepLines/>
              <w:jc w:val="center"/>
            </w:pPr>
            <w:r/>
            <w:r>
              <w:rPr>
                <w:rFonts w:ascii="Times New Roman" w:hAnsi="Times New Roman" w:eastAsia="Times New Roman" w:cs="Times New Roman"/>
                <w:b w:val="0"/>
                <w:color w:val="1F1F1F"/>
                <w:sz w:val="14"/>
              </w:rPr>
              <w:t>1.0</w:t>
            </w:r>
          </w:p>
        </w:tc>
        <w:tc>
          <w:tcPr>
            <w:tcW w:type="dxa" w:w="1641"/>
            <w:shd w:fill="F5F5F5"/>
            <w:vAlign w:val="center"/>
          </w:tcPr>
          <w:p>
            <w:pPr>
              <w:pStyle w:val="PRITableText"/>
              <w:keepLines/>
              <w:jc w:val="center"/>
            </w:pPr>
            <w:r/>
            <w:r>
              <w:rPr>
                <w:rFonts w:ascii="Times New Roman" w:hAnsi="Times New Roman" w:eastAsia="Times New Roman" w:cs="Times New Roman"/>
                <w:b w:val="0"/>
                <w:color w:val="1F1F1F"/>
                <w:sz w:val="14"/>
              </w:rPr>
              <w:t>+0.000 (+0.000, +0.000)</w:t>
            </w:r>
          </w:p>
        </w:tc>
        <w:tc>
          <w:tcPr>
            <w:tcW w:type="dxa" w:w="1915"/>
            <w:shd w:fill="F5F5F5"/>
            <w:vAlign w:val="center"/>
          </w:tcPr>
          <w:p>
            <w:pPr>
              <w:pStyle w:val="PRITableText"/>
              <w:keepLines/>
              <w:jc w:val="left"/>
            </w:pPr>
            <w:r/>
            <w:r>
              <w:rPr>
                <w:rFonts w:ascii="Times New Roman" w:hAnsi="Times New Roman" w:eastAsia="Times New Roman" w:cs="Times New Roman"/>
                <w:b w:val="0"/>
                <w:color w:val="1F1F1F"/>
                <w:sz w:val="14"/>
              </w:rPr>
              <w:t>primary</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4"/>
              </w:rPr>
              <w:t>GSE206391</w:t>
            </w:r>
          </w:p>
        </w:tc>
        <w:tc>
          <w:tcPr>
            <w:tcW w:type="dxa" w:w="1080"/>
            <w:vAlign w:val="center"/>
          </w:tcPr>
          <w:p>
            <w:pPr>
              <w:pStyle w:val="PRITableText"/>
              <w:keepLines/>
              <w:jc w:val="left"/>
            </w:pPr>
            <w:r/>
            <w:r>
              <w:rPr>
                <w:rFonts w:ascii="Times New Roman" w:hAnsi="Times New Roman" w:eastAsia="Times New Roman" w:cs="Times New Roman"/>
                <w:b w:val="0"/>
                <w:color w:val="1F1F1F"/>
                <w:sz w:val="14"/>
              </w:rPr>
              <w:t>12 patients; LODO</w:t>
            </w:r>
          </w:p>
        </w:tc>
        <w:tc>
          <w:tcPr>
            <w:tcW w:type="dxa" w:w="936"/>
            <w:vAlign w:val="center"/>
          </w:tcPr>
          <w:p>
            <w:pPr>
              <w:pStyle w:val="PRITableText"/>
              <w:keepLines/>
              <w:jc w:val="left"/>
            </w:pPr>
            <w:r/>
            <w:r>
              <w:rPr>
                <w:rFonts w:ascii="Times New Roman" w:hAnsi="Times New Roman" w:eastAsia="Times New Roman" w:cs="Times New Roman"/>
                <w:b w:val="0"/>
                <w:color w:val="1F1F1F"/>
                <w:sz w:val="14"/>
              </w:rPr>
              <w:t>PCA</w:t>
            </w:r>
          </w:p>
        </w:tc>
        <w:tc>
          <w:tcPr>
            <w:tcW w:type="dxa" w:w="1007"/>
            <w:vAlign w:val="center"/>
          </w:tcPr>
          <w:p>
            <w:pPr>
              <w:pStyle w:val="PRITableText"/>
              <w:keepLines/>
              <w:jc w:val="left"/>
            </w:pPr>
            <w:r/>
            <w:r>
              <w:rPr>
                <w:rFonts w:ascii="Times New Roman" w:hAnsi="Times New Roman" w:eastAsia="Times New Roman" w:cs="Times New Roman"/>
                <w:b w:val="0"/>
                <w:color w:val="1F1F1F"/>
                <w:sz w:val="14"/>
              </w:rPr>
              <w:t>Expr. (2k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4"/>
              </w:rPr>
              <w:t>0.91</w:t>
            </w:r>
          </w:p>
        </w:tc>
        <w:tc>
          <w:tcPr>
            <w:tcW w:type="dxa" w:w="1641"/>
            <w:vAlign w:val="center"/>
          </w:tcPr>
          <w:p>
            <w:pPr>
              <w:pStyle w:val="PRITableText"/>
              <w:keepLines/>
              <w:jc w:val="center"/>
            </w:pPr>
            <w:r/>
            <w:r>
              <w:rPr>
                <w:rFonts w:ascii="Times New Roman" w:hAnsi="Times New Roman" w:eastAsia="Times New Roman" w:cs="Times New Roman"/>
                <w:b w:val="0"/>
                <w:color w:val="1F1F1F"/>
                <w:sz w:val="14"/>
              </w:rPr>
              <w:t>+0.002 (-0.024, +0.038)</w:t>
            </w:r>
          </w:p>
        </w:tc>
        <w:tc>
          <w:tcPr>
            <w:tcW w:type="dxa" w:w="1915"/>
            <w:vAlign w:val="center"/>
          </w:tcPr>
          <w:p>
            <w:pPr>
              <w:pStyle w:val="PRITableText"/>
              <w:keepLines/>
              <w:jc w:val="left"/>
            </w:pPr>
            <w:r/>
            <w:r>
              <w:rPr>
                <w:rFonts w:ascii="Times New Roman" w:hAnsi="Times New Roman" w:eastAsia="Times New Roman" w:cs="Times New Roman"/>
                <w:b w:val="0"/>
                <w:color w:val="1F1F1F"/>
                <w:sz w:val="14"/>
              </w:rPr>
              <w:t>primary</w:t>
            </w:r>
          </w:p>
        </w:tc>
      </w:tr>
      <w:tr>
        <w:trPr>
          <w:trHeight w:hRule="atLeast"/>
          <w:cantSplit/>
        </w:trPr>
        <w:tc>
          <w:tcPr>
            <w:tcW w:type="dxa" w:w="1007"/>
            <w:shd w:fill="F5F5F5"/>
            <w:vAlign w:val="center"/>
          </w:tcPr>
          <w:p>
            <w:pPr>
              <w:pStyle w:val="PRITableText"/>
              <w:keepLines/>
              <w:jc w:val="center"/>
            </w:pPr>
            <w:r/>
            <w:r>
              <w:rPr>
                <w:rFonts w:ascii="Times New Roman" w:hAnsi="Times New Roman" w:eastAsia="Times New Roman" w:cs="Times New Roman"/>
                <w:b w:val="0"/>
                <w:color w:val="1F1F1F"/>
                <w:sz w:val="14"/>
              </w:rPr>
              <w:t>GSE206391</w:t>
            </w:r>
          </w:p>
        </w:tc>
        <w:tc>
          <w:tcPr>
            <w:tcW w:type="dxa" w:w="1080"/>
            <w:shd w:fill="F5F5F5"/>
            <w:vAlign w:val="center"/>
          </w:tcPr>
          <w:p>
            <w:pPr>
              <w:pStyle w:val="PRITableText"/>
              <w:keepLines/>
              <w:jc w:val="left"/>
            </w:pPr>
            <w:r/>
            <w:r>
              <w:rPr>
                <w:rFonts w:ascii="Times New Roman" w:hAnsi="Times New Roman" w:eastAsia="Times New Roman" w:cs="Times New Roman"/>
                <w:b w:val="0"/>
                <w:color w:val="1F1F1F"/>
                <w:sz w:val="14"/>
              </w:rPr>
              <w:t>12 patients; LODO</w:t>
            </w:r>
          </w:p>
        </w:tc>
        <w:tc>
          <w:tcPr>
            <w:tcW w:type="dxa" w:w="936"/>
            <w:shd w:fill="F5F5F5"/>
            <w:vAlign w:val="center"/>
          </w:tcPr>
          <w:p>
            <w:pPr>
              <w:pStyle w:val="PRITableText"/>
              <w:keepLines/>
              <w:jc w:val="left"/>
            </w:pPr>
            <w:r/>
            <w:r>
              <w:rPr>
                <w:rFonts w:ascii="Times New Roman" w:hAnsi="Times New Roman" w:eastAsia="Times New Roman" w:cs="Times New Roman"/>
                <w:b w:val="0"/>
                <w:color w:val="1F1F1F"/>
                <w:sz w:val="14"/>
              </w:rPr>
              <w:t>NMF</w:t>
            </w:r>
          </w:p>
        </w:tc>
        <w:tc>
          <w:tcPr>
            <w:tcW w:type="dxa" w:w="1007"/>
            <w:shd w:fill="F5F5F5"/>
            <w:vAlign w:val="center"/>
          </w:tcPr>
          <w:p>
            <w:pPr>
              <w:pStyle w:val="PRITableText"/>
              <w:keepLines/>
              <w:jc w:val="left"/>
            </w:pPr>
            <w:r/>
            <w:r>
              <w:rPr>
                <w:rFonts w:ascii="Times New Roman" w:hAnsi="Times New Roman" w:eastAsia="Times New Roman" w:cs="Times New Roman"/>
                <w:b w:val="0"/>
                <w:color w:val="1F1F1F"/>
                <w:sz w:val="14"/>
              </w:rPr>
              <w:t>Expr. (2k HVGs)</w:t>
            </w:r>
          </w:p>
        </w:tc>
        <w:tc>
          <w:tcPr>
            <w:tcW w:type="dxa" w:w="720"/>
            <w:shd w:fill="F5F5F5"/>
            <w:vAlign w:val="center"/>
          </w:tcPr>
          <w:p>
            <w:pPr>
              <w:pStyle w:val="PRITableText"/>
              <w:keepLines/>
              <w:jc w:val="center"/>
            </w:pPr>
            <w:r/>
            <w:r>
              <w:rPr>
                <w:rFonts w:ascii="Times New Roman" w:hAnsi="Times New Roman" w:eastAsia="Times New Roman" w:cs="Times New Roman"/>
                <w:b w:val="0"/>
                <w:color w:val="1F1F1F"/>
                <w:sz w:val="14"/>
              </w:rPr>
              <w:t>0.872</w:t>
            </w:r>
          </w:p>
        </w:tc>
        <w:tc>
          <w:tcPr>
            <w:tcW w:type="dxa" w:w="1641"/>
            <w:shd w:fill="F5F5F5"/>
            <w:vAlign w:val="center"/>
          </w:tcPr>
          <w:p>
            <w:pPr>
              <w:pStyle w:val="PRITableText"/>
              <w:keepLines/>
              <w:jc w:val="center"/>
            </w:pPr>
            <w:r/>
            <w:r>
              <w:rPr>
                <w:rFonts w:ascii="Times New Roman" w:hAnsi="Times New Roman" w:eastAsia="Times New Roman" w:cs="Times New Roman"/>
                <w:b w:val="0"/>
                <w:color w:val="1F1F1F"/>
                <w:sz w:val="14"/>
              </w:rPr>
              <w:t>-0.036 (-0.099, +0.003)</w:t>
            </w:r>
          </w:p>
        </w:tc>
        <w:tc>
          <w:tcPr>
            <w:tcW w:type="dxa" w:w="1915"/>
            <w:shd w:fill="F5F5F5"/>
            <w:vAlign w:val="center"/>
          </w:tcPr>
          <w:p>
            <w:pPr>
              <w:pStyle w:val="PRITableText"/>
              <w:keepLines/>
              <w:jc w:val="left"/>
            </w:pPr>
            <w:r/>
            <w:r>
              <w:rPr>
                <w:rFonts w:ascii="Times New Roman" w:hAnsi="Times New Roman" w:eastAsia="Times New Roman" w:cs="Times New Roman"/>
                <w:b w:val="0"/>
                <w:color w:val="1F1F1F"/>
                <w:sz w:val="14"/>
              </w:rPr>
              <w:t>primary</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4"/>
              </w:rPr>
              <w:t>GSE47751</w:t>
            </w:r>
          </w:p>
        </w:tc>
        <w:tc>
          <w:tcPr>
            <w:tcW w:type="dxa" w:w="1080"/>
            <w:vAlign w:val="center"/>
          </w:tcPr>
          <w:p>
            <w:pPr>
              <w:pStyle w:val="PRITableText"/>
              <w:keepLines/>
              <w:jc w:val="left"/>
            </w:pPr>
            <w:r/>
            <w:r>
              <w:rPr>
                <w:rFonts w:ascii="Times New Roman" w:hAnsi="Times New Roman" w:eastAsia="Times New Roman" w:cs="Times New Roman"/>
                <w:b w:val="0"/>
                <w:color w:val="1F1F1F"/>
                <w:sz w:val="14"/>
              </w:rPr>
              <w:t>6 pairs; LOO</w:t>
            </w:r>
          </w:p>
        </w:tc>
        <w:tc>
          <w:tcPr>
            <w:tcW w:type="dxa" w:w="936"/>
            <w:vAlign w:val="center"/>
          </w:tcPr>
          <w:p>
            <w:pPr>
              <w:pStyle w:val="PRITableText"/>
              <w:keepLines/>
              <w:jc w:val="left"/>
            </w:pPr>
            <w:r/>
            <w:r>
              <w:rPr>
                <w:rFonts w:ascii="Times New Roman" w:hAnsi="Times New Roman" w:eastAsia="Times New Roman" w:cs="Times New Roman"/>
                <w:b w:val="0"/>
                <w:color w:val="1F1F1F"/>
                <w:sz w:val="14"/>
              </w:rPr>
              <w:t>PCA</w:t>
            </w:r>
          </w:p>
        </w:tc>
        <w:tc>
          <w:tcPr>
            <w:tcW w:type="dxa" w:w="1007"/>
            <w:vAlign w:val="center"/>
          </w:tcPr>
          <w:p>
            <w:pPr>
              <w:pStyle w:val="PRITableText"/>
              <w:keepLines/>
              <w:jc w:val="left"/>
            </w:pPr>
            <w:r/>
            <w:r>
              <w:rPr>
                <w:rFonts w:ascii="Times New Roman" w:hAnsi="Times New Roman" w:eastAsia="Times New Roman" w:cs="Times New Roman"/>
                <w:b w:val="0"/>
                <w:color w:val="1F1F1F"/>
                <w:sz w:val="14"/>
              </w:rPr>
              <w:t>Expr. (2k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4"/>
              </w:rPr>
              <w:t>1.0</w:t>
            </w:r>
          </w:p>
        </w:tc>
        <w:tc>
          <w:tcPr>
            <w:tcW w:type="dxa" w:w="1641"/>
            <w:vAlign w:val="center"/>
          </w:tcPr>
          <w:p>
            <w:pPr>
              <w:pStyle w:val="PRITableText"/>
              <w:keepLines/>
              <w:jc w:val="center"/>
            </w:pPr>
            <w:r/>
            <w:r>
              <w:rPr>
                <w:rFonts w:ascii="Times New Roman" w:hAnsi="Times New Roman" w:eastAsia="Times New Roman" w:cs="Times New Roman"/>
                <w:b w:val="0"/>
                <w:color w:val="1F1F1F"/>
                <w:sz w:val="14"/>
              </w:rPr>
              <w:t>+0.000 (+0.000, +0.000)</w:t>
            </w:r>
          </w:p>
        </w:tc>
        <w:tc>
          <w:tcPr>
            <w:tcW w:type="dxa" w:w="1915"/>
            <w:vAlign w:val="center"/>
          </w:tcPr>
          <w:p>
            <w:pPr>
              <w:pStyle w:val="PRITableText"/>
              <w:keepLines/>
              <w:jc w:val="left"/>
            </w:pPr>
            <w:r/>
            <w:r>
              <w:rPr>
                <w:rFonts w:ascii="Times New Roman" w:hAnsi="Times New Roman" w:eastAsia="Times New Roman" w:cs="Times New Roman"/>
                <w:b w:val="0"/>
                <w:color w:val="1F1F1F"/>
                <w:sz w:val="14"/>
              </w:rPr>
              <w:t>external bulk boundary; saturated</w:t>
            </w:r>
          </w:p>
        </w:tc>
      </w:tr>
      <w:tr>
        <w:trPr>
          <w:trHeight w:hRule="atLeast"/>
          <w:cantSplit/>
        </w:trPr>
        <w:tc>
          <w:tcPr>
            <w:tcW w:type="dxa" w:w="1007"/>
            <w:shd w:fill="F5F5F5"/>
            <w:vAlign w:val="center"/>
          </w:tcPr>
          <w:p>
            <w:pPr>
              <w:pStyle w:val="PRITableText"/>
              <w:keepLines/>
              <w:jc w:val="center"/>
            </w:pPr>
            <w:r/>
            <w:r>
              <w:rPr>
                <w:rFonts w:ascii="Times New Roman" w:hAnsi="Times New Roman" w:eastAsia="Times New Roman" w:cs="Times New Roman"/>
                <w:b w:val="0"/>
                <w:color w:val="1F1F1F"/>
                <w:sz w:val="14"/>
              </w:rPr>
              <w:t>GSE206391</w:t>
            </w:r>
          </w:p>
        </w:tc>
        <w:tc>
          <w:tcPr>
            <w:tcW w:type="dxa" w:w="1080"/>
            <w:shd w:fill="F5F5F5"/>
            <w:vAlign w:val="center"/>
          </w:tcPr>
          <w:p>
            <w:pPr>
              <w:pStyle w:val="PRITableText"/>
              <w:keepLines/>
              <w:jc w:val="left"/>
            </w:pPr>
            <w:r/>
            <w:r>
              <w:rPr>
                <w:rFonts w:ascii="Times New Roman" w:hAnsi="Times New Roman" w:eastAsia="Times New Roman" w:cs="Times New Roman"/>
                <w:b w:val="0"/>
                <w:color w:val="1F1F1F"/>
                <w:sz w:val="14"/>
              </w:rPr>
              <w:t>12 patients; LODO</w:t>
            </w:r>
          </w:p>
        </w:tc>
        <w:tc>
          <w:tcPr>
            <w:tcW w:type="dxa" w:w="936"/>
            <w:shd w:fill="F5F5F5"/>
            <w:vAlign w:val="center"/>
          </w:tcPr>
          <w:p>
            <w:pPr>
              <w:pStyle w:val="PRITableText"/>
              <w:keepLines/>
              <w:jc w:val="left"/>
            </w:pPr>
            <w:r/>
            <w:r>
              <w:rPr>
                <w:rFonts w:ascii="Times New Roman" w:hAnsi="Times New Roman" w:eastAsia="Times New Roman" w:cs="Times New Roman"/>
                <w:b w:val="0"/>
                <w:color w:val="1F1F1F"/>
                <w:sz w:val="14"/>
              </w:rPr>
              <w:t>Spatial graph (1,000)</w:t>
            </w:r>
          </w:p>
        </w:tc>
        <w:tc>
          <w:tcPr>
            <w:tcW w:type="dxa" w:w="1007"/>
            <w:shd w:fill="F5F5F5"/>
            <w:vAlign w:val="center"/>
          </w:tcPr>
          <w:p>
            <w:pPr>
              <w:pStyle w:val="PRITableText"/>
              <w:keepLines/>
              <w:jc w:val="left"/>
            </w:pPr>
            <w:r/>
            <w:r>
              <w:rPr>
                <w:rFonts w:ascii="Times New Roman" w:hAnsi="Times New Roman" w:eastAsia="Times New Roman" w:cs="Times New Roman"/>
                <w:b w:val="0"/>
                <w:color w:val="1F1F1F"/>
                <w:sz w:val="14"/>
              </w:rPr>
              <w:t>Expr. (1k HVGs)</w:t>
            </w:r>
          </w:p>
        </w:tc>
        <w:tc>
          <w:tcPr>
            <w:tcW w:type="dxa" w:w="720"/>
            <w:shd w:fill="F5F5F5"/>
            <w:vAlign w:val="center"/>
          </w:tcPr>
          <w:p>
            <w:pPr>
              <w:pStyle w:val="PRITableText"/>
              <w:keepLines/>
              <w:jc w:val="center"/>
            </w:pPr>
            <w:r/>
            <w:r>
              <w:rPr>
                <w:rFonts w:ascii="Times New Roman" w:hAnsi="Times New Roman" w:eastAsia="Times New Roman" w:cs="Times New Roman"/>
                <w:b w:val="0"/>
                <w:color w:val="1F1F1F"/>
                <w:sz w:val="14"/>
              </w:rPr>
              <w:t>0.87</w:t>
            </w:r>
          </w:p>
        </w:tc>
        <w:tc>
          <w:tcPr>
            <w:tcW w:type="dxa" w:w="1641"/>
            <w:shd w:fill="F5F5F5"/>
            <w:vAlign w:val="center"/>
          </w:tcPr>
          <w:p>
            <w:pPr>
              <w:pStyle w:val="PRITableText"/>
              <w:keepLines/>
              <w:jc w:val="center"/>
            </w:pPr>
            <w:r/>
            <w:r>
              <w:rPr>
                <w:rFonts w:ascii="Times New Roman" w:hAnsi="Times New Roman" w:eastAsia="Times New Roman" w:cs="Times New Roman"/>
                <w:b w:val="0"/>
                <w:color w:val="1F1F1F"/>
                <w:sz w:val="14"/>
              </w:rPr>
              <w:t>-0.021 (-0.087, +0.038)</w:t>
            </w:r>
          </w:p>
        </w:tc>
        <w:tc>
          <w:tcPr>
            <w:tcW w:type="dxa" w:w="1915"/>
            <w:shd w:fill="F5F5F5"/>
            <w:vAlign w:val="center"/>
          </w:tcPr>
          <w:p>
            <w:pPr>
              <w:pStyle w:val="PRITableText"/>
              <w:keepLines/>
              <w:jc w:val="left"/>
            </w:pPr>
            <w:r/>
            <w:r>
              <w:rPr>
                <w:rFonts w:ascii="Times New Roman" w:hAnsi="Times New Roman" w:eastAsia="Times New Roman" w:cs="Times New Roman"/>
                <w:b w:val="0"/>
                <w:color w:val="1F1F1F"/>
                <w:sz w:val="14"/>
              </w:rPr>
              <w:t>primary spatial test</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4"/>
              </w:rPr>
              <w:t>GSE206391</w:t>
            </w:r>
          </w:p>
        </w:tc>
        <w:tc>
          <w:tcPr>
            <w:tcW w:type="dxa" w:w="1080"/>
            <w:vAlign w:val="center"/>
          </w:tcPr>
          <w:p>
            <w:pPr>
              <w:pStyle w:val="PRITableText"/>
              <w:keepLines/>
              <w:jc w:val="left"/>
            </w:pPr>
            <w:r/>
            <w:r>
              <w:rPr>
                <w:rFonts w:ascii="Times New Roman" w:hAnsi="Times New Roman" w:eastAsia="Times New Roman" w:cs="Times New Roman"/>
                <w:b w:val="0"/>
                <w:color w:val="1F1F1F"/>
                <w:sz w:val="14"/>
              </w:rPr>
              <w:t>12 patients; LODO</w:t>
            </w:r>
          </w:p>
        </w:tc>
        <w:tc>
          <w:tcPr>
            <w:tcW w:type="dxa" w:w="936"/>
            <w:vAlign w:val="center"/>
          </w:tcPr>
          <w:p>
            <w:pPr>
              <w:pStyle w:val="PRITableText"/>
              <w:keepLines/>
              <w:jc w:val="left"/>
            </w:pPr>
            <w:r/>
            <w:r>
              <w:rPr>
                <w:rFonts w:ascii="Times New Roman" w:hAnsi="Times New Roman" w:eastAsia="Times New Roman" w:cs="Times New Roman"/>
                <w:b w:val="0"/>
                <w:color w:val="1F1F1F"/>
                <w:sz w:val="14"/>
              </w:rPr>
              <w:t>Expression + spatial (1,500)</w:t>
            </w:r>
          </w:p>
        </w:tc>
        <w:tc>
          <w:tcPr>
            <w:tcW w:type="dxa" w:w="1007"/>
            <w:vAlign w:val="center"/>
          </w:tcPr>
          <w:p>
            <w:pPr>
              <w:pStyle w:val="PRITableText"/>
              <w:keepLines/>
              <w:jc w:val="left"/>
            </w:pPr>
            <w:r/>
            <w:r>
              <w:rPr>
                <w:rFonts w:ascii="Times New Roman" w:hAnsi="Times New Roman" w:eastAsia="Times New Roman" w:cs="Times New Roman"/>
                <w:b w:val="0"/>
                <w:color w:val="1F1F1F"/>
                <w:sz w:val="14"/>
              </w:rPr>
              <w:t>Expr. (1.5k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4"/>
              </w:rPr>
              <w:t>0.875</w:t>
            </w:r>
          </w:p>
        </w:tc>
        <w:tc>
          <w:tcPr>
            <w:tcW w:type="dxa" w:w="1641"/>
            <w:vAlign w:val="center"/>
          </w:tcPr>
          <w:p>
            <w:pPr>
              <w:pStyle w:val="PRITableText"/>
              <w:keepLines/>
              <w:jc w:val="center"/>
            </w:pPr>
            <w:r/>
            <w:r>
              <w:rPr>
                <w:rFonts w:ascii="Times New Roman" w:hAnsi="Times New Roman" w:eastAsia="Times New Roman" w:cs="Times New Roman"/>
                <w:b w:val="0"/>
                <w:color w:val="1F1F1F"/>
                <w:sz w:val="14"/>
              </w:rPr>
              <w:t>-0.026 (-0.073, +0.014)</w:t>
            </w:r>
          </w:p>
        </w:tc>
        <w:tc>
          <w:tcPr>
            <w:tcW w:type="dxa" w:w="1915"/>
            <w:vAlign w:val="center"/>
          </w:tcPr>
          <w:p>
            <w:pPr>
              <w:pStyle w:val="PRITableText"/>
              <w:keepLines/>
              <w:jc w:val="left"/>
            </w:pPr>
            <w:r/>
            <w:r>
              <w:rPr>
                <w:rFonts w:ascii="Times New Roman" w:hAnsi="Times New Roman" w:eastAsia="Times New Roman" w:cs="Times New Roman"/>
                <w:b w:val="0"/>
                <w:color w:val="1F1F1F"/>
                <w:sz w:val="14"/>
              </w:rPr>
              <w:t>primary spatial test</w:t>
            </w:r>
          </w:p>
        </w:tc>
      </w:tr>
      <w:tr>
        <w:trPr>
          <w:trHeight w:hRule="atLeast"/>
          <w:cantSplit/>
        </w:trPr>
        <w:tc>
          <w:tcPr>
            <w:tcW w:type="dxa" w:w="1007"/>
            <w:shd w:fill="F5F5F5"/>
            <w:vAlign w:val="center"/>
          </w:tcPr>
          <w:p>
            <w:pPr>
              <w:pStyle w:val="PRITableText"/>
              <w:keepLines/>
              <w:jc w:val="center"/>
            </w:pPr>
            <w:r/>
            <w:r>
              <w:rPr>
                <w:rFonts w:ascii="Times New Roman" w:hAnsi="Times New Roman" w:eastAsia="Times New Roman" w:cs="Times New Roman"/>
                <w:b w:val="0"/>
                <w:color w:val="1F1F1F"/>
                <w:sz w:val="14"/>
              </w:rPr>
              <w:t>GSE202011</w:t>
            </w:r>
          </w:p>
        </w:tc>
        <w:tc>
          <w:tcPr>
            <w:tcW w:type="dxa" w:w="1080"/>
            <w:shd w:fill="F5F5F5"/>
            <w:vAlign w:val="center"/>
          </w:tcPr>
          <w:p>
            <w:pPr>
              <w:pStyle w:val="PRITableText"/>
              <w:keepLines/>
              <w:jc w:val="left"/>
            </w:pPr>
            <w:r/>
            <w:r>
              <w:rPr>
                <w:rFonts w:ascii="Times New Roman" w:hAnsi="Times New Roman" w:eastAsia="Times New Roman" w:cs="Times New Roman"/>
                <w:b w:val="0"/>
                <w:color w:val="1F1F1F"/>
                <w:sz w:val="14"/>
              </w:rPr>
              <w:t>5 patients; LOO</w:t>
            </w:r>
          </w:p>
        </w:tc>
        <w:tc>
          <w:tcPr>
            <w:tcW w:type="dxa" w:w="936"/>
            <w:shd w:fill="F5F5F5"/>
            <w:vAlign w:val="center"/>
          </w:tcPr>
          <w:p>
            <w:pPr>
              <w:pStyle w:val="PRITableText"/>
              <w:keepLines/>
              <w:jc w:val="left"/>
            </w:pPr>
            <w:r/>
            <w:r>
              <w:rPr>
                <w:rFonts w:ascii="Times New Roman" w:hAnsi="Times New Roman" w:eastAsia="Times New Roman" w:cs="Times New Roman"/>
                <w:b w:val="0"/>
                <w:color w:val="1F1F1F"/>
                <w:sz w:val="14"/>
              </w:rPr>
              <w:t>PCA</w:t>
            </w:r>
          </w:p>
        </w:tc>
        <w:tc>
          <w:tcPr>
            <w:tcW w:type="dxa" w:w="1007"/>
            <w:shd w:fill="F5F5F5"/>
            <w:vAlign w:val="center"/>
          </w:tcPr>
          <w:p>
            <w:pPr>
              <w:pStyle w:val="PRITableText"/>
              <w:keepLines/>
              <w:jc w:val="left"/>
            </w:pPr>
            <w:r/>
            <w:r>
              <w:rPr>
                <w:rFonts w:ascii="Times New Roman" w:hAnsi="Times New Roman" w:eastAsia="Times New Roman" w:cs="Times New Roman"/>
                <w:b w:val="0"/>
                <w:color w:val="1F1F1F"/>
                <w:sz w:val="14"/>
              </w:rPr>
              <w:t>Expr. (2k HVGs)</w:t>
            </w:r>
          </w:p>
        </w:tc>
        <w:tc>
          <w:tcPr>
            <w:tcW w:type="dxa" w:w="720"/>
            <w:shd w:fill="F5F5F5"/>
            <w:vAlign w:val="center"/>
          </w:tcPr>
          <w:p>
            <w:pPr>
              <w:pStyle w:val="PRITableText"/>
              <w:keepLines/>
              <w:jc w:val="center"/>
            </w:pPr>
            <w:r/>
            <w:r>
              <w:rPr>
                <w:rFonts w:ascii="Times New Roman" w:hAnsi="Times New Roman" w:eastAsia="Times New Roman" w:cs="Times New Roman"/>
                <w:b w:val="0"/>
                <w:color w:val="1F1F1F"/>
                <w:sz w:val="14"/>
              </w:rPr>
              <w:t>1.0</w:t>
            </w:r>
          </w:p>
        </w:tc>
        <w:tc>
          <w:tcPr>
            <w:tcW w:type="dxa" w:w="1641"/>
            <w:shd w:fill="F5F5F5"/>
            <w:vAlign w:val="center"/>
          </w:tcPr>
          <w:p>
            <w:pPr>
              <w:pStyle w:val="PRITableText"/>
              <w:keepLines/>
              <w:jc w:val="center"/>
            </w:pPr>
            <w:r/>
            <w:r>
              <w:rPr>
                <w:rFonts w:ascii="Times New Roman" w:hAnsi="Times New Roman" w:eastAsia="Times New Roman" w:cs="Times New Roman"/>
                <w:b w:val="0"/>
                <w:color w:val="1F1F1F"/>
                <w:sz w:val="14"/>
              </w:rPr>
              <w:t>+0.000 (+0.000, +0.000)</w:t>
            </w:r>
          </w:p>
        </w:tc>
        <w:tc>
          <w:tcPr>
            <w:tcW w:type="dxa" w:w="1915"/>
            <w:shd w:fill="F5F5F5"/>
            <w:vAlign w:val="center"/>
          </w:tcPr>
          <w:p>
            <w:pPr>
              <w:pStyle w:val="PRITableText"/>
              <w:keepLines/>
              <w:jc w:val="left"/>
            </w:pPr>
            <w:r/>
            <w:r>
              <w:rPr>
                <w:rFonts w:ascii="Times New Roman" w:hAnsi="Times New Roman" w:eastAsia="Times New Roman" w:cs="Times New Roman"/>
                <w:b w:val="0"/>
                <w:color w:val="1F1F1F"/>
                <w:sz w:val="14"/>
              </w:rPr>
              <w:t>external high-resolution expression/PCA boundary</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4"/>
              </w:rPr>
              <w:t>GSE206391</w:t>
            </w:r>
          </w:p>
        </w:tc>
        <w:tc>
          <w:tcPr>
            <w:tcW w:type="dxa" w:w="1080"/>
            <w:vAlign w:val="center"/>
          </w:tcPr>
          <w:p>
            <w:pPr>
              <w:pStyle w:val="PRITableText"/>
              <w:keepLines/>
              <w:jc w:val="left"/>
            </w:pPr>
            <w:r/>
            <w:r>
              <w:rPr>
                <w:rFonts w:ascii="Times New Roman" w:hAnsi="Times New Roman" w:eastAsia="Times New Roman" w:cs="Times New Roman"/>
                <w:b w:val="0"/>
                <w:color w:val="1F1F1F"/>
                <w:sz w:val="14"/>
              </w:rPr>
              <w:t>12 patients; LODO</w:t>
            </w:r>
          </w:p>
        </w:tc>
        <w:tc>
          <w:tcPr>
            <w:tcW w:type="dxa" w:w="936"/>
            <w:vAlign w:val="center"/>
          </w:tcPr>
          <w:p>
            <w:pPr>
              <w:pStyle w:val="PRITableText"/>
              <w:keepLines/>
              <w:jc w:val="left"/>
            </w:pPr>
            <w:r/>
            <w:r>
              <w:rPr>
                <w:rFonts w:ascii="Times New Roman" w:hAnsi="Times New Roman" w:eastAsia="Times New Roman" w:cs="Times New Roman"/>
                <w:b w:val="0"/>
                <w:color w:val="1F1F1F"/>
                <w:sz w:val="14"/>
              </w:rPr>
              <w:t>Fold-local spot topics (8)</w:t>
            </w:r>
          </w:p>
        </w:tc>
        <w:tc>
          <w:tcPr>
            <w:tcW w:type="dxa" w:w="1007"/>
            <w:vAlign w:val="center"/>
          </w:tcPr>
          <w:p>
            <w:pPr>
              <w:pStyle w:val="PRITableText"/>
              <w:keepLines/>
              <w:jc w:val="left"/>
            </w:pPr>
            <w:r/>
            <w:r>
              <w:rPr>
                <w:rFonts w:ascii="Times New Roman" w:hAnsi="Times New Roman" w:eastAsia="Times New Roman" w:cs="Times New Roman"/>
                <w:b w:val="0"/>
                <w:color w:val="1F1F1F"/>
                <w:sz w:val="14"/>
              </w:rPr>
              <w:t>Expr. PCA (8)</w:t>
            </w:r>
          </w:p>
        </w:tc>
        <w:tc>
          <w:tcPr>
            <w:tcW w:type="dxa" w:w="720"/>
            <w:vAlign w:val="center"/>
          </w:tcPr>
          <w:p>
            <w:pPr>
              <w:pStyle w:val="PRITableText"/>
              <w:keepLines/>
              <w:jc w:val="center"/>
            </w:pPr>
            <w:r/>
            <w:r>
              <w:rPr>
                <w:rFonts w:ascii="Times New Roman" w:hAnsi="Times New Roman" w:eastAsia="Times New Roman" w:cs="Times New Roman"/>
                <w:b w:val="0"/>
                <w:color w:val="1F1F1F"/>
                <w:sz w:val="14"/>
              </w:rPr>
              <w:t>0.804</w:t>
            </w:r>
          </w:p>
        </w:tc>
        <w:tc>
          <w:tcPr>
            <w:tcW w:type="dxa" w:w="1641"/>
            <w:vAlign w:val="center"/>
          </w:tcPr>
          <w:p>
            <w:pPr>
              <w:pStyle w:val="PRITableText"/>
              <w:keepLines/>
              <w:jc w:val="center"/>
            </w:pPr>
            <w:r/>
            <w:r>
              <w:rPr>
                <w:rFonts w:ascii="Times New Roman" w:hAnsi="Times New Roman" w:eastAsia="Times New Roman" w:cs="Times New Roman"/>
                <w:b w:val="0"/>
                <w:color w:val="1F1F1F"/>
                <w:sz w:val="14"/>
              </w:rPr>
              <w:t>-0.089 (-0.186, +0.000)</w:t>
            </w:r>
          </w:p>
        </w:tc>
        <w:tc>
          <w:tcPr>
            <w:tcW w:type="dxa" w:w="1915"/>
            <w:vAlign w:val="center"/>
          </w:tcPr>
          <w:p>
            <w:pPr>
              <w:pStyle w:val="PRITableText"/>
              <w:keepLines/>
              <w:jc w:val="left"/>
            </w:pPr>
            <w:r/>
            <w:r>
              <w:rPr>
                <w:rFonts w:ascii="Times New Roman" w:hAnsi="Times New Roman" w:eastAsia="Times New Roman" w:cs="Times New Roman"/>
                <w:b w:val="0"/>
                <w:color w:val="1F1F1F"/>
                <w:sz w:val="14"/>
              </w:rPr>
              <w:t>v22 fold-local high-resolution comparator</w:t>
            </w:r>
          </w:p>
        </w:tc>
      </w:tr>
      <w:tr>
        <w:trPr>
          <w:trHeight w:hRule="atLeast"/>
          <w:cantSplit/>
        </w:trPr>
        <w:tc>
          <w:tcPr>
            <w:tcW w:type="dxa" w:w="1007"/>
            <w:shd w:fill="F5F5F5"/>
            <w:vAlign w:val="center"/>
          </w:tcPr>
          <w:p>
            <w:pPr>
              <w:pStyle w:val="PRITableText"/>
              <w:keepLines/>
              <w:jc w:val="center"/>
            </w:pPr>
            <w:r/>
            <w:r>
              <w:rPr>
                <w:rFonts w:ascii="Times New Roman" w:hAnsi="Times New Roman" w:eastAsia="Times New Roman" w:cs="Times New Roman"/>
                <w:b w:val="0"/>
                <w:color w:val="1F1F1F"/>
                <w:sz w:val="14"/>
              </w:rPr>
              <w:t>GSE206391</w:t>
            </w:r>
          </w:p>
        </w:tc>
        <w:tc>
          <w:tcPr>
            <w:tcW w:type="dxa" w:w="1080"/>
            <w:shd w:fill="F5F5F5"/>
            <w:vAlign w:val="center"/>
          </w:tcPr>
          <w:p>
            <w:pPr>
              <w:pStyle w:val="PRITableText"/>
              <w:keepLines/>
              <w:jc w:val="left"/>
            </w:pPr>
            <w:r/>
            <w:r>
              <w:rPr>
                <w:rFonts w:ascii="Times New Roman" w:hAnsi="Times New Roman" w:eastAsia="Times New Roman" w:cs="Times New Roman"/>
                <w:b w:val="0"/>
                <w:color w:val="1F1F1F"/>
                <w:sz w:val="14"/>
              </w:rPr>
              <w:t>12 patients; LODO</w:t>
            </w:r>
          </w:p>
        </w:tc>
        <w:tc>
          <w:tcPr>
            <w:tcW w:type="dxa" w:w="936"/>
            <w:shd w:fill="F5F5F5"/>
            <w:vAlign w:val="center"/>
          </w:tcPr>
          <w:p>
            <w:pPr>
              <w:pStyle w:val="PRITableText"/>
              <w:keepLines/>
              <w:jc w:val="left"/>
            </w:pPr>
            <w:r/>
            <w:r>
              <w:rPr>
                <w:rFonts w:ascii="Times New Roman" w:hAnsi="Times New Roman" w:eastAsia="Times New Roman" w:cs="Times New Roman"/>
                <w:b w:val="0"/>
                <w:color w:val="1F1F1F"/>
                <w:sz w:val="14"/>
              </w:rPr>
              <w:t>Expression + spot topics (16)</w:t>
            </w:r>
          </w:p>
        </w:tc>
        <w:tc>
          <w:tcPr>
            <w:tcW w:type="dxa" w:w="1007"/>
            <w:shd w:fill="F5F5F5"/>
            <w:vAlign w:val="center"/>
          </w:tcPr>
          <w:p>
            <w:pPr>
              <w:pStyle w:val="PRITableText"/>
              <w:keepLines/>
              <w:jc w:val="left"/>
            </w:pPr>
            <w:r/>
            <w:r>
              <w:rPr>
                <w:rFonts w:ascii="Times New Roman" w:hAnsi="Times New Roman" w:eastAsia="Times New Roman" w:cs="Times New Roman"/>
                <w:b w:val="0"/>
                <w:color w:val="1F1F1F"/>
                <w:sz w:val="14"/>
              </w:rPr>
              <w:t>Expr. PCA (16)</w:t>
            </w:r>
          </w:p>
        </w:tc>
        <w:tc>
          <w:tcPr>
            <w:tcW w:type="dxa" w:w="720"/>
            <w:shd w:fill="F5F5F5"/>
            <w:vAlign w:val="center"/>
          </w:tcPr>
          <w:p>
            <w:pPr>
              <w:pStyle w:val="PRITableText"/>
              <w:keepLines/>
              <w:jc w:val="center"/>
            </w:pPr>
            <w:r/>
            <w:r>
              <w:rPr>
                <w:rFonts w:ascii="Times New Roman" w:hAnsi="Times New Roman" w:eastAsia="Times New Roman" w:cs="Times New Roman"/>
                <w:b w:val="0"/>
                <w:color w:val="1F1F1F"/>
                <w:sz w:val="14"/>
              </w:rPr>
              <w:t>0.795</w:t>
            </w:r>
          </w:p>
        </w:tc>
        <w:tc>
          <w:tcPr>
            <w:tcW w:type="dxa" w:w="1641"/>
            <w:shd w:fill="F5F5F5"/>
            <w:vAlign w:val="center"/>
          </w:tcPr>
          <w:p>
            <w:pPr>
              <w:pStyle w:val="PRITableText"/>
              <w:keepLines/>
              <w:jc w:val="center"/>
            </w:pPr>
            <w:r/>
            <w:r>
              <w:rPr>
                <w:rFonts w:ascii="Times New Roman" w:hAnsi="Times New Roman" w:eastAsia="Times New Roman" w:cs="Times New Roman"/>
                <w:b w:val="0"/>
                <w:color w:val="1F1F1F"/>
                <w:sz w:val="14"/>
              </w:rPr>
              <w:t>-0.085 (-0.182, +0.007)</w:t>
            </w:r>
          </w:p>
        </w:tc>
        <w:tc>
          <w:tcPr>
            <w:tcW w:type="dxa" w:w="1915"/>
            <w:shd w:fill="F5F5F5"/>
            <w:vAlign w:val="center"/>
          </w:tcPr>
          <w:p>
            <w:pPr>
              <w:pStyle w:val="PRITableText"/>
              <w:keepLines/>
              <w:jc w:val="left"/>
            </w:pPr>
            <w:r/>
            <w:r>
              <w:rPr>
                <w:rFonts w:ascii="Times New Roman" w:hAnsi="Times New Roman" w:eastAsia="Times New Roman" w:cs="Times New Roman"/>
                <w:b w:val="0"/>
                <w:color w:val="1F1F1F"/>
                <w:sz w:val="14"/>
              </w:rPr>
              <w:t>v22 fold-local high-resolution comparator</w:t>
            </w:r>
          </w:p>
        </w:tc>
      </w:tr>
    </w:tbl>
    <w:p>
      <w:pPr>
        <w:pStyle w:val="PRICaption"/>
      </w:pPr>
      <w:r>
        <w:rPr>
          <w:rFonts w:ascii="Times New Roman" w:hAnsi="Times New Roman" w:eastAsia="Times New Roman" w:cs="Times New Roman"/>
          <w:b w:val="0"/>
          <w:color w:val="1F1F1F"/>
          <w:sz w:val="17"/>
        </w:rPr>
        <w:t>The primary gate requires ΔAUROC ≥ +0.05, a positive independent-unit 95% bootstrap lower bound, strict construction and a compatible counterfactual diagnostic. Saturated comparisons do not establish equivalence.</w:t>
      </w:r>
    </w:p>
    <w:p>
      <w:pPr/>
      <w:r>
        <w:rPr>
          <w:rFonts w:ascii="Times New Roman" w:hAnsi="Times New Roman" w:eastAsia="Times New Roman" w:cs="Times New Roman"/>
          <w:b w:val="0"/>
          <w:color w:val="1F1F1F"/>
          <w:sz w:val="23"/>
        </w:rPr>
        <w:t>The fair spatial comparison was similarly negative for incremental patient-level value. The 1,000-feature spatial graph reached AUROC 0.870 versus its matched 1,000-HVG expression reference, for ΔAUROC −0.021 (95% CI −0.087 to 0.038). The 1,500-feature expression-plus-spatial model reached 0.875, for ΔAUROC −0.026 (−0.073 to 0.014) versus matched 1,500-HVG expression. These values do not say that spatial structure is absent; they say that these specific spatial encoders did not demonstrate an additional patient-level discrimination benefit under the specified evaluation boundary.</w:t>
      </w:r>
    </w:p>
    <w:p>
      <w:pPr/>
      <w:r>
        <w:rPr>
          <w:rFonts w:ascii="Times New Roman" w:hAnsi="Times New Roman" w:eastAsia="Times New Roman" w:cs="Times New Roman"/>
          <w:b w:val="0"/>
          <w:color w:val="1F1F1F"/>
          <w:sz w:val="23"/>
        </w:rPr>
        <w:t>The fold-local spot-topic comparison did not reverse this boundary. The eight-topic representation reached AUROC 0.804 compared with 0.892 for matched eight-component expression PCA (ΔAUROC −0.089, 95% CI −0.186 to 0.000). Expression-plus-topic fusion reached 0.795 compared with 0.880 for matched 16-component expression PCA (ΔAUROC −0.085, −0.182 to 0.007). At 150 and 450 sampled spots, topic-only increments remained −0.109 and −0.094, and fused increments remained −0.068 and −0.071 (Supplementary Table S2). Thus, this additional low-capacity, strictly fold-local representation did not provide an exception to the matched-expression boundary.</w:t>
      </w:r>
    </w:p>
    <w:p>
      <w:pPr>
        <w:keepNext/>
        <w:keepLines/>
        <w:spacing w:before="100" w:after="0"/>
        <w:jc w:val="center"/>
      </w:pPr>
      <w:r>
        <w:drawing>
          <wp:inline xmlns:a="http://schemas.openxmlformats.org/drawingml/2006/main" xmlns:pic="http://schemas.openxmlformats.org/drawingml/2006/picture">
            <wp:extent cx="5157216" cy="1967765"/>
            <wp:docPr id="4" name="Figure 4" title="Figure 4" descr="Strict matched low-rank comparisons, mismatched-reference sensitivity, and nested-neighbourhood diagnostic."/>
            <wp:cNvGraphicFramePr>
              <a:graphicFrameLocks noChangeAspect="1"/>
            </wp:cNvGraphicFramePr>
            <a:graphic>
              <a:graphicData uri="http://schemas.openxmlformats.org/drawingml/2006/picture">
                <pic:pic>
                  <pic:nvPicPr>
                    <pic:cNvPr id="0" name="fig11_v21_strictness_and_reference_audit.png"/>
                    <pic:cNvPicPr/>
                  </pic:nvPicPr>
                  <pic:blipFill>
                    <a:blip r:embed="rId29"/>
                    <a:stretch>
                      <a:fillRect/>
                    </a:stretch>
                  </pic:blipFill>
                  <pic:spPr>
                    <a:xfrm>
                      <a:off x="0" y="0"/>
                      <a:ext cx="5157216" cy="1967765"/>
                    </a:xfrm>
                    <a:prstGeom prst="rect"/>
                  </pic:spPr>
                </pic:pic>
              </a:graphicData>
            </a:graphic>
          </wp:inline>
        </w:drawing>
      </w:r>
    </w:p>
    <w:p>
      <w:pPr>
        <w:pStyle w:val="PRICaption"/>
      </w:pPr>
      <w:r>
        <w:rPr>
          <w:rFonts w:ascii="Times New Roman" w:hAnsi="Times New Roman" w:eastAsia="Times New Roman" w:cs="Times New Roman"/>
          <w:b w:val="0"/>
          <w:color w:val="1F1F1F"/>
          <w:sz w:val="18"/>
        </w:rPr>
        <w:t>Figure 4. Strictness and matched-reference audit. (A) All strict PCA/NMF increments against matched 2,000-HVG expression and their independent-unit 95% bootstrap intervals. The red dashed line is the pre-specified +0.05 practical-value threshold. (B) In GSE206391, replacing matched expression with a deliberately weakened 16-HVG reference manufactures an apparent PCA gain. (C) Fully nested neighbourhood results show that the global–strict difference is resolution-sensitive rather than universally positive.</w:t>
      </w:r>
    </w:p>
    <w:p>
      <w:pPr>
        <w:pStyle w:val="3"/>
      </w:pPr>
      <w:r>
        <w:rPr>
          <w:rFonts w:ascii="Times New Roman" w:hAnsi="Times New Roman" w:eastAsia="Times New Roman" w:cs="Times New Roman"/>
          <w:b/>
          <w:color w:val="1F1F1F"/>
          <w:sz w:val="26"/>
        </w:rPr>
        <w:t>3.3. Known-truth simulations validate the evidence gate and expose two failure modes</w:t>
      </w:r>
    </w:p>
    <w:p>
      <w:pPr/>
      <w:r>
        <w:rPr>
          <w:rFonts w:ascii="Times New Roman" w:hAnsi="Times New Roman" w:eastAsia="Times New Roman" w:cs="Times New Roman"/>
          <w:b w:val="0"/>
          <w:color w:val="1F1F1F"/>
          <w:sz w:val="23"/>
        </w:rPr>
        <w:t>The controlled hierarchy simulation separates the properties of the audit from the biology of any one cohort (Figure 6; Supplementary Table S1). Under no spatial increment, the strict evidence gate made zero positive declarations in all 400 replicates at each patient count (n=12, 24, 48); the exact 95% Monte-Carlo upper bound for each zero rate was 0.009. When a disease-associated coordinate effect had zero pseudobulk mean, the gate detected it in 0.755, 0.903 and 0.808 of replicates at n=12, 24 and 48, respectively. Mean strict increments closely followed their independently simulated population targets.</w:t>
      </w:r>
    </w:p>
    <w:p>
      <w:pPr/>
      <w:r>
        <w:rPr>
          <w:rFonts w:ascii="Times New Roman" w:hAnsi="Times New Roman" w:eastAsia="Times New Roman" w:cs="Times New Roman"/>
          <w:b w:val="0"/>
          <w:color w:val="1F1F1F"/>
          <w:sz w:val="23"/>
        </w:rPr>
        <w:t>The two intentionally invalid contrasts behaved in the opposite direction. With a sample fingerprint but no disease or spatial signal, patient-LOO AUROC was near chance (median 0.507, 0.519 and 0.508), whereas random-cell splitting had median AUROC 1.000 at every patient count because every test cell had a source represented in training. In the weak-reference scenario, candidate and matched expression contained the same information and strict increments remained near zero, but removing the expression-signal block from the comparator manufactured mean apparent gains of +0.459, +0.481 and +0.492. These results do not estimate psoriasis effects; they demonstrate that the evidence gate rejects the two artifacts it is designed to expose while retaining sensitivity to a controlled coordinate-specific increment.</w:t>
      </w:r>
    </w:p>
    <w:p>
      <w:pPr>
        <w:keepNext/>
        <w:keepLines/>
        <w:spacing w:before="100" w:after="0"/>
        <w:jc w:val="center"/>
      </w:pPr>
      <w:r>
        <w:drawing>
          <wp:inline xmlns:a="http://schemas.openxmlformats.org/drawingml/2006/main" xmlns:pic="http://schemas.openxmlformats.org/drawingml/2006/picture">
            <wp:extent cx="5157216" cy="3246312"/>
            <wp:docPr id="5" name="Figure 6" title="Figure 6" descr="Known-truth simulation of strict-gate calibration, power, source-overlap artifact, and mismatched-reference artifact."/>
            <wp:cNvGraphicFramePr>
              <a:graphicFrameLocks noChangeAspect="1"/>
            </wp:cNvGraphicFramePr>
            <a:graphic>
              <a:graphicData uri="http://schemas.openxmlformats.org/drawingml/2006/picture">
                <pic:pic>
                  <pic:nvPicPr>
                    <pic:cNvPr id="0" name="fig6_v22_known_truth_simulation.png"/>
                    <pic:cNvPicPr/>
                  </pic:nvPicPr>
                  <pic:blipFill>
                    <a:blip r:embed="rId30"/>
                    <a:stretch>
                      <a:fillRect/>
                    </a:stretch>
                  </pic:blipFill>
                  <pic:spPr>
                    <a:xfrm>
                      <a:off x="0" y="0"/>
                      <a:ext cx="5157216" cy="3246312"/>
                    </a:xfrm>
                    <a:prstGeom prst="rect"/>
                  </pic:spPr>
                </pic:pic>
              </a:graphicData>
            </a:graphic>
          </wp:inline>
        </w:drawing>
      </w:r>
    </w:p>
    <w:p>
      <w:pPr>
        <w:pStyle w:val="PRICaption"/>
      </w:pPr>
      <w:r>
        <w:rPr>
          <w:rFonts w:ascii="Times New Roman" w:hAnsi="Times New Roman" w:eastAsia="Times New Roman" w:cs="Times New Roman"/>
          <w:b w:val="0"/>
          <w:color w:val="1F1F1F"/>
          <w:sz w:val="18"/>
        </w:rPr>
        <w:t>Figure 6. Known-truth validation of the PRI-Audit evidence gate. (A) With no incremental spatial information, the strict gate made zero positive declarations in 400 replicates at each independent-patient count; whiskers are exact 95% binomial intervals. (B) With a zero-mean coordinate-specific signal beyond pseudobulk expression, power was 0.755, 0.903 and 0.808 at 12, 24 and 48 patients. (C) When source fingerprints but no disease signal were present, source-blocked patient prediction remained near chance while random-cell interpolation reached AUROC 1.000 because all test cells arose from sources seen in training. (D) When candidate and matched expression contained the same information, weakening the comparator manufactured a large apparent gain. Simulations validate the evaluation contract, not a biological claim about psoriasis.</w:t>
      </w:r>
    </w:p>
    <w:p>
      <w:pPr>
        <w:pStyle w:val="3"/>
      </w:pPr>
      <w:r>
        <w:rPr>
          <w:rFonts w:ascii="Times New Roman" w:hAnsi="Times New Roman" w:eastAsia="Times New Roman" w:cs="Times New Roman"/>
          <w:b/>
          <w:color w:val="1F1F1F"/>
          <w:sz w:val="26"/>
        </w:rPr>
        <w:t>3.4. Permissive evaluation can estimate a different and much more optimistic quantity</w:t>
      </w:r>
    </w:p>
    <w:p>
      <w:pPr/>
      <w:r>
        <w:rPr>
          <w:rFonts w:ascii="Times New Roman" w:hAnsi="Times New Roman" w:eastAsia="Times New Roman" w:cs="Times New Roman"/>
          <w:b w:val="0"/>
          <w:color w:val="1F1F1F"/>
          <w:sz w:val="23"/>
        </w:rPr>
        <w:t>The diagnostic contrasts show why the matched, source-blocked estimand matters (Table 3; Figure 5A). Under random cell splitting in GSE151177, median cell-level AUROC was 0.999 (50 splits; 2.5–97.5% range 0.998–0.999). Under random spot splitting in GSE206391, median AUROC was 0.970 (0.966–0.974). In both diagnostics, 100% of test measurements came from source samples represented in the training set. These values therefore quantify within-source measurement interpolation, not unseen-patient prediction, and are not compared with PRI-Audit AUROCs.</w:t>
      </w:r>
    </w:p>
    <w:p>
      <w:pPr/>
      <w:r>
        <w:rPr>
          <w:rFonts w:ascii="Times New Roman" w:hAnsi="Times New Roman" w:eastAsia="Times New Roman" w:cs="Times New Roman"/>
          <w:b w:val="0"/>
          <w:color w:val="1F1F1F"/>
          <w:sz w:val="23"/>
        </w:rPr>
        <w:t>The fully nested neighbourhood audit was deliberately more nuanced than a universal leakage narrative. With K=8, globally constructed versus fully nested cell-neighbourhood AUROC differed by +0.071 (95% CI 0.000 to 0.222). At K=16 the gap was 0.000 (−0.089 to 0.089), and at K=32 it was −0.054 (−0.197 to 0.000). Global–strict differences were therefore resolution-sensitive. The appropriate conclusion is not that global construction always inflates performance; it is that a global construction is a different analysis and cannot substitute for the pre-specified strict estimator.</w:t>
      </w:r>
    </w:p>
    <w:p>
      <w:pPr/>
      <w:r>
        <w:rPr>
          <w:rFonts w:ascii="Times New Roman" w:hAnsi="Times New Roman" w:eastAsia="Times New Roman" w:cs="Times New Roman"/>
          <w:b w:val="0"/>
          <w:color w:val="1F1F1F"/>
          <w:sz w:val="23"/>
        </w:rPr>
        <w:t>An intentionally unmatched comparator demonstrates a second failure mode. In GSE206391, PCA had a negligible +0.002 increment over the correct matched 2,000-HVG expression reference. Replacing that reference with strict 16-HVG expression lowered reference AUROC to 0.828 and created an apparent PCA gain of +0.082 (95% CI +0.002 to +0.219). The difference is a comparator artifact, not support for PCA superiority.</w:t>
      </w:r>
    </w:p>
    <w:p>
      <w:pPr>
        <w:pStyle w:val="PRITableCaption"/>
      </w:pPr>
      <w:r>
        <w:rPr>
          <w:rFonts w:ascii="Times New Roman" w:hAnsi="Times New Roman" w:eastAsia="Times New Roman" w:cs="Times New Roman"/>
          <w:b w:val="0"/>
          <w:color w:val="1F1F1F"/>
          <w:sz w:val="19"/>
        </w:rPr>
        <w:t>Table 3. Reproducibility and counterfactual audit diagnostics.</w:t>
      </w:r>
    </w:p>
    <w:tbl>
      <w:tblPr>
        <w:tblW w:type="dxa" w:w="8308"/>
        <w:jc w:val="center"/>
        <w:tblLayout w:type="fixed"/>
        <w:tblLook w:firstColumn="1" w:firstRow="1" w:lastColumn="0" w:lastRow="0" w:noHBand="0" w:noVBand="1" w:val="04A0"/>
      </w:tblPr>
      <w:tblGrid>
        <w:gridCol w:w="1483"/>
        <w:gridCol w:w="1267"/>
        <w:gridCol w:w="1440"/>
        <w:gridCol w:w="2131"/>
        <w:gridCol w:w="1987"/>
      </w:tblGrid>
      <w:tr>
        <w:trPr>
          <w:trHeight w:hRule="atLeast"/>
          <w:tblHeader w:val="true"/>
          <w:cantSplit/>
        </w:trPr>
        <w:tc>
          <w:tcPr>
            <w:tcW w:type="dxa" w:w="1483"/>
            <w:shd w:fill="D9D9D9"/>
            <w:vAlign w:val="center"/>
          </w:tcPr>
          <w:p>
            <w:pPr>
              <w:pStyle w:val="PRITableText"/>
              <w:keepLines/>
              <w:jc w:val="center"/>
            </w:pPr>
            <w:r/>
            <w:r>
              <w:rPr>
                <w:rFonts w:ascii="Times New Roman" w:hAnsi="Times New Roman" w:eastAsia="Times New Roman" w:cs="Times New Roman"/>
                <w:b/>
                <w:color w:val="1F1F1F"/>
                <w:sz w:val="14"/>
              </w:rPr>
              <w:t>Audit</w:t>
            </w:r>
          </w:p>
        </w:tc>
        <w:tc>
          <w:tcPr>
            <w:tcW w:type="dxa" w:w="1267"/>
            <w:shd w:fill="D9D9D9"/>
            <w:vAlign w:val="center"/>
          </w:tcPr>
          <w:p>
            <w:pPr>
              <w:pStyle w:val="PRITableText"/>
              <w:keepLines/>
              <w:jc w:val="center"/>
            </w:pPr>
            <w:r/>
            <w:r>
              <w:rPr>
                <w:rFonts w:ascii="Times New Roman" w:hAnsi="Times New Roman" w:eastAsia="Times New Roman" w:cs="Times New Roman"/>
                <w:b/>
                <w:color w:val="1F1F1F"/>
                <w:sz w:val="14"/>
              </w:rPr>
              <w:t>Cohort</w:t>
            </w:r>
          </w:p>
        </w:tc>
        <w:tc>
          <w:tcPr>
            <w:tcW w:type="dxa" w:w="1440"/>
            <w:shd w:fill="D9D9D9"/>
            <w:vAlign w:val="center"/>
          </w:tcPr>
          <w:p>
            <w:pPr>
              <w:pStyle w:val="PRITableText"/>
              <w:keepLines/>
              <w:jc w:val="center"/>
            </w:pPr>
            <w:r/>
            <w:r>
              <w:rPr>
                <w:rFonts w:ascii="Times New Roman" w:hAnsi="Times New Roman" w:eastAsia="Times New Roman" w:cs="Times New Roman"/>
                <w:b/>
                <w:color w:val="1F1F1F"/>
                <w:sz w:val="14"/>
              </w:rPr>
              <w:t>Primary estimate</w:t>
            </w:r>
          </w:p>
        </w:tc>
        <w:tc>
          <w:tcPr>
            <w:tcW w:type="dxa" w:w="2131"/>
            <w:shd w:fill="D9D9D9"/>
            <w:vAlign w:val="center"/>
          </w:tcPr>
          <w:p>
            <w:pPr>
              <w:pStyle w:val="PRITableText"/>
              <w:keepLines/>
              <w:jc w:val="center"/>
            </w:pPr>
            <w:r/>
            <w:r>
              <w:rPr>
                <w:rFonts w:ascii="Times New Roman" w:hAnsi="Times New Roman" w:eastAsia="Times New Roman" w:cs="Times New Roman"/>
                <w:b/>
                <w:color w:val="1F1F1F"/>
                <w:sz w:val="14"/>
              </w:rPr>
              <w:t>Uncertainty / diagnostic</w:t>
            </w:r>
          </w:p>
        </w:tc>
        <w:tc>
          <w:tcPr>
            <w:tcW w:type="dxa" w:w="1987"/>
            <w:shd w:fill="D9D9D9"/>
            <w:vAlign w:val="center"/>
          </w:tcPr>
          <w:p>
            <w:pPr>
              <w:pStyle w:val="PRITableText"/>
              <w:keepLines/>
              <w:jc w:val="center"/>
            </w:pPr>
            <w:r/>
            <w:r>
              <w:rPr>
                <w:rFonts w:ascii="Times New Roman" w:hAnsi="Times New Roman" w:eastAsia="Times New Roman" w:cs="Times New Roman"/>
                <w:b/>
                <w:color w:val="1F1F1F"/>
                <w:sz w:val="14"/>
              </w:rPr>
              <w:t>Interpretation</w:t>
            </w:r>
          </w:p>
        </w:tc>
      </w:tr>
      <w:tr>
        <w:trPr>
          <w:trHeight w:hRule="atLeast"/>
          <w:cantSplit/>
        </w:trPr>
        <w:tc>
          <w:tcPr>
            <w:tcW w:type="dxa" w:w="1483"/>
            <w:vAlign w:val="center"/>
          </w:tcPr>
          <w:p>
            <w:pPr>
              <w:pStyle w:val="PRITableText"/>
              <w:keepLines/>
              <w:jc w:val="left"/>
            </w:pPr>
            <w:r/>
            <w:r>
              <w:rPr>
                <w:rFonts w:ascii="Times New Roman" w:hAnsi="Times New Roman" w:eastAsia="Times New Roman" w:cs="Times New Roman"/>
                <w:b w:val="0"/>
                <w:color w:val="1F1F1F"/>
                <w:sz w:val="14"/>
              </w:rPr>
              <w:t>Raw reconstruction</w:t>
            </w:r>
          </w:p>
        </w:tc>
        <w:tc>
          <w:tcPr>
            <w:tcW w:type="dxa" w:w="1267"/>
            <w:vAlign w:val="center"/>
          </w:tcPr>
          <w:p>
            <w:pPr>
              <w:pStyle w:val="PRITableText"/>
              <w:keepLines/>
              <w:jc w:val="left"/>
            </w:pPr>
            <w:r/>
            <w:r>
              <w:rPr>
                <w:rFonts w:ascii="Times New Roman" w:hAnsi="Times New Roman" w:eastAsia="Times New Roman" w:cs="Times New Roman"/>
                <w:b w:val="0"/>
                <w:color w:val="1F1F1F"/>
                <w:sz w:val="14"/>
              </w:rPr>
              <w:t>GSE151177; GSE173706; GSE206391</w:t>
            </w:r>
          </w:p>
        </w:tc>
        <w:tc>
          <w:tcPr>
            <w:tcW w:type="dxa" w:w="1440"/>
            <w:vAlign w:val="center"/>
          </w:tcPr>
          <w:p>
            <w:pPr>
              <w:pStyle w:val="PRITableText"/>
              <w:keepLines/>
              <w:jc w:val="left"/>
            </w:pPr>
            <w:r/>
            <w:r>
              <w:rPr>
                <w:rFonts w:ascii="Times New Roman" w:hAnsi="Times New Roman" w:eastAsia="Times New Roman" w:cs="Times New Roman"/>
                <w:b w:val="0"/>
                <w:color w:val="1F1F1F"/>
                <w:sz w:val="14"/>
              </w:rPr>
              <w:t>3/3 count matrices exact</w:t>
            </w:r>
          </w:p>
        </w:tc>
        <w:tc>
          <w:tcPr>
            <w:tcW w:type="dxa" w:w="2131"/>
            <w:vAlign w:val="center"/>
          </w:tcPr>
          <w:p>
            <w:pPr>
              <w:pStyle w:val="PRITableText"/>
              <w:keepLines/>
              <w:jc w:val="left"/>
            </w:pPr>
            <w:r/>
            <w:r>
              <w:rPr>
                <w:rFonts w:ascii="Times New Roman" w:hAnsi="Times New Roman" w:eastAsia="Times New Roman" w:cs="Times New Roman"/>
                <w:b w:val="0"/>
                <w:color w:val="1F1F1F"/>
                <w:sz w:val="14"/>
              </w:rPr>
              <w:t>metadata and canonical count contents exact</w:t>
            </w:r>
          </w:p>
        </w:tc>
        <w:tc>
          <w:tcPr>
            <w:tcW w:type="dxa" w:w="1987"/>
            <w:vAlign w:val="center"/>
          </w:tcPr>
          <w:p>
            <w:pPr>
              <w:pStyle w:val="PRITableText"/>
              <w:keepLines/>
              <w:jc w:val="left"/>
            </w:pPr>
            <w:r/>
            <w:r>
              <w:rPr>
                <w:rFonts w:ascii="Times New Roman" w:hAnsi="Times New Roman" w:eastAsia="Times New Roman" w:cs="Times New Roman"/>
                <w:b w:val="0"/>
                <w:color w:val="1F1F1F"/>
                <w:sz w:val="14"/>
              </w:rPr>
              <w:t>formal v21 analyses start from verified public inputs</w:t>
            </w:r>
          </w:p>
        </w:tc>
      </w:tr>
      <w:tr>
        <w:trPr>
          <w:trHeight w:hRule="atLeast"/>
          <w:cantSplit/>
        </w:trPr>
        <w:tc>
          <w:tcPr>
            <w:tcW w:type="dxa" w:w="1483"/>
            <w:shd w:fill="F5F5F5"/>
            <w:vAlign w:val="center"/>
          </w:tcPr>
          <w:p>
            <w:pPr>
              <w:pStyle w:val="PRITableText"/>
              <w:keepLines/>
              <w:jc w:val="left"/>
            </w:pPr>
            <w:r/>
            <w:r>
              <w:rPr>
                <w:rFonts w:ascii="Times New Roman" w:hAnsi="Times New Roman" w:eastAsia="Times New Roman" w:cs="Times New Roman"/>
                <w:b w:val="0"/>
                <w:color w:val="1F1F1F"/>
                <w:sz w:val="14"/>
              </w:rPr>
              <w:t>Random cell split</w:t>
            </w:r>
          </w:p>
        </w:tc>
        <w:tc>
          <w:tcPr>
            <w:tcW w:type="dxa" w:w="1267"/>
            <w:shd w:fill="F5F5F5"/>
            <w:vAlign w:val="center"/>
          </w:tcPr>
          <w:p>
            <w:pPr>
              <w:pStyle w:val="PRITableText"/>
              <w:keepLines/>
              <w:jc w:val="left"/>
            </w:pPr>
            <w:r/>
            <w:r>
              <w:rPr>
                <w:rFonts w:ascii="Times New Roman" w:hAnsi="Times New Roman" w:eastAsia="Times New Roman" w:cs="Times New Roman"/>
                <w:b w:val="0"/>
                <w:color w:val="1F1F1F"/>
                <w:sz w:val="14"/>
              </w:rPr>
              <w:t>GSE151177</w:t>
            </w:r>
          </w:p>
        </w:tc>
        <w:tc>
          <w:tcPr>
            <w:tcW w:type="dxa" w:w="1440"/>
            <w:shd w:fill="F5F5F5"/>
            <w:vAlign w:val="center"/>
          </w:tcPr>
          <w:p>
            <w:pPr>
              <w:pStyle w:val="PRITableText"/>
              <w:keepLines/>
              <w:jc w:val="left"/>
            </w:pPr>
            <w:r/>
            <w:r>
              <w:rPr>
                <w:rFonts w:ascii="Times New Roman" w:hAnsi="Times New Roman" w:eastAsia="Times New Roman" w:cs="Times New Roman"/>
                <w:b w:val="0"/>
                <w:color w:val="1F1F1F"/>
                <w:sz w:val="14"/>
              </w:rPr>
              <w:t>median AUROC 0.999</w:t>
            </w:r>
          </w:p>
        </w:tc>
        <w:tc>
          <w:tcPr>
            <w:tcW w:type="dxa" w:w="2131"/>
            <w:shd w:fill="F5F5F5"/>
            <w:vAlign w:val="center"/>
          </w:tcPr>
          <w:p>
            <w:pPr>
              <w:pStyle w:val="PRITableText"/>
              <w:keepLines/>
              <w:jc w:val="left"/>
            </w:pPr>
            <w:r/>
            <w:r>
              <w:rPr>
                <w:rFonts w:ascii="Times New Roman" w:hAnsi="Times New Roman" w:eastAsia="Times New Roman" w:cs="Times New Roman"/>
                <w:b w:val="0"/>
                <w:color w:val="1F1F1F"/>
                <w:sz w:val="14"/>
              </w:rPr>
              <w:t>2.5–97.5% range 0.998–0.999; 100% test rows from seen sources</w:t>
            </w:r>
          </w:p>
        </w:tc>
        <w:tc>
          <w:tcPr>
            <w:tcW w:type="dxa" w:w="1987"/>
            <w:shd w:fill="F5F5F5"/>
            <w:vAlign w:val="center"/>
          </w:tcPr>
          <w:p>
            <w:pPr>
              <w:pStyle w:val="PRITableText"/>
              <w:keepLines/>
              <w:jc w:val="left"/>
            </w:pPr>
            <w:r/>
            <w:r>
              <w:rPr>
                <w:rFonts w:ascii="Times New Roman" w:hAnsi="Times New Roman" w:eastAsia="Times New Roman" w:cs="Times New Roman"/>
                <w:b w:val="0"/>
                <w:color w:val="1F1F1F"/>
                <w:sz w:val="14"/>
              </w:rPr>
              <w:t>invalid within-source measurement-interpolation estimand</w:t>
            </w:r>
          </w:p>
        </w:tc>
      </w:tr>
      <w:tr>
        <w:trPr>
          <w:trHeight w:hRule="atLeast"/>
          <w:cantSplit/>
        </w:trPr>
        <w:tc>
          <w:tcPr>
            <w:tcW w:type="dxa" w:w="1483"/>
            <w:vAlign w:val="center"/>
          </w:tcPr>
          <w:p>
            <w:pPr>
              <w:pStyle w:val="PRITableText"/>
              <w:keepLines/>
              <w:jc w:val="left"/>
            </w:pPr>
            <w:r/>
            <w:r>
              <w:rPr>
                <w:rFonts w:ascii="Times New Roman" w:hAnsi="Times New Roman" w:eastAsia="Times New Roman" w:cs="Times New Roman"/>
                <w:b w:val="0"/>
                <w:color w:val="1F1F1F"/>
                <w:sz w:val="14"/>
              </w:rPr>
              <w:t>Random spot split</w:t>
            </w:r>
          </w:p>
        </w:tc>
        <w:tc>
          <w:tcPr>
            <w:tcW w:type="dxa" w:w="1267"/>
            <w:vAlign w:val="center"/>
          </w:tcPr>
          <w:p>
            <w:pPr>
              <w:pStyle w:val="PRITableText"/>
              <w:keepLines/>
              <w:jc w:val="left"/>
            </w:pPr>
            <w:r/>
            <w:r>
              <w:rPr>
                <w:rFonts w:ascii="Times New Roman" w:hAnsi="Times New Roman" w:eastAsia="Times New Roman" w:cs="Times New Roman"/>
                <w:b w:val="0"/>
                <w:color w:val="1F1F1F"/>
                <w:sz w:val="14"/>
              </w:rPr>
              <w:t>GSE206391</w:t>
            </w:r>
          </w:p>
        </w:tc>
        <w:tc>
          <w:tcPr>
            <w:tcW w:type="dxa" w:w="1440"/>
            <w:vAlign w:val="center"/>
          </w:tcPr>
          <w:p>
            <w:pPr>
              <w:pStyle w:val="PRITableText"/>
              <w:keepLines/>
              <w:jc w:val="left"/>
            </w:pPr>
            <w:r/>
            <w:r>
              <w:rPr>
                <w:rFonts w:ascii="Times New Roman" w:hAnsi="Times New Roman" w:eastAsia="Times New Roman" w:cs="Times New Roman"/>
                <w:b w:val="0"/>
                <w:color w:val="1F1F1F"/>
                <w:sz w:val="14"/>
              </w:rPr>
              <w:t>median AUROC 0.970</w:t>
            </w:r>
          </w:p>
        </w:tc>
        <w:tc>
          <w:tcPr>
            <w:tcW w:type="dxa" w:w="2131"/>
            <w:vAlign w:val="center"/>
          </w:tcPr>
          <w:p>
            <w:pPr>
              <w:pStyle w:val="PRITableText"/>
              <w:keepLines/>
              <w:jc w:val="left"/>
            </w:pPr>
            <w:r/>
            <w:r>
              <w:rPr>
                <w:rFonts w:ascii="Times New Roman" w:hAnsi="Times New Roman" w:eastAsia="Times New Roman" w:cs="Times New Roman"/>
                <w:b w:val="0"/>
                <w:color w:val="1F1F1F"/>
                <w:sz w:val="14"/>
              </w:rPr>
              <w:t>2.5–97.5% range 0.966–0.974; 100% test rows from seen sources</w:t>
            </w:r>
          </w:p>
        </w:tc>
        <w:tc>
          <w:tcPr>
            <w:tcW w:type="dxa" w:w="1987"/>
            <w:vAlign w:val="center"/>
          </w:tcPr>
          <w:p>
            <w:pPr>
              <w:pStyle w:val="PRITableText"/>
              <w:keepLines/>
              <w:jc w:val="left"/>
            </w:pPr>
            <w:r/>
            <w:r>
              <w:rPr>
                <w:rFonts w:ascii="Times New Roman" w:hAnsi="Times New Roman" w:eastAsia="Times New Roman" w:cs="Times New Roman"/>
                <w:b w:val="0"/>
                <w:color w:val="1F1F1F"/>
                <w:sz w:val="14"/>
              </w:rPr>
              <w:t>invalid within-source measurement-interpolation estimand</w:t>
            </w:r>
          </w:p>
        </w:tc>
      </w:tr>
      <w:tr>
        <w:trPr>
          <w:trHeight w:hRule="atLeast"/>
          <w:cantSplit/>
        </w:trPr>
        <w:tc>
          <w:tcPr>
            <w:tcW w:type="dxa" w:w="1483"/>
            <w:shd w:fill="F5F5F5"/>
            <w:vAlign w:val="center"/>
          </w:tcPr>
          <w:p>
            <w:pPr>
              <w:pStyle w:val="PRITableText"/>
              <w:keepLines/>
              <w:jc w:val="left"/>
            </w:pPr>
            <w:r/>
            <w:r>
              <w:rPr>
                <w:rFonts w:ascii="Times New Roman" w:hAnsi="Times New Roman" w:eastAsia="Times New Roman" w:cs="Times New Roman"/>
                <w:b w:val="0"/>
                <w:color w:val="1F1F1F"/>
                <w:sz w:val="14"/>
              </w:rPr>
              <w:t>Global vs fully nested neighbourhood</w:t>
            </w:r>
          </w:p>
        </w:tc>
        <w:tc>
          <w:tcPr>
            <w:tcW w:type="dxa" w:w="1267"/>
            <w:shd w:fill="F5F5F5"/>
            <w:vAlign w:val="center"/>
          </w:tcPr>
          <w:p>
            <w:pPr>
              <w:pStyle w:val="PRITableText"/>
              <w:keepLines/>
              <w:jc w:val="left"/>
            </w:pPr>
            <w:r/>
            <w:r>
              <w:rPr>
                <w:rFonts w:ascii="Times New Roman" w:hAnsi="Times New Roman" w:eastAsia="Times New Roman" w:cs="Times New Roman"/>
                <w:b w:val="0"/>
                <w:color w:val="1F1F1F"/>
                <w:sz w:val="14"/>
              </w:rPr>
              <w:t>GSE151177</w:t>
            </w:r>
          </w:p>
        </w:tc>
        <w:tc>
          <w:tcPr>
            <w:tcW w:type="dxa" w:w="1440"/>
            <w:shd w:fill="F5F5F5"/>
            <w:vAlign w:val="center"/>
          </w:tcPr>
          <w:p>
            <w:pPr>
              <w:pStyle w:val="PRITableText"/>
              <w:keepLines/>
              <w:jc w:val="left"/>
            </w:pPr>
            <w:r/>
            <w:r>
              <w:rPr>
                <w:rFonts w:ascii="Times New Roman" w:hAnsi="Times New Roman" w:eastAsia="Times New Roman" w:cs="Times New Roman"/>
                <w:b w:val="0"/>
                <w:color w:val="1F1F1F"/>
                <w:sz w:val="14"/>
              </w:rPr>
              <w:t>K=8 gap +0.071</w:t>
            </w:r>
          </w:p>
        </w:tc>
        <w:tc>
          <w:tcPr>
            <w:tcW w:type="dxa" w:w="2131"/>
            <w:shd w:fill="F5F5F5"/>
            <w:vAlign w:val="center"/>
          </w:tcPr>
          <w:p>
            <w:pPr>
              <w:pStyle w:val="PRITableText"/>
              <w:keepLines/>
              <w:jc w:val="left"/>
            </w:pPr>
            <w:r/>
            <w:r>
              <w:rPr>
                <w:rFonts w:ascii="Times New Roman" w:hAnsi="Times New Roman" w:eastAsia="Times New Roman" w:cs="Times New Roman"/>
                <w:b w:val="0"/>
                <w:color w:val="1F1F1F"/>
                <w:sz w:val="14"/>
              </w:rPr>
              <w:t>95% CI +0.000 to +0.222; K=16 +0.000, K=32 -0.054</w:t>
            </w:r>
          </w:p>
        </w:tc>
        <w:tc>
          <w:tcPr>
            <w:tcW w:type="dxa" w:w="1987"/>
            <w:shd w:fill="F5F5F5"/>
            <w:vAlign w:val="center"/>
          </w:tcPr>
          <w:p>
            <w:pPr>
              <w:pStyle w:val="PRITableText"/>
              <w:keepLines/>
              <w:jc w:val="left"/>
            </w:pPr>
            <w:r/>
            <w:r>
              <w:rPr>
                <w:rFonts w:ascii="Times New Roman" w:hAnsi="Times New Roman" w:eastAsia="Times New Roman" w:cs="Times New Roman"/>
                <w:b w:val="0"/>
                <w:color w:val="1F1F1F"/>
                <w:sz w:val="14"/>
              </w:rPr>
              <w:t>global–strict difference is resolution-sensitive, not universally positive</w:t>
            </w:r>
          </w:p>
        </w:tc>
      </w:tr>
      <w:tr>
        <w:trPr>
          <w:trHeight w:hRule="atLeast"/>
          <w:cantSplit/>
        </w:trPr>
        <w:tc>
          <w:tcPr>
            <w:tcW w:type="dxa" w:w="1483"/>
            <w:vAlign w:val="center"/>
          </w:tcPr>
          <w:p>
            <w:pPr>
              <w:pStyle w:val="PRITableText"/>
              <w:keepLines/>
              <w:jc w:val="left"/>
            </w:pPr>
            <w:r/>
            <w:r>
              <w:rPr>
                <w:rFonts w:ascii="Times New Roman" w:hAnsi="Times New Roman" w:eastAsia="Times New Roman" w:cs="Times New Roman"/>
                <w:b w:val="0"/>
                <w:color w:val="1F1F1F"/>
                <w:sz w:val="14"/>
              </w:rPr>
              <w:t>Mismatched-reference sensitivity</w:t>
            </w:r>
          </w:p>
        </w:tc>
        <w:tc>
          <w:tcPr>
            <w:tcW w:type="dxa" w:w="1267"/>
            <w:vAlign w:val="center"/>
          </w:tcPr>
          <w:p>
            <w:pPr>
              <w:pStyle w:val="PRITableText"/>
              <w:keepLines/>
              <w:jc w:val="left"/>
            </w:pPr>
            <w:r/>
            <w:r>
              <w:rPr>
                <w:rFonts w:ascii="Times New Roman" w:hAnsi="Times New Roman" w:eastAsia="Times New Roman" w:cs="Times New Roman"/>
                <w:b w:val="0"/>
                <w:color w:val="1F1F1F"/>
                <w:sz w:val="14"/>
              </w:rPr>
              <w:t>GSE206391</w:t>
            </w:r>
          </w:p>
        </w:tc>
        <w:tc>
          <w:tcPr>
            <w:tcW w:type="dxa" w:w="1440"/>
            <w:vAlign w:val="center"/>
          </w:tcPr>
          <w:p>
            <w:pPr>
              <w:pStyle w:val="PRITableText"/>
              <w:keepLines/>
              <w:jc w:val="left"/>
            </w:pPr>
            <w:r/>
            <w:r>
              <w:rPr>
                <w:rFonts w:ascii="Times New Roman" w:hAnsi="Times New Roman" w:eastAsia="Times New Roman" w:cs="Times New Roman"/>
                <w:b w:val="0"/>
                <w:color w:val="1F1F1F"/>
                <w:sz w:val="14"/>
              </w:rPr>
              <w:t>apparent PCA gain +0.082</w:t>
            </w:r>
          </w:p>
        </w:tc>
        <w:tc>
          <w:tcPr>
            <w:tcW w:type="dxa" w:w="2131"/>
            <w:vAlign w:val="center"/>
          </w:tcPr>
          <w:p>
            <w:pPr>
              <w:pStyle w:val="PRITableText"/>
              <w:keepLines/>
              <w:jc w:val="left"/>
            </w:pPr>
            <w:r/>
            <w:r>
              <w:rPr>
                <w:rFonts w:ascii="Times New Roman" w:hAnsi="Times New Roman" w:eastAsia="Times New Roman" w:cs="Times New Roman"/>
                <w:b w:val="0"/>
                <w:color w:val="1F1F1F"/>
                <w:sz w:val="14"/>
              </w:rPr>
              <w:t>95% CI +0.002 to +0.219; unmatched 16-HVG baseline</w:t>
            </w:r>
          </w:p>
        </w:tc>
        <w:tc>
          <w:tcPr>
            <w:tcW w:type="dxa" w:w="1987"/>
            <w:vAlign w:val="center"/>
          </w:tcPr>
          <w:p>
            <w:pPr>
              <w:pStyle w:val="PRITableText"/>
              <w:keepLines/>
              <w:jc w:val="left"/>
            </w:pPr>
            <w:r/>
            <w:r>
              <w:rPr>
                <w:rFonts w:ascii="Times New Roman" w:hAnsi="Times New Roman" w:eastAsia="Times New Roman" w:cs="Times New Roman"/>
                <w:b w:val="0"/>
                <w:color w:val="1F1F1F"/>
                <w:sz w:val="14"/>
              </w:rPr>
              <w:t>a weakened comparator can manufacture an apparent gain</w:t>
            </w:r>
          </w:p>
        </w:tc>
      </w:tr>
      <w:tr>
        <w:trPr>
          <w:trHeight w:hRule="atLeast"/>
          <w:cantSplit/>
        </w:trPr>
        <w:tc>
          <w:tcPr>
            <w:tcW w:type="dxa" w:w="1483"/>
            <w:shd w:fill="F5F5F5"/>
            <w:vAlign w:val="center"/>
          </w:tcPr>
          <w:p>
            <w:pPr>
              <w:pStyle w:val="PRITableText"/>
              <w:keepLines/>
              <w:jc w:val="left"/>
            </w:pPr>
            <w:r/>
            <w:r>
              <w:rPr>
                <w:rFonts w:ascii="Times New Roman" w:hAnsi="Times New Roman" w:eastAsia="Times New Roman" w:cs="Times New Roman"/>
                <w:b w:val="0"/>
                <w:color w:val="1F1F1F"/>
                <w:sz w:val="14"/>
              </w:rPr>
              <w:t>Coordinate shuffle</w:t>
            </w:r>
          </w:p>
        </w:tc>
        <w:tc>
          <w:tcPr>
            <w:tcW w:type="dxa" w:w="1267"/>
            <w:shd w:fill="F5F5F5"/>
            <w:vAlign w:val="center"/>
          </w:tcPr>
          <w:p>
            <w:pPr>
              <w:pStyle w:val="PRITableText"/>
              <w:keepLines/>
              <w:jc w:val="left"/>
            </w:pPr>
            <w:r/>
            <w:r>
              <w:rPr>
                <w:rFonts w:ascii="Times New Roman" w:hAnsi="Times New Roman" w:eastAsia="Times New Roman" w:cs="Times New Roman"/>
                <w:b w:val="0"/>
                <w:color w:val="1F1F1F"/>
                <w:sz w:val="14"/>
              </w:rPr>
              <w:t>GSE206391</w:t>
            </w:r>
          </w:p>
        </w:tc>
        <w:tc>
          <w:tcPr>
            <w:tcW w:type="dxa" w:w="1440"/>
            <w:shd w:fill="F5F5F5"/>
            <w:vAlign w:val="center"/>
          </w:tcPr>
          <w:p>
            <w:pPr>
              <w:pStyle w:val="PRITableText"/>
              <w:keepLines/>
              <w:jc w:val="left"/>
            </w:pPr>
            <w:r/>
            <w:r>
              <w:rPr>
                <w:rFonts w:ascii="Times New Roman" w:hAnsi="Times New Roman" w:eastAsia="Times New Roman" w:cs="Times New Roman"/>
                <w:b w:val="0"/>
                <w:color w:val="1F1F1F"/>
                <w:sz w:val="14"/>
              </w:rPr>
              <w:t>spatial graph observed 0.870</w:t>
            </w:r>
          </w:p>
        </w:tc>
        <w:tc>
          <w:tcPr>
            <w:tcW w:type="dxa" w:w="2131"/>
            <w:shd w:fill="F5F5F5"/>
            <w:vAlign w:val="center"/>
          </w:tcPr>
          <w:p>
            <w:pPr>
              <w:pStyle w:val="PRITableText"/>
              <w:keepLines/>
              <w:jc w:val="left"/>
            </w:pPr>
            <w:r/>
            <w:r>
              <w:rPr>
                <w:rFonts w:ascii="Times New Roman" w:hAnsi="Times New Roman" w:eastAsia="Times New Roman" w:cs="Times New Roman"/>
                <w:b w:val="0"/>
                <w:color w:val="1F1F1F"/>
                <w:sz w:val="14"/>
              </w:rPr>
              <w:t>500 within-sample shuffles; null mean 0.870; tail P=0.563; combined observed 0.875, P=0.677</w:t>
            </w:r>
          </w:p>
        </w:tc>
        <w:tc>
          <w:tcPr>
            <w:tcW w:type="dxa" w:w="1987"/>
            <w:shd w:fill="F5F5F5"/>
            <w:vAlign w:val="center"/>
          </w:tcPr>
          <w:p>
            <w:pPr>
              <w:pStyle w:val="PRITableText"/>
              <w:keepLines/>
              <w:jc w:val="left"/>
            </w:pPr>
            <w:r/>
            <w:r>
              <w:rPr>
                <w:rFonts w:ascii="Times New Roman" w:hAnsi="Times New Roman" w:eastAsia="Times New Roman" w:cs="Times New Roman"/>
                <w:b w:val="0"/>
                <w:color w:val="1F1F1F"/>
                <w:sz w:val="14"/>
              </w:rPr>
              <w:t>no demonstrated coordinate-specific patient-level increment for this graph</w:t>
            </w:r>
          </w:p>
        </w:tc>
      </w:tr>
      <w:tr>
        <w:trPr>
          <w:trHeight w:hRule="atLeast"/>
          <w:cantSplit/>
        </w:trPr>
        <w:tc>
          <w:tcPr>
            <w:tcW w:type="dxa" w:w="1483"/>
            <w:vAlign w:val="center"/>
          </w:tcPr>
          <w:p>
            <w:pPr>
              <w:pStyle w:val="PRITableText"/>
              <w:keepLines/>
              <w:jc w:val="left"/>
            </w:pPr>
            <w:r/>
            <w:r>
              <w:rPr>
                <w:rFonts w:ascii="Times New Roman" w:hAnsi="Times New Roman" w:eastAsia="Times New Roman" w:cs="Times New Roman"/>
                <w:b w:val="0"/>
                <w:color w:val="1F1F1F"/>
                <w:sz w:val="14"/>
              </w:rPr>
              <w:t>Independent high-resolution boundary</w:t>
            </w:r>
          </w:p>
        </w:tc>
        <w:tc>
          <w:tcPr>
            <w:tcW w:type="dxa" w:w="1267"/>
            <w:vAlign w:val="center"/>
          </w:tcPr>
          <w:p>
            <w:pPr>
              <w:pStyle w:val="PRITableText"/>
              <w:keepLines/>
              <w:jc w:val="left"/>
            </w:pPr>
            <w:r/>
            <w:r>
              <w:rPr>
                <w:rFonts w:ascii="Times New Roman" w:hAnsi="Times New Roman" w:eastAsia="Times New Roman" w:cs="Times New Roman"/>
                <w:b w:val="0"/>
                <w:color w:val="1F1F1F"/>
                <w:sz w:val="14"/>
              </w:rPr>
              <w:t>GSE202011</w:t>
            </w:r>
          </w:p>
        </w:tc>
        <w:tc>
          <w:tcPr>
            <w:tcW w:type="dxa" w:w="1440"/>
            <w:vAlign w:val="center"/>
          </w:tcPr>
          <w:p>
            <w:pPr>
              <w:pStyle w:val="PRITableText"/>
              <w:keepLines/>
              <w:jc w:val="left"/>
            </w:pPr>
            <w:r/>
            <w:r>
              <w:rPr>
                <w:rFonts w:ascii="Times New Roman" w:hAnsi="Times New Roman" w:eastAsia="Times New Roman" w:cs="Times New Roman"/>
                <w:b w:val="0"/>
                <w:color w:val="1F1F1F"/>
                <w:sz w:val="14"/>
              </w:rPr>
              <w:t>expression = PCA = AUROC 1.000</w:t>
            </w:r>
          </w:p>
        </w:tc>
        <w:tc>
          <w:tcPr>
            <w:tcW w:type="dxa" w:w="2131"/>
            <w:vAlign w:val="center"/>
          </w:tcPr>
          <w:p>
            <w:pPr>
              <w:pStyle w:val="PRITableText"/>
              <w:keepLines/>
              <w:jc w:val="left"/>
            </w:pPr>
            <w:r/>
            <w:r>
              <w:rPr>
                <w:rFonts w:ascii="Times New Roman" w:hAnsi="Times New Roman" w:eastAsia="Times New Roman" w:cs="Times New Roman"/>
                <w:b w:val="0"/>
                <w:color w:val="1F1F1F"/>
                <w:sz w:val="14"/>
              </w:rPr>
              <w:t>five paired patients; increment 0.000 (0.000, 0.000)</w:t>
            </w:r>
          </w:p>
        </w:tc>
        <w:tc>
          <w:tcPr>
            <w:tcW w:type="dxa" w:w="1987"/>
            <w:vAlign w:val="center"/>
          </w:tcPr>
          <w:p>
            <w:pPr>
              <w:pStyle w:val="PRITableText"/>
              <w:keepLines/>
              <w:jc w:val="left"/>
            </w:pPr>
            <w:r/>
            <w:r>
              <w:rPr>
                <w:rFonts w:ascii="Times New Roman" w:hAnsi="Times New Roman" w:eastAsia="Times New Roman" w:cs="Times New Roman"/>
                <w:b w:val="0"/>
                <w:color w:val="1F1F1F"/>
                <w:sz w:val="14"/>
              </w:rPr>
              <w:t>saturated expression/PCA boundary replication; no coordinate archive</w:t>
            </w:r>
          </w:p>
        </w:tc>
      </w:tr>
    </w:tbl>
    <w:p>
      <w:pPr>
        <w:pStyle w:val="PRICaption"/>
      </w:pPr>
      <w:r>
        <w:rPr>
          <w:rFonts w:ascii="Times New Roman" w:hAnsi="Times New Roman" w:eastAsia="Times New Roman" w:cs="Times New Roman"/>
          <w:b w:val="0"/>
          <w:color w:val="1F1F1F"/>
          <w:sz w:val="17"/>
        </w:rPr>
        <w:t>Diagnostic arms are shown to expose estimand mismatch or comparator artefacts. They are not alternative primary models and cannot be used to claim incremental value.</w:t>
      </w:r>
    </w:p>
    <w:p>
      <w:pPr>
        <w:pStyle w:val="3"/>
      </w:pPr>
      <w:r>
        <w:rPr>
          <w:rFonts w:ascii="Times New Roman" w:hAnsi="Times New Roman" w:eastAsia="Times New Roman" w:cs="Times New Roman"/>
          <w:b/>
          <w:color w:val="1F1F1F"/>
          <w:sz w:val="26"/>
        </w:rPr>
        <w:t>3.5. Spatial coordinate shuffling does not reveal coordinate-specific incremental value for the selected graph</w:t>
      </w:r>
    </w:p>
    <w:p>
      <w:pPr/>
      <w:r>
        <w:rPr>
          <w:rFonts w:ascii="Times New Roman" w:hAnsi="Times New Roman" w:eastAsia="Times New Roman" w:cs="Times New Roman"/>
          <w:b w:val="0"/>
          <w:color w:val="1F1F1F"/>
          <w:sz w:val="23"/>
        </w:rPr>
        <w:t>Coordinate shuffling preserved every expression count, disease label, held-out patient fold and fold-specific HVG set, while permuting location within sample. The spatial-graph AUROC was 0.870; the 500-shuffle null mean was also 0.870 (tail P=0.563). For the combined expression-plus-spatial model, observed AUROC was 0.875 and null mean was 0.879 (tail P=0.677; Figure 5B). Thus, after expression and sampling structure were held fixed, the selected coordinate graph did not show a detectable patient-level contribution from the observed coordinate arrangement.</w:t>
      </w:r>
    </w:p>
    <w:p>
      <w:pPr/>
      <w:r>
        <w:rPr>
          <w:rFonts w:ascii="Times New Roman" w:hAnsi="Times New Roman" w:eastAsia="Times New Roman" w:cs="Times New Roman"/>
          <w:b w:val="0"/>
          <w:color w:val="1F1F1F"/>
          <w:sz w:val="23"/>
        </w:rPr>
        <w:t>This is a representation-specific result. It neither invalidates spatial transcriptomics nor establishes that spatial mechanisms are unimportant in psoriasis. It does establish that an attractive spatial map or a high absolute spatial-model score is insufficient evidence for coordinate-specific incremental prediction in this public cohort.</w:t>
      </w:r>
    </w:p>
    <w:p>
      <w:pPr>
        <w:keepNext/>
        <w:keepLines/>
        <w:spacing w:before="100" w:after="0"/>
        <w:jc w:val="center"/>
      </w:pPr>
      <w:r>
        <w:drawing>
          <wp:inline xmlns:a="http://schemas.openxmlformats.org/drawingml/2006/main" xmlns:pic="http://schemas.openxmlformats.org/drawingml/2006/picture">
            <wp:extent cx="5157216" cy="2011535"/>
            <wp:docPr id="6" name="Figure 5" title="Figure 5" descr="Random measurement-split and spatial coordinate-shuffle diagnostics."/>
            <wp:cNvGraphicFramePr>
              <a:graphicFrameLocks noChangeAspect="1"/>
            </wp:cNvGraphicFramePr>
            <a:graphic>
              <a:graphicData uri="http://schemas.openxmlformats.org/drawingml/2006/picture">
                <pic:pic>
                  <pic:nvPicPr>
                    <pic:cNvPr id="0" name="fig12_v21_independence_and_spatial_null.png"/>
                    <pic:cNvPicPr/>
                  </pic:nvPicPr>
                  <pic:blipFill>
                    <a:blip r:embed="rId31"/>
                    <a:stretch>
                      <a:fillRect/>
                    </a:stretch>
                  </pic:blipFill>
                  <pic:spPr>
                    <a:xfrm>
                      <a:off x="0" y="0"/>
                      <a:ext cx="5157216" cy="2011535"/>
                    </a:xfrm>
                    <a:prstGeom prst="rect"/>
                  </pic:spPr>
                </pic:pic>
              </a:graphicData>
            </a:graphic>
          </wp:inline>
        </w:drawing>
      </w:r>
    </w:p>
    <w:p>
      <w:pPr>
        <w:pStyle w:val="PRICaption"/>
      </w:pPr>
      <w:r>
        <w:rPr>
          <w:rFonts w:ascii="Times New Roman" w:hAnsi="Times New Roman" w:eastAsia="Times New Roman" w:cs="Times New Roman"/>
          <w:b w:val="0"/>
          <w:color w:val="1F1F1F"/>
          <w:sz w:val="18"/>
        </w:rPr>
        <w:t>Figure 5. Independence and spatial-null diagnostics. (A) Random cell/spot splits produce high AUROCs but every test measurement derives from a source sample already represented in training; they estimate within-source measurement interpolation, not new-patient prediction. (B) In GSE206391, 500 within-sample coordinate shuffles retain counts, labels, folds and fold-specific HVGs. Spatial-graph and combined-model null distributions overlap their observed held-out AUROCs, providing no coordinate-specific incremental evidence for the tested graph representation.</w:t>
      </w:r>
    </w:p>
    <w:p>
      <w:pPr>
        <w:pStyle w:val="3"/>
      </w:pPr>
      <w:r>
        <w:rPr>
          <w:rFonts w:ascii="Times New Roman" w:hAnsi="Times New Roman" w:eastAsia="Times New Roman" w:cs="Times New Roman"/>
          <w:b/>
          <w:color w:val="1F1F1F"/>
          <w:sz w:val="26"/>
        </w:rPr>
        <w:t>3.6. An independent high-resolution boundary replication is saturated rather than favourable to PCA</w:t>
      </w:r>
    </w:p>
    <w:p>
      <w:pPr/>
      <w:r>
        <w:rPr>
          <w:rFonts w:ascii="Times New Roman" w:hAnsi="Times New Roman" w:eastAsia="Times New Roman" w:cs="Times New Roman"/>
          <w:b w:val="0"/>
          <w:color w:val="1F1F1F"/>
          <w:sz w:val="23"/>
        </w:rPr>
        <w:t>The externally selected GSE202011 archive provided five paired lesion/non-lesion psoriasis patients. Strict leave-one-patient-out expression and PCA each attained AUROC 1.000; the PCA increment was exactly 0.000 with a paired-patient bootstrap interval of 0.000 to 0.000. The 500 paired-label-permutation P value was 0.064 for each saturated classifier. This result is not a powered equivalence test and cannot establish PCA non-inferiority. It does, however, reproduce the boundary relevant to this manuscript: when expression already separates the available held-out patients perfectly, a low-rank transform has not demonstrated added patient-level information.</w:t>
      </w:r>
    </w:p>
    <w:p>
      <w:pPr/>
      <w:r>
        <w:rPr>
          <w:rFonts w:ascii="Times New Roman" w:hAnsi="Times New Roman" w:eastAsia="Times New Roman" w:cs="Times New Roman"/>
          <w:b w:val="0"/>
          <w:color w:val="1F1F1F"/>
          <w:sz w:val="23"/>
        </w:rPr>
        <w:t>GSE202011 is not used as an external spatial validation because the selected public archive did not include coordinate files. The distinction is recorded in the selection ledger and prevents a spatial generalisation from being inferred where the data do not support one.</w:t>
      </w:r>
    </w:p>
    <w:p>
      <w:pPr>
        <w:pStyle w:val="2"/>
      </w:pPr>
      <w:r>
        <w:rPr>
          <w:rFonts w:ascii="Times New Roman" w:hAnsi="Times New Roman" w:eastAsia="Times New Roman" w:cs="Times New Roman"/>
          <w:b/>
          <w:color w:val="1F1F1F"/>
          <w:sz w:val="30"/>
        </w:rPr>
        <w:t>4. Discussion</w:t>
      </w:r>
    </w:p>
    <w:p>
      <w:pPr/>
      <w:r>
        <w:rPr>
          <w:rFonts w:ascii="Times New Roman" w:hAnsi="Times New Roman" w:eastAsia="Times New Roman" w:cs="Times New Roman"/>
          <w:b w:val="0"/>
          <w:color w:val="1F1F1F"/>
          <w:sz w:val="23"/>
        </w:rPr>
        <w:t>The central finding is methodological and empirical. In the public psoriasis cohorts considered here, patient-level disease-state expression was strong and high-resolution representations contained interpretable disease-associated structure, yet the tested low-rank and spatial encoders did not demonstrate a reproducible AUROC increment over a matched expression reference. This is not a “high-resolution data are useless” result. It is a test of the narrower, stronger assertion that resolution improves patient-level discrimination beyond a comparator that receives the same patients, folds and feature budget.</w:t>
      </w:r>
    </w:p>
    <w:p>
      <w:pPr/>
      <w:r>
        <w:rPr>
          <w:rFonts w:ascii="Times New Roman" w:hAnsi="Times New Roman" w:eastAsia="Times New Roman" w:cs="Times New Roman"/>
          <w:b w:val="0"/>
          <w:color w:val="1F1F1F"/>
          <w:sz w:val="23"/>
        </w:rPr>
        <w:t>PRI-Audit's contribution is the integration of evaluation conditions that are individually familiar but are rarely enforced as one evidence gate for high-resolution transcriptomics. The known-truth simulations establish that this implemented gate has no observed false-positive declarations under the fixed non-incremental hierarchy, detects a controlled coordinate-only increment, and rejects two common artifacts. Nested preprocessing guards the outer test boundary. Matched expression prevents a feature-budget or cohort mismatch from being credited to a representation. Independent-unit bootstrap resists the false precision created by cell/spot counts. Finally, counterfactual diagnostics state what source of information a representation claims to exploit: cell reassignment for compositional representations and coordinate shuffle for coordinate-based graph features. The framework therefore yields a result that can be falsified and reused, rather than an opaque modelling recipe.</w:t>
      </w:r>
    </w:p>
    <w:p>
      <w:pPr/>
      <w:r>
        <w:rPr>
          <w:rFonts w:ascii="Times New Roman" w:hAnsi="Times New Roman" w:eastAsia="Times New Roman" w:cs="Times New Roman"/>
          <w:b w:val="0"/>
          <w:color w:val="1F1F1F"/>
          <w:sz w:val="23"/>
        </w:rPr>
        <w:t>The diagnostic experiments make the practical stakes visible. Random measurement splits approach AUROC 1.0 because they repeatedly test measurements from biopsies already present in training. The deliberately weakened spatial expression comparator can manufacture an apparent +0.082 PCA gain. Neither pattern provides evidence that a future patient's disease state will be better predicted. Equally importantly, the fully nested neighbourhood analysis did not produce a fixed-sign global–strict gap across K. We therefore retire historical universal-optimism wording. The evidence supports a more disciplined claim: construction scope changes the estimand and its consequences are representation-resolution dependent.</w:t>
      </w:r>
    </w:p>
    <w:p>
      <w:pPr/>
      <w:r>
        <w:rPr>
          <w:rFonts w:ascii="Times New Roman" w:hAnsi="Times New Roman" w:eastAsia="Times New Roman" w:cs="Times New Roman"/>
          <w:b w:val="0"/>
          <w:color w:val="1F1F1F"/>
          <w:sz w:val="23"/>
        </w:rPr>
        <w:t>The spatial conclusion also requires restraint. The coordinate-shuffle null was centred at the observed spatial-graph performance, but this does not prove the absence of spatial biology. It says that the particular graph summary used here did not recover a patient-level coordinate-specific increment after disease expression and sample structure were controlled. Spatial data may still be decisive for compartment-specific mechanisms, tissue architecture, biomarker localisation, or within-biopsy biology; those are different targets from cross-patient lesion discrimination.</w:t>
      </w:r>
    </w:p>
    <w:p>
      <w:pPr/>
      <w:r>
        <w:rPr>
          <w:rFonts w:ascii="Times New Roman" w:hAnsi="Times New Roman" w:eastAsia="Times New Roman" w:cs="Times New Roman"/>
          <w:b w:val="0"/>
          <w:color w:val="1F1F1F"/>
          <w:sz w:val="23"/>
        </w:rPr>
        <w:t>Several limitations are inherent. Independent-unit counts remain small, and multiple cohorts are score-saturated; the study cannot establish equivalence between representation families. The 11 cohorts have heterogeneous analytical roles, so they should not be presented as 11 identically powered external prediction tests. GSE202011 strengthens the expression/PCA boundary but lacks coordinates, leaving external spatial-graph transfer untested. The selected practical threshold (+0.05 AUROC) is a transparent decision threshold, not a biological law. Finally, the framework evaluates the implemented representations, not every possible cell-state or spatial model.</w:t>
      </w:r>
    </w:p>
    <w:p>
      <w:pPr/>
      <w:r>
        <w:rPr>
          <w:rFonts w:ascii="Times New Roman" w:hAnsi="Times New Roman" w:eastAsia="Times New Roman" w:cs="Times New Roman"/>
          <w:b w:val="0"/>
          <w:color w:val="1F1F1F"/>
          <w:sz w:val="23"/>
        </w:rPr>
        <w:t>The appropriate next step is not post hoc tuning until a complex model exceeds a baseline. It is prospective application of the frozen PRI-Audit contracts to larger, genuinely independent cohorts with pre-specified clinical or mechanistic endpoints. Such studies can test whether a representation gains value in a setting with headroom beyond expression, while retaining the matched-reference and biological-unit safeguards shown here.</w:t>
      </w:r>
    </w:p>
    <w:p>
      <w:pPr>
        <w:pStyle w:val="2"/>
      </w:pPr>
      <w:r>
        <w:rPr>
          <w:rFonts w:ascii="Times New Roman" w:hAnsi="Times New Roman" w:eastAsia="Times New Roman" w:cs="Times New Roman"/>
          <w:b/>
          <w:color w:val="1F1F1F"/>
          <w:sz w:val="30"/>
        </w:rPr>
        <w:t>5. Conclusion</w:t>
      </w:r>
    </w:p>
    <w:p>
      <w:pPr/>
      <w:r>
        <w:rPr>
          <w:rFonts w:ascii="Times New Roman" w:hAnsi="Times New Roman" w:eastAsia="Times New Roman" w:cs="Times New Roman"/>
          <w:b w:val="0"/>
          <w:color w:val="1F1F1F"/>
          <w:sz w:val="23"/>
        </w:rPr>
        <w:t>PRI-Audit transforms a broad claim—“higher transcriptomic resolution improves prediction”—into a bounded test. Known-truth simulation confirms that the implemented evidence gate rejects source-overlap and weak-reference artifacts while retaining sensitivity to a controlled coordinate-only increment. Across the available public psoriasis data, disease-state signal was reproducible, but no tested low-rank, spot-topic or spatial representation demonstrated a reproducible patient-level AUROC increment over matched expression. The contribution is therefore a reusable, reproducible and falsifiable method for distinguishing biological detail from established predictive gain.</w:t>
      </w:r>
    </w:p>
    <w:p>
      <w:pPr>
        <w:pStyle w:val="2"/>
      </w:pPr>
      <w:r>
        <w:rPr>
          <w:rFonts w:ascii="Times New Roman" w:hAnsi="Times New Roman" w:eastAsia="Times New Roman" w:cs="Times New Roman"/>
          <w:b/>
          <w:color w:val="1F1F1F"/>
          <w:sz w:val="30"/>
        </w:rPr>
        <w:t>Declarations</w:t>
      </w:r>
    </w:p>
    <w:p>
      <w:pPr>
        <w:pStyle w:val="3"/>
      </w:pPr>
      <w:r>
        <w:rPr>
          <w:rFonts w:ascii="Times New Roman" w:hAnsi="Times New Roman" w:eastAsia="Times New Roman" w:cs="Times New Roman"/>
          <w:b/>
          <w:color w:val="1F1F1F"/>
          <w:sz w:val="26"/>
        </w:rPr>
        <w:t>Data availability</w:t>
      </w:r>
    </w:p>
    <w:p>
      <w:pPr/>
      <w:r>
        <w:rPr>
          <w:rFonts w:ascii="Times New Roman" w:hAnsi="Times New Roman" w:eastAsia="Times New Roman" w:cs="Times New Roman"/>
          <w:b w:val="0"/>
          <w:color w:val="1F1F1F"/>
          <w:sz w:val="23"/>
        </w:rPr>
        <w:t>All analysed datasets are de-identified public GEO records. The all-input registry includes GSE117239, GSE136757, GSE151177, GSE153007, GSE173706, GSE182740, GSE206391, GSE24767, GSE51440, GSE57225 and GSE85034; GSE202011 was independently added for the frozen boundary replication. Raw-input SHA-256 checksums, retrieval paths and analysis roles are in the accompanying reproducibility manifest.</w:t>
      </w:r>
    </w:p>
    <w:p>
      <w:pPr>
        <w:pStyle w:val="3"/>
      </w:pPr>
      <w:r>
        <w:rPr>
          <w:rFonts w:ascii="Times New Roman" w:hAnsi="Times New Roman" w:eastAsia="Times New Roman" w:cs="Times New Roman"/>
          <w:b/>
          <w:color w:val="1F1F1F"/>
          <w:sz w:val="26"/>
        </w:rPr>
        <w:t>Code availability</w:t>
      </w:r>
    </w:p>
    <w:p>
      <w:pPr/>
      <w:r>
        <w:rPr>
          <w:rFonts w:ascii="Times New Roman" w:hAnsi="Times New Roman" w:eastAsia="Times New Roman" w:cs="Times New Roman"/>
          <w:b w:val="0"/>
          <w:color w:val="1F1F1F"/>
          <w:sz w:val="23"/>
        </w:rPr>
        <w:t>The final public repository URL, archival release and immutable DOI must be inserted after authors freeze and archive the code. The package includes the one-command v21 reproduction runner, version-locked requirements, raw-input manifests, prediction rows, bootstrap arrays, complete null distributions and a figure/table source manifest.</w:t>
      </w:r>
    </w:p>
    <w:p>
      <w:pPr>
        <w:pStyle w:val="3"/>
      </w:pPr>
      <w:r>
        <w:rPr>
          <w:rFonts w:ascii="Times New Roman" w:hAnsi="Times New Roman" w:eastAsia="Times New Roman" w:cs="Times New Roman"/>
          <w:b/>
          <w:color w:val="1F1F1F"/>
          <w:sz w:val="26"/>
        </w:rPr>
        <w:t>Funding</w:t>
      </w:r>
    </w:p>
    <w:p>
      <w:pPr/>
      <w:r>
        <w:rPr>
          <w:rFonts w:ascii="Times New Roman" w:hAnsi="Times New Roman" w:eastAsia="Times New Roman" w:cs="Times New Roman"/>
          <w:b w:val="0"/>
          <w:color w:val="1F1F1F"/>
          <w:sz w:val="23"/>
        </w:rPr>
        <w:t>[Funding sources and grant numbers to be supplied by the authors.]</w:t>
      </w:r>
    </w:p>
    <w:p>
      <w:pPr>
        <w:pStyle w:val="3"/>
      </w:pPr>
      <w:r>
        <w:rPr>
          <w:rFonts w:ascii="Times New Roman" w:hAnsi="Times New Roman" w:eastAsia="Times New Roman" w:cs="Times New Roman"/>
          <w:b/>
          <w:color w:val="1F1F1F"/>
          <w:sz w:val="26"/>
        </w:rPr>
        <w:t>Author contributions</w:t>
      </w:r>
    </w:p>
    <w:p>
      <w:pPr/>
      <w:r>
        <w:rPr>
          <w:rFonts w:ascii="Times New Roman" w:hAnsi="Times New Roman" w:eastAsia="Times New Roman" w:cs="Times New Roman"/>
          <w:b w:val="0"/>
          <w:color w:val="1F1F1F"/>
          <w:sz w:val="23"/>
        </w:rPr>
        <w:t>[Author initials and CRediT roles to be supplied after author order is finalized.]</w:t>
      </w:r>
    </w:p>
    <w:p>
      <w:pPr>
        <w:pStyle w:val="3"/>
      </w:pPr>
      <w:r>
        <w:rPr>
          <w:rFonts w:ascii="Times New Roman" w:hAnsi="Times New Roman" w:eastAsia="Times New Roman" w:cs="Times New Roman"/>
          <w:b/>
          <w:color w:val="1F1F1F"/>
          <w:sz w:val="26"/>
        </w:rPr>
        <w:t>Conflicts of interest</w:t>
      </w:r>
    </w:p>
    <w:p>
      <w:pPr/>
      <w:r>
        <w:rPr>
          <w:rFonts w:ascii="Times New Roman" w:hAnsi="Times New Roman" w:eastAsia="Times New Roman" w:cs="Times New Roman"/>
          <w:b w:val="0"/>
          <w:color w:val="1F1F1F"/>
          <w:sz w:val="23"/>
        </w:rPr>
        <w:t>[Conflict-of-interest declaration to be supplied by all authors.]</w:t>
      </w:r>
    </w:p>
    <w:p>
      <w:pPr>
        <w:pStyle w:val="3"/>
      </w:pPr>
      <w:r>
        <w:rPr>
          <w:rFonts w:ascii="Times New Roman" w:hAnsi="Times New Roman" w:eastAsia="Times New Roman" w:cs="Times New Roman"/>
          <w:b/>
          <w:color w:val="1F1F1F"/>
          <w:sz w:val="26"/>
        </w:rPr>
        <w:t>Ethics statement</w:t>
      </w:r>
    </w:p>
    <w:p>
      <w:pPr/>
      <w:r>
        <w:rPr>
          <w:rFonts w:ascii="Times New Roman" w:hAnsi="Times New Roman" w:eastAsia="Times New Roman" w:cs="Times New Roman"/>
          <w:b w:val="0"/>
          <w:color w:val="1F1F1F"/>
          <w:sz w:val="23"/>
        </w:rPr>
        <w:t>This study reanalysed de-identified public datasets and involved no new participant recruitment, intervention, or access to identifiable information. The authors must confirm the final institutional wording before submission.</w:t>
      </w:r>
    </w:p>
    <w:p>
      <w:pPr>
        <w:pStyle w:val="3"/>
      </w:pPr>
      <w:r>
        <w:rPr>
          <w:rFonts w:ascii="Times New Roman" w:hAnsi="Times New Roman" w:eastAsia="Times New Roman" w:cs="Times New Roman"/>
          <w:b/>
          <w:color w:val="1F1F1F"/>
          <w:sz w:val="26"/>
        </w:rPr>
        <w:t>Acknowledgements</w:t>
      </w:r>
    </w:p>
    <w:p>
      <w:pPr/>
      <w:r>
        <w:rPr>
          <w:rFonts w:ascii="Times New Roman" w:hAnsi="Times New Roman" w:eastAsia="Times New Roman" w:cs="Times New Roman"/>
          <w:b w:val="0"/>
          <w:color w:val="1F1F1F"/>
          <w:sz w:val="23"/>
        </w:rPr>
        <w:t>We thank the original investigators and participants who generated and publicly deposited the transcriptomic datasets used in this benchmark. [Additional acknowledgements to be supplied.]</w:t>
      </w:r>
    </w:p>
    <w:p>
      <w:pPr>
        <w:pStyle w:val="2"/>
      </w:pPr>
      <w:r>
        <w:rPr>
          <w:rFonts w:ascii="Times New Roman" w:hAnsi="Times New Roman" w:eastAsia="Times New Roman" w:cs="Times New Roman"/>
          <w:b/>
          <w:color w:val="1F1F1F"/>
          <w:sz w:val="30"/>
        </w:rPr>
        <w:t>References</w:t>
      </w:r>
    </w:p>
    <w:p>
      <w:pPr>
        <w:pStyle w:val="PRIReference"/>
      </w:pPr>
      <w:r>
        <w:rPr>
          <w:rFonts w:ascii="Times New Roman" w:hAnsi="Times New Roman" w:eastAsia="Times New Roman" w:cs="Times New Roman"/>
          <w:b w:val="0"/>
          <w:color w:val="1F1F1F"/>
          <w:sz w:val="19"/>
        </w:rPr>
        <w:t>1. Boehncke WH, Schön MP. Psoriasis. Lancet. 2015;386:983–994. doi:10.1016/S0140-6736(14)61909-7.</w:t>
      </w:r>
    </w:p>
    <w:p>
      <w:pPr>
        <w:pStyle w:val="PRIReference"/>
      </w:pPr>
      <w:r>
        <w:rPr>
          <w:rFonts w:ascii="Times New Roman" w:hAnsi="Times New Roman" w:eastAsia="Times New Roman" w:cs="Times New Roman"/>
          <w:b w:val="0"/>
          <w:color w:val="1F1F1F"/>
          <w:sz w:val="19"/>
        </w:rPr>
        <w:t>2. Lowes MA, Suárez-Fariñas M, Krueger JG. Immunology of psoriasis. Annu Rev Immunol. 2014;32:227–255. doi:10.1146/annurev-immunol-032713-120225.</w:t>
      </w:r>
    </w:p>
    <w:p>
      <w:pPr>
        <w:pStyle w:val="PRIReference"/>
      </w:pPr>
      <w:r>
        <w:rPr>
          <w:rFonts w:ascii="Times New Roman" w:hAnsi="Times New Roman" w:eastAsia="Times New Roman" w:cs="Times New Roman"/>
          <w:b w:val="0"/>
          <w:color w:val="1F1F1F"/>
          <w:sz w:val="19"/>
        </w:rPr>
        <w:t>3. Tian S, Krueger JG, Li K, et al. Meta-analysis derived transcriptome of psoriasis defines core pathogenesis. PLoS One. 2012;7:e44274. doi:10.1371/journal.pone.0044274.</w:t>
      </w:r>
    </w:p>
    <w:p>
      <w:pPr>
        <w:pStyle w:val="PRIReference"/>
      </w:pPr>
      <w:r>
        <w:rPr>
          <w:rFonts w:ascii="Times New Roman" w:hAnsi="Times New Roman" w:eastAsia="Times New Roman" w:cs="Times New Roman"/>
          <w:b w:val="0"/>
          <w:color w:val="1F1F1F"/>
          <w:sz w:val="19"/>
        </w:rPr>
        <w:t>4. Kim J, Lee J, Kim HJ, et al. Single-cell transcriptomics of psoriasis immune populations. J Allergy Clin Immunol. 2021;148:1281–1292. doi:10.1016/j.jaci.2021.04.021.</w:t>
      </w:r>
    </w:p>
    <w:p>
      <w:pPr>
        <w:pStyle w:val="PRIReference"/>
      </w:pPr>
      <w:r>
        <w:rPr>
          <w:rFonts w:ascii="Times New Roman" w:hAnsi="Times New Roman" w:eastAsia="Times New Roman" w:cs="Times New Roman"/>
          <w:b w:val="0"/>
          <w:color w:val="1F1F1F"/>
          <w:sz w:val="19"/>
        </w:rPr>
        <w:t>5. Ma F, Plazyo O, Billi AC, et al. Single cell and spatial sequencing define inflammatory amplification in psoriasis. Nat Commun. 2023;14:3455. doi:10.1038/s41467-023-39020-4.</w:t>
      </w:r>
    </w:p>
    <w:p>
      <w:pPr>
        <w:pStyle w:val="PRIReference"/>
      </w:pPr>
      <w:r>
        <w:rPr>
          <w:rFonts w:ascii="Times New Roman" w:hAnsi="Times New Roman" w:eastAsia="Times New Roman" w:cs="Times New Roman"/>
          <w:b w:val="0"/>
          <w:color w:val="1F1F1F"/>
          <w:sz w:val="19"/>
        </w:rPr>
        <w:t>6. Schäbitz A, Hillig C, Mubarak M, et al. Spatial transcriptomics landscape of lesions from inflammatory skin diseases. Nat Commun. 2022;13:7729. doi:10.1038/s41467-022-35319-w.</w:t>
      </w:r>
    </w:p>
    <w:p>
      <w:pPr>
        <w:pStyle w:val="PRIReference"/>
      </w:pPr>
      <w:r>
        <w:rPr>
          <w:rFonts w:ascii="Times New Roman" w:hAnsi="Times New Roman" w:eastAsia="Times New Roman" w:cs="Times New Roman"/>
          <w:b w:val="0"/>
          <w:color w:val="1F1F1F"/>
          <w:sz w:val="19"/>
        </w:rPr>
        <w:t>7. Zimmerman KD, Espeland MA, Langefeld CD. A practical solution to pseudoreplication bias in single-cell studies. Nat Commun. 2021;12:738. doi:10.1038/s41467-021-21038-1.</w:t>
      </w:r>
    </w:p>
    <w:p>
      <w:pPr>
        <w:pStyle w:val="PRIReference"/>
      </w:pPr>
      <w:r>
        <w:rPr>
          <w:rFonts w:ascii="Times New Roman" w:hAnsi="Times New Roman" w:eastAsia="Times New Roman" w:cs="Times New Roman"/>
          <w:b w:val="0"/>
          <w:color w:val="1F1F1F"/>
          <w:sz w:val="19"/>
        </w:rPr>
        <w:t>8. Squair JW, Gautier M, Kathe C, et al. Confronting false discoveries in single-cell differential expression. Nat Commun. 2021;12:5692. doi:10.1038/s41467-021-25960-2.</w:t>
      </w:r>
    </w:p>
    <w:p>
      <w:pPr>
        <w:pStyle w:val="PRIReference"/>
      </w:pPr>
      <w:r>
        <w:rPr>
          <w:rFonts w:ascii="Times New Roman" w:hAnsi="Times New Roman" w:eastAsia="Times New Roman" w:cs="Times New Roman"/>
          <w:b w:val="0"/>
          <w:color w:val="1F1F1F"/>
          <w:sz w:val="19"/>
        </w:rPr>
        <w:t>9. Ambroise C, McLachlan GJ. Selection bias in gene extraction from microarray data. Proc Natl Acad Sci USA. 2002;99:6562–6566. doi:10.1073/pnas.102102699.</w:t>
      </w:r>
    </w:p>
    <w:p>
      <w:pPr>
        <w:pStyle w:val="PRIReference"/>
      </w:pPr>
      <w:r>
        <w:rPr>
          <w:rFonts w:ascii="Times New Roman" w:hAnsi="Times New Roman" w:eastAsia="Times New Roman" w:cs="Times New Roman"/>
          <w:b w:val="0"/>
          <w:color w:val="1F1F1F"/>
          <w:sz w:val="19"/>
        </w:rPr>
        <w:t>10. Varma S, Simon R. Bias in error estimation when using cross-validation for model selection. BMC Bioinformatics. 2006;7:91. doi:10.1186/1471-2105-7-91.</w:t>
      </w:r>
    </w:p>
    <w:p>
      <w:pPr>
        <w:pStyle w:val="PRIReference"/>
      </w:pPr>
      <w:r>
        <w:rPr>
          <w:rFonts w:ascii="Times New Roman" w:hAnsi="Times New Roman" w:eastAsia="Times New Roman" w:cs="Times New Roman"/>
          <w:b w:val="0"/>
          <w:color w:val="1F1F1F"/>
          <w:sz w:val="19"/>
        </w:rPr>
        <w:t>11. Van Calster B, McLernon DJ, van Smeden M, Wynants L, Steyerberg EW. Calibration: the Achilles heel of predictive analytics. BMC Med. 2019;17:230. doi:10.1186/s12916-019-1466-7.</w:t>
      </w:r>
    </w:p>
    <w:p>
      <w:pPr>
        <w:pStyle w:val="PRIReference"/>
      </w:pPr>
      <w:r>
        <w:rPr>
          <w:rFonts w:ascii="Times New Roman" w:hAnsi="Times New Roman" w:eastAsia="Times New Roman" w:cs="Times New Roman"/>
          <w:b w:val="0"/>
          <w:color w:val="1F1F1F"/>
          <w:sz w:val="19"/>
        </w:rPr>
        <w:t>12. Edgar R, Domrachev M, Lash AE. Gene Expression Omnibus: NCBI gene expression repository. Nucleic Acids Res. 2002;30:207–210. doi:10.1093/nar/30.1.207.</w:t>
      </w:r>
    </w:p>
    <w:sectPr>
      <w:headerReference w:type="default" r:id="rId24"/>
      <w:footerReference w:type="default" r:id="rId25"/>
      <w:pgSz w:w="11909" w:h="16834"/>
      <w:pgMar w:top="1440" w:right="1800" w:bottom="1440" w:left="1800" w:header="576" w:footer="576"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6-05-26T16:08:00Z" w:initials="A">
    <w:p w14:paraId="69B37F73">
      <w:pPr>
        <w:pStyle w:val="9"/>
        <w:ind w:firstLine="560"/>
      </w:pPr>
      <w:r>
        <w:rPr>
          <w:rFonts w:hint="eastAsia"/>
        </w:rPr>
        <w:t>别动我的批注，修改的话开启word修订模式，在我发给你的版本上做修改，别在你原来的版本上弄</w:t>
      </w:r>
    </w:p>
    <w:p w14:paraId="3245C0F7">
      <w:pPr>
        <w:pStyle w:val="9"/>
      </w:pPr>
    </w:p>
  </w:comment>
  <w:comment w:id="1" w:author="祁涟柒子衿" w:date="2026-06-01T13:33:50Z" w:initials="">
    <w:p w14:paraId="07A56842">
      <w:pPr>
        <w:pStyle w:val="9"/>
        <w:rPr>
          <w:rFonts w:hint="default" w:eastAsiaTheme="minorEastAsia"/>
          <w:lang w:val="en-US" w:eastAsia="zh-CN"/>
        </w:rPr>
      </w:pPr>
      <w:r>
        <w:rPr>
          <w:rFonts w:hint="eastAsia"/>
          <w:lang w:val="en-US" w:eastAsia="zh-CN"/>
        </w:rPr>
        <w:t>批注皆在</w:t>
      </w:r>
    </w:p>
  </w:comment>
  <w:comment w:id="2" w:author="Administrator" w:date="2026-05-19T19:05:00Z" w:initials="A">
    <w:p w14:paraId="7BCCA3C8">
      <w:pPr>
        <w:pStyle w:val="9"/>
      </w:pPr>
      <w:r>
        <w:rPr>
          <w:rFonts w:hint="eastAsia"/>
        </w:rPr>
        <w:t>过于通用，</w:t>
      </w:r>
      <w:r>
        <w:t>不应作为核心贡献点放在摘要。</w:t>
      </w:r>
    </w:p>
    <w:p w14:paraId="74B41F4C">
      <w:pPr>
        <w:pStyle w:val="9"/>
      </w:pPr>
    </w:p>
    <w:p w14:paraId="64ED6C28">
      <w:pPr>
        <w:pStyle w:val="9"/>
      </w:pPr>
    </w:p>
  </w:comment>
  <w:comment w:id="3" w:author="Administrator" w:date="2026-05-19T18:55:00Z" w:initials="A">
    <w:p w14:paraId="0560CB4D">
      <w:pPr>
        <w:pStyle w:val="9"/>
      </w:pPr>
      <w:r>
        <w:rPr>
          <w:rFonts w:hint="eastAsia"/>
        </w:rPr>
        <w:t>这种表述主观性太强，</w:t>
      </w:r>
      <w:r>
        <w:t>改为中性表述（ “achieves 98.79% accuracy”）</w:t>
      </w:r>
      <w:r>
        <w:rPr>
          <w:rFonts w:hint="eastAsia"/>
        </w:rPr>
        <w:t>，</w:t>
      </w:r>
      <w:r>
        <w:rPr>
          <w:rFonts w:ascii="Segoe UI" w:hAnsi="Segoe UI" w:cs="Segoe UI"/>
          <w:color w:val="0F1115"/>
          <w:shd w:val="clear" w:color="auto" w:fill="FFFFFF"/>
        </w:rPr>
        <w:t xml:space="preserve"> </w:t>
      </w:r>
      <w:r>
        <w:t>“significantly improves”</w:t>
      </w:r>
      <w:r>
        <w:rPr>
          <w:rFonts w:hint="eastAsia"/>
        </w:rPr>
        <w:t>、</w:t>
      </w:r>
      <w:r>
        <w:rPr>
          <w:rFonts w:ascii="Segoe UI" w:hAnsi="Segoe UI" w:cs="Segoe UI"/>
          <w:color w:val="0F1115"/>
          <w:shd w:val="clear" w:color="auto" w:fill="FFFFFF"/>
        </w:rPr>
        <w:t xml:space="preserve"> </w:t>
      </w:r>
      <w:r>
        <w:t>“effectively enhances”</w:t>
      </w:r>
      <w:r>
        <w:rPr>
          <w:rFonts w:hint="eastAsia"/>
        </w:rPr>
        <w:t>也是同样的问题，而且</w:t>
      </w:r>
      <w:r>
        <w:t>“significantly improves classification performance and effectively enhances the discrimination…”与 “achieves 98.79% accuracy… robust cross-dataset generalization”语义重复，且未提供新的量化信息，可合并或删除。</w:t>
      </w:r>
    </w:p>
  </w:comment>
  <w:comment w:id="4" w:author="祁涟柒子衿" w:date="2026-06-01T13:33:35Z" w:initials="">
    <w:p w14:paraId="6143846A">
      <w:pPr>
        <w:pStyle w:val="9"/>
        <w:rPr>
          <w:rFonts w:hint="default" w:eastAsiaTheme="minorEastAsia"/>
          <w:lang w:val="en-US" w:eastAsia="zh-CN"/>
        </w:rPr>
      </w:pPr>
      <w:r>
        <w:rPr>
          <w:rFonts w:hint="eastAsia"/>
          <w:lang w:val="en-US" w:eastAsia="zh-CN"/>
        </w:rPr>
        <w:t>已经修改为中性表述</w:t>
      </w:r>
    </w:p>
  </w:comment>
  <w:comment w:id="5" w:author="Administrator" w:date="2026-05-19T19:01:00Z" w:initials="A">
    <w:p w14:paraId="339AE66B">
      <w:pPr>
        <w:pStyle w:val="9"/>
      </w:pPr>
      <w:r>
        <w:rPr>
          <w:rFonts w:hint="eastAsia"/>
        </w:rPr>
        <w:t>仅说</w:t>
      </w:r>
      <w:r>
        <w:t>所提模型自身的性能（98.79% / 96.93% / 0.9956 AUC），未给出与代表性基线或最先进方法的对比结果</w:t>
      </w:r>
      <w:r>
        <w:rPr>
          <w:rFonts w:hint="eastAsia"/>
        </w:rPr>
        <w:t>。</w:t>
      </w:r>
    </w:p>
  </w:comment>
  <w:comment w:id="6" w:author="祁涟柒子衿" w:date="2026-06-01T13:33:26Z" w:initials="">
    <w:p w14:paraId="5C95944D">
      <w:pPr>
        <w:pStyle w:val="9"/>
        <w:rPr>
          <w:rFonts w:hint="default" w:eastAsiaTheme="minorEastAsia"/>
          <w:lang w:val="en-US" w:eastAsia="zh-CN"/>
        </w:rPr>
      </w:pPr>
      <w:r>
        <w:rPr>
          <w:rFonts w:hint="eastAsia"/>
          <w:lang w:val="en-US" w:eastAsia="zh-CN"/>
        </w:rPr>
        <w:t>已丰富对比</w:t>
      </w:r>
    </w:p>
  </w:comment>
  <w:comment w:id="7" w:author="Administrator" w:date="2026-05-19T20:59:00Z" w:initials="A">
    <w:p w14:paraId="1A3D293C">
      <w:pPr>
        <w:pStyle w:val="9"/>
      </w:pPr>
      <w:r>
        <w:t>括号缩写通常不在关键词中出现，只需写全称或缩写其一。且首字母应大写保持统一。</w:t>
      </w:r>
    </w:p>
  </w:comment>
  <w:comment w:id="8" w:author="祁涟柒子衿" w:date="2026-06-01T13:32:59Z" w:initials="">
    <w:p w14:paraId="02DEE239">
      <w:pPr>
        <w:pStyle w:val="9"/>
        <w:rPr>
          <w:rFonts w:hint="default" w:eastAsiaTheme="minorEastAsia"/>
          <w:lang w:val="en-US" w:eastAsia="zh-CN"/>
        </w:rPr>
      </w:pPr>
      <w:r>
        <w:rPr>
          <w:rFonts w:hint="eastAsia"/>
          <w:lang w:val="en-US" w:eastAsia="zh-CN"/>
        </w:rPr>
        <w:t>去除了括号</w:t>
      </w:r>
    </w:p>
  </w:comment>
  <w:comment w:id="9" w:author="Administrator" w:date="2026-05-19T20:57:00Z" w:initials="A">
    <w:p w14:paraId="500C3098">
      <w:pPr>
        <w:pStyle w:val="9"/>
      </w:pPr>
      <w:r>
        <w:rPr>
          <w:rFonts w:hint="eastAsia"/>
          <w:b/>
          <w:bCs/>
        </w:rPr>
        <w:t>这个关键词和摘要中的</w:t>
      </w:r>
      <w:bookmarkStart w:id="37" w:name="OLE_LINK1"/>
      <w:r>
        <w:rPr>
          <w:b/>
          <w:bCs/>
        </w:rPr>
        <w:t>Label Smoothing</w:t>
      </w:r>
      <w:bookmarkEnd w:id="37"/>
      <w:r>
        <w:rPr>
          <w:rFonts w:hint="eastAsia"/>
          <w:b/>
          <w:bCs/>
        </w:rPr>
        <w:t>不一样啊，要么替换为</w:t>
      </w:r>
      <w:r>
        <w:rPr>
          <w:b/>
          <w:bCs/>
        </w:rPr>
        <w:t>Label Smoothing</w:t>
      </w:r>
      <w:r>
        <w:rPr>
          <w:rFonts w:hint="eastAsia"/>
          <w:b/>
          <w:bCs/>
        </w:rPr>
        <w:t>，要么删除</w:t>
      </w:r>
    </w:p>
  </w:comment>
  <w:comment w:id="10" w:author="祁涟柒子衿" w:date="2026-06-01T13:33:14Z" w:initials="">
    <w:p w14:paraId="65F7685F">
      <w:pPr>
        <w:pStyle w:val="9"/>
        <w:rPr>
          <w:rFonts w:hint="eastAsia" w:eastAsiaTheme="minorEastAsia"/>
          <w:lang w:val="en-US" w:eastAsia="zh-CN"/>
        </w:rPr>
      </w:pPr>
      <w:r>
        <w:rPr>
          <w:rFonts w:hint="eastAsia"/>
          <w:lang w:val="en-US" w:eastAsia="zh-CN"/>
        </w:rPr>
        <w:t>已替换</w:t>
      </w:r>
    </w:p>
  </w:comment>
  <w:comment w:id="11" w:author="Administrator" w:date="2026-05-19T21:30:00Z" w:initials="A">
    <w:p w14:paraId="72051195">
      <w:pPr>
        <w:pStyle w:val="9"/>
      </w:pPr>
      <w:r>
        <w:rPr>
          <w:rFonts w:hint="eastAsia"/>
        </w:rPr>
        <w:t>文中其它引用按此格式改</w:t>
      </w:r>
    </w:p>
  </w:comment>
  <w:comment w:id="12" w:author="祁涟柒子衿" w:date="2026-06-01T13:25:29Z" w:initials="">
    <w:p w14:paraId="4E7E33FE">
      <w:pPr>
        <w:pStyle w:val="9"/>
        <w:rPr>
          <w:rFonts w:hint="default" w:eastAsiaTheme="minorEastAsia"/>
          <w:lang w:val="en-US" w:eastAsia="zh-CN"/>
        </w:rPr>
      </w:pPr>
      <w:r>
        <w:rPr>
          <w:rFonts w:hint="eastAsia"/>
          <w:lang w:val="en-US" w:eastAsia="zh-CN"/>
        </w:rPr>
        <w:t>全文其他地方已修改</w:t>
      </w:r>
    </w:p>
  </w:comment>
  <w:comment w:id="13" w:author="Administrator" w:date="2026-05-19T21:06:00Z" w:initials="A">
    <w:p w14:paraId="57EB6DE8">
      <w:pPr>
        <w:pStyle w:val="9"/>
      </w:pPr>
      <w:r>
        <w:rPr>
          <w:rFonts w:hint="eastAsia"/>
        </w:rPr>
        <w:t>统一为小写 choroidal neovascularization and drusen，或首次出现时给出缩写 choroidal neovascularization (CNV)，之后用 CNV。</w:t>
      </w:r>
    </w:p>
  </w:comment>
  <w:comment w:id="14" w:author="Administrator" w:date="2026-05-19T21:34:00Z" w:initials="A">
    <w:p w14:paraId="7028AC4B">
      <w:pPr>
        <w:pStyle w:val="9"/>
      </w:pPr>
      <w:r>
        <w:rPr>
          <w:rFonts w:hint="eastAsia"/>
        </w:rPr>
        <w:t>上一段提出的问题：</w:t>
      </w:r>
      <w:r>
        <w:t>(a) 模型依赖纹理、忽视结构边界</w:t>
      </w:r>
      <w:r>
        <w:rPr>
          <w:rFonts w:hint="eastAsia"/>
        </w:rPr>
        <w:t>；</w:t>
      </w:r>
      <w:r>
        <w:t>(b) 细粒度分类困难（如 CNV 与 drusen 形态相似）</w:t>
      </w:r>
      <w:r>
        <w:rPr>
          <w:rFonts w:hint="eastAsia"/>
        </w:rPr>
        <w:t>；</w:t>
      </w:r>
      <w:r>
        <w:t>(c) 单数据集导致泛化能力差（领域漂移）</w:t>
      </w:r>
      <w:r>
        <w:rPr>
          <w:rFonts w:hint="eastAsia"/>
        </w:rPr>
        <w:t>；</w:t>
      </w:r>
    </w:p>
    <w:p w14:paraId="71726E7B">
      <w:pPr>
        <w:pStyle w:val="9"/>
      </w:pPr>
      <w:r>
        <w:rPr>
          <w:rFonts w:hint="eastAsia"/>
        </w:rPr>
        <w:t>这一段是针对上面问题的解决方案，但</w:t>
      </w:r>
      <w:r>
        <w:t>对于挑战 (c) “泛化/领域漂移”，方法部分仅说“明确评估内外数据集”，</w:t>
      </w:r>
      <w:r>
        <w:rPr>
          <w:b/>
          <w:bCs/>
        </w:rPr>
        <w:t>并</w:t>
      </w:r>
      <w:r>
        <w:t>未提出任何技术手段（如域自适应、数据增强、对抗训练等）来提升泛化性。这会让读者质疑：方法本身是否解决了泛化问题？还是仅仅做了更严谨的验证？</w:t>
      </w:r>
      <w:r>
        <w:rPr>
          <w:rFonts w:hint="eastAsia"/>
        </w:rPr>
        <w:t>所以，</w:t>
      </w:r>
      <w:r>
        <w:t>要么在方法中加入提升泛化的技术（如域随机化、实例归一化等）</w:t>
      </w:r>
      <w:r>
        <w:rPr>
          <w:rFonts w:hint="eastAsia"/>
        </w:rPr>
        <w:t>，</w:t>
      </w:r>
      <w:r>
        <w:t>要么修改问题陈述，将 (c) 重新定义为“缺乏跨数据集验证的现状”，而不是“模型泛化能力差”——这样才与提出的评估策略一致。</w:t>
      </w:r>
    </w:p>
    <w:p w14:paraId="28A73248">
      <w:pPr>
        <w:pStyle w:val="9"/>
      </w:pPr>
    </w:p>
  </w:comment>
  <w:comment w:id="15" w:author="a32093" w:date="2026-05-30T16:02:00Z" w:initials="a">
    <w:p w14:paraId="49AA19E3">
      <w:pPr>
        <w:jc w:val="left"/>
      </w:pPr>
      <w:r>
        <w:rPr>
          <w:rFonts w:hint="eastAsia"/>
        </w:rPr>
        <w:t>谢谢老师提醒，我已修改问题陈述。不再把</w:t>
      </w:r>
      <w:r>
        <w:t>“</w:t>
      </w:r>
      <w:r>
        <w:rPr>
          <w:rFonts w:hint="eastAsia"/>
        </w:rPr>
        <w:t>提升泛化能力</w:t>
      </w:r>
      <w:r>
        <w:t>”</w:t>
      </w:r>
      <w:r>
        <w:rPr>
          <w:rFonts w:hint="eastAsia"/>
        </w:rPr>
        <w:t>作为方法目标，而是将其重新定义为</w:t>
      </w:r>
      <w:r>
        <w:t>“</w:t>
      </w:r>
      <w:r>
        <w:rPr>
          <w:rFonts w:hint="eastAsia"/>
        </w:rPr>
        <w:t>缺乏严格的跨数据集验证</w:t>
      </w:r>
      <w:r>
        <w:t>”</w:t>
      </w:r>
      <w:r>
        <w:rPr>
          <w:rFonts w:hint="eastAsia"/>
        </w:rPr>
        <w:t>。</w:t>
      </w:r>
    </w:p>
  </w:comment>
  <w:comment w:id="16" w:author="Administrator" w:date="2026-05-19T21:40:00Z" w:initials="A">
    <w:p w14:paraId="58E6470C">
      <w:pPr>
        <w:pStyle w:val="9"/>
      </w:pPr>
      <w:r>
        <w:t>Introduction 的结尾段应</w:t>
      </w:r>
      <w:r>
        <w:rPr>
          <w:b/>
          <w:bCs/>
        </w:rPr>
        <w:t>简要列出本文的主要贡献</w:t>
      </w:r>
      <w:r>
        <w:t>（通常用 “Our main contributions are: (1) ... (2) ...” 的形式），而不是重复方法特点。当前写法既啰嗦又缺乏清晰的结构。</w:t>
      </w:r>
    </w:p>
  </w:comment>
  <w:comment w:id="17" w:author="祁涟柒子衿" w:date="2026-06-01T13:32:44Z" w:initials="">
    <w:p w14:paraId="2B2A992F">
      <w:pPr>
        <w:pStyle w:val="9"/>
        <w:rPr>
          <w:rFonts w:hint="default" w:eastAsiaTheme="minorEastAsia"/>
          <w:lang w:val="en-US" w:eastAsia="zh-CN"/>
        </w:rPr>
      </w:pPr>
      <w:r>
        <w:rPr>
          <w:rFonts w:hint="eastAsia"/>
          <w:lang w:val="en-US" w:eastAsia="zh-CN"/>
        </w:rPr>
        <w:t>已按照要求修改</w:t>
      </w:r>
    </w:p>
  </w:comment>
  <w:comment w:id="18" w:author="Administrator" w:date="2026-05-26T09:46:00Z" w:initials="A">
    <w:p w14:paraId="1B0BF556">
      <w:pPr>
        <w:pStyle w:val="9"/>
      </w:pPr>
      <w:r>
        <w:rPr>
          <w:rFonts w:hint="eastAsia"/>
        </w:rPr>
        <w:t>一般为小写</w:t>
      </w:r>
      <w:r>
        <w:rPr>
          <w:rFonts w:hint="eastAsia" w:ascii="Times New Roman" w:hAnsi="Times New Roman" w:cs="Times New Roman"/>
        </w:rPr>
        <w:t>d</w:t>
      </w:r>
      <w:r>
        <w:rPr>
          <w:rFonts w:ascii="Times New Roman" w:hAnsi="Times New Roman" w:cs="Times New Roman"/>
        </w:rPr>
        <w:t>rusen</w:t>
      </w:r>
      <w:r>
        <w:rPr>
          <w:rFonts w:hint="eastAsia"/>
        </w:rPr>
        <w:t>，文中其它地方也要改为小写</w:t>
      </w:r>
    </w:p>
  </w:comment>
  <w:comment w:id="19" w:author="祁涟柒子衿" w:date="2026-06-01T13:24:57Z" w:initials="">
    <w:p w14:paraId="03E01D5C">
      <w:pPr>
        <w:pStyle w:val="9"/>
        <w:rPr>
          <w:rFonts w:hint="default" w:eastAsiaTheme="minorEastAsia"/>
          <w:lang w:val="en-US" w:eastAsia="zh-CN"/>
        </w:rPr>
      </w:pPr>
      <w:r>
        <w:rPr>
          <w:rFonts w:hint="eastAsia"/>
          <w:lang w:val="en-US" w:eastAsia="zh-CN"/>
        </w:rPr>
        <w:t>全文除了参考文献已修改</w:t>
      </w:r>
    </w:p>
  </w:comment>
  <w:comment w:id="20" w:author="Administrator" w:date="2026-05-25T20:49:00Z" w:initials="A">
    <w:p w14:paraId="512BF940">
      <w:pPr>
        <w:pStyle w:val="9"/>
      </w:pPr>
      <w:r>
        <w:t>未说明使用何种插值方法以及对齐到哪个具体空间尺寸</w:t>
      </w:r>
      <w:r>
        <w:rPr>
          <w:rFonts w:hint="eastAsia"/>
        </w:rPr>
        <w:t>，</w:t>
      </w:r>
      <w:r>
        <w:t>Semantic Branch 输出特征图尺寸是多少？</w:t>
      </w:r>
    </w:p>
  </w:comment>
  <w:comment w:id="21" w:author="祁涟柒子衿" w:date="2026-05-30T17:00:59Z" w:initials="">
    <w:p w14:paraId="2CAFDE25">
      <w:pPr>
        <w:pStyle w:val="9"/>
        <w:rPr>
          <w:rFonts w:hint="default" w:eastAsiaTheme="minorEastAsia"/>
          <w:lang w:val="en-US" w:eastAsia="zh-CN"/>
        </w:rPr>
      </w:pPr>
      <w:r>
        <w:rPr>
          <w:rFonts w:hint="eastAsia"/>
          <w:lang w:val="en-US" w:eastAsia="zh-CN"/>
        </w:rPr>
        <w:t>此处修改为The final block employs Conv(3x3), BN, and ReLU, intentionally omitting pooling and strided convolutions to preserve the spatial resolution at 300 × 300 pixels. Subsequently, bilinear interpolation is applied to downsample the edge feature map to 9 × 9 pixels, ensuring precise spatial alignment with the output of the Semantic Branch prior to fusion.</w:t>
      </w:r>
    </w:p>
  </w:comment>
  <w:comment w:id="22" w:author="Administrator" w:date="2026-05-25T20:52:00Z" w:initials="A">
    <w:p w14:paraId="7B5BBF3E">
      <w:pPr>
        <w:pStyle w:val="9"/>
      </w:pPr>
      <w:r>
        <w:rPr>
          <w:rFonts w:hint="eastAsia"/>
        </w:rPr>
        <w:t>该段落选择两端对齐</w:t>
      </w:r>
    </w:p>
  </w:comment>
  <w:comment w:id="23" w:author="Administrator" w:date="2026-05-26T09:43:00Z" w:initials="A">
    <w:p w14:paraId="404E791B">
      <w:pPr>
        <w:pStyle w:val="9"/>
      </w:pPr>
      <w:r>
        <w:t>明确说明损失函数的最终形式：是否在 mixup 生成的标签上再应用 label smoothing？或者两者择一？此外，EMA 和 SWA 也需要说明是否同时使用</w:t>
      </w:r>
    </w:p>
  </w:comment>
  <w:comment w:id="24" w:author="祁涟柒子衿" w:date="2026-06-01T13:31:28Z" w:initials="">
    <w:p w14:paraId="48A0CEDD">
      <w:pPr>
        <w:pStyle w:val="9"/>
        <w:rPr>
          <w:rFonts w:hint="default" w:eastAsiaTheme="minorEastAsia"/>
          <w:lang w:val="en-US" w:eastAsia="zh-CN"/>
        </w:rPr>
      </w:pPr>
      <w:r>
        <w:rPr>
          <w:rFonts w:hint="eastAsia"/>
          <w:lang w:val="en-US" w:eastAsia="zh-CN"/>
        </w:rPr>
        <w:t>文章已添加相关解释</w:t>
      </w:r>
    </w:p>
  </w:comment>
  <w:comment w:id="25" w:author="Administrator" w:date="2026-05-26T08:46:00Z" w:initials="A">
    <w:p w14:paraId="31DAE50C">
      <w:pPr>
        <w:pStyle w:val="9"/>
      </w:pPr>
      <w:r>
        <w:t>V3 是什么？ 仅提到 V1（单分支）、V2（双分支无 MSFA）、V4（完整模型）。V3首次出现，定义为 “V3 further enhances structural feature learning and shows greater sensitivity to edge-related patterns”，但未给出任何具体结构描述。读者无法知道 V3 与 V4 的差异。</w:t>
      </w:r>
    </w:p>
  </w:comment>
  <w:comment w:id="26" w:author="祁涟柒子衿" w:date="2026-06-01T13:31:16Z" w:initials="">
    <w:p w14:paraId="2F45FAA9">
      <w:pPr>
        <w:pStyle w:val="9"/>
        <w:rPr>
          <w:rFonts w:hint="default" w:eastAsiaTheme="minorEastAsia"/>
          <w:lang w:val="en-US" w:eastAsia="zh-CN"/>
        </w:rPr>
      </w:pPr>
      <w:r>
        <w:rPr>
          <w:rFonts w:hint="eastAsia"/>
          <w:lang w:val="en-US" w:eastAsia="zh-CN"/>
        </w:rPr>
        <w:t>已添加解释</w:t>
      </w:r>
    </w:p>
  </w:comment>
  <w:comment w:id="27" w:author="Administrator" w:date="2026-05-26T15:25:00Z" w:initials="A">
    <w:p w14:paraId="465E8973">
      <w:pPr>
        <w:pStyle w:val="9"/>
      </w:pPr>
      <w:r>
        <w:t>图4是混淆矩阵图，但未在正文中量化主要错误。建议补充：例如“CNV was misclassified as Drusen in 11 cases (3.1%), and Drusen as CNV in 9 cases (2.6%)”。这能帮助理解细粒度分类困难的程度。</w:t>
      </w:r>
    </w:p>
    <w:p w14:paraId="0BFC3882">
      <w:pPr>
        <w:pStyle w:val="9"/>
      </w:pPr>
    </w:p>
  </w:comment>
  <w:comment w:id="28" w:author="祁涟柒子衿" w:date="2026-05-30T22:23:39Z" w:initials="">
    <w:p w14:paraId="2624D56B">
      <w:pPr>
        <w:pStyle w:val="9"/>
        <w:rPr>
          <w:rFonts w:hint="eastAsia"/>
        </w:rPr>
      </w:pPr>
      <w:r>
        <w:rPr>
          <w:rFonts w:hint="eastAsia"/>
        </w:rPr>
        <w:t xml:space="preserve">C:\Users\kobayashi-Canvas\AppData\Local\Programs\Python\Python310\python.exe C:\Users\kobayashi-Canvas\PycharmProjects\PythonProject1\RetinalFusionNet_3.1.py </w:t>
      </w:r>
    </w:p>
    <w:p w14:paraId="4E0F7EE6">
      <w:pPr>
        <w:pStyle w:val="9"/>
        <w:rPr>
          <w:rFonts w:hint="eastAsia"/>
        </w:rPr>
      </w:pPr>
      <w:r>
        <w:rPr>
          <w:rFonts w:hint="eastAsia"/>
        </w:rPr>
        <w:t>&gt;&gt;&gt; STARTING DUAL-EMPEROR EVALUATION (Internal + External).</w:t>
      </w:r>
    </w:p>
    <w:p w14:paraId="2729EC17">
      <w:pPr>
        <w:pStyle w:val="9"/>
        <w:rPr>
          <w:rFonts w:hint="eastAsia"/>
        </w:rPr>
      </w:pPr>
      <w:r>
        <w:rPr>
          <w:rFonts w:hint="eastAsia"/>
        </w:rPr>
        <w:t>&gt;&gt;&gt; Report Directory: Dual_Emperor_Final_Report_20260530_220951_514274</w:t>
      </w:r>
    </w:p>
    <w:p w14:paraId="67E0C4A8">
      <w:pPr>
        <w:pStyle w:val="9"/>
        <w:rPr>
          <w:rFonts w:hint="eastAsia"/>
        </w:rPr>
      </w:pPr>
      <w:r>
        <w:rPr>
          <w:rFonts w:hint="eastAsia"/>
        </w:rPr>
        <w:t>Model trained on 8 classes: ['AMD', 'CNV', 'CSR', 'DME', 'DR', 'DRUSEN', 'MH', 'NORMAL']</w:t>
      </w:r>
    </w:p>
    <w:p w14:paraId="51FD84D0">
      <w:pPr>
        <w:pStyle w:val="9"/>
        <w:rPr>
          <w:rFonts w:hint="eastAsia"/>
        </w:rPr>
      </w:pPr>
      <w:r>
        <w:rPr>
          <w:rFonts w:hint="eastAsia"/>
        </w:rPr>
        <w:t>Loading Specialist V3 and God-Sprint V4...</w:t>
      </w:r>
    </w:p>
    <w:p w14:paraId="57890B4E">
      <w:pPr>
        <w:pStyle w:val="9"/>
        <w:rPr>
          <w:rFonts w:hint="eastAsia"/>
        </w:rPr>
      </w:pPr>
    </w:p>
    <w:p w14:paraId="5C9F354E">
      <w:pPr>
        <w:pStyle w:val="9"/>
        <w:rPr>
          <w:rFonts w:hint="eastAsia"/>
        </w:rPr>
      </w:pPr>
      <w:r>
        <w:rPr>
          <w:rFonts w:hint="eastAsia"/>
        </w:rPr>
        <w:t>&gt;&gt;&gt; Processing Internal Dataset from: C:\代码库\数据集\RetinalOCT_Dataset\test</w:t>
      </w:r>
    </w:p>
    <w:p w14:paraId="1A07BFEA">
      <w:pPr>
        <w:pStyle w:val="9"/>
        <w:rPr>
          <w:rFonts w:hint="eastAsia"/>
        </w:rPr>
      </w:pPr>
      <w:r>
        <w:rPr>
          <w:rFonts w:hint="eastAsia"/>
        </w:rPr>
        <w:t>Detected Classes in Internal set: ['AMD', 'CNV', 'CSR', 'DME', 'DR', 'DRUSEN', 'MH', 'NORMAL']</w:t>
      </w:r>
    </w:p>
    <w:p w14:paraId="6FDA9520">
      <w:pPr>
        <w:pStyle w:val="9"/>
        <w:rPr>
          <w:rFonts w:hint="eastAsia"/>
        </w:rPr>
      </w:pPr>
      <w:r>
        <w:rPr>
          <w:rFonts w:hint="eastAsia"/>
        </w:rPr>
        <w:t>Class Mapping (Dataset -&gt; Model): {0: 0, 1: 1, 2: 2, 3: 3, 4: 4, 5: 5, 6: 6, 7: 7}</w:t>
      </w:r>
    </w:p>
    <w:p w14:paraId="5594B28D">
      <w:pPr>
        <w:pStyle w:val="9"/>
        <w:rPr>
          <w:rFonts w:hint="eastAsia"/>
        </w:rPr>
      </w:pPr>
      <w:r>
        <w:rPr>
          <w:rFonts w:hint="eastAsia"/>
        </w:rPr>
        <w:t>Evaluating Internal: 100%|██████████| 175/175 [00:59&lt;00:00,  2.93it/s]</w:t>
      </w:r>
    </w:p>
    <w:p w14:paraId="116A2342">
      <w:pPr>
        <w:pStyle w:val="9"/>
        <w:rPr>
          <w:rFonts w:hint="eastAsia"/>
        </w:rPr>
      </w:pPr>
    </w:p>
    <w:p w14:paraId="276DA460">
      <w:pPr>
        <w:pStyle w:val="9"/>
        <w:rPr>
          <w:rFonts w:hint="eastAsia"/>
        </w:rPr>
      </w:pPr>
      <w:r>
        <w:rPr>
          <w:rFonts w:hint="eastAsia"/>
        </w:rPr>
        <w:t>=== Internal Evaluation Results ===</w:t>
      </w:r>
    </w:p>
    <w:p w14:paraId="07F868C5">
      <w:pPr>
        <w:pStyle w:val="9"/>
        <w:rPr>
          <w:rFonts w:hint="eastAsia"/>
        </w:rPr>
      </w:pPr>
      <w:r>
        <w:rPr>
          <w:rFonts w:hint="eastAsia"/>
        </w:rPr>
        <w:t xml:space="preserve">Class        | Acc     | AUC     | F1      | Spec    | Recall  | Prec   </w:t>
      </w:r>
    </w:p>
    <w:p w14:paraId="2B048242">
      <w:pPr>
        <w:pStyle w:val="9"/>
        <w:rPr>
          <w:rFonts w:hint="eastAsia"/>
        </w:rPr>
      </w:pPr>
      <w:r>
        <w:rPr>
          <w:rFonts w:hint="eastAsia"/>
        </w:rPr>
        <w:t>------------------------------------------------------------------------------------------</w:t>
      </w:r>
    </w:p>
    <w:p w14:paraId="4800C5B8">
      <w:pPr>
        <w:pStyle w:val="9"/>
        <w:rPr>
          <w:rFonts w:hint="eastAsia"/>
        </w:rPr>
      </w:pPr>
      <w:r>
        <w:rPr>
          <w:rFonts w:hint="eastAsia"/>
        </w:rPr>
        <w:t>AMD          | 1.0000 | 1.0000 | 1.0000 | 1.0000 | 1.0000 | 1.0000</w:t>
      </w:r>
    </w:p>
    <w:p w14:paraId="50FE4ABE">
      <w:pPr>
        <w:pStyle w:val="9"/>
        <w:rPr>
          <w:rFonts w:hint="eastAsia"/>
        </w:rPr>
      </w:pPr>
      <w:r>
        <w:rPr>
          <w:rFonts w:hint="eastAsia"/>
        </w:rPr>
        <w:t>CNV          | 0.9921 | 0.9953 | 0.9686 | 0.9955 | 0.9686 | 0.9686</w:t>
      </w:r>
    </w:p>
    <w:p w14:paraId="559B8129">
      <w:pPr>
        <w:pStyle w:val="9"/>
        <w:rPr>
          <w:rFonts w:hint="eastAsia"/>
        </w:rPr>
      </w:pPr>
      <w:r>
        <w:rPr>
          <w:rFonts w:hint="eastAsia"/>
        </w:rPr>
        <w:t>CSR          | 1.0000 | 1.0000 | 1.0000 | 1.0000 | 1.0000 | 1.0000</w:t>
      </w:r>
    </w:p>
    <w:p w14:paraId="1708AAB0">
      <w:pPr>
        <w:pStyle w:val="9"/>
        <w:rPr>
          <w:rFonts w:hint="eastAsia"/>
        </w:rPr>
      </w:pPr>
      <w:r>
        <w:rPr>
          <w:rFonts w:hint="eastAsia"/>
        </w:rPr>
        <w:t>DME          | 0.9946 | 0.9959 | 0.9784 | 0.9984 | 0.9686 | 0.9883</w:t>
      </w:r>
    </w:p>
    <w:p w14:paraId="1493CB6C">
      <w:pPr>
        <w:pStyle w:val="9"/>
        <w:rPr>
          <w:rFonts w:hint="eastAsia"/>
        </w:rPr>
      </w:pPr>
      <w:r>
        <w:rPr>
          <w:rFonts w:hint="eastAsia"/>
        </w:rPr>
        <w:t>DR           | 1.0000 | 1.0000 | 1.0000 | 1.0000 | 1.0000 | 1.0000</w:t>
      </w:r>
    </w:p>
    <w:p w14:paraId="28D0E06E">
      <w:pPr>
        <w:pStyle w:val="9"/>
        <w:rPr>
          <w:rFonts w:hint="eastAsia"/>
        </w:rPr>
      </w:pPr>
      <w:r>
        <w:rPr>
          <w:rFonts w:hint="eastAsia"/>
        </w:rPr>
        <w:t>DRUSEN       | 0.9936 | 0.9968 | 0.9744 | 0.9955 | 0.9800 | 0.9689</w:t>
      </w:r>
    </w:p>
    <w:p w14:paraId="7324B9CC">
      <w:pPr>
        <w:pStyle w:val="9"/>
        <w:rPr>
          <w:rFonts w:hint="eastAsia"/>
        </w:rPr>
      </w:pPr>
      <w:r>
        <w:rPr>
          <w:rFonts w:hint="eastAsia"/>
        </w:rPr>
        <w:t>MH           | 1.0000 | 1.0000 | 1.0000 | 1.0000 | 1.0000 | 1.0000</w:t>
      </w:r>
    </w:p>
    <w:p w14:paraId="2401A892">
      <w:pPr>
        <w:pStyle w:val="9"/>
        <w:rPr>
          <w:rFonts w:hint="eastAsia"/>
        </w:rPr>
      </w:pPr>
      <w:r>
        <w:rPr>
          <w:rFonts w:hint="eastAsia"/>
        </w:rPr>
        <w:t>NORMAL       | 0.9954 | 0.9988 | 0.9815 | 0.9967 | 0.9857 | 0.9773</w:t>
      </w:r>
    </w:p>
    <w:p w14:paraId="586B717B">
      <w:pPr>
        <w:pStyle w:val="9"/>
        <w:rPr>
          <w:rFonts w:hint="eastAsia"/>
        </w:rPr>
      </w:pPr>
      <w:r>
        <w:rPr>
          <w:rFonts w:hint="eastAsia"/>
        </w:rPr>
        <w:t>==========================================================================================</w:t>
      </w:r>
    </w:p>
    <w:p w14:paraId="51148EEC">
      <w:pPr>
        <w:pStyle w:val="9"/>
        <w:rPr>
          <w:rFonts w:hint="eastAsia"/>
        </w:rPr>
      </w:pPr>
      <w:r>
        <w:rPr>
          <w:rFonts w:hint="eastAsia"/>
        </w:rPr>
        <w:t>OVERALL      | 0.9879 | 0.9984 | 0.9879 | 0.9983 | 0.9879 | 0.9879</w:t>
      </w:r>
    </w:p>
    <w:p w14:paraId="1C40E43D">
      <w:pPr>
        <w:pStyle w:val="9"/>
        <w:rPr>
          <w:rFonts w:hint="eastAsia"/>
        </w:rPr>
      </w:pPr>
      <w:r>
        <w:rPr>
          <w:rFonts w:hint="eastAsia"/>
        </w:rPr>
        <w:t>==========================================================================================</w:t>
      </w:r>
    </w:p>
    <w:p w14:paraId="0B1C13CB">
      <w:pPr>
        <w:pStyle w:val="9"/>
        <w:rPr>
          <w:rFonts w:hint="eastAsia"/>
        </w:rPr>
      </w:pPr>
    </w:p>
    <w:p w14:paraId="372B3DCE">
      <w:pPr>
        <w:pStyle w:val="9"/>
        <w:rPr>
          <w:rFonts w:hint="eastAsia"/>
        </w:rPr>
      </w:pPr>
      <w:r>
        <w:rPr>
          <w:rFonts w:hint="eastAsia"/>
        </w:rPr>
        <w:t>&gt;&gt;&gt; Processing External Dataset from: C:\代码库\数据集\OCT2017_Split\test</w:t>
      </w:r>
    </w:p>
    <w:p w14:paraId="4AD308D9">
      <w:pPr>
        <w:pStyle w:val="9"/>
        <w:rPr>
          <w:rFonts w:hint="eastAsia"/>
        </w:rPr>
      </w:pPr>
      <w:r>
        <w:rPr>
          <w:rFonts w:hint="eastAsia"/>
        </w:rPr>
        <w:t>Detected Classes in External set: ['CNV', 'DME', 'DRUSEN', 'NORMAL']</w:t>
      </w:r>
    </w:p>
    <w:p w14:paraId="45EAD76B">
      <w:pPr>
        <w:pStyle w:val="9"/>
        <w:rPr>
          <w:rFonts w:hint="eastAsia"/>
        </w:rPr>
      </w:pPr>
      <w:r>
        <w:rPr>
          <w:rFonts w:hint="eastAsia"/>
        </w:rPr>
        <w:t>Class Mapping (Dataset -&gt; Model): {0: 1, 1: 3, 2: 5, 3: 7}</w:t>
      </w:r>
    </w:p>
    <w:p w14:paraId="234F7837">
      <w:pPr>
        <w:pStyle w:val="9"/>
        <w:rPr>
          <w:rFonts w:hint="eastAsia"/>
        </w:rPr>
      </w:pPr>
      <w:r>
        <w:rPr>
          <w:rFonts w:hint="eastAsia"/>
        </w:rPr>
        <w:t>Evaluating External: 100%|██████████| 1007/1007 [05:33&lt;00:00,  3.02it/s]</w:t>
      </w:r>
    </w:p>
    <w:p w14:paraId="551279C7">
      <w:pPr>
        <w:pStyle w:val="9"/>
        <w:rPr>
          <w:rFonts w:hint="eastAsia"/>
        </w:rPr>
      </w:pPr>
    </w:p>
    <w:p w14:paraId="530760D0">
      <w:pPr>
        <w:pStyle w:val="9"/>
        <w:rPr>
          <w:rFonts w:hint="eastAsia"/>
        </w:rPr>
      </w:pPr>
      <w:r>
        <w:rPr>
          <w:rFonts w:hint="eastAsia"/>
        </w:rPr>
        <w:t>=== External Evaluation Results ===</w:t>
      </w:r>
    </w:p>
    <w:p w14:paraId="3050F21B">
      <w:pPr>
        <w:pStyle w:val="9"/>
        <w:rPr>
          <w:rFonts w:hint="eastAsia"/>
        </w:rPr>
      </w:pPr>
      <w:r>
        <w:rPr>
          <w:rFonts w:hint="eastAsia"/>
        </w:rPr>
        <w:t xml:space="preserve">Class        | Acc     | AUC     | F1      | Spec    | Recall  | Prec   </w:t>
      </w:r>
    </w:p>
    <w:p w14:paraId="28950CCF">
      <w:pPr>
        <w:pStyle w:val="9"/>
        <w:rPr>
          <w:rFonts w:hint="eastAsia"/>
        </w:rPr>
      </w:pPr>
      <w:r>
        <w:rPr>
          <w:rFonts w:hint="eastAsia"/>
        </w:rPr>
        <w:t>------------------------------------------------------------------------------------------</w:t>
      </w:r>
    </w:p>
    <w:p w14:paraId="6E46C1D2">
      <w:pPr>
        <w:pStyle w:val="9"/>
        <w:rPr>
          <w:rFonts w:hint="eastAsia"/>
        </w:rPr>
      </w:pPr>
      <w:r>
        <w:rPr>
          <w:rFonts w:hint="eastAsia"/>
        </w:rPr>
        <w:t>CNV          | 0.9784 | 0.9949 | 0.9751 | 0.9953 | 0.9571 | 0.9939</w:t>
      </w:r>
    </w:p>
    <w:p w14:paraId="71E78175">
      <w:pPr>
        <w:pStyle w:val="9"/>
        <w:rPr>
          <w:rFonts w:hint="eastAsia"/>
        </w:rPr>
      </w:pPr>
      <w:r>
        <w:rPr>
          <w:rFonts w:hint="eastAsia"/>
        </w:rPr>
        <w:t>DME          | 0.9901 | 0.9956 | 0.9644 | 0.9919 | 0.9784 | 0.9509</w:t>
      </w:r>
    </w:p>
    <w:p w14:paraId="25D10720">
      <w:pPr>
        <w:pStyle w:val="9"/>
        <w:rPr>
          <w:rFonts w:hint="eastAsia"/>
        </w:rPr>
      </w:pPr>
      <w:r>
        <w:rPr>
          <w:rFonts w:hint="eastAsia"/>
        </w:rPr>
        <w:t>DRUSEN       | 0.9795 | 0.9942 | 0.9089 | 0.9798 | 0.9774 | 0.8494</w:t>
      </w:r>
    </w:p>
    <w:p w14:paraId="2BE288D8">
      <w:pPr>
        <w:pStyle w:val="9"/>
        <w:rPr>
          <w:rFonts w:hint="eastAsia"/>
        </w:rPr>
      </w:pPr>
      <w:r>
        <w:rPr>
          <w:rFonts w:hint="eastAsia"/>
        </w:rPr>
        <w:t>NORMAL       | 0.9906 | 0.9978 | 0.9850 | 0.9956 | 0.9797 | 0.9903</w:t>
      </w:r>
    </w:p>
    <w:p w14:paraId="20869B7B">
      <w:pPr>
        <w:pStyle w:val="9"/>
        <w:rPr>
          <w:rFonts w:hint="eastAsia"/>
        </w:rPr>
      </w:pPr>
      <w:r>
        <w:rPr>
          <w:rFonts w:hint="eastAsia"/>
        </w:rPr>
        <w:t>==========================================================================================</w:t>
      </w:r>
    </w:p>
    <w:p w14:paraId="76DB837A">
      <w:pPr>
        <w:pStyle w:val="9"/>
        <w:rPr>
          <w:rFonts w:hint="eastAsia"/>
        </w:rPr>
      </w:pPr>
      <w:r>
        <w:rPr>
          <w:rFonts w:hint="eastAsia"/>
        </w:rPr>
        <w:t>OVERALL      | 0.9693 | 0.9956 | 0.9584 | 0.9906 | 0.9732 | 0.9461</w:t>
      </w:r>
    </w:p>
    <w:p w14:paraId="3FD1D5FB">
      <w:pPr>
        <w:pStyle w:val="9"/>
        <w:rPr>
          <w:rFonts w:hint="eastAsia"/>
        </w:rPr>
      </w:pPr>
      <w:r>
        <w:rPr>
          <w:rFonts w:hint="eastAsia"/>
        </w:rPr>
        <w:t>==========================================================================================</w:t>
      </w:r>
    </w:p>
    <w:p w14:paraId="203CED80">
      <w:pPr>
        <w:pStyle w:val="9"/>
        <w:rPr>
          <w:rFonts w:hint="eastAsia"/>
        </w:rPr>
      </w:pPr>
    </w:p>
    <w:p w14:paraId="5F70346B">
      <w:pPr>
        <w:pStyle w:val="9"/>
        <w:rPr>
          <w:rFonts w:hint="eastAsia"/>
        </w:rPr>
      </w:pPr>
      <w:r>
        <w:rPr>
          <w:rFonts w:hint="eastAsia"/>
        </w:rPr>
        <w:t>&gt;&gt;&gt; MISSION COMPLETE. All reports saved in: C:\Users\kobayashi-Canvas\PycharmProjects\PythonProject1\Dual_Emperor_Final_Report_20260530_220951_514274</w:t>
      </w:r>
    </w:p>
    <w:p w14:paraId="37A70082">
      <w:pPr>
        <w:pStyle w:val="9"/>
        <w:rPr>
          <w:rFonts w:hint="eastAsia"/>
        </w:rPr>
      </w:pPr>
    </w:p>
    <w:p w14:paraId="7772D99E">
      <w:pPr>
        <w:pStyle w:val="9"/>
        <w:rPr>
          <w:rFonts w:hint="eastAsia"/>
        </w:rPr>
      </w:pPr>
      <w:r>
        <w:rPr>
          <w:rFonts w:hint="eastAsia"/>
        </w:rPr>
        <w:t>进程已结束，退出代码为 0</w:t>
      </w:r>
    </w:p>
    <w:p w14:paraId="1637C26E">
      <w:pPr>
        <w:pStyle w:val="9"/>
        <w:rPr>
          <w:rFonts w:hint="default" w:eastAsiaTheme="minorEastAsia"/>
          <w:lang w:val="en-US" w:eastAsia="zh-CN"/>
        </w:rPr>
      </w:pPr>
      <w:r>
        <w:rPr>
          <w:rFonts w:hint="eastAsia"/>
          <w:lang w:eastAsia="zh-CN"/>
        </w:rPr>
        <w:t>我</w:t>
      </w:r>
      <w:r>
        <w:rPr>
          <w:rFonts w:hint="eastAsia"/>
          <w:lang w:val="en-US" w:eastAsia="zh-CN"/>
        </w:rPr>
        <w:t>重新复现了一遍权重，修改了对FIgure4的描述，填补了具体的数字</w:t>
      </w:r>
    </w:p>
  </w:comment>
  <w:comment w:id="29" w:author="祁涟柒子衿" w:date="2026-06-01T13:30:35Z" w:initials="">
    <w:p w14:paraId="2854EC53">
      <w:pPr>
        <w:pStyle w:val="9"/>
        <w:rPr>
          <w:rFonts w:hint="default" w:eastAsiaTheme="minorEastAsia"/>
          <w:lang w:val="en-US" w:eastAsia="zh-CN"/>
        </w:rPr>
      </w:pPr>
      <w:r>
        <w:rPr>
          <w:rFonts w:hint="eastAsia"/>
          <w:lang w:val="en-US" w:eastAsia="zh-CN"/>
        </w:rPr>
        <w:t>已重新跑实验得到了具体数据 补充在上文</w:t>
      </w:r>
    </w:p>
  </w:comment>
  <w:comment w:id="30" w:author="Administrator" w:date="2026-05-26T15:19:00Z" w:initials="A">
    <w:p w14:paraId="58367771">
      <w:pPr>
        <w:pStyle w:val="9"/>
      </w:pPr>
      <w:r>
        <w:t>“SOTA”通常指当前最优，但表中列出的VGG-19、ResNet-50等已非SOTA。建议改为“Baseline CNN models”或“Comparison models”。</w:t>
      </w:r>
    </w:p>
    <w:p w14:paraId="72A6D3F8">
      <w:pPr>
        <w:pStyle w:val="9"/>
      </w:pPr>
    </w:p>
  </w:comment>
  <w:comment w:id="31" w:author="祁涟柒子衿" w:date="2026-06-01T13:29:48Z" w:initials="">
    <w:p w14:paraId="2A269AB1">
      <w:pPr>
        <w:pStyle w:val="9"/>
        <w:rPr>
          <w:rFonts w:hint="default" w:eastAsiaTheme="minorEastAsia"/>
          <w:lang w:val="en-US" w:eastAsia="zh-CN"/>
        </w:rPr>
      </w:pPr>
      <w:r>
        <w:rPr>
          <w:rFonts w:hint="eastAsia"/>
          <w:lang w:val="en-US" w:eastAsia="zh-CN"/>
        </w:rPr>
        <w:t>已修改Mdel Category这列的名称</w:t>
      </w:r>
    </w:p>
  </w:comment>
  <w:comment w:id="32" w:author="Administrator" w:date="2026-05-26T13:58:00Z" w:initials="A">
    <w:p w14:paraId="281AC990">
      <w:pPr>
        <w:pStyle w:val="9"/>
      </w:pPr>
      <w:r>
        <w:t>V3的AU</w:t>
      </w:r>
      <w:r>
        <w:rPr>
          <w:rFonts w:hint="eastAsia"/>
        </w:rPr>
        <w:t>C</w:t>
      </w:r>
      <w:r>
        <w:t>下降，但其Accuracy 98.54% 高于V2 (98.36%)。文中解释V3“strengthens structural feature learning”，但未解释为何AUC下降。</w:t>
      </w:r>
    </w:p>
  </w:comment>
  <w:comment w:id="33" w:author="祁涟柒子衿" w:date="2026-06-01T13:29:36Z" w:initials="">
    <w:p w14:paraId="493AF67A">
      <w:pPr>
        <w:pStyle w:val="9"/>
        <w:rPr>
          <w:rFonts w:hint="default" w:eastAsiaTheme="minorEastAsia"/>
          <w:lang w:val="en-US" w:eastAsia="zh-CN"/>
        </w:rPr>
      </w:pPr>
      <w:r>
        <w:rPr>
          <w:rFonts w:hint="eastAsia"/>
          <w:lang w:val="en-US" w:eastAsia="zh-CN"/>
        </w:rPr>
        <w:t>本段已添加解释</w:t>
      </w:r>
    </w:p>
  </w:comment>
  <w:comment w:id="34" w:author="Administrator" w:date="2026-05-26T14:16:00Z" w:initials="A">
    <w:p w14:paraId="793DB7EC">
      <w:pPr>
        <w:pStyle w:val="9"/>
      </w:pPr>
      <w:r>
        <w:rPr>
          <w:rFonts w:hint="eastAsia"/>
        </w:rPr>
        <w:t>表格格式有问题，没有底线</w:t>
      </w:r>
    </w:p>
  </w:comment>
  <w:comment w:id="35" w:author="祁涟柒子衿" w:date="2026-06-01T13:29:19Z" w:initials="">
    <w:p w14:paraId="1AC09088">
      <w:pPr>
        <w:pStyle w:val="9"/>
        <w:rPr>
          <w:rFonts w:hint="default" w:eastAsiaTheme="minorEastAsia"/>
          <w:lang w:val="en-US" w:eastAsia="zh-CN"/>
        </w:rPr>
      </w:pPr>
      <w:r>
        <w:rPr>
          <w:rFonts w:hint="eastAsia"/>
          <w:lang w:val="en-US" w:eastAsia="zh-CN"/>
        </w:rPr>
        <w:t>已加入底线</w:t>
      </w:r>
    </w:p>
  </w:comment>
  <w:comment w:id="36" w:author="Administrator" w:date="2026-05-26T14:18:00Z" w:initials="A">
    <w:p w14:paraId="742263E5">
      <w:pPr>
        <w:pStyle w:val="9"/>
      </w:pPr>
      <w:r>
        <w:rPr>
          <w:rFonts w:hint="eastAsia"/>
        </w:rPr>
        <w:t>图注在图的下方，表注在表的上方</w:t>
      </w:r>
    </w:p>
  </w:comment>
  <w:comment w:id="37" w:author="祁涟柒子衿" w:date="2026-06-01T13:28:49Z" w:initials="">
    <w:p w14:paraId="1CB13535">
      <w:pPr>
        <w:pStyle w:val="9"/>
        <w:rPr>
          <w:rFonts w:hint="default" w:eastAsiaTheme="minorEastAsia"/>
          <w:lang w:val="en-US" w:eastAsia="zh-CN"/>
        </w:rPr>
      </w:pPr>
      <w:r>
        <w:rPr>
          <w:rFonts w:hint="eastAsia"/>
          <w:lang w:val="en-US" w:eastAsia="zh-CN"/>
        </w:rPr>
        <w:t>谢谢老师提醒 下图已经修改</w:t>
      </w:r>
    </w:p>
  </w:comment>
  <w:comment w:id="38" w:author="Administrator" w:date="2026-05-26T14:18:00Z" w:initials="A">
    <w:p w14:paraId="3C7667B6">
      <w:pPr>
        <w:pStyle w:val="9"/>
      </w:pPr>
      <w:r>
        <w:rPr>
          <w:rFonts w:hint="eastAsia"/>
        </w:rPr>
        <w:t>图注在图的下方，表注在表的上方</w:t>
      </w:r>
    </w:p>
  </w:comment>
  <w:comment w:id="39" w:author="Administrator" w:date="2026-05-26T14:20:00Z" w:initials="A">
    <w:p w14:paraId="3F21A85D">
      <w:pPr>
        <w:pStyle w:val="9"/>
      </w:pPr>
      <w:r>
        <w:t>CE+LS的AUC (0.9978) 低于CE (0.9986)，仍宣称“best overall balance”。除非有理由认为准确率和F1比AUC更重要，否则应给出解释。</w:t>
      </w:r>
    </w:p>
  </w:comment>
  <w:comment w:id="40" w:author="祁涟柒子衿" w:date="2026-06-01T13:28:38Z" w:initials="">
    <w:p w14:paraId="64F1264F">
      <w:pPr>
        <w:pStyle w:val="9"/>
        <w:rPr>
          <w:rFonts w:hint="default" w:eastAsiaTheme="minorEastAsia"/>
          <w:lang w:val="en-US" w:eastAsia="zh-CN"/>
        </w:rPr>
      </w:pPr>
      <w:r>
        <w:rPr>
          <w:rFonts w:hint="eastAsia"/>
          <w:lang w:val="en-US" w:eastAsia="zh-CN"/>
        </w:rPr>
        <w:t>已增加解释</w:t>
      </w:r>
    </w:p>
  </w:comment>
  <w:comment w:id="41" w:author="Administrator" w:date="2026-05-26T13:27:00Z" w:initials="A">
    <w:p w14:paraId="0AD8F8D8">
      <w:pPr>
        <w:pStyle w:val="9"/>
      </w:pPr>
      <w:r>
        <w:t>“Overall (Weighted)”，未说明是对哪些指标进行加权，以及权重的来源（各类别样本数？）。</w:t>
      </w:r>
    </w:p>
  </w:comment>
  <w:comment w:id="42" w:author="Administrator" w:date="2026-05-26T15:12:00Z" w:initials="A">
    <w:p w14:paraId="2A320C27">
      <w:pPr>
        <w:pStyle w:val="9"/>
      </w:pPr>
      <w:r>
        <w:rPr>
          <w:rFonts w:hint="eastAsia"/>
        </w:rPr>
        <w:t>d</w:t>
      </w:r>
      <w:r>
        <w:t>rusen的Precision为84.94%，F1为90.89%，说明存在较多假阳性。但文中未报告其他基线模型在OCT2017上的表现，无法判断这是RetinalFusionNet的弱点还是普遍现象。至少引用文献中其他模型在OCT2017上的结果进行对比。</w:t>
      </w:r>
    </w:p>
  </w:comment>
  <w:comment w:id="43" w:author="祁涟柒子衿" w:date="2026-06-01T13:28:27Z" w:initials="">
    <w:p w14:paraId="1A01F58E">
      <w:pPr>
        <w:pStyle w:val="9"/>
        <w:rPr>
          <w:rFonts w:hint="default" w:eastAsiaTheme="minorEastAsia"/>
          <w:lang w:val="en-US" w:eastAsia="zh-CN"/>
        </w:rPr>
      </w:pPr>
      <w:r>
        <w:rPr>
          <w:rFonts w:hint="eastAsia"/>
          <w:lang w:val="en-US" w:eastAsia="zh-CN"/>
        </w:rPr>
        <w:t>已补充</w:t>
      </w:r>
    </w:p>
  </w:comment>
  <w:comment w:id="44" w:author="Administrator" w:date="2026-05-26T15:15:00Z" w:initials="A">
    <w:p w14:paraId="14CB3991">
      <w:pPr>
        <w:pStyle w:val="9"/>
      </w:pPr>
      <w:r>
        <w:t>多次提到“high-confidence misclassification cases”，但未说明什么是“high-confidence”（预测概率&gt;0.9？还是&gt;0.99？）。明确阈值，例如“predictions with softmax probability &gt; 0.95”。</w:t>
      </w:r>
    </w:p>
  </w:comment>
  <w:comment w:id="45" w:author="祁涟柒子衿" w:date="2026-05-31T09:15:53Z" w:initials="">
    <w:p w14:paraId="491505DE">
      <w:pPr>
        <w:pStyle w:val="9"/>
        <w:rPr>
          <w:rFonts w:hint="default" w:eastAsiaTheme="minorEastAsia"/>
          <w:lang w:val="en-US" w:eastAsia="zh-CN"/>
        </w:rPr>
      </w:pPr>
      <w:r>
        <w:rPr>
          <w:rFonts w:hint="eastAsia"/>
          <w:lang w:val="en-US" w:eastAsia="zh-CN"/>
        </w:rPr>
        <w:t>在图12下面已加入这方面介绍</w:t>
      </w:r>
    </w:p>
  </w:comment>
  <w:comment w:id="46" w:author="Administrator" w:date="2026-05-26T14:07:00Z" w:initials="A">
    <w:p w14:paraId="0795D33D">
      <w:pPr>
        <w:pStyle w:val="9"/>
      </w:pPr>
      <w:r>
        <w:t>考虑到随机种子影响初始化、数据增强随机性、训练中的dropout等，如此小的标准差在实际深度学习训练中极为罕见。审稿人会怀疑是否只做了少量运行，或计算标准差时误用了验证集指标。</w:t>
      </w:r>
    </w:p>
  </w:comment>
  <w:comment w:id="47" w:author="祁涟柒子衿" w:date="2026-05-31T09:45:55Z" w:initials="">
    <w:p w14:paraId="044F53CD">
      <w:pPr>
        <w:pStyle w:val="9"/>
        <w:rPr>
          <w:rFonts w:hint="default" w:eastAsiaTheme="minorEastAsia"/>
          <w:lang w:val="en-US" w:eastAsia="zh-CN"/>
        </w:rPr>
      </w:pPr>
      <w:r>
        <w:rPr>
          <w:rFonts w:hint="eastAsia"/>
          <w:lang w:val="en-US" w:eastAsia="zh-CN"/>
        </w:rPr>
        <w:t>单独的V4的acc已经是98.71了 我跑的最强的V3+V4是98.79 额 本身就极其稳定了</w:t>
      </w:r>
    </w:p>
  </w:comment>
  <w:comment w:id="48" w:author="Administrator" w:date="2026-05-26T15:47:00Z" w:initials="A">
    <w:p w14:paraId="20CE6D92">
      <w:pPr>
        <w:pStyle w:val="9"/>
      </w:pPr>
      <w:r>
        <w:t>整个Discussion部分没有引用任何相关工作的对比结果。读者无法知道RetinalFusionNet相比其他SOTA的OCT分类方法在相同数据集上的优劣。虽然结果部分有baseline对比，但讨论中应解释为什么RetinalFusionNet比这些baseline好，以及这些baseline的局限性在文献中是如何被讨论的。在4.1节或4.2节中增加一段：与近期发表的OCT分类方法（2022-202</w:t>
      </w:r>
      <w:r>
        <w:rPr>
          <w:rFonts w:hint="eastAsia"/>
        </w:rPr>
        <w:t>6</w:t>
      </w:r>
      <w:r>
        <w:t>的论文）在OCT2017或类似数据集上的性能对比，并解释本文方法的优势来源。</w:t>
      </w:r>
    </w:p>
  </w:comment>
  <w:comment w:id="49" w:author="祁涟柒子衿" w:date="2026-06-01T13:28:01Z" w:initials="">
    <w:p w14:paraId="0E52E6B2">
      <w:pPr>
        <w:pStyle w:val="9"/>
        <w:rPr>
          <w:rFonts w:hint="default" w:eastAsiaTheme="minorEastAsia"/>
          <w:lang w:val="en-US" w:eastAsia="zh-CN"/>
        </w:rPr>
      </w:pPr>
      <w:r>
        <w:rPr>
          <w:rFonts w:hint="eastAsia"/>
          <w:lang w:val="en-US" w:eastAsia="zh-CN"/>
        </w:rPr>
        <w:t>已添加</w:t>
      </w:r>
    </w:p>
  </w:comment>
  <w:comment w:id="50" w:author="Administrator" w:date="2026-05-26T15:38:00Z" w:initials="A">
    <w:p w14:paraId="45E35A6D">
      <w:pPr>
        <w:pStyle w:val="9"/>
      </w:pPr>
      <w:r>
        <w:t>是常见套话。真正的“medical significance”应回答：这个模型具体解决了什么临床痛点？ 例如，是减少眼科医生阅片时间？还是在基层医院辅助筛查？文中提到了“high-throughput preliminary screening”，但放在4.2节。建议将4.1节聚焦于一个具体的临床场景（如糖尿病视网膜病变筛查中对DME和</w:t>
      </w:r>
      <w:r>
        <w:rPr>
          <w:rFonts w:hint="eastAsia"/>
        </w:rPr>
        <w:t>d</w:t>
      </w:r>
      <w:r>
        <w:t>rusen的鉴别困难），而不是泛泛而谈。</w:t>
      </w:r>
    </w:p>
  </w:comment>
  <w:comment w:id="51" w:author="祁涟柒子衿" w:date="2026-05-31T10:55:51Z" w:initials="">
    <w:p w14:paraId="7D01B9F5">
      <w:pPr>
        <w:pStyle w:val="9"/>
        <w:rPr>
          <w:rFonts w:hint="default" w:eastAsiaTheme="minorEastAsia"/>
          <w:lang w:val="en-US" w:eastAsia="zh-CN"/>
        </w:rPr>
      </w:pPr>
      <w:r>
        <w:rPr>
          <w:rFonts w:hint="eastAsia"/>
          <w:lang w:val="en-US" w:eastAsia="zh-CN"/>
        </w:rPr>
        <w:t>这个批注是针对4.1的，因为4.1原文替换了所以这个批注跑到了这里，4.1的文章我重构了</w:t>
      </w:r>
    </w:p>
  </w:comment>
  <w:comment w:id="52" w:author="Administrator" w:date="2026-05-26T15:41:00Z" w:initials="A">
    <w:p w14:paraId="0A87CCFA">
      <w:pPr>
        <w:pStyle w:val="9"/>
      </w:pPr>
      <w:r>
        <w:t>“residual errors”是模型的缺点，将其称为“critical insight”显得有些自我美化。审稿人会认为</w:t>
      </w:r>
      <w:r>
        <w:rPr>
          <w:rFonts w:hint="eastAsia"/>
        </w:rPr>
        <w:t>你</w:t>
      </w:r>
      <w:r>
        <w:t>在试图把缺点包装成优点。更客观的说法是：分析错误类型揭示了当前方法的局限性，并为未来改进指明了方向。</w:t>
      </w:r>
    </w:p>
  </w:comment>
  <w:comment w:id="53" w:author="祁涟柒子衿" w:date="2026-06-01T13:26:59Z" w:initials="">
    <w:p w14:paraId="3F278157">
      <w:pPr>
        <w:pStyle w:val="9"/>
        <w:rPr>
          <w:rFonts w:hint="default" w:eastAsiaTheme="minorEastAsia"/>
          <w:lang w:val="en-US" w:eastAsia="zh-CN"/>
        </w:rPr>
      </w:pPr>
      <w:r>
        <w:rPr>
          <w:rFonts w:hint="eastAsia"/>
          <w:lang w:val="en-US" w:eastAsia="zh-CN"/>
        </w:rPr>
        <w:t>已修改</w:t>
      </w:r>
    </w:p>
  </w:comment>
  <w:comment w:id="54" w:author="Administrator" w:date="2026-05-26T15:45:00Z" w:initials="A">
    <w:p w14:paraId="2470DA94">
      <w:pPr>
        <w:pStyle w:val="9"/>
      </w:pPr>
      <w:r>
        <w:t>将未来工作压缩为2-3个有因果关系的方向。例如：</w:t>
      </w:r>
    </w:p>
    <w:p w14:paraId="187E3051">
      <w:pPr>
        <w:pStyle w:val="9"/>
      </w:pPr>
      <w:r>
        <w:t>第一优先级：多中心外部验证 + 针对</w:t>
      </w:r>
      <w:r>
        <w:rPr>
          <w:rFonts w:hint="eastAsia"/>
        </w:rPr>
        <w:t>d</w:t>
      </w:r>
      <w:r>
        <w:t>usen的域自适应（直接回应本文发现的主要问题）。</w:t>
      </w:r>
    </w:p>
    <w:p w14:paraId="3C105104">
      <w:pPr>
        <w:pStyle w:val="9"/>
      </w:pPr>
      <w:r>
        <w:t>第二优先级：从闭集单标签扩展到开集多标签 + 不确定性估计（解决现实中的多病种共存问题）。</w:t>
      </w:r>
    </w:p>
    <w:p w14:paraId="5900EC21">
      <w:pPr>
        <w:pStyle w:val="9"/>
      </w:pPr>
      <w:r>
        <w:t>第三优先级：与临床工作流集成的界面优化。</w:t>
      </w:r>
    </w:p>
    <w:p w14:paraId="0ED07A48">
      <w:pPr>
        <w:pStyle w:val="9"/>
      </w:pPr>
    </w:p>
  </w:comment>
  <w:comment w:id="55" w:author="祁涟柒子衿" w:date="2026-06-01T13:26:33Z" w:initials="">
    <w:p w14:paraId="7830C56E">
      <w:pPr>
        <w:pStyle w:val="9"/>
        <w:rPr>
          <w:rFonts w:hint="default" w:eastAsiaTheme="minorEastAsia"/>
          <w:lang w:val="en-US" w:eastAsia="zh-CN"/>
        </w:rPr>
      </w:pPr>
      <w:r>
        <w:rPr>
          <w:rFonts w:hint="eastAsia"/>
          <w:lang w:val="en-US" w:eastAsia="zh-CN"/>
        </w:rPr>
        <w:t>已按要求修改</w:t>
      </w:r>
    </w:p>
  </w:comment>
  <w:comment w:id="56" w:author="Administrator" w:date="2026-05-26T15:46:00Z" w:initials="A">
    <w:p w14:paraId="4AD49810">
      <w:pPr>
        <w:pStyle w:val="9"/>
      </w:pPr>
      <w:r>
        <w:t>Conclusion应是对全文的提炼，而不是重复Introduction和Results的内容。当前版本几乎把摘要重写了一遍，没有给出超越本文的启示（例如：对领域的影响是什么？下一步最关键的问题是什么？）。</w:t>
      </w:r>
    </w:p>
  </w:comment>
  <w:comment w:id="57" w:author="祁涟柒子衿" w:date="2026-06-01T13:26:14Z" w:initials="">
    <w:p w14:paraId="3C568773">
      <w:pPr>
        <w:pStyle w:val="9"/>
        <w:rPr>
          <w:rFonts w:hint="default" w:eastAsiaTheme="minorEastAsia"/>
          <w:lang w:val="en-US" w:eastAsia="zh-CN"/>
        </w:rPr>
      </w:pPr>
      <w:r>
        <w:rPr>
          <w:rFonts w:hint="eastAsia"/>
          <w:lang w:val="en-US" w:eastAsia="zh-CN"/>
        </w:rPr>
        <w:t>已重构</w:t>
      </w:r>
    </w:p>
  </w:comment>
  <w:comment w:id="58" w:author="Administrator" w:date="2026-05-26T15:55:00Z" w:initials="A">
    <w:p w14:paraId="5C791562">
      <w:pPr>
        <w:pStyle w:val="9"/>
      </w:pPr>
      <w:r>
        <w:t>有些条目列出所有作者，有些写“et al.”。期刊通常要求统一：要么全部列出（不超过3-6位），要么一律使用“et al.”。建议全文统一为：列出前3位作者，其余用“et al.”）。</w:t>
      </w:r>
    </w:p>
    <w:p w14:paraId="09DEF7B0">
      <w:pPr>
        <w:pStyle w:val="9"/>
      </w:pPr>
      <w:r>
        <w:t>补充 2-3 篇 202</w:t>
      </w:r>
      <w:r>
        <w:rPr>
          <w:rFonts w:hint="eastAsia"/>
        </w:rPr>
        <w:t>4-26</w:t>
      </w:r>
      <w:r>
        <w:t xml:space="preserve"> 年的相关论文，以体现本文与最新进展的比较。</w:t>
      </w:r>
    </w:p>
    <w:p w14:paraId="1946F5A0">
      <w:pPr>
        <w:pStyle w:val="9"/>
      </w:pPr>
      <w:r>
        <w:t>另外再检查下是不是所有文献都在正文中被引用了？</w:t>
      </w:r>
    </w:p>
  </w:comment>
  <w:comment w:id="59" w:author="祁涟柒子衿" w:date="2026-06-01T13:25:54Z" w:initials="">
    <w:p w14:paraId="0D5592B2">
      <w:pPr>
        <w:pStyle w:val="9"/>
        <w:rPr>
          <w:rFonts w:hint="default" w:eastAsiaTheme="minorEastAsia"/>
          <w:lang w:val="en-US" w:eastAsia="zh-CN"/>
        </w:rPr>
      </w:pPr>
      <w:r>
        <w:rPr>
          <w:rFonts w:hint="eastAsia"/>
          <w:lang w:val="en-US" w:eastAsia="zh-CN"/>
        </w:rPr>
        <w:t>参考文献已按要求修改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245C0F7" w15:done="0"/>
  <w15:commentEx w15:paraId="07A56842" w15:done="0" w15:paraIdParent="3245C0F7"/>
  <w15:commentEx w15:paraId="64ED6C28" w15:done="0"/>
  <w15:commentEx w15:paraId="0560CB4D" w15:done="0"/>
  <w15:commentEx w15:paraId="6143846A" w15:done="0" w15:paraIdParent="0560CB4D"/>
  <w15:commentEx w15:paraId="339AE66B" w15:done="0"/>
  <w15:commentEx w15:paraId="5C95944D" w15:done="0" w15:paraIdParent="339AE66B"/>
  <w15:commentEx w15:paraId="1A3D293C" w15:done="0"/>
  <w15:commentEx w15:paraId="02DEE239" w15:done="0" w15:paraIdParent="1A3D293C"/>
  <w15:commentEx w15:paraId="500C3098" w15:done="0"/>
  <w15:commentEx w15:paraId="65F7685F" w15:done="0" w15:paraIdParent="500C3098"/>
  <w15:commentEx w15:paraId="72051195" w15:done="0"/>
  <w15:commentEx w15:paraId="4E7E33FE" w15:done="0" w15:paraIdParent="72051195"/>
  <w15:commentEx w15:paraId="57EB6DE8" w15:done="0"/>
  <w15:commentEx w15:paraId="28A73248" w15:done="0"/>
  <w15:commentEx w15:paraId="49AA19E3" w15:done="0" w15:paraIdParent="28A73248"/>
  <w15:commentEx w15:paraId="58E6470C" w15:done="0"/>
  <w15:commentEx w15:paraId="2B2A992F" w15:done="0" w15:paraIdParent="58E6470C"/>
  <w15:commentEx w15:paraId="1B0BF556" w15:done="0"/>
  <w15:commentEx w15:paraId="03E01D5C" w15:done="0" w15:paraIdParent="1B0BF556"/>
  <w15:commentEx w15:paraId="512BF940" w15:done="0"/>
  <w15:commentEx w15:paraId="2CAFDE25" w15:done="0" w15:paraIdParent="512BF940"/>
  <w15:commentEx w15:paraId="7B5BBF3E" w15:done="0"/>
  <w15:commentEx w15:paraId="404E791B" w15:done="0"/>
  <w15:commentEx w15:paraId="48A0CEDD" w15:done="0" w15:paraIdParent="404E791B"/>
  <w15:commentEx w15:paraId="31DAE50C" w15:done="0"/>
  <w15:commentEx w15:paraId="2F45FAA9" w15:done="0" w15:paraIdParent="31DAE50C"/>
  <w15:commentEx w15:paraId="0BFC3882" w15:done="0"/>
  <w15:commentEx w15:paraId="1637C26E" w15:done="0" w15:paraIdParent="0BFC3882"/>
  <w15:commentEx w15:paraId="2854EC53" w15:done="0" w15:paraIdParent="0BFC3882"/>
  <w15:commentEx w15:paraId="72A6D3F8" w15:done="0"/>
  <w15:commentEx w15:paraId="2A269AB1" w15:done="0" w15:paraIdParent="72A6D3F8"/>
  <w15:commentEx w15:paraId="281AC990" w15:done="0"/>
  <w15:commentEx w15:paraId="493AF67A" w15:done="0" w15:paraIdParent="281AC990"/>
  <w15:commentEx w15:paraId="793DB7EC" w15:done="0"/>
  <w15:commentEx w15:paraId="1AC09088" w15:done="0" w15:paraIdParent="793DB7EC"/>
  <w15:commentEx w15:paraId="742263E5" w15:done="0"/>
  <w15:commentEx w15:paraId="1CB13535" w15:done="0" w15:paraIdParent="742263E5"/>
  <w15:commentEx w15:paraId="3C7667B6" w15:done="0"/>
  <w15:commentEx w15:paraId="3F21A85D" w15:done="0"/>
  <w15:commentEx w15:paraId="64F1264F" w15:done="0" w15:paraIdParent="3F21A85D"/>
  <w15:commentEx w15:paraId="0AD8F8D8" w15:done="0"/>
  <w15:commentEx w15:paraId="2A320C27" w15:done="0"/>
  <w15:commentEx w15:paraId="1A01F58E" w15:done="0" w15:paraIdParent="2A320C27"/>
  <w15:commentEx w15:paraId="14CB3991" w15:done="0"/>
  <w15:commentEx w15:paraId="491505DE" w15:done="0" w15:paraIdParent="14CB3991"/>
  <w15:commentEx w15:paraId="0795D33D" w15:done="0"/>
  <w15:commentEx w15:paraId="044F53CD" w15:done="0" w15:paraIdParent="0795D33D"/>
  <w15:commentEx w15:paraId="20CE6D92" w15:done="0"/>
  <w15:commentEx w15:paraId="0E52E6B2" w15:done="0" w15:paraIdParent="20CE6D92"/>
  <w15:commentEx w15:paraId="45E35A6D" w15:done="0"/>
  <w15:commentEx w15:paraId="7D01B9F5" w15:done="0" w15:paraIdParent="45E35A6D"/>
  <w15:commentEx w15:paraId="0A87CCFA" w15:done="0"/>
  <w15:commentEx w15:paraId="3F278157" w15:done="0" w15:paraIdParent="0A87CCFA"/>
  <w15:commentEx w15:paraId="0ED07A48" w15:done="0"/>
  <w15:commentEx w15:paraId="7830C56E" w15:done="0" w15:paraIdParent="0ED07A48"/>
  <w15:commentEx w15:paraId="4AD49810" w15:done="0"/>
  <w15:commentEx w15:paraId="3C568773" w15:done="0" w15:paraIdParent="4AD49810"/>
  <w15:commentEx w15:paraId="1946F5A0" w15:done="0"/>
  <w15:commentEx w15:paraId="0D5592B2" w15:done="0" w15:paraIdParent="1946F5A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w:altName w:val="Times New Roman"/>
    <w:panose1 w:val="020B0604020202020204"/>
    <w:charset w:val="00"/>
    <w:family w:val="roman"/>
    <w:pitch w:val="default"/>
    <w:sig w:usb0="00000000" w:usb1="00000000" w:usb2="00000009" w:usb3="00000000" w:csb0="0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Times New Roman Regular">
    <w:altName w:val="Times New Roman"/>
    <w:panose1 w:val="02020503050405090304"/>
    <w:charset w:val="00"/>
    <w:family w:val="auto"/>
    <w:pitch w:val="default"/>
    <w:sig w:usb0="00000000" w:usb1="00000000" w:usb2="00000001" w:usb3="00000000" w:csb0="400001BF" w:csb1="DFF70000"/>
  </w:font>
  <w:font w:name="sans-serif">
    <w:altName w:val="Segoe Print"/>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 New Roman Bold">
    <w:panose1 w:val="02020503050405090304"/>
    <w:charset w:val="00"/>
    <w:family w:val="auto"/>
    <w:pitch w:val="default"/>
    <w:sig w:usb0="00000000" w:usb1="00000000"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swiss"/>
    <w:pitch w:val="default"/>
    <w:sig w:usb0="00000001" w:usb1="02000000" w:usb2="08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5C5C5C"/>
        <w:sz w:val="17"/>
      </w:rP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eastAsia="Times New Roman" w:cs="Times New Roman"/>
        <w:color w:val="5C5C5C"/>
        <w:sz w:val="17"/>
      </w:rPr>
      <w:t>PRI-Audit | submission manuscript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12ABEC"/>
    <w:multiLevelType w:val="singleLevel"/>
    <w:tmpl w:val="C712ABEC"/>
    <w:lvl w:ilvl="0" w:tentative="0">
      <w:start w:val="1"/>
      <w:numFmt w:val="decimal"/>
      <w:lvlText w:val="[%1]"/>
      <w:lvlJc w:val="left"/>
      <w:pPr>
        <w:tabs>
          <w:tab w:val="left" w:pos="420"/>
        </w:tabs>
        <w:ind w:left="425" w:hanging="425"/>
      </w:pPr>
      <w:rPr>
        <w:rFonts w:hint="default"/>
      </w:rPr>
    </w:lvl>
  </w:abstractNum>
  <w:abstractNum w:abstractNumId="1">
    <w:nsid w:val="05F5E021"/>
    <w:multiLevelType w:val="singleLevel"/>
    <w:tmpl w:val="05F5E021"/>
    <w:lvl w:ilvl="0" w:tentative="0">
      <w:start w:val="1"/>
      <w:numFmt w:val="decimal"/>
      <w:lvlText w:val="[%1]"/>
      <w:lvlJc w:val="left"/>
      <w:pPr>
        <w:tabs>
          <w:tab w:val="left" w:pos="420"/>
        </w:tabs>
        <w:ind w:left="425" w:leftChars="0" w:hanging="425" w:firstLineChars="0"/>
      </w:pPr>
      <w:rPr>
        <w:rFonts w:hint="default"/>
      </w:rPr>
    </w:lvl>
  </w:abstractNum>
  <w:abstractNum w:abstractNumId="2">
    <w:nsid w:val="281215E0"/>
    <w:multiLevelType w:val="multilevel"/>
    <w:tmpl w:val="281215E0"/>
    <w:lvl w:ilvl="0" w:tentative="0">
      <w:start w:val="4"/>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70110B6F"/>
    <w:multiLevelType w:val="multilevel"/>
    <w:tmpl w:val="70110B6F"/>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2"/>
  </w:num>
  <w:num w:numId="3">
    <w:abstractNumId w:val="0"/>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祁涟柒子衿">
    <w15:presenceInfo w15:providerId="WPS Office" w15:userId="2797947819"/>
  </w15:person>
  <w15:person w15:author="Administrator">
    <w15:presenceInfo w15:providerId="None" w15:userId="Administrator"/>
  </w15:person>
  <w15:person w15:author="a32093">
    <w15:presenceInfo w15:providerId="AD" w15:userId="S::a32093@aac365.top::cb5647f9-04e0-4f52-8f08-984ed824ab9d"/>
  </w15:person>
  <w15:person w15:author="任师佳">
    <w15:presenceInfo w15:providerId="WPS Office" w15:userId="9073240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5B40D7"/>
    <w:rsid w:val="0005176C"/>
    <w:rsid w:val="00107D63"/>
    <w:rsid w:val="00124D69"/>
    <w:rsid w:val="00133913"/>
    <w:rsid w:val="00173712"/>
    <w:rsid w:val="00175B39"/>
    <w:rsid w:val="002003BD"/>
    <w:rsid w:val="00233001"/>
    <w:rsid w:val="00270440"/>
    <w:rsid w:val="002A325F"/>
    <w:rsid w:val="002B5162"/>
    <w:rsid w:val="002B74C9"/>
    <w:rsid w:val="002D6A85"/>
    <w:rsid w:val="002E715E"/>
    <w:rsid w:val="00326402"/>
    <w:rsid w:val="00384900"/>
    <w:rsid w:val="00386C1D"/>
    <w:rsid w:val="003C285A"/>
    <w:rsid w:val="003D4704"/>
    <w:rsid w:val="0040310F"/>
    <w:rsid w:val="00417473"/>
    <w:rsid w:val="005F03A2"/>
    <w:rsid w:val="00673C2D"/>
    <w:rsid w:val="00695911"/>
    <w:rsid w:val="00755167"/>
    <w:rsid w:val="007C35BA"/>
    <w:rsid w:val="007F2505"/>
    <w:rsid w:val="008119F7"/>
    <w:rsid w:val="00817AF6"/>
    <w:rsid w:val="00847473"/>
    <w:rsid w:val="008606FF"/>
    <w:rsid w:val="008853BA"/>
    <w:rsid w:val="00924FFB"/>
    <w:rsid w:val="009566DC"/>
    <w:rsid w:val="009C2C07"/>
    <w:rsid w:val="009D358F"/>
    <w:rsid w:val="00A22427"/>
    <w:rsid w:val="00A34FB0"/>
    <w:rsid w:val="00B24520"/>
    <w:rsid w:val="00B57F31"/>
    <w:rsid w:val="00B73710"/>
    <w:rsid w:val="00BA442C"/>
    <w:rsid w:val="00BC2F76"/>
    <w:rsid w:val="00BE730F"/>
    <w:rsid w:val="00C1255F"/>
    <w:rsid w:val="00C4557C"/>
    <w:rsid w:val="00C60D6A"/>
    <w:rsid w:val="00C928FE"/>
    <w:rsid w:val="00CA209C"/>
    <w:rsid w:val="00CB2DDE"/>
    <w:rsid w:val="00D72877"/>
    <w:rsid w:val="00D72CF7"/>
    <w:rsid w:val="00DA799F"/>
    <w:rsid w:val="00DE2878"/>
    <w:rsid w:val="00E243B5"/>
    <w:rsid w:val="00E43DA3"/>
    <w:rsid w:val="00E500DE"/>
    <w:rsid w:val="00E73613"/>
    <w:rsid w:val="00E8077E"/>
    <w:rsid w:val="00EF0387"/>
    <w:rsid w:val="00F325D3"/>
    <w:rsid w:val="00F37F9C"/>
    <w:rsid w:val="03466B61"/>
    <w:rsid w:val="04C410F4"/>
    <w:rsid w:val="06392C9E"/>
    <w:rsid w:val="078A2181"/>
    <w:rsid w:val="08D8540E"/>
    <w:rsid w:val="093A7BD7"/>
    <w:rsid w:val="0C892520"/>
    <w:rsid w:val="0D213262"/>
    <w:rsid w:val="0D8E6743"/>
    <w:rsid w:val="0FF456ED"/>
    <w:rsid w:val="121F2EB6"/>
    <w:rsid w:val="192F7E14"/>
    <w:rsid w:val="19940C3D"/>
    <w:rsid w:val="1C0B0A51"/>
    <w:rsid w:val="1D43657C"/>
    <w:rsid w:val="2197751D"/>
    <w:rsid w:val="21E36C06"/>
    <w:rsid w:val="254774AC"/>
    <w:rsid w:val="25DD43F9"/>
    <w:rsid w:val="2CC9360B"/>
    <w:rsid w:val="2CEC6A7D"/>
    <w:rsid w:val="310F5189"/>
    <w:rsid w:val="328F2182"/>
    <w:rsid w:val="32A63A63"/>
    <w:rsid w:val="32DA34FB"/>
    <w:rsid w:val="350F349A"/>
    <w:rsid w:val="385B40D7"/>
    <w:rsid w:val="38DD40C2"/>
    <w:rsid w:val="396F4CC8"/>
    <w:rsid w:val="3F240913"/>
    <w:rsid w:val="3FFE53AF"/>
    <w:rsid w:val="410D1101"/>
    <w:rsid w:val="415E470B"/>
    <w:rsid w:val="42C07614"/>
    <w:rsid w:val="48284AC3"/>
    <w:rsid w:val="4A000E27"/>
    <w:rsid w:val="4DCE1C69"/>
    <w:rsid w:val="4FE83829"/>
    <w:rsid w:val="50861C88"/>
    <w:rsid w:val="52851E2D"/>
    <w:rsid w:val="549F3552"/>
    <w:rsid w:val="54D44C3B"/>
    <w:rsid w:val="54DE554B"/>
    <w:rsid w:val="55AA2FBB"/>
    <w:rsid w:val="5A3D43FE"/>
    <w:rsid w:val="5D465377"/>
    <w:rsid w:val="5D5850AB"/>
    <w:rsid w:val="5F221E14"/>
    <w:rsid w:val="65BD63F3"/>
    <w:rsid w:val="67EF3731"/>
    <w:rsid w:val="69883AB0"/>
    <w:rsid w:val="6B2861C8"/>
    <w:rsid w:val="6B5B4CB0"/>
    <w:rsid w:val="735F0AE9"/>
    <w:rsid w:val="73FE5F31"/>
    <w:rsid w:val="7B7D5881"/>
    <w:rsid w:val="7CFC4F2E"/>
    <w:rsid w:val="7DE5127E"/>
    <w:rsid w:val="7DF34C50"/>
    <w:rsid w:val="7EF95E16"/>
    <w:rsid w:val="7FAB07E8"/>
    <w:rsid w:val="7FFEAFCB"/>
    <w:rsid w:val="A7FA262E"/>
    <w:rsid w:val="BE5DB32A"/>
    <w:rsid w:val="F67F92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100" w:line="269" w:lineRule="auto"/>
      <w:jc w:val="both"/>
    </w:pPr>
    <w:rPr>
      <w:rFonts w:asciiTheme="minorHAnsi" w:hAnsiTheme="minorHAnsi" w:eastAsiaTheme="minorEastAsia" w:cstheme="minorBidi" w:ascii="Times New Roman" w:hAnsi="Times New Roman"/>
      <w:color w:val="1F1F1F"/>
      <w:kern w:val="2"/>
      <w:sz w:val="23"/>
      <w:szCs w:val="22"/>
      <w:lang w:val="en-US" w:eastAsia="zh-CN" w:bidi="ar-SA"/>
    </w:rPr>
  </w:style>
  <w:style w:type="paragraph" w:styleId="2">
    <w:name w:val="heading 1"/>
    <w:basedOn w:val="1"/>
    <w:next w:val="1"/>
    <w:qFormat/>
    <w:uiPriority w:val="9"/>
    <w:pPr>
      <w:keepNext/>
      <w:keepLines/>
      <w:spacing w:before="240" w:after="100" w:line="578" w:lineRule="auto"/>
      <w:outlineLvl w:val="0"/>
    </w:pPr>
    <w:rPr>
      <w:rFonts w:ascii="Times New Roman" w:hAnsi="Times New Roman"/>
      <w:b/>
      <w:bCs/>
      <w:color w:val="1F1F1F"/>
      <w:kern w:val="44"/>
      <w:sz w:val="30"/>
      <w:szCs w:val="44"/>
    </w:rPr>
  </w:style>
  <w:style w:type="paragraph" w:styleId="3">
    <w:name w:val="heading 2"/>
    <w:basedOn w:val="1"/>
    <w:next w:val="1"/>
    <w:unhideWhenUsed/>
    <w:qFormat/>
    <w:uiPriority w:val="9"/>
    <w:pPr>
      <w:keepNext/>
      <w:keepLines/>
      <w:spacing w:before="180" w:after="80" w:line="416" w:lineRule="auto"/>
      <w:outlineLvl w:val="1"/>
    </w:pPr>
    <w:rPr>
      <w:rFonts w:asciiTheme="majorHAnsi" w:hAnsiTheme="majorHAnsi" w:eastAsiaTheme="majorEastAsia" w:cstheme="majorBidi" w:ascii="Times New Roman" w:hAnsi="Times New Roman"/>
      <w:b/>
      <w:bCs/>
      <w:color w:val="1F1F1F"/>
      <w:sz w:val="26"/>
      <w:szCs w:val="32"/>
    </w:rPr>
  </w:style>
  <w:style w:type="paragraph" w:styleId="4">
    <w:name w:val="heading 3"/>
    <w:basedOn w:val="1"/>
    <w:next w:val="1"/>
    <w:unhideWhenUsed/>
    <w:qFormat/>
    <w:uiPriority w:val="9"/>
    <w:pPr>
      <w:keepNext/>
      <w:keepLines/>
      <w:spacing w:before="140" w:after="60" w:line="416" w:lineRule="auto"/>
      <w:outlineLvl w:val="2"/>
    </w:pPr>
    <w:rPr>
      <w:rFonts w:ascii="Times New Roman" w:hAnsi="Times New Roman"/>
      <w:b/>
      <w:bCs/>
      <w:color w:val="1F1F1F"/>
      <w:sz w:val="23"/>
      <w:szCs w:val="32"/>
    </w:rPr>
  </w:style>
  <w:style w:type="paragraph" w:styleId="5">
    <w:name w:val="heading 4"/>
    <w:basedOn w:val="1"/>
    <w:next w:val="1"/>
    <w:unhideWhenUsed/>
    <w:qFormat/>
    <w:uiPriority w:val="0"/>
    <w:pPr>
      <w:spacing w:beforeAutospacing="1" w:afterAutospacing="1"/>
      <w:jc w:val="left"/>
      <w:outlineLvl w:val="3"/>
    </w:pPr>
    <w:rPr>
      <w:rFonts w:hint="eastAsia" w:ascii="宋体" w:hAnsi="宋体" w:eastAsia="宋体" w:cs="Times New Roman"/>
      <w:b/>
      <w:bCs/>
      <w:kern w:val="0"/>
      <w:sz w:val="24"/>
      <w:szCs w:val="24"/>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paragraph" w:styleId="7">
    <w:name w:val="heading 6"/>
    <w:basedOn w:val="1"/>
    <w:next w:val="1"/>
    <w:unhideWhenUsed/>
    <w:qFormat/>
    <w:uiPriority w:val="0"/>
    <w:pPr>
      <w:keepNext/>
      <w:keepLines/>
      <w:spacing w:before="240" w:after="64" w:line="317" w:lineRule="auto"/>
      <w:outlineLvl w:val="5"/>
    </w:pPr>
    <w:rPr>
      <w:rFonts w:ascii="Arial" w:hAnsi="Arial" w:eastAsia="黑体"/>
      <w:b/>
      <w:sz w:val="24"/>
    </w:rPr>
  </w:style>
  <w:style w:type="paragraph" w:styleId="8">
    <w:name w:val="heading 7"/>
    <w:basedOn w:val="1"/>
    <w:next w:val="1"/>
    <w:unhideWhenUsed/>
    <w:qFormat/>
    <w:uiPriority w:val="0"/>
    <w:pPr>
      <w:keepNext/>
      <w:keepLines/>
      <w:spacing w:before="240" w:after="64" w:line="317" w:lineRule="auto"/>
      <w:outlineLvl w:val="6"/>
    </w:pPr>
    <w:rPr>
      <w:b/>
      <w:sz w:val="24"/>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7"/>
    <w:qFormat/>
    <w:uiPriority w:val="0"/>
    <w:pPr>
      <w:jc w:val="left"/>
    </w:pPr>
  </w:style>
  <w:style w:type="paragraph" w:styleId="10">
    <w:name w:val="HTML Preformatted"/>
    <w:basedOn w:val="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2">
    <w:name w:val="annotation subject"/>
    <w:basedOn w:val="9"/>
    <w:next w:val="9"/>
    <w:link w:val="28"/>
    <w:qFormat/>
    <w:uiPriority w:val="0"/>
    <w:rPr>
      <w:b/>
      <w:bCs/>
    </w:rPr>
  </w:style>
  <w:style w:type="table" w:styleId="14">
    <w:name w:val="Table Grid"/>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Emphasis"/>
    <w:basedOn w:val="15"/>
    <w:qFormat/>
    <w:uiPriority w:val="0"/>
    <w:rPr>
      <w:i/>
    </w:rPr>
  </w:style>
  <w:style w:type="character" w:styleId="18">
    <w:name w:val="Hyperlink"/>
    <w:basedOn w:val="15"/>
    <w:unhideWhenUsed/>
    <w:qFormat/>
    <w:uiPriority w:val="99"/>
    <w:rPr>
      <w:color w:val="0000FF"/>
      <w:u w:val="single"/>
    </w:rPr>
  </w:style>
  <w:style w:type="character" w:styleId="19">
    <w:name w:val="annotation reference"/>
    <w:basedOn w:val="15"/>
    <w:qFormat/>
    <w:uiPriority w:val="0"/>
    <w:rPr>
      <w:sz w:val="21"/>
      <w:szCs w:val="21"/>
    </w:rPr>
  </w:style>
  <w:style w:type="paragraph" w:customStyle="1" w:styleId="20">
    <w:name w:val="21bc9c4b-6a32-43e5-beaa-fd2d792c5735"/>
    <w:basedOn w:val="2"/>
    <w:next w:val="21"/>
    <w:qFormat/>
    <w:uiPriority w:val="0"/>
    <w:pPr>
      <w:shd w:val="clear" w:color="auto" w:fill="FFFFFF"/>
      <w:adjustRightInd w:val="0"/>
      <w:spacing w:before="0" w:after="0" w:line="288" w:lineRule="auto"/>
      <w:jc w:val="left"/>
    </w:pPr>
    <w:rPr>
      <w:rFonts w:ascii="微软雅黑" w:hAnsi="微软雅黑" w:eastAsia="微软雅黑"/>
      <w:bCs w:val="0"/>
      <w:color w:val="000000"/>
      <w:sz w:val="32"/>
      <w:szCs w:val="36"/>
    </w:rPr>
  </w:style>
  <w:style w:type="paragraph" w:customStyle="1" w:styleId="21">
    <w:name w:val="acbfdd8b-e11b-4d36-88ff-6049b138f862"/>
    <w:basedOn w:val="1"/>
    <w:qFormat/>
    <w:uiPriority w:val="0"/>
    <w:pPr>
      <w:shd w:val="clear" w:color="auto" w:fill="FFFFFF"/>
      <w:adjustRightInd w:val="0"/>
      <w:spacing w:line="288" w:lineRule="auto"/>
      <w:jc w:val="left"/>
    </w:pPr>
    <w:rPr>
      <w:rFonts w:ascii="微软雅黑" w:hAnsi="微软雅黑" w:eastAsia="微软雅黑"/>
      <w:bCs/>
      <w:color w:val="000000"/>
      <w:sz w:val="22"/>
      <w:szCs w:val="28"/>
      <w:shd w:val="clear" w:color="auto" w:fill="FFFFFF"/>
    </w:rPr>
  </w:style>
  <w:style w:type="paragraph" w:customStyle="1" w:styleId="22">
    <w:name w:val="Authors"/>
    <w:qFormat/>
    <w:uiPriority w:val="0"/>
    <w:pPr>
      <w:spacing w:after="113"/>
      <w:ind w:left="1418"/>
    </w:pPr>
    <w:rPr>
      <w:rFonts w:ascii="Times" w:hAnsi="Times" w:cs="Times New Roman" w:eastAsiaTheme="minorEastAsia"/>
      <w:b/>
      <w:sz w:val="22"/>
      <w:szCs w:val="22"/>
      <w:lang w:val="en-GB" w:eastAsia="en-US" w:bidi="ar-SA"/>
    </w:rPr>
  </w:style>
  <w:style w:type="paragraph" w:customStyle="1" w:styleId="23">
    <w:name w:val="Addresses"/>
    <w:qFormat/>
    <w:uiPriority w:val="0"/>
    <w:pPr>
      <w:spacing w:after="454"/>
      <w:ind w:left="1418"/>
    </w:pPr>
    <w:rPr>
      <w:rFonts w:ascii="Times New Roman" w:hAnsi="Times New Roman" w:cs="Times New Roman" w:eastAsiaTheme="minorEastAsia"/>
      <w:sz w:val="22"/>
      <w:szCs w:val="22"/>
      <w:lang w:val="en-GB" w:eastAsia="en-US" w:bidi="ar-SA"/>
    </w:rPr>
  </w:style>
  <w:style w:type="paragraph" w:customStyle="1" w:styleId="24">
    <w:name w:val="71e7dc79-1ff7-45e8-997d-0ebda3762b91"/>
    <w:basedOn w:val="3"/>
    <w:next w:val="21"/>
    <w:qFormat/>
    <w:uiPriority w:val="0"/>
    <w:pPr>
      <w:shd w:val="clear" w:color="auto" w:fill="FFFFFF"/>
      <w:adjustRightInd w:val="0"/>
      <w:spacing w:before="0" w:after="0" w:line="288" w:lineRule="auto"/>
      <w:jc w:val="left"/>
    </w:pPr>
    <w:rPr>
      <w:rFonts w:ascii="微软雅黑" w:hAnsi="微软雅黑" w:eastAsia="微软雅黑"/>
      <w:bCs w:val="0"/>
      <w:color w:val="000000"/>
      <w:sz w:val="28"/>
      <w:szCs w:val="28"/>
      <w:shd w:val="clear" w:color="auto" w:fill="FFFFFF"/>
    </w:rPr>
  </w:style>
  <w:style w:type="paragraph" w:customStyle="1" w:styleId="25">
    <w:name w:val="b63ee27f-4cf3-414c-9275-d88e3f90795e"/>
    <w:basedOn w:val="4"/>
    <w:next w:val="21"/>
    <w:qFormat/>
    <w:uiPriority w:val="0"/>
    <w:pPr>
      <w:adjustRightInd w:val="0"/>
      <w:spacing w:before="0" w:after="0" w:line="288" w:lineRule="auto"/>
      <w:jc w:val="left"/>
    </w:pPr>
    <w:rPr>
      <w:rFonts w:ascii="微软雅黑" w:hAnsi="微软雅黑" w:eastAsia="微软雅黑"/>
      <w:color w:val="000000"/>
      <w:sz w:val="26"/>
    </w:rPr>
  </w:style>
  <w:style w:type="paragraph" w:customStyle="1" w:styleId="26">
    <w:name w:val="EndNote Bibliography"/>
    <w:basedOn w:val="1"/>
    <w:qFormat/>
    <w:uiPriority w:val="0"/>
    <w:rPr>
      <w:rFonts w:ascii="宋体" w:hAnsi="等线" w:eastAsia="宋体" w:cs="Calibri"/>
      <w:sz w:val="20"/>
    </w:rPr>
  </w:style>
  <w:style w:type="character" w:customStyle="1" w:styleId="27">
    <w:name w:val="批注文字 字符"/>
    <w:basedOn w:val="15"/>
    <w:link w:val="9"/>
    <w:qFormat/>
    <w:uiPriority w:val="0"/>
    <w:rPr>
      <w:rFonts w:asciiTheme="minorHAnsi" w:hAnsiTheme="minorHAnsi" w:eastAsiaTheme="minorEastAsia" w:cstheme="minorBidi"/>
      <w:kern w:val="2"/>
      <w:sz w:val="21"/>
      <w:szCs w:val="22"/>
    </w:rPr>
  </w:style>
  <w:style w:type="character" w:customStyle="1" w:styleId="28">
    <w:name w:val="批注主题 字符"/>
    <w:basedOn w:val="27"/>
    <w:link w:val="12"/>
    <w:qFormat/>
    <w:uiPriority w:val="0"/>
    <w:rPr>
      <w:rFonts w:asciiTheme="minorHAnsi" w:hAnsiTheme="minorHAnsi" w:eastAsiaTheme="minorEastAsia" w:cstheme="minorBidi"/>
      <w:b/>
      <w:bCs/>
      <w:kern w:val="2"/>
      <w:sz w:val="21"/>
      <w:szCs w:val="22"/>
    </w:rPr>
  </w:style>
  <w:style w:type="paragraph" w:customStyle="1" w:styleId="29">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0">
    <w:name w:val="Revision"/>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PRIAbstract">
    <w:name w:val="PRI Abstract"/>
    <w:basedOn w:val="1"/>
    <w:pPr>
      <w:spacing w:line="240" w:lineRule="auto" w:before="0" w:after="80"/>
      <w:jc w:val="both"/>
    </w:pPr>
    <w:rPr>
      <w:rFonts w:ascii="Times New Roman" w:hAnsi="Times New Roman"/>
      <w:color w:val="1F1F1F"/>
      <w:sz w:val="22"/>
    </w:rPr>
  </w:style>
  <w:style w:type="paragraph" w:customStyle="1" w:styleId="PRICaption">
    <w:name w:val="PRI Caption"/>
    <w:basedOn w:val="1"/>
    <w:pPr>
      <w:keepLines/>
      <w:spacing w:line="240" w:lineRule="auto" w:before="0" w:after="80"/>
      <w:jc w:val="both"/>
    </w:pPr>
    <w:rPr>
      <w:rFonts w:ascii="Times New Roman" w:hAnsi="Times New Roman"/>
      <w:i/>
      <w:color w:val="1F1F1F"/>
      <w:sz w:val="18"/>
    </w:rPr>
  </w:style>
  <w:style w:type="paragraph" w:customStyle="1" w:styleId="PRITableCaption">
    <w:name w:val="PRI Table Caption"/>
    <w:basedOn w:val="1"/>
    <w:pPr>
      <w:keepNext/>
      <w:spacing w:line="240" w:lineRule="auto" w:before="0" w:after="80"/>
      <w:jc w:val="left"/>
    </w:pPr>
    <w:rPr>
      <w:rFonts w:ascii="Times New Roman" w:hAnsi="Times New Roman"/>
      <w:b/>
      <w:color w:val="1F1F1F"/>
      <w:sz w:val="19"/>
    </w:rPr>
  </w:style>
  <w:style w:type="paragraph" w:customStyle="1" w:styleId="PRIEquation">
    <w:name w:val="PRI Equation"/>
    <w:basedOn w:val="1"/>
    <w:pPr>
      <w:spacing w:line="240" w:lineRule="auto" w:before="60" w:after="120"/>
      <w:jc w:val="center"/>
    </w:pPr>
    <w:rPr>
      <w:rFonts w:ascii="Times New Roman" w:hAnsi="Times New Roman"/>
      <w:i/>
      <w:color w:val="1F1F1F"/>
      <w:sz w:val="21"/>
    </w:rPr>
  </w:style>
  <w:style w:type="paragraph" w:customStyle="1" w:styleId="PRIReference">
    <w:name w:val="PRI Reference"/>
    <w:basedOn w:val="1"/>
    <w:pPr>
      <w:spacing w:line="240" w:lineRule="auto" w:before="0" w:after="80"/>
      <w:ind w:left="317" w:hanging="317"/>
      <w:jc w:val="both"/>
    </w:pPr>
    <w:rPr>
      <w:rFonts w:ascii="Times New Roman" w:hAnsi="Times New Roman"/>
      <w:color w:val="1F1F1F"/>
      <w:sz w:val="19"/>
    </w:rPr>
  </w:style>
  <w:style w:type="paragraph" w:customStyle="1" w:styleId="PRITableText">
    <w:name w:val="PRI Table Text"/>
    <w:basedOn w:val="1"/>
    <w:pPr>
      <w:spacing w:line="240" w:lineRule="auto" w:before="0" w:after="40"/>
      <w:jc w:val="left"/>
    </w:pPr>
    <w:rPr>
      <w:rFonts w:ascii="Times New Roman" w:hAnsi="Times New Roman"/>
      <w:color w:val="1F1F1F"/>
      <w:sz w:val="1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260</Words>
  <Characters>1898</Characters>
  <Lines>572</Lines>
  <Paragraphs>161</Paragraphs>
  <TotalTime>75</TotalTime>
  <ScaleCrop>false</ScaleCrop>
  <LinksUpToDate>false</LinksUpToDate>
  <CharactersWithSpaces>2148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2026-04-28T01:03:00Z</dcterms:created>
  <dc:creator/>
  <cp:lastModifiedBy>任师佳</cp:lastModifiedBy>
  <dcterms:modified xsi:type="dcterms:W3CDTF">2026-06-18T07:31:08Z</dcterms:modified>
  <cp:revision>40</cp:revision>
  <dc:title>PRI-Audit: a falsification-first framework for testing patient-level gain from high-resolution psoriasis transcriptomics</dc:title>
  <dc:subject>Public-data methodological benchmark of patient-level incremental value</dc:subject>
  <cp:keywords>psoriasis; single-cell; spatial transcriptomics; validation; reproducibility</cp:keywords>
  <dc:description>Generated from the frozen v21 real-data package and v22 submission-closure analyses.</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A1CB7157A75144EA83A643F77591364C_13</vt:lpwstr>
  </property>
  <property fmtid="{D5CDD505-2E9C-101B-9397-08002B2CF9AE}" pid="4" name="KSOTemplateDocerSaveRecord">
    <vt:lpwstr>eyJoZGlkIjoiZGVlNzdkMDVhZGMxNTQwMWU4YTQxMDA1MzRhN2QwZDAiLCJ1c2VySWQiOiIxODU4MTE0MzIyIn0=</vt:lpwstr>
  </property>
</Properties>
</file>