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76" w:lineRule="auto"/>
        <w:jc w:val="left"/>
      </w:pPr>
      <w:r>
        <w:rPr>
          <w:rFonts w:ascii="Times New Roman" w:hAnsi="Times New Roman" w:eastAsia="Times New Roman" w:cs="Times New Roman"/>
          <w:b/>
          <w:i w:val="0"/>
          <w:color w:val="2B5B4A"/>
          <w:sz w:val="32"/>
        </w:rPr>
        <w:t>Supplementary Appendix</w:t>
        <w:br/>
        <w:t>Pixel Accuracy Is Not Biomarker Validity: RMDB–BiRAP Across Domains</w:t>
      </w:r>
    </w:p>
    <w:p>
      <w:pPr>
        <w:widowControl/>
        <w:spacing w:after="200"/>
        <w:jc w:val="left"/>
      </w:pPr>
      <w:r>
        <w:rPr>
          <w:rFonts w:ascii="Times New Roman" w:hAnsi="Times New Roman" w:eastAsia="Times New Roman" w:cs="Times New Roman"/>
          <w:b/>
          <w:i/>
          <w:color w:val="A9823B"/>
          <w:sz w:val="21"/>
        </w:rPr>
        <w:t>Transparent negative results, calibration analyses, and confirmation preflight</w:t>
      </w:r>
    </w:p>
    <w:p>
      <w:pPr>
        <w:keepNext/>
        <w:widowControl/>
        <w:spacing w:before="200" w:after="100"/>
        <w:jc w:val="center"/>
      </w:pPr>
      <w:r>
        <w:rPr>
          <w:rFonts w:ascii="Times New Roman" w:hAnsi="Times New Roman" w:eastAsia="Times New Roman" w:cs="Times New Roman"/>
          <w:b/>
          <w:i w:val="0"/>
          <w:color w:val="2B5B4A"/>
          <w:sz w:val="32"/>
        </w:rPr>
        <w:t>Supplementary Methods</w:t>
      </w:r>
    </w:p>
    <w:p>
      <w:pPr>
        <w:widowControl/>
        <w:spacing w:after="120" w:line="276" w:lineRule="auto"/>
        <w:jc w:val="both"/>
      </w:pPr>
      <w:r>
        <w:rPr>
          <w:rFonts w:ascii="Times New Roman" w:hAnsi="Times New Roman" w:eastAsia="Times New Roman" w:cs="Times New Roman"/>
          <w:b w:val="0"/>
          <w:i w:val="0"/>
          <w:color w:val="263A31"/>
          <w:sz w:val="23"/>
        </w:rPr>
        <w:t>All after optimization CIMT analyses used only artifacts/manifest.csv split=train (2,603 patients). The fixed CIMT test set was not read. mBRSET analyses were grouped at patient level, and the 224 pixel mirror is interpreted as an external mechanism cohort rather than independent high resolution clinical confirmation.</w:t>
      </w:r>
    </w:p>
    <w:p>
      <w:pPr>
        <w:widowControl/>
        <w:spacing w:after="120" w:line="276" w:lineRule="auto"/>
        <w:jc w:val="both"/>
      </w:pPr>
      <w:r>
        <w:rPr>
          <w:rFonts w:ascii="Times New Roman" w:hAnsi="Times New Roman" w:eastAsia="Times New Roman" w:cs="Times New Roman"/>
          <w:b w:val="0"/>
          <w:i w:val="0"/>
          <w:color w:val="263A31"/>
          <w:sz w:val="23"/>
        </w:rPr>
        <w:t>The quality gate was defined from outcome blind CIMT development phenotype completeness and quantiles before Fundus-AVSeg ground truth was joined. Nested mBRSET calibration used a Platt model cross fitted only within the outer training data. These analyses were secondary and transparent; no new outcome guided feature search was undertaken.</w:t>
      </w:r>
    </w:p>
    <w:p>
      <w:pPr>
        <w:keepNext/>
        <w:widowControl/>
        <w:spacing w:before="200" w:after="100"/>
        <w:jc w:val="both"/>
      </w:pPr>
      <w:r>
        <w:rPr>
          <w:rFonts w:ascii="Times New Roman" w:hAnsi="Times New Roman" w:eastAsia="Times New Roman" w:cs="Times New Roman"/>
          <w:b/>
          <w:i w:val="0"/>
          <w:color w:val="2B5B4A"/>
          <w:sz w:val="32"/>
        </w:rPr>
        <w:t>Supplementary Tables</w:t>
      </w:r>
    </w:p>
    <w:p>
      <w:pPr>
        <w:keepNext/>
        <w:keepLines/>
        <w:widowControl/>
        <w:spacing w:before="40" w:after="160" w:line="252" w:lineRule="auto"/>
        <w:jc w:val="both"/>
      </w:pPr>
      <w:r>
        <w:rPr>
          <w:rFonts w:ascii="Times New Roman" w:hAnsi="Times New Roman" w:eastAsia="Times New Roman" w:cs="Times New Roman"/>
          <w:b/>
          <w:i w:val="0"/>
          <w:color w:val="2B5B4A"/>
          <w:sz w:val="21"/>
        </w:rPr>
        <w:t xml:space="preserve">Table S1. </w:t>
      </w:r>
      <w:r>
        <w:rPr>
          <w:rFonts w:ascii="Times New Roman" w:hAnsi="Times New Roman" w:eastAsia="Times New Roman" w:cs="Times New Roman"/>
          <w:b w:val="0"/>
          <w:i w:val="0"/>
          <w:color w:val="263A31"/>
          <w:sz w:val="21"/>
        </w:rPr>
        <w:t>CIMT patient level model results and the constrained by repeatability negative experiment.</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cantSplit/>
        </w:trPr>
        <w:tc>
          <w:tcPr>
            <w:tcW w:type="dxa" w:w="23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Model / analysis</w:t>
            </w:r>
          </w:p>
        </w:tc>
        <w:tc>
          <w:tcPr>
            <w:tcW w:type="dxa" w:w="65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n</w:t>
            </w:r>
          </w:p>
        </w:tc>
        <w:tc>
          <w:tcPr>
            <w:tcW w:type="dxa" w:w="9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MAE (mm)</w:t>
            </w:r>
          </w:p>
        </w:tc>
        <w:tc>
          <w:tcPr>
            <w:tcW w:type="dxa" w:w="7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AUROC</w:t>
            </w:r>
          </w:p>
        </w:tc>
        <w:tc>
          <w:tcPr>
            <w:tcW w:type="dxa" w:w="255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Paired comparison</w:t>
            </w:r>
          </w:p>
        </w:tc>
        <w:tc>
          <w:tcPr>
            <w:tcW w:type="dxa" w:w="226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Interpretation</w:t>
            </w:r>
          </w:p>
        </w:tc>
      </w:tr>
      <w:tr>
        <w:trPr>
          <w:cantSplit/>
        </w:trPr>
        <w:tc>
          <w:tcPr>
            <w:tcW w:type="dxa" w:w="23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E10A conditional centile</w:t>
            </w:r>
          </w:p>
        </w:tc>
        <w:tc>
          <w:tcPr>
            <w:tcW w:type="dxa" w:w="65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2,603</w:t>
            </w:r>
          </w:p>
        </w:tc>
        <w:tc>
          <w:tcPr>
            <w:tcW w:type="dxa" w:w="9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0.10775</w:t>
            </w:r>
          </w:p>
        </w:tc>
        <w:tc>
          <w:tcPr>
            <w:tcW w:type="dxa" w:w="70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0.5550</w:t>
            </w:r>
          </w:p>
        </w:tc>
        <w:tc>
          <w:tcPr>
            <w:tcW w:type="dxa" w:w="255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vs E10_0: −0.00204 [−0.00282, −0.00124]</w:t>
            </w:r>
          </w:p>
        </w:tc>
        <w:tc>
          <w:tcPr>
            <w:tcW w:type="dxa" w:w="226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development reference</w:t>
            </w:r>
          </w:p>
        </w:tc>
      </w:tr>
      <w:tr>
        <w:trPr>
          <w:cantSplit/>
        </w:trPr>
        <w:tc>
          <w:tcPr>
            <w:tcW w:type="dxa" w:w="23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E12B gated by ICC core</w:t>
            </w:r>
          </w:p>
        </w:tc>
        <w:tc>
          <w:tcPr>
            <w:tcW w:type="dxa" w:w="65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2,603</w:t>
            </w:r>
          </w:p>
        </w:tc>
        <w:tc>
          <w:tcPr>
            <w:tcW w:type="dxa" w:w="9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0.10826</w:t>
            </w:r>
          </w:p>
        </w:tc>
        <w:tc>
          <w:tcPr>
            <w:tcW w:type="dxa" w:w="70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0.5446</w:t>
            </w:r>
          </w:p>
        </w:tc>
        <w:tc>
          <w:tcPr>
            <w:tcW w:type="dxa" w:w="255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vs E10A: +0.00057 [+0.00002, +0.00110]</w:t>
            </w:r>
          </w:p>
        </w:tc>
        <w:tc>
          <w:tcPr>
            <w:tcW w:type="dxa" w:w="226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worse; 6/25 not inferior</w:t>
            </w:r>
          </w:p>
        </w:tc>
      </w:tr>
    </w:tbl>
    <w:p>
      <w:pPr>
        <w:widowControl/>
        <w:spacing w:before="60" w:after="120" w:line="276" w:lineRule="auto"/>
        <w:jc w:val="both"/>
      </w:pPr>
      <w:r>
        <w:rPr>
          <w:rFonts w:ascii="Times New Roman" w:hAnsi="Times New Roman" w:eastAsia="Times New Roman" w:cs="Times New Roman"/>
          <w:b w:val="0"/>
          <w:i w:val="0"/>
          <w:color w:val="263A31"/>
          <w:sz w:val="23"/>
        </w:rPr>
        <w:t>All values are repeated five seed × 5 fold outer cross validation summaries. Lower MAE is better.</w:t>
      </w:r>
    </w:p>
    <w:p>
      <w:pPr>
        <w:keepNext/>
        <w:keepLines/>
        <w:widowControl/>
        <w:spacing w:before="40" w:after="160" w:line="252" w:lineRule="auto"/>
        <w:jc w:val="both"/>
      </w:pPr>
      <w:r>
        <w:rPr>
          <w:rFonts w:ascii="Times New Roman" w:hAnsi="Times New Roman" w:eastAsia="Times New Roman" w:cs="Times New Roman"/>
          <w:b/>
          <w:i w:val="0"/>
          <w:color w:val="2B5B4A"/>
          <w:sz w:val="21"/>
        </w:rPr>
        <w:t xml:space="preserve">Table S2. </w:t>
      </w:r>
      <w:r>
        <w:rPr>
          <w:rFonts w:ascii="Times New Roman" w:hAnsi="Times New Roman" w:eastAsia="Times New Roman" w:cs="Times New Roman"/>
          <w:b w:val="0"/>
          <w:i w:val="0"/>
          <w:color w:val="263A31"/>
          <w:sz w:val="21"/>
        </w:rPr>
        <w:t>mBRSET calibrated reliable core increment over clinical covariates.</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cantSplit/>
        </w:trPr>
        <w:tc>
          <w:tcPr>
            <w:tcW w:type="dxa" w:w="20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Analysis set</w:t>
            </w:r>
          </w:p>
        </w:tc>
        <w:tc>
          <w:tcPr>
            <w:tcW w:type="dxa" w:w="13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n (positive)</w:t>
            </w:r>
          </w:p>
        </w:tc>
        <w:tc>
          <w:tcPr>
            <w:tcW w:type="dxa" w:w="19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ΔAUROC</w:t>
            </w:r>
          </w:p>
        </w:tc>
        <w:tc>
          <w:tcPr>
            <w:tcW w:type="dxa" w:w="19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ΔAUPRC</w:t>
            </w:r>
          </w:p>
        </w:tc>
        <w:tc>
          <w:tcPr>
            <w:tcW w:type="dxa" w:w="19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ΔBrier</w:t>
            </w:r>
          </w:p>
        </w:tc>
        <w:tc>
          <w:tcPr>
            <w:tcW w:type="dxa" w:w="136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6"/>
              </w:rPr>
              <w:t>Evidence status</w:t>
            </w:r>
          </w:p>
        </w:tc>
      </w:tr>
      <w:tr>
        <w:trPr>
          <w:cantSplit/>
        </w:trPr>
        <w:tc>
          <w:tcPr>
            <w:tcW w:type="dxa" w:w="20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Overall</w:t>
            </w:r>
          </w:p>
        </w:tc>
        <w:tc>
          <w:tcPr>
            <w:tcW w:type="dxa" w:w="13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1,276 (912)</w:t>
            </w:r>
          </w:p>
        </w:tc>
        <w:tc>
          <w:tcPr>
            <w:tcW w:type="dxa" w:w="19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+0.00188 [-0.00588, +0.00942]</w:t>
            </w:r>
          </w:p>
        </w:tc>
        <w:tc>
          <w:tcPr>
            <w:tcW w:type="dxa" w:w="190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-0.00104 [-0.00714, +0.00526]</w:t>
            </w:r>
          </w:p>
        </w:tc>
        <w:tc>
          <w:tcPr>
            <w:tcW w:type="dxa" w:w="190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+0.00049 [-0.00064, +0.00165]</w:t>
            </w:r>
          </w:p>
        </w:tc>
        <w:tc>
          <w:tcPr>
            <w:tcW w:type="dxa" w:w="136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not supported</w:t>
            </w:r>
          </w:p>
        </w:tc>
      </w:tr>
      <w:tr>
        <w:trPr>
          <w:cantSplit/>
        </w:trPr>
        <w:tc>
          <w:tcPr>
            <w:tcW w:type="dxa" w:w="20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No diabetic retinopathy</w:t>
            </w:r>
          </w:p>
        </w:tc>
        <w:tc>
          <w:tcPr>
            <w:tcW w:type="dxa" w:w="13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882 (628)</w:t>
            </w:r>
          </w:p>
        </w:tc>
        <w:tc>
          <w:tcPr>
            <w:tcW w:type="dxa" w:w="19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-0.00052 [-0.01021, +0.00909]</w:t>
            </w:r>
          </w:p>
        </w:tc>
        <w:tc>
          <w:tcPr>
            <w:tcW w:type="dxa" w:w="190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-0.00026 [-0.00735, +0.00683]</w:t>
            </w:r>
          </w:p>
        </w:tc>
        <w:tc>
          <w:tcPr>
            <w:tcW w:type="dxa" w:w="190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+0.00062 [-0.00087, +0.00214]</w:t>
            </w:r>
          </w:p>
        </w:tc>
        <w:tc>
          <w:tcPr>
            <w:tcW w:type="dxa" w:w="1360"/>
            <w:shd w:fill="E8F0E4"/>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not supported</w:t>
            </w:r>
          </w:p>
        </w:tc>
      </w:tr>
      <w:tr>
        <w:trPr>
          <w:cantSplit/>
        </w:trPr>
        <w:tc>
          <w:tcPr>
            <w:tcW w:type="dxa" w:w="20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Strict disc QC</w:t>
            </w:r>
          </w:p>
        </w:tc>
        <w:tc>
          <w:tcPr>
            <w:tcW w:type="dxa" w:w="13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1,105 (782)</w:t>
            </w:r>
          </w:p>
        </w:tc>
        <w:tc>
          <w:tcPr>
            <w:tcW w:type="dxa" w:w="19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6"/>
              </w:rPr>
              <w:t>+0.00558 [-0.00327, +0.01449]</w:t>
            </w:r>
          </w:p>
        </w:tc>
        <w:tc>
          <w:tcPr>
            <w:tcW w:type="dxa" w:w="190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+0.00152 [-0.00723, +0.00980]</w:t>
            </w:r>
          </w:p>
        </w:tc>
        <w:tc>
          <w:tcPr>
            <w:tcW w:type="dxa" w:w="190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-0.00017 [-0.00165, +0.00135]</w:t>
            </w:r>
          </w:p>
        </w:tc>
        <w:tc>
          <w:tcPr>
            <w:tcW w:type="dxa" w:w="1360"/>
            <w:shd w:fill="FBF8EC"/>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val="0"/>
                <w:i w:val="0"/>
                <w:color w:val="263A31"/>
                <w:sz w:val="16"/>
              </w:rPr>
              <w:t>not supported</w:t>
            </w:r>
          </w:p>
        </w:tc>
      </w:tr>
    </w:tbl>
    <w:p>
      <w:pPr>
        <w:widowControl/>
        <w:spacing w:before="60" w:after="120" w:line="276" w:lineRule="auto"/>
        <w:jc w:val="both"/>
      </w:pPr>
      <w:r>
        <w:rPr>
          <w:rFonts w:ascii="Times New Roman" w:hAnsi="Times New Roman" w:eastAsia="Times New Roman" w:cs="Times New Roman"/>
          <w:b w:val="0"/>
          <w:i/>
          <w:color w:val="263A31"/>
          <w:sz w:val="23"/>
        </w:rPr>
        <w:t>R2 − R0; 95% paired bootstrap intervals. Lower Brier is better. All intervals for the primary increment cross zero.</w:t>
      </w:r>
    </w:p>
    <w:p>
      <w:pPr>
        <w:widowControl/>
        <w:spacing w:before="40" w:after="160" w:line="252" w:lineRule="auto"/>
        <w:keepNext/>
        <w:keepLines/>
        <w:pageBreakBefore/>
        <w:jc w:val="both"/>
      </w:pPr>
      <w:r>
        <w:rPr>
          <w:rFonts w:ascii="Times New Roman" w:hAnsi="Times New Roman" w:eastAsia="Times New Roman" w:cs="Times New Roman"/>
          <w:b/>
          <w:i w:val="0"/>
          <w:color w:val="2B5B4A"/>
          <w:sz w:val="21"/>
        </w:rPr>
        <w:t xml:space="preserve">Table S3. </w:t>
      </w:r>
      <w:r>
        <w:rPr>
          <w:rFonts w:ascii="Times New Roman" w:hAnsi="Times New Roman" w:eastAsia="Times New Roman" w:cs="Times New Roman"/>
          <w:b w:val="0"/>
          <w:i w:val="0"/>
          <w:color w:val="263A31"/>
          <w:sz w:val="21"/>
        </w:rPr>
        <w:t>Negative, failed, and transport boundary experiments.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24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Experiment</w:t>
            </w:r>
          </w:p>
        </w:tc>
        <w:tc>
          <w:tcPr>
            <w:tcW w:type="dxa" w:w="35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Result</w:t>
            </w:r>
          </w:p>
        </w:tc>
        <w:tc>
          <w:tcPr>
            <w:tcW w:type="dxa" w:w="436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Conclusion</w:t>
            </w:r>
          </w:p>
        </w:tc>
      </w:tr>
      <w:tr>
        <w:trPr>
          <w:cantSplit/>
        </w:trPr>
        <w:tc>
          <w:tcPr>
            <w:tcW w:type="dxa" w:w="24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Between head disagreement</w:t>
            </w:r>
          </w:p>
        </w:tc>
        <w:tc>
          <w:tcPr>
            <w:tcW w:type="dxa" w:w="35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error Spearman −0.032; large error AUROC 0.475</w:t>
            </w:r>
          </w:p>
        </w:tc>
        <w:tc>
          <w:tcPr>
            <w:tcW w:type="dxa" w:w="436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not a valid uncertainty proxy</w:t>
            </w:r>
          </w:p>
        </w:tc>
      </w:tr>
      <w:tr>
        <w:trPr>
          <w:cantSplit/>
        </w:trPr>
        <w:tc>
          <w:tcPr>
            <w:tcW w:type="dxa" w:w="24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Fundus-AVSeg blind QC gate</w:t>
            </w:r>
          </w:p>
        </w:tc>
        <w:tc>
          <w:tcPr>
            <w:tcW w:type="dxa" w:w="35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100/100 images passed</w:t>
            </w:r>
          </w:p>
        </w:tc>
        <w:tc>
          <w:tcPr>
            <w:tcW w:type="dxa" w:w="436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no external QC separation; branch stopped</w:t>
            </w:r>
          </w:p>
        </w:tc>
      </w:tr>
      <w:tr>
        <w:trPr>
          <w:cantSplit/>
        </w:trPr>
        <w:tc>
          <w:tcPr>
            <w:tcW w:type="dxa" w:w="24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Quality overlap transport</w:t>
            </w:r>
          </w:p>
        </w:tc>
        <w:tc>
          <w:tcPr>
            <w:tcW w:type="dxa" w:w="35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domain AUROC: mBRSET 1.000; RAV 0.923; Fundus-AVSeg 0.921</w:t>
            </w:r>
          </w:p>
        </w:tc>
        <w:tc>
          <w:tcPr>
            <w:tcW w:type="dxa" w:w="436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cohorts not exchangeable; no pooling</w:t>
            </w:r>
          </w:p>
        </w:tc>
      </w:tr>
      <w:tr>
        <w:trPr>
          <w:cantSplit/>
        </w:trPr>
        <w:tc>
          <w:tcPr>
            <w:tcW w:type="dxa" w:w="24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Patient label permutation</w:t>
            </w:r>
          </w:p>
        </w:tc>
        <w:tc>
          <w:tcPr>
            <w:tcW w:type="dxa" w:w="35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R0 observed 0.6648; R2 observed 0.6663; p=0.005</w:t>
            </w:r>
          </w:p>
        </w:tc>
        <w:tc>
          <w:tcPr>
            <w:tcW w:type="dxa" w:w="436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pipeline integrity, not clinical increment</w:t>
            </w:r>
          </w:p>
        </w:tc>
      </w:tr>
    </w:tbl>
    <w:p>
      <w:pPr>
        <w:keepNext/>
        <w:keepLines/>
        <w:widowControl/>
        <w:spacing w:before="40" w:after="160" w:line="252" w:lineRule="auto"/>
        <w:jc w:val="both"/>
      </w:pPr>
      <w:r>
        <w:rPr>
          <w:rFonts w:ascii="Times New Roman" w:hAnsi="Times New Roman" w:eastAsia="Times New Roman" w:cs="Times New Roman"/>
          <w:b/>
          <w:i w:val="0"/>
          <w:color w:val="2B5B4A"/>
          <w:sz w:val="21"/>
        </w:rPr>
        <w:t xml:space="preserve">Table S4. </w:t>
      </w:r>
      <w:r>
        <w:rPr>
          <w:rFonts w:ascii="Times New Roman" w:hAnsi="Times New Roman" w:eastAsia="Times New Roman" w:cs="Times New Roman"/>
          <w:b w:val="0"/>
          <w:i w:val="0"/>
          <w:color w:val="263A31"/>
          <w:sz w:val="21"/>
        </w:rPr>
        <w:t>Frozen external confirmation preflight.</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rPr>
        <w:tc>
          <w:tcPr>
            <w:tcW w:type="dxa" w:w="28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Required item</w:t>
            </w:r>
          </w:p>
        </w:tc>
        <w:tc>
          <w:tcPr>
            <w:tcW w:type="dxa" w:w="250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Local status</w:t>
            </w:r>
          </w:p>
        </w:tc>
        <w:tc>
          <w:tcPr>
            <w:tcW w:type="dxa" w:w="4960"/>
            <w:shd w:fill="2B5B4A"/>
            <w:tcMar>
              <w:top w:w="70" w:type="dxa"/>
              <w:start w:w="75" w:type="dxa"/>
              <w:bottom w:w="70" w:type="dxa"/>
              <w:end w:w="75" w:type="dxa"/>
            </w:tcMar>
            <w:vAlign w:val="center"/>
          </w:tcPr>
          <w:p>
            <w:pPr>
              <w:spacing w:after="0" w:line="240" w:lineRule="auto"/>
              <w:jc w:val="center"/>
            </w:pPr>
            <w:r>
              <w:rPr>
                <w:rFonts w:ascii="Times New Roman" w:hAnsi="Times New Roman" w:eastAsia="Times New Roman" w:cs="Times New Roman"/>
                <w:b/>
                <w:i w:val="0"/>
                <w:color w:val="FFFFFF"/>
                <w:sz w:val="17"/>
              </w:rPr>
              <w:t>Implication</w:t>
            </w:r>
          </w:p>
        </w:tc>
      </w:tr>
      <w:tr>
        <w:trPr>
          <w:cantSplit/>
        </w:trPr>
        <w:tc>
          <w:tcPr>
            <w:tcW w:type="dxa" w:w="28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Independent high resolution images</w:t>
            </w:r>
          </w:p>
        </w:tc>
        <w:tc>
          <w:tcPr>
            <w:tcW w:type="dxa" w:w="25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absent</w:t>
            </w:r>
          </w:p>
        </w:tc>
        <w:tc>
          <w:tcPr>
            <w:tcW w:type="dxa" w:w="496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cannot execute frozen confirmation</w:t>
            </w:r>
          </w:p>
        </w:tc>
      </w:tr>
      <w:tr>
        <w:trPr>
          <w:cantSplit/>
        </w:trPr>
        <w:tc>
          <w:tcPr>
            <w:tcW w:type="dxa" w:w="28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Linked patient level outcome</w:t>
            </w:r>
          </w:p>
        </w:tc>
        <w:tc>
          <w:tcPr>
            <w:tcW w:type="dxa" w:w="25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absent</w:t>
            </w:r>
          </w:p>
        </w:tc>
        <w:tc>
          <w:tcPr>
            <w:tcW w:type="dxa" w:w="496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RAV/Fundus-AVSeg are measurement only</w:t>
            </w:r>
          </w:p>
        </w:tc>
      </w:tr>
      <w:tr>
        <w:trPr>
          <w:cantSplit/>
        </w:trPr>
        <w:tc>
          <w:tcPr>
            <w:tcW w:type="dxa" w:w="28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MESA manifest + images</w:t>
            </w:r>
          </w:p>
        </w:tc>
        <w:tc>
          <w:tcPr>
            <w:tcW w:type="dxa" w:w="250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BLOCKED_EXTERNAL_DATA</w:t>
            </w:r>
          </w:p>
        </w:tc>
        <w:tc>
          <w:tcPr>
            <w:tcW w:type="dxa" w:w="4960"/>
            <w:shd w:fill="FBF8EC"/>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controlled access data not present locally</w:t>
            </w:r>
          </w:p>
        </w:tc>
      </w:tr>
      <w:tr>
        <w:trPr>
          <w:cantSplit/>
        </w:trPr>
        <w:tc>
          <w:tcPr>
            <w:tcW w:type="dxa" w:w="28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Permitted confirmation contract</w:t>
            </w:r>
          </w:p>
        </w:tc>
        <w:tc>
          <w:tcPr>
            <w:tcW w:type="dxa" w:w="250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patient_id, image_id, eye, image_path, age, sex, cimt_mm</w:t>
            </w:r>
          </w:p>
        </w:tc>
        <w:tc>
          <w:tcPr>
            <w:tcW w:type="dxa" w:w="4960"/>
            <w:shd w:fill="E8F0E4"/>
            <w:tcMar>
              <w:top w:w="70" w:type="dxa"/>
              <w:start w:w="75" w:type="dxa"/>
              <w:bottom w:w="70" w:type="dxa"/>
              <w:end w:w="75" w:type="dxa"/>
            </w:tcMar>
            <w:vAlign w:val="center"/>
          </w:tcPr>
          <w:p>
            <w:pPr>
              <w:spacing w:after="0" w:line="240" w:lineRule="auto"/>
              <w:jc w:val="left"/>
            </w:pPr>
            <w:r>
              <w:rPr>
                <w:rFonts w:ascii="Times New Roman" w:hAnsi="Times New Roman" w:eastAsia="Times New Roman" w:cs="Times New Roman"/>
                <w:b w:val="0"/>
                <w:i w:val="0"/>
                <w:color w:val="263A31"/>
                <w:sz w:val="17"/>
              </w:rPr>
              <w:t>run frozen E10A once without retuning</w:t>
            </w:r>
          </w:p>
        </w:tc>
      </w:tr>
    </w:tbl>
    <w:p>
      <w:pPr>
        <w:keepNext/>
        <w:widowControl/>
        <w:spacing w:before="200" w:after="100"/>
        <w:jc w:val="both"/>
      </w:pPr>
      <w:r>
        <w:rPr>
          <w:rFonts w:ascii="Times New Roman" w:hAnsi="Times New Roman" w:eastAsia="Times New Roman" w:cs="Times New Roman"/>
          <w:b/>
          <w:i w:val="0"/>
          <w:color w:val="2B5B4A"/>
          <w:sz w:val="32"/>
        </w:rPr>
        <w:t>Supplementary Figures</w:t>
      </w:r>
    </w:p>
    <w:p>
      <w:pPr>
        <w:keepNext/>
        <w:spacing w:before="120" w:after="40"/>
        <w:jc w:val="center"/>
      </w:pPr>
      <w:r>
        <w:drawing>
          <wp:inline xmlns:a="http://schemas.openxmlformats.org/drawingml/2006/main" xmlns:pic="http://schemas.openxmlformats.org/drawingml/2006/picture">
            <wp:extent cx="5715000" cy="2230128"/>
            <wp:docPr id="1" name="Picture 1"/>
            <wp:cNvGraphicFramePr>
              <a:graphicFrameLocks noChangeAspect="1"/>
            </wp:cNvGraphicFramePr>
            <a:graphic>
              <a:graphicData uri="http://schemas.openxmlformats.org/drawingml/2006/picture">
                <pic:pic>
                  <pic:nvPicPr>
                    <pic:cNvPr id="0" name="supplementary_patient_permutation_negative_control.png"/>
                    <pic:cNvPicPr/>
                  </pic:nvPicPr>
                  <pic:blipFill>
                    <a:blip r:embed="rId10"/>
                    <a:stretch>
                      <a:fillRect/>
                    </a:stretch>
                  </pic:blipFill>
                  <pic:spPr>
                    <a:xfrm>
                      <a:off x="0" y="0"/>
                      <a:ext cx="5715000" cy="2230128"/>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S1. </w:t>
      </w:r>
      <w:r>
        <w:rPr>
          <w:rFonts w:ascii="Times New Roman" w:hAnsi="Times New Roman" w:eastAsia="Times New Roman" w:cs="Times New Roman"/>
          <w:b w:val="0"/>
          <w:i w:val="0"/>
          <w:color w:val="263A31"/>
          <w:sz w:val="21"/>
        </w:rPr>
        <w:t>Patient level label permutation negative control. The observed out of fold AUROC values for R0 and R2 exceed their random label null distributions, while the R2–R0 increment remains clinically unsupported.</w:t>
      </w:r>
    </w:p>
    <w:p>
      <w:pPr>
        <w:keepNext/>
        <w:spacing w:before="120" w:after="40"/>
        <w:jc w:val="center"/>
      </w:pPr>
      <w:r>
        <w:drawing>
          <wp:inline xmlns:a="http://schemas.openxmlformats.org/drawingml/2006/main" xmlns:pic="http://schemas.openxmlformats.org/drawingml/2006/picture">
            <wp:extent cx="5715000" cy="2230128"/>
            <wp:docPr id="2" name="Picture 2"/>
            <wp:cNvGraphicFramePr>
              <a:graphicFrameLocks noChangeAspect="1"/>
            </wp:cNvGraphicFramePr>
            <a:graphic>
              <a:graphicData uri="http://schemas.openxmlformats.org/drawingml/2006/picture">
                <pic:pic>
                  <pic:nvPicPr>
                    <pic:cNvPr id="0" name="supplementary_quality_gate_and_transport.png"/>
                    <pic:cNvPicPr/>
                  </pic:nvPicPr>
                  <pic:blipFill>
                    <a:blip r:embed="rId11"/>
                    <a:stretch>
                      <a:fillRect/>
                    </a:stretch>
                  </pic:blipFill>
                  <pic:spPr>
                    <a:xfrm>
                      <a:off x="0" y="0"/>
                      <a:ext cx="5715000" cy="2230128"/>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S2. </w:t>
      </w:r>
      <w:r>
        <w:rPr>
          <w:rFonts w:ascii="Times New Roman" w:hAnsi="Times New Roman" w:eastAsia="Times New Roman" w:cs="Times New Roman"/>
          <w:b w:val="0"/>
          <w:i w:val="0"/>
          <w:color w:val="263A31"/>
          <w:sz w:val="21"/>
        </w:rPr>
        <w:t>Outcome blind quality gate and phenotype transport audit. The fixed gate did not separate Fundus-AVSeg images, and covariate/quality transport overlap was insufficient for pooled outcome inference.</w:t>
      </w:r>
    </w:p>
    <w:p>
      <w:pPr>
        <w:keepNext/>
        <w:spacing w:before="120" w:after="40"/>
        <w:jc w:val="center"/>
      </w:pPr>
      <w:r>
        <w:drawing>
          <wp:inline xmlns:a="http://schemas.openxmlformats.org/drawingml/2006/main" xmlns:pic="http://schemas.openxmlformats.org/drawingml/2006/picture">
            <wp:extent cx="5715000" cy="3956538"/>
            <wp:docPr id="3" name="Picture 3"/>
            <wp:cNvGraphicFramePr>
              <a:graphicFrameLocks noChangeAspect="1"/>
            </wp:cNvGraphicFramePr>
            <a:graphic>
              <a:graphicData uri="http://schemas.openxmlformats.org/drawingml/2006/picture">
                <pic:pic>
                  <pic:nvPicPr>
                    <pic:cNvPr id="0" name="disagreement_vs_error.png"/>
                    <pic:cNvPicPr/>
                  </pic:nvPicPr>
                  <pic:blipFill>
                    <a:blip r:embed="rId12"/>
                    <a:stretch>
                      <a:fillRect/>
                    </a:stretch>
                  </pic:blipFill>
                  <pic:spPr>
                    <a:xfrm>
                      <a:off x="0" y="0"/>
                      <a:ext cx="5715000" cy="3956538"/>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S3. </w:t>
      </w:r>
      <w:r>
        <w:rPr>
          <w:rFonts w:ascii="Times New Roman" w:hAnsi="Times New Roman" w:eastAsia="Times New Roman" w:cs="Times New Roman"/>
          <w:b w:val="0"/>
          <w:i w:val="0"/>
          <w:color w:val="263A31"/>
          <w:sz w:val="21"/>
        </w:rPr>
        <w:t>Rejected uncertainty hypothesis. Between head disagreement did not track absolute prediction error and was removed from the uncertainty claim.</w:t>
      </w:r>
    </w:p>
    <w:p>
      <w:pPr>
        <w:widowControl/>
        <w:spacing w:before="240" w:after="120" w:line="276" w:lineRule="auto"/>
        <w:jc w:val="both"/>
      </w:pPr>
      <w:r>
        <w:rPr>
          <w:rFonts w:ascii="Times New Roman" w:hAnsi="Times New Roman" w:eastAsia="Times New Roman" w:cs="Times New Roman"/>
          <w:b w:val="0"/>
          <w:i w:val="0"/>
          <w:color w:val="263A31"/>
          <w:sz w:val="23"/>
        </w:rPr>
        <w:t>Submission readiness items that remain dependent on the authors</w:t>
      </w:r>
    </w:p>
    <w:p>
      <w:pPr>
        <w:widowControl/>
        <w:spacing w:after="120" w:line="276" w:lineRule="auto"/>
        <w:jc w:val="both"/>
      </w:pPr>
      <w:r>
        <w:rPr>
          <w:rFonts w:ascii="Times New Roman" w:hAnsi="Times New Roman" w:eastAsia="Times New Roman" w:cs="Times New Roman"/>
          <w:b w:val="0"/>
          <w:i w:val="0"/>
          <w:color w:val="263A31"/>
          <w:sz w:val="23"/>
        </w:rPr>
        <w:t>Before journal submission, insert author names and affiliations; institutional review board and consent language; data use statements for each source; and verified bibliographic citations for FIVES, RAV, Fundus-AVSeg, mBRSET, and China Fundus–CIMT. These author/governance fields are intentionally not fabricated in this draft.</w:t>
      </w:r>
    </w:p>
    <w:p>
      <w:pPr>
        <w:pStyle w:val="Heading1"/>
        <w:keepNext/>
        <w:widowControl/>
        <w:spacing w:before="200" w:after="100"/>
      </w:pPr>
      <w:r>
        <w:rPr>
          <w:rFonts w:ascii="Times New Roman" w:hAnsi="Times New Roman" w:eastAsia="Times New Roman" w:cs="Times New Roman"/>
          <w:b/>
          <w:i w:val="0"/>
          <w:color w:val="2B5B4A"/>
          <w:sz w:val="32"/>
        </w:rPr>
        <w:t>Supplementary transport and access audits</w:t>
      </w:r>
    </w:p>
    <w:p>
      <w:pPr>
        <w:widowControl/>
        <w:spacing w:line="276" w:lineRule="auto" w:after="120"/>
        <w:jc w:val="both"/>
      </w:pPr>
      <w:r>
        <w:rPr>
          <w:rFonts w:ascii="Times New Roman" w:hAnsi="Times New Roman" w:eastAsia="Times New Roman" w:cs="Times New Roman"/>
          <w:b w:val="0"/>
          <w:i w:val="0"/>
          <w:color w:val="263A31"/>
          <w:sz w:val="23"/>
        </w:rPr>
        <w:t>The following analyses were outcome blind and used only the frozen four phenotype reliable core. CIMT input was restricted to split=train; no CIMT validation or test row and no systemic outcome was read. Repeated views were collapsed to the patient and eye median before domain classification.</w:t>
      </w:r>
    </w:p>
    <w:p>
      <w:r>
        <w:drawing>
          <wp:inline xmlns:a="http://schemas.openxmlformats.org/drawingml/2006/main" xmlns:pic="http://schemas.openxmlformats.org/drawingml/2006/picture">
            <wp:extent cx="5257800" cy="2386977"/>
            <wp:docPr id="4" name="Picture 4"/>
            <wp:cNvGraphicFramePr>
              <a:graphicFrameLocks noChangeAspect="1"/>
            </wp:cNvGraphicFramePr>
            <a:graphic>
              <a:graphicData uri="http://schemas.openxmlformats.org/drawingml/2006/picture">
                <pic:pic>
                  <pic:nvPicPr>
                    <pic:cNvPr id="0" name="four_cohort_transport.png"/>
                    <pic:cNvPicPr/>
                  </pic:nvPicPr>
                  <pic:blipFill>
                    <a:blip r:embed="rId14"/>
                    <a:stretch>
                      <a:fillRect/>
                    </a:stretch>
                  </pic:blipFill>
                  <pic:spPr>
                    <a:xfrm>
                      <a:off x="0" y="0"/>
                      <a:ext cx="5257800" cy="2386977"/>
                    </a:xfrm>
                    <a:prstGeom prst="rect"/>
                  </pic:spPr>
                </pic:pic>
              </a:graphicData>
            </a:graphic>
          </wp:inline>
        </w:drawing>
      </w:r>
    </w:p>
    <w:p>
      <w:pPr>
        <w:keepNext w:val="0"/>
        <w:keepLines/>
        <w:widowControl/>
        <w:spacing w:before="40" w:after="160" w:line="252" w:lineRule="auto"/>
        <w:jc w:val="both"/>
      </w:pPr>
      <w:r>
        <w:rPr>
          <w:rFonts w:ascii="Times New Roman" w:hAnsi="Times New Roman" w:eastAsia="Times New Roman" w:cs="Times New Roman"/>
          <w:b/>
          <w:i w:val="0"/>
          <w:color w:val="2B5B4A"/>
          <w:sz w:val="21"/>
        </w:rPr>
        <w:t xml:space="preserve">Figure S4. </w:t>
      </w:r>
      <w:r>
        <w:rPr>
          <w:rFonts w:ascii="Times New Roman" w:hAnsi="Times New Roman" w:eastAsia="Times New Roman" w:cs="Times New Roman"/>
          <w:b w:val="0"/>
          <w:i w:val="0"/>
          <w:color w:val="263A31"/>
          <w:sz w:val="21"/>
        </w:rPr>
        <w:t>Exact five cohort transport audit. Pairwise grouped by patient domain AUROC and normalized Wasserstein distance show that the four retained phenotype scales remain not exchangeable across image resources.</w:t>
      </w:r>
    </w:p>
    <w:p>
      <w:pPr>
        <w:keepNext/>
        <w:keepLines/>
        <w:widowControl/>
        <w:spacing w:before="40" w:after="160" w:line="252" w:lineRule="auto"/>
        <w:jc w:val="both"/>
      </w:pPr>
      <w:r>
        <w:rPr>
          <w:rFonts w:ascii="Times New Roman" w:hAnsi="Times New Roman" w:eastAsia="Times New Roman" w:cs="Times New Roman"/>
          <w:b/>
          <w:i w:val="0"/>
          <w:color w:val="2B5B4A"/>
          <w:sz w:val="21"/>
        </w:rPr>
        <w:t xml:space="preserve">Table S5. </w:t>
      </w:r>
      <w:r>
        <w:rPr>
          <w:rFonts w:ascii="Times New Roman" w:hAnsi="Times New Roman" w:eastAsia="Times New Roman" w:cs="Times New Roman"/>
          <w:b w:val="0"/>
          <w:i w:val="0"/>
          <w:color w:val="263A31"/>
          <w:sz w:val="21"/>
        </w:rPr>
        <w:t>All pairwise five cohort transport results.</w:t>
      </w:r>
    </w:p>
    <w:tbl>
      <w:tblPr>
        <w:tblW w:type="auto" w:w="0"/>
        <w:jc w:val="center"/>
        <w:tblLayout w:type="autofit"/>
        <w:tblLook w:firstColumn="1" w:firstRow="1" w:lastColumn="0" w:lastRow="0" w:noHBand="0" w:noVBand="1" w:val="04A0"/>
      </w:tblPr>
      <w:tblGrid>
        <w:gridCol w:w="1572"/>
        <w:gridCol w:w="1572"/>
        <w:gridCol w:w="1572"/>
        <w:gridCol w:w="1572"/>
        <w:gridCol w:w="1572"/>
        <w:gridCol w:w="1572"/>
      </w:tblGrid>
      <w:tr>
        <w:trPr>
          <w:cantSplit/>
        </w:trPr>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Pair</w:t>
            </w:r>
          </w:p>
        </w:tc>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n eyes</w:t>
            </w:r>
          </w:p>
        </w:tc>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Domain AUROC</w:t>
            </w:r>
          </w:p>
        </w:tc>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95% CI</w:t>
            </w:r>
          </w:p>
        </w:tc>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Mean normalized W</w:t>
            </w:r>
          </w:p>
        </w:tc>
        <w:tc>
          <w:tcPr>
            <w:tcW w:type="dxa" w:w="1572"/>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6"/>
              </w:rPr>
              <w:t>Mean |ΔSpearman|</w:t>
            </w:r>
          </w:p>
        </w:tc>
      </w:tr>
      <w:tr>
        <w:trPr>
          <w:cantSplit/>
        </w:trPr>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CIMT train vs mBRSET</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7729</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0.9958</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0.9942–0.9973</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3.2467</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0.3325</w:t>
            </w:r>
          </w:p>
        </w:tc>
      </w:tr>
      <w:tr>
        <w:trPr>
          <w:cantSplit/>
        </w:trPr>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CIMT train vs AFIO</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5306</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0.9412</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0.9209–0.9581</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0.9911</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0.1319</w:t>
            </w:r>
          </w:p>
        </w:tc>
      </w:tr>
      <w:tr>
        <w:trPr>
          <w:cantSplit/>
        </w:trPr>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CIMT train vs RAV</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5412</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0.8664</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0.8382–0.8923</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0.7814</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0.1143</w:t>
            </w:r>
          </w:p>
        </w:tc>
      </w:tr>
      <w:tr>
        <w:trPr>
          <w:cantSplit/>
        </w:trPr>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CIMT train vs Fundus-AVSeg</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5306</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0.9605</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0.9412–0.9766</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0.5754</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0.0764</w:t>
            </w:r>
          </w:p>
        </w:tc>
      </w:tr>
      <w:tr>
        <w:trPr>
          <w:cantSplit/>
        </w:trPr>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mBRSET vs AFIO</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2623</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0.9931</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0.9789–0.9999</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1.5313</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0.2077</w:t>
            </w:r>
          </w:p>
        </w:tc>
      </w:tr>
      <w:tr>
        <w:trPr>
          <w:cantSplit/>
        </w:trPr>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mBRSET vs RAV</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2729</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0.9962</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0.9914–0.9997</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1.7388</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0.4463</w:t>
            </w:r>
          </w:p>
        </w:tc>
      </w:tr>
      <w:tr>
        <w:trPr>
          <w:cantSplit/>
        </w:trPr>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mBRSET vs Fundus-AVSeg</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2623</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1.0000</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1.0000–1.0000</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2.8095</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0.4082</w:t>
            </w:r>
          </w:p>
        </w:tc>
      </w:tr>
      <w:tr>
        <w:trPr>
          <w:cantSplit/>
        </w:trPr>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AFIO vs RAV</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306</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0.7257</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0.6690–0.7811</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0.2814</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0.2432</w:t>
            </w:r>
          </w:p>
        </w:tc>
      </w:tr>
      <w:tr>
        <w:trPr>
          <w:cantSplit/>
        </w:trPr>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AFIO vs Fundus-AVSeg</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200</w:t>
            </w:r>
          </w:p>
        </w:tc>
        <w:tc>
          <w:tcPr>
            <w:tcW w:type="dxa" w:w="1572"/>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6"/>
              </w:rPr>
              <w:t>0.9341</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0.8980–0.9631</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1.0571</w:t>
            </w:r>
          </w:p>
        </w:tc>
        <w:tc>
          <w:tcPr>
            <w:tcW w:type="dxa" w:w="1572"/>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6"/>
              </w:rPr>
              <w:t>0.2083</w:t>
            </w:r>
          </w:p>
        </w:tc>
      </w:tr>
      <w:tr>
        <w:trPr>
          <w:cantSplit/>
        </w:trPr>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RAV vs Fundus-AVSeg</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306</w:t>
            </w:r>
          </w:p>
        </w:tc>
        <w:tc>
          <w:tcPr>
            <w:tcW w:type="dxa" w:w="1572"/>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6"/>
              </w:rPr>
              <w:t>0.9300</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0.9026–0.9579</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0.7997</w:t>
            </w:r>
          </w:p>
        </w:tc>
        <w:tc>
          <w:tcPr>
            <w:tcW w:type="dxa" w:w="1572"/>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6"/>
              </w:rPr>
              <w:t>0.0952</w:t>
            </w:r>
          </w:p>
        </w:tc>
      </w:tr>
    </w:tbl>
    <w:p>
      <w:pPr>
        <w:keepNext/>
        <w:keepLines/>
        <w:pageBreakBefore/>
        <w:widowControl/>
        <w:spacing w:before="40" w:after="160" w:line="252" w:lineRule="auto"/>
        <w:jc w:val="both"/>
      </w:pPr>
      <w:r>
        <w:rPr>
          <w:rFonts w:ascii="Times New Roman" w:hAnsi="Times New Roman" w:eastAsia="Times New Roman" w:cs="Times New Roman"/>
          <w:b/>
          <w:i w:val="0"/>
          <w:color w:val="2B5B4A"/>
          <w:sz w:val="21"/>
        </w:rPr>
        <w:t xml:space="preserve">Table S6. </w:t>
      </w:r>
      <w:r>
        <w:rPr>
          <w:rFonts w:ascii="Times New Roman" w:hAnsi="Times New Roman" w:eastAsia="Times New Roman" w:cs="Times New Roman"/>
          <w:b w:val="0"/>
          <w:i w:val="0"/>
          <w:color w:val="263A31"/>
          <w:sz w:val="21"/>
        </w:rPr>
        <w:t>Frozen structure migration and public pixel feasibility results.</w:t>
      </w:r>
    </w:p>
    <w:tbl>
      <w:tblPr>
        <w:tblW w:type="auto" w:w="0"/>
        <w:jc w:val="center"/>
        <w:tblLayout w:type="autofit"/>
        <w:tblLook w:firstColumn="1" w:firstRow="1" w:lastColumn="0" w:lastRow="0" w:noHBand="0" w:noVBand="1" w:val="04A0"/>
      </w:tblPr>
      <w:tblGrid>
        <w:gridCol w:w="1887"/>
        <w:gridCol w:w="1887"/>
        <w:gridCol w:w="1887"/>
        <w:gridCol w:w="1887"/>
        <w:gridCol w:w="1887"/>
      </w:tblGrid>
      <w:tr>
        <w:trPr>
          <w:cantSplit/>
        </w:trPr>
        <w:tc>
          <w:tcPr>
            <w:tcW w:type="dxa" w:w="1887"/>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7"/>
              </w:rPr>
              <w:t>Resource</w:t>
            </w:r>
          </w:p>
        </w:tc>
        <w:tc>
          <w:tcPr>
            <w:tcW w:type="dxa" w:w="1887"/>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7"/>
              </w:rPr>
              <w:t>Analysis</w:t>
            </w:r>
          </w:p>
        </w:tc>
        <w:tc>
          <w:tcPr>
            <w:tcW w:type="dxa" w:w="1887"/>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7"/>
              </w:rPr>
              <w:t>n</w:t>
            </w:r>
          </w:p>
        </w:tc>
        <w:tc>
          <w:tcPr>
            <w:tcW w:type="dxa" w:w="1887"/>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7"/>
              </w:rPr>
              <w:t>Result</w:t>
            </w:r>
          </w:p>
        </w:tc>
        <w:tc>
          <w:tcPr>
            <w:tcW w:type="dxa" w:w="1887"/>
            <w:tcMar>
              <w:top w:w="70" w:type="dxa"/>
              <w:start w:w="75" w:type="dxa"/>
              <w:bottom w:w="70" w:type="dxa"/>
              <w:end w:w="75" w:type="dxa"/>
            </w:tcMar>
            <w:shd w:fill="2B5B4A"/>
            <w:vAlign w:val="center"/>
          </w:tcPr>
          <w:p>
            <w:pPr>
              <w:spacing w:after="0" w:line="240" w:lineRule="auto"/>
              <w:jc w:val="center"/>
            </w:pPr>
            <w:r>
              <w:rPr>
                <w:rFonts w:ascii="Times New Roman" w:hAnsi="Times New Roman" w:eastAsia="Times New Roman" w:cs="Times New Roman"/>
                <w:b/>
                <w:i w:val="0"/>
                <w:color w:val="FFFFFF"/>
                <w:sz w:val="17"/>
              </w:rPr>
              <w:t>Decision</w:t>
            </w:r>
          </w:p>
        </w:tc>
      </w:tr>
      <w:tr>
        <w:trPr>
          <w:cantSplit/>
        </w:trPr>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FIVES held out</w:t>
            </w:r>
          </w:p>
        </w:tc>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Frozen binary vessel migration</w:t>
            </w:r>
          </w:p>
        </w:tc>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200</w:t>
            </w:r>
          </w:p>
        </w:tc>
        <w:tc>
          <w:tcPr>
            <w:tcW w:type="dxa" w:w="1887"/>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Vessel Dice 0.356</w:t>
            </w:r>
          </w:p>
        </w:tc>
        <w:tc>
          <w:tcPr>
            <w:tcW w:type="dxa" w:w="1887"/>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Negative domain shift; no retuning</w:t>
            </w:r>
          </w:p>
        </w:tc>
      </w:tr>
      <w:tr>
        <w:trPr>
          <w:cantSplit/>
        </w:trPr>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STARE AH</w:t>
            </w:r>
          </w:p>
        </w:tc>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Frozen binary vessel migration</w:t>
            </w:r>
          </w:p>
        </w:tc>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20</w:t>
            </w:r>
          </w:p>
        </w:tc>
        <w:tc>
          <w:tcPr>
            <w:tcW w:type="dxa" w:w="1887"/>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Vessel Dice 0.167</w:t>
            </w:r>
          </w:p>
        </w:tc>
        <w:tc>
          <w:tcPr>
            <w:tcW w:type="dxa" w:w="1887"/>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Negative domain shift; no retuning</w:t>
            </w:r>
          </w:p>
        </w:tc>
      </w:tr>
      <w:tr>
        <w:trPr>
          <w:cantSplit/>
        </w:trPr>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AFIO</w:t>
            </w:r>
          </w:p>
        </w:tc>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Frozen extraction completeness</w:t>
            </w:r>
          </w:p>
        </w:tc>
        <w:tc>
          <w:tcPr>
            <w:tcW w:type="dxa" w:w="1887"/>
            <w:tcMar>
              <w:top w:w="70" w:type="dxa"/>
              <w:start w:w="75" w:type="dxa"/>
              <w:bottom w:w="70" w:type="dxa"/>
              <w:end w:w="75" w:type="dxa"/>
            </w:tcMar>
            <w:shd w:fill="FBF8EC"/>
            <w:vAlign w:val="center"/>
          </w:tcPr>
          <w:p>
            <w:pPr>
              <w:spacing w:after="0" w:line="240" w:lineRule="auto"/>
              <w:jc w:val="left"/>
            </w:pPr>
            <w:r>
              <w:rPr>
                <w:rFonts w:ascii="Times New Roman" w:hAnsi="Times New Roman" w:eastAsia="Times New Roman" w:cs="Times New Roman"/>
                <w:b w:val="0"/>
                <w:i w:val="0"/>
                <w:color w:val="263A31"/>
                <w:sz w:val="17"/>
              </w:rPr>
              <w:t>100</w:t>
            </w:r>
          </w:p>
        </w:tc>
        <w:tc>
          <w:tcPr>
            <w:tcW w:type="dxa" w:w="1887"/>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100 vessel pairs; 99 A/V pairs</w:t>
            </w:r>
          </w:p>
        </w:tc>
        <w:tc>
          <w:tcPr>
            <w:tcW w:type="dxa" w:w="1887"/>
            <w:tcMar>
              <w:top w:w="70" w:type="dxa"/>
              <w:start w:w="75" w:type="dxa"/>
              <w:bottom w:w="70" w:type="dxa"/>
              <w:end w:w="75" w:type="dxa"/>
            </w:tcMar>
            <w:shd w:fill="FBF8EC"/>
            <w:vAlign w:val="center"/>
          </w:tcPr>
          <w:p>
            <w:pPr>
              <w:spacing w:after="0" w:line="240" w:lineRule="auto"/>
              <w:jc w:val="center"/>
            </w:pPr>
            <w:r>
              <w:rPr>
                <w:rFonts w:ascii="Times New Roman" w:hAnsi="Times New Roman" w:eastAsia="Times New Roman" w:cs="Times New Roman"/>
                <w:b w:val="0"/>
                <w:i w:val="0"/>
                <w:color w:val="263A31"/>
                <w:sz w:val="17"/>
              </w:rPr>
              <w:t>One absent source pair left missing</w:t>
            </w:r>
          </w:p>
        </w:tc>
      </w:tr>
      <w:tr>
        <w:trPr>
          <w:cantSplit/>
        </w:trPr>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NHANES</w:t>
            </w:r>
          </w:p>
        </w:tc>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Public retinal pixel feasibility</w:t>
            </w:r>
          </w:p>
        </w:tc>
        <w:tc>
          <w:tcPr>
            <w:tcW w:type="dxa" w:w="1887"/>
            <w:tcMar>
              <w:top w:w="70" w:type="dxa"/>
              <w:start w:w="75" w:type="dxa"/>
              <w:bottom w:w="70" w:type="dxa"/>
              <w:end w:w="75" w:type="dxa"/>
            </w:tcMar>
            <w:shd w:fill="E8F0E4"/>
            <w:vAlign w:val="center"/>
          </w:tcPr>
          <w:p>
            <w:pPr>
              <w:spacing w:after="0" w:line="240" w:lineRule="auto"/>
              <w:jc w:val="left"/>
            </w:pPr>
            <w:r>
              <w:rPr>
                <w:rFonts w:ascii="Times New Roman" w:hAnsi="Times New Roman" w:eastAsia="Times New Roman" w:cs="Times New Roman"/>
                <w:b w:val="0"/>
                <w:i w:val="0"/>
                <w:color w:val="263A31"/>
                <w:sz w:val="17"/>
              </w:rPr>
              <w:t>2,934/3,863 records</w:t>
            </w:r>
          </w:p>
        </w:tc>
        <w:tc>
          <w:tcPr>
            <w:tcW w:type="dxa" w:w="1887"/>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Grading/clinical files found; raw retinal pixels unavailable</w:t>
            </w:r>
          </w:p>
        </w:tc>
        <w:tc>
          <w:tcPr>
            <w:tcW w:type="dxa" w:w="1887"/>
            <w:tcMar>
              <w:top w:w="70" w:type="dxa"/>
              <w:start w:w="75" w:type="dxa"/>
              <w:bottom w:w="70" w:type="dxa"/>
              <w:end w:w="75" w:type="dxa"/>
            </w:tcMar>
            <w:shd w:fill="E8F0E4"/>
            <w:vAlign w:val="center"/>
          </w:tcPr>
          <w:p>
            <w:pPr>
              <w:spacing w:after="0" w:line="240" w:lineRule="auto"/>
              <w:jc w:val="center"/>
            </w:pPr>
            <w:r>
              <w:rPr>
                <w:rFonts w:ascii="Times New Roman" w:hAnsi="Times New Roman" w:eastAsia="Times New Roman" w:cs="Times New Roman"/>
                <w:b w:val="0"/>
                <w:i w:val="0"/>
                <w:color w:val="263A31"/>
                <w:sz w:val="17"/>
              </w:rPr>
              <w:t>Not an image cohort</w:t>
            </w:r>
          </w:p>
        </w:tc>
      </w:tr>
    </w:tbl>
    <w:sectPr w:rsidR="00FC693F" w:rsidRPr="0006063C" w:rsidSect="00034616">
      <w:footerReference w:type="default" r:id="rId9"/>
      <w:headerReference w:type="default" r:id="rId13"/>
      <w:pgSz w:w="11909" w:h="16834"/>
      <w:pgMar w:top="1440" w:right="1800" w:bottom="1440"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