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keepNext w:val="0"/>
        <w:keepLines w:val="0"/>
        <w:pageBreakBefore w:val="0"/>
        <w:widowControl/>
        <w:spacing w:before="0" w:after="120" w:line="360" w:lineRule="auto"/>
        <w:ind w:firstLine="0" w:left="0" w:right="0"/>
        <w:jc w:val="both"/>
        <w:rPr>
          <w:rFonts w:ascii="Times New Roman" w:hAnsi="Times New Roman" w:eastAsia="Times New Roman"/>
          <w:b/>
          <w:i w:val="0"/>
          <w:color w:val="000000"/>
          <w:sz w:val="32"/>
        </w:rPr>
      </w:pPr>
      <w:r>
        <w:rPr>
          <w:rFonts w:ascii="Times New Roman" w:hAnsi="Times New Roman" w:eastAsia="Times New Roman"/>
          <w:b/>
          <w:color w:val="000000"/>
          <w:sz w:val="24"/>
        </w:rPr>
        <w:t>From Retinal Vessel Maps to Digital Biomarkers: Testing Measurement Validity, Repeatability, Transportability, and Clinical Increment</w:t>
      </w:r>
    </w:p>
    <w:p w14:paraId="18464417">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Kaiwen Deng, Liwei Liu*</w:t>
      </w:r>
    </w:p>
    <w:p w14:paraId="61247494">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cs="Times New Roman"/>
          <w:b w:val="0"/>
          <w:i w:val="0"/>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School of Railway Intelligent Engineering, Dalian Jiaotong University, Dalian, 116028, China</w:t>
      </w:r>
    </w:p>
    <w:p w14:paraId="060C546A">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*Corresponding author</w:t>
      </w:r>
    </w:p>
    <w:p w14:paraId="0DA816F9">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bCs w:val="0"/>
          <w:i w:val="0"/>
          <w:color w:val="000000"/>
          <w:kern w:val="2"/>
          <w:sz w:val="24"/>
          <w:szCs w:val="32"/>
          <w:lang w:val="en-US" w:eastAsia="zh-CN" w:bidi="ar"/>
        </w:rPr>
        <w:t xml:space="preserve">Email: </w:t>
      </w:r>
      <w:r>
        <w:rPr>
          <w:rFonts w:hint="default" w:ascii="Times New Roman" w:hAnsi="Times New Roman" w:eastAsia="Times New Roman" w:cs="Times New Roman"/>
          <w:b w:val="0"/>
          <w:i w:val="0"/>
          <w:color w:val="000000"/>
          <w:kern w:val="2"/>
          <w:sz w:val="24"/>
          <w:szCs w:val="32"/>
          <w:lang w:val="en-US" w:eastAsia="zh-CN" w:bidi="ar"/>
        </w:rPr>
        <w:t>Liwei Liu (</w:t>
      </w:r>
      <w:r>
        <w:rPr>
          <w:rFonts w:hint="default" w:ascii="Times New Roman" w:hAnsi="Times New Roman" w:eastAsia="Times New Roman" w:cs="Times New Roman"/>
          <w:b w:val="0"/>
          <w:i w:val="0"/>
          <w:color w:val="000000"/>
          <w:kern w:val="2"/>
          <w:sz w:val="24"/>
          <w:szCs w:val="32"/>
          <w:u w:val="single"/>
          <w:lang w:val="en-US" w:eastAsia="zh-CN" w:bidi="ar"/>
        </w:rPr>
        <w:t>liutree80@163.com</w:t>
      </w:r>
      <w:r>
        <w:rPr>
          <w:rFonts w:hint="default" w:ascii="Times New Roman" w:hAnsi="Times New Roman" w:eastAsia="Times New Roman" w:cs="Times New Roman"/>
          <w:b w:val="0"/>
          <w:i w:val="0"/>
          <w:color w:val="000000"/>
          <w:kern w:val="2"/>
          <w:sz w:val="24"/>
          <w:szCs w:val="32"/>
          <w:lang w:val="en-US" w:eastAsia="zh-CN" w:bidi="ar"/>
        </w:rPr>
        <w:t>)</w:t>
      </w:r>
    </w:p>
    <w:p w14:paraId="3F9FA12F">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Abstract:</w:t>
      </w:r>
    </w:p>
    <w:p w14:paraId="4307521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Retinal vascular artificial intelligence is usually judged by the accuracy of a vessel map. Yet a technically convincing map may still yield a quantity that is unstable between repeated photographs, nonexchangeable across imaging domains, or redundant once routine clinical variables are known. This neglected separation means that artery–vein segmentation is not itself validation of a digital biomarker from the retinal vasculature. We therefore tested four complementary evidential dimensions—measurement validity, repeatability, transportability, and clinical increment—without outcome-driven phenotype selection.</w:t>
      </w:r>
    </w:p>
    <w:p w14:paraId="500C4FD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We developed RMDB–BiRAP, a measurement-first framework that factorizes vessel occupancy from artery–vein identity, constructs mass-preserving and occupancy-gated readouts, and freezes a phenotype core using same-eye intraclass correlation before any systemic outcome is inspected. FIVES supplied occupancy supervision; RAV and Fundus-AVSeg supplied external pixel references; China Fundus–CIMT supported conditional-deviation development and one-shot frozen validation; and a publicly mirrored 224-pixel mBRSET subset supported repeatability and exploratory patient-grouped nested cross-validation.</w:t>
      </w:r>
    </w:p>
    <w:p w14:paraId="29DB4D6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Four of nine prespecified phenotypes reached ICC(1,1) ≥ 0.60 across 2,359 same-eye repeat pairs. Direct fusion of 104 variables worsened CIMT prediction. In calibrated mBRSET analyses, the reliable core did not improve hypertension discrimination or Brier score (ΔAUROC 0.00188, 95% confidence interval −0.00588 to 0.00942), and patient-label permutation controls detected no leakage signal.</w:t>
      </w:r>
    </w:p>
    <w:p w14:paraId="614A0EB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The evidence layers diverged: pixel measurement and repeated-view reliability could be demonstrated, but phenotype scales were not directly exchangeable across cohorts and clinical increment was not confirmed. RMDB–BiRAP therefore provides an auditable route from vessel maps to reproducible retinal phenotypes, while defining the point at which the present evidence must stop. Independent high-resolution outcome confirmation remains required before a clinical biomarker claim is justified.</w:t>
      </w:r>
    </w:p>
    <w:p w14:paraId="38EDC64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color w:val="000000"/>
          <w:sz w:val="24"/>
        </w:rPr>
        <w:t>Keywords:</w:t>
      </w:r>
      <w:r>
        <w:rPr>
          <w:rFonts w:ascii="Times New Roman" w:hAnsi="Times New Roman" w:eastAsia="Times New Roman"/>
          <w:color w:val="000000"/>
          <w:sz w:val="24"/>
        </w:rPr>
        <w:t xml:space="preserve"> retinal vasculature; digital biomarker; artery–vein segmentation; measurement validity; repeatability; transportability; clinical increment; nested cross-validation</w:t>
      </w:r>
    </w:p>
    <w:p w14:paraId="4D08B854">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1. Introduction</w:t>
      </w:r>
    </w:p>
    <w:p w14:paraId="55D97AA7">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We therefore operationalized four complementary evidential dimensions that answer different questions: pixel-level measurement validity on labelled data, same-eye repeatability under reacquisition, transportability of phenotype scales across imaging domains, and incremental patient-level information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The contribution is deliberately falsifiable. We report where evidence survives—external measurement transfer and four reproducible global phenotypes—and where it stops: scale exchangeability across cohorts, direct high-dimensional fusion, uncertainty-by-disagreement, frozen conditional-deviation validation, and calibrated mBRSET clinical increment. The framework is not a claim that fundus imaging replaces carotid ultrasonography or blood-pressure assessment; it is a reproducible method for determining which claims a retinal measurement can support and which remain unproven.</w:t>
      </w:r>
      <w:r>
        <w:rPr>
          <w:rFonts w:ascii="Times New Roman" w:hAnsi="Times New Roman"/>
          <w:color w:val="000000"/>
          <w:sz w:val="24"/>
        </w:rPr>
        <w:t xml:space="preserve"> Figure 1 summarises the prespecified resource roles, the RMDB–BiRAP workflow, and the boundaries among the four evidential claims.</w:t>
      </w:r>
    </w:p>
    <w:p w14:paraId="4DE9CEDF">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008630"/>
            <wp:docPr id="13" name="Picture 13" descr="Figure 1. Prespecified evidence architecture and RMDB–BiRAP workflow." title="Figure 1. Prespecified evidence architecture and RMDB–BiRAP workflow."/>
            <wp:cNvGraphicFramePr>
              <a:graphicFrameLocks noChangeAspect="1"/>
            </wp:cNvGraphicFramePr>
            <a:graphic>
              <a:graphicData uri="http://schemas.openxmlformats.org/drawingml/2006/picture">
                <pic:pic>
                  <pic:nvPicPr>
                    <pic:cNvPr id="0" name="Figure1_refined.png"/>
                    <pic:cNvPicPr/>
                  </pic:nvPicPr>
                  <pic:blipFill>
                    <a:blip r:embed="rId22"/>
                    <a:stretch>
                      <a:fillRect/>
                    </a:stretch>
                  </pic:blipFill>
                  <pic:spPr>
                    <a:xfrm>
                      <a:off x="0" y="0"/>
                      <a:ext cx="5257800" cy="3008630"/>
                    </a:xfrm>
                    <a:prstGeom prst="rect"/>
                  </pic:spPr>
                </pic:pic>
              </a:graphicData>
            </a:graphic>
          </wp:inline>
        </w:drawing>
      </w:r>
    </w:p>
    <w:p w14:paraId="63E02E04">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b/>
          <w:color w:val="000000"/>
          <w:sz w:val="21"/>
        </w:rPr>
        <w:t>Figure 1.</w:t>
      </w:r>
      <w:r>
        <w:rPr>
          <w:rFonts w:ascii="Times New Roman" w:hAnsi="Times New Roman"/>
          <w:color w:val="000000"/>
          <w:sz w:val="21"/>
        </w:rPr>
        <w:t xml:space="preserve"> Prespecified evidence architecture and RMDB–BiRAP workflow. (A) FIVES, RAV, Fundus-AVSeg, China Fundus–CIMT, and mBRSET were assigned non-overlapping development, locked measurement, mechanism, repeatability, or clinical-exploration roles. Real study photographs are shown only where recoverable source images were available. (B) Anatomy standardisation precedes separation of vascular identity from vessel support, complementary Mass-UDCT and Factorized-UDCT readouts, and outcome-blind BiRAP retention. (C) Measurement validity, repeatability, transportability, and clinical increment are reported as distinct evidential claims; a phenotype does not advance beyond its strongest demonstrated evidence level.</w:t>
      </w:r>
    </w:p>
    <w:p w14:paraId="6B1B8A75">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2. Materials and methods</w:t>
      </w:r>
    </w:p>
    <w:p w14:paraId="3383C4AF">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2.1 Study cohorts and evidence roles</w:t>
      </w:r>
    </w:p>
    <w:p w14:paraId="5D68E43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line="240" w:lineRule="auto"/>
        <w:jc w:val="center"/>
      </w:pPr>
      <w:r/>
    </w:p>
    <w:p w14:paraId="490E8B35">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1.</w:t>
      </w:r>
      <w:r>
        <w:rPr>
          <w:rFonts w:ascii="Times New Roman" w:hAnsi="Times New Roman" w:eastAsia="Times New Roman"/>
          <w:color w:val="000000"/>
          <w:sz w:val="24"/>
        </w:rPr>
        <w:t xml:space="preserve"> Cohorts, labels, and prespecified analytical roles.</w:t>
      </w:r>
    </w:p>
    <w:tbl>
      <w:tblPr>
        <w:tblStyle w:val="20"/>
        <w:tblW w:w="8193" w:type="dxa"/>
        <w:jc w:val="center"/>
        <w:tblLayout w:type="autofit"/>
        <w:tblCellMar>
          <w:top w:w="0" w:type="dxa"/>
          <w:left w:w="108" w:type="dxa"/>
          <w:bottom w:w="0" w:type="dxa"/>
          <w:right w:w="108" w:type="dxa"/>
        </w:tblCellMar>
      </w:tblPr>
      <w:tblGrid>
        <w:gridCol w:w="1497"/>
        <w:gridCol w:w="1180"/>
        <w:gridCol w:w="1728"/>
        <w:gridCol w:w="2088"/>
        <w:gridCol w:w="1699"/>
      </w:tblGrid>
      <w:tr w14:paraId="20508EC4">
        <w:trPr>
          <w:trHeight w:hRule="atLeast"/>
          <w:tblHeader w:val="true"/>
          <w:jc w:val="center"/>
          <w:tblHeader w:val="true"/>
          <w:cantSplit/>
        </w:trPr>
        <w:tc>
          <w:tcPr>
            <w:tcW w:w="1497"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1668E5ED">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Cohort</w:t>
            </w:r>
          </w:p>
        </w:tc>
        <w:tc>
          <w:tcPr>
            <w:tcW w:w="1180"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9EF1E86">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Scale</w:t>
            </w:r>
          </w:p>
        </w:tc>
        <w:tc>
          <w:tcPr>
            <w:tcW w:w="172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62E76077">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Available labels</w:t>
            </w:r>
          </w:p>
        </w:tc>
        <w:tc>
          <w:tcPr>
            <w:tcW w:w="208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1FDFFBC9">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Prespecified role</w:t>
            </w:r>
          </w:p>
        </w:tc>
        <w:tc>
          <w:tcPr>
            <w:tcW w:w="1699"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7C98101F">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Evidence status</w:t>
            </w:r>
          </w:p>
        </w:tc>
      </w:tr>
      <w:tr w14:paraId="41C000E0">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5F0795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FIVES</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90DE60E">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800 images (600 train/200 test)</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2326D3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Binary vessel mask</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32B6CD6">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Occupancy-estimator source</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05B40A">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Training/measurement only</w:t>
            </w:r>
          </w:p>
        </w:tc>
      </w:tr>
      <w:tr w14:paraId="655EB4B7">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6960E98">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RAV</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713839B">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206 images</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97CAE9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Artery and vein masks</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0A1F75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Cross-domain identity audit</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BC75D3C">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External measurement</w:t>
            </w:r>
          </w:p>
        </w:tc>
      </w:tr>
      <w:tr w14:paraId="466D84D0">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75EBEBD">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Fundus-AVSeg</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CC90B45">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100 images</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F656476">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Vessel/A/V masks; disease; quality</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EBFD14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Locked zero tuning validation</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DB6984F">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External measurement</w:t>
            </w:r>
          </w:p>
        </w:tc>
      </w:tr>
      <w:tr w14:paraId="0B1D908D">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050A3AF">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China Fundus–CIMT</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n=2,603 dev.; n=200 frozen val.</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F60C367">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Age, sex, bilateral fundus, CIMT</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36099C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Normative-deviation mechanism</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Development and frozen validation</w:t>
            </w:r>
          </w:p>
        </w:tc>
      </w:tr>
      <w:tr w14:paraId="7AF1872E">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mBRSET mirror</w:t>
            </w:r>
          </w:p>
        </w:tc>
        <w:tc>
          <w:tcPr>
            <w:tcW w:w="1180"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1,287 participants; 4,884 images; 2,359 same-eye pairs</w:t>
            </w:r>
          </w:p>
        </w:tc>
        <w:tc>
          <w:tcPr>
            <w:tcW w:w="172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Repeated views; ocular grades; systemic outcomes</w:t>
            </w:r>
          </w:p>
        </w:tc>
        <w:tc>
          <w:tcPr>
            <w:tcW w:w="208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Repeatability and exploratory hypertension analysis</w:t>
            </w:r>
          </w:p>
        </w:tc>
        <w:tc>
          <w:tcPr>
            <w:tcW w:w="1699"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Exploratory; not independent high-resolution confirmation</w:t>
            </w:r>
          </w:p>
        </w:tc>
      </w:tr>
    </w:tbl>
    <w:p w14:paraId="1DEA8449">
      <w:pPr>
        <w:spacing w:before="0" w:after="0" w:line="240" w:lineRule="auto"/>
        <w:jc w:val="center"/>
      </w:pPr>
    </w:p>
    <w:p w14:paraId="3D6F0DE8">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2.2 Anatomy-aware preprocessing</w:t>
      </w:r>
    </w:p>
    <w:p w14:paraId="7A731FE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2.3 RMDB module: dual-readout vascular measurement</w:t>
      </w:r>
    </w:p>
    <w:p w14:paraId="282F9163">
      <w:pPr>
        <w:pStyle w:val="18"/>
        <w:keepNext w:val="0"/>
        <w:keepLines w:val="0"/>
        <w:pageBreakBefore w:val="0"/>
        <w:widowControl/>
        <w:spacing w:before="0" w:line="360" w:lineRule="auto" w:after="120"/>
        <w:ind w:firstLine="0" w:left="0" w:right="0"/>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Next w:val="0"/>
        <w:keepLines/>
        <w:pageBreakBefore w:val="0"/>
        <w:widowControl/>
        <w:spacing w:before="120" w:after="120" w:line="240" w:lineRule="auto"/>
        <w:ind w:left="-288" w:right="-288"/>
        <w:jc w:val="both"/>
        <w:rPr>
          <w:sz w:val="20"/>
          <w:szCs w:val="20"/>
        </w:rPr>
      </w:pPr>
      <m:oMath>
        <m:r>
          <m:rPr>
            <m:sty m:val="p"/>
          </m:rPr>
          <m:t>z⁽ᵗ⁺¹⁾ = z⁽ᵗ⁾ + αₜ rθ(x, z⁽ᵗ⁾, H(x), D(x)),   t = 0, 1.</m:t>
        </m:r>
      </m:oMath>
      <w:r>
        <w:rPr>
          <w:rFonts w:ascii="Times New Roman" w:hAnsi="Times New Roman" w:eastAsia="Times New Roman"/>
          <w:color w:val="000000"/>
          <w:sz w:val="24"/>
        </w:rPr>
        <w:t xml:space="preserve">    (1)</w:t>
      </w:r>
    </w:p>
    <w:p w14:paraId="5B0D501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Next w:val="0"/>
        <w:keepLines/>
        <w:pageBreakBefore w:val="0"/>
        <w:widowControl/>
        <w:spacing w:before="120" w:after="120" w:line="240" w:lineRule="auto"/>
        <w:ind w:left="-504" w:right="-504"/>
        <w:jc w:val="both"/>
        <w:rPr>
          <w:sz w:val="20"/>
          <w:szCs w:val="20"/>
        </w:rPr>
      </w:pPr>
      <m:oMath>
        <m:r>
          <m:rPr>
            <m:sty m:val="p"/>
          </m:rPr>
          <m:t>ℒ = λclsℒcls + λtopℒtop + λdirℒdir + λresℒres + λAVℒAV + λmassℒmass.</m:t>
        </m:r>
      </m:oMath>
      <w:r>
        <w:rPr>
          <w:rFonts w:ascii="Times New Roman" w:hAnsi="Times New Roman" w:eastAsia="Times New Roman"/>
          <w:color w:val="000000"/>
          <w:sz w:val="24"/>
        </w:rPr>
        <w:t xml:space="preserve">    (2)</w:t>
      </w:r>
    </w:p>
    <w:p w14:paraId="3DCAB82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Next w:val="0"/>
        <w:keepLines/>
        <w:pageBreakBefore w:val="0"/>
        <w:widowControl/>
        <w:spacing w:before="120" w:after="120" w:line="240" w:lineRule="auto"/>
        <w:ind w:left="-288" w:right="-288"/>
        <w:jc w:val="both"/>
        <w:rPr>
          <w:sz w:val="20"/>
          <w:szCs w:val="20"/>
        </w:rPr>
      </w:pPr>
      <m:oMath>
        <m:r>
          <m:rPr>
            <m:sty m:val="p"/>
          </m:rPr>
          <m:t>Fᵥ(x) = O(x)[c(x)Pᵥ(x|I∗) + {1 − c(x)}Ṕᵥ(x|I∗)].</m:t>
        </m:r>
      </m:oMath>
      <w:r>
        <w:rPr>
          <w:rFonts w:ascii="Times New Roman" w:hAnsi="Times New Roman" w:eastAsia="Times New Roman"/>
          <w:color w:val="000000"/>
          <w:sz w:val="24"/>
        </w:rPr>
        <w:t xml:space="preserve">    (3)</w:t>
      </w:r>
    </w:p>
    <w:p w14:paraId="2C1A3D4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r>
        <w:rPr>
          <w:rFonts w:ascii="Times New Roman" w:hAnsi="Times New Roman"/>
          <w:color w:val="000000"/>
          <w:sz w:val="24"/>
        </w:rPr>
        <w:t xml:space="preserve"> Figure 2 details the factorised measurement architecture, complementary readouts, and outcome-blind BiRAP reliability gate.</w:t>
      </w:r>
    </w:p>
    <w:p w14:paraId="7C74147A">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Next w:val="0"/>
        <w:keepLines/>
        <w:pageBreakBefore w:val="0"/>
        <w:widowControl/>
        <w:spacing w:before="120" w:after="120" w:line="240" w:lineRule="auto"/>
        <w:ind w:left="-288" w:right="-288"/>
        <w:jc w:val="both"/>
        <w:rPr>
          <w:sz w:val="20"/>
          <w:szCs w:val="20"/>
        </w:rPr>
      </w:pPr>
      <m:oMath>
        <m:r>
          <m:rPr>
            <m:sty m:val="p"/>
          </m:rPr>
          <m:t>φmass = |Ω|⁻¹ Σₓ∈Ω [1 − pᴹ₀(x)]</m:t>
        </m:r>
      </m:oMath>
      <w:r>
        <w:rPr>
          <w:rFonts w:ascii="Times New Roman" w:hAnsi="Times New Roman" w:eastAsia="Times New Roman"/>
          <w:color w:val="000000"/>
          <w:sz w:val="24"/>
        </w:rPr>
        <w:t xml:space="preserve">    (4a)</w:t>
      </w:r>
    </w:p>
    <w:p w14:paraId="27F3B4F2">
      <w:pPr>
        <w:keepNext w:val="0"/>
        <w:keepLines/>
        <w:pageBreakBefore w:val="0"/>
        <w:widowControl/>
        <w:spacing w:before="120" w:after="120" w:line="240" w:lineRule="auto"/>
        <w:ind w:left="-288" w:right="-288"/>
        <w:jc w:val="both"/>
        <w:rPr>
          <w:sz w:val="20"/>
          <w:szCs w:val="20"/>
        </w:rPr>
      </w:pPr>
      <m:oMath>
        <m:r>
          <m:rPr>
            <m:sty m:val="p"/>
          </m:rPr>
          <m:t>φA/V = log{[Σₓ(pᴹ_A + pᴹ_C) + 1] / [Σₓ(pᴹ_V + pᴹ_C) + 1]}</m:t>
        </m:r>
      </m:oMath>
      <w:r>
        <w:rPr>
          <w:rFonts w:ascii="Times New Roman" w:hAnsi="Times New Roman" w:eastAsia="Times New Roman"/>
          <w:color w:val="000000"/>
          <w:sz w:val="24"/>
        </w:rPr>
        <w:t xml:space="preserve">    (4b)</w:t>
      </w:r>
    </w:p>
    <w:p w14:paraId="3A569E86">
      <w:pPr>
        <w:keepNext w:val="0"/>
        <w:keepLines/>
        <w:pageBreakBefore w:val="0"/>
        <w:widowControl/>
        <w:spacing w:before="120" w:after="120" w:line="240" w:lineRule="auto"/>
        <w:ind w:left="-288" w:right="-288"/>
        <w:jc w:val="both"/>
        <w:rPr>
          <w:sz w:val="20"/>
          <w:szCs w:val="20"/>
        </w:rPr>
      </w:pPr>
      <m:oMath>
        <m:r>
          <m:rPr>
            <m:sty m:val="p"/>
          </m:rPr>
          <m:t>φdis = |Ω|⁻¹ Σₓ∈Ω |pᴹ_v(x) − Fᵥ(x)|</m:t>
        </m:r>
      </m:oMath>
      <w:r>
        <w:rPr>
          <w:rFonts w:ascii="Times New Roman" w:hAnsi="Times New Roman" w:eastAsia="Times New Roman"/>
          <w:color w:val="000000"/>
          <w:sz w:val="24"/>
        </w:rPr>
        <w:t xml:space="preserve">    (4c)</w:t>
      </w:r>
    </w:p>
    <w:p w14:paraId="7E368FB7">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007795"/>
            <wp:docPr id="14" name="Picture 14" descr="Figure 2. RMDB–BiRAP phenotype construction and outcome-blind reliability gating." title="Figure 2. RMDB–BiRAP phenotype construction and outcome-blind reliability gating."/>
            <wp:cNvGraphicFramePr>
              <a:graphicFrameLocks noChangeAspect="1"/>
            </wp:cNvGraphicFramePr>
            <a:graphic>
              <a:graphicData uri="http://schemas.openxmlformats.org/drawingml/2006/picture">
                <pic:pic>
                  <pic:nvPicPr>
                    <pic:cNvPr id="0" name="Figure2_refined.png"/>
                    <pic:cNvPicPr/>
                  </pic:nvPicPr>
                  <pic:blipFill>
                    <a:blip r:embed="rId23"/>
                    <a:stretch>
                      <a:fillRect/>
                    </a:stretch>
                  </pic:blipFill>
                  <pic:spPr>
                    <a:xfrm>
                      <a:off x="0" y="0"/>
                      <a:ext cx="5257800" cy="3007795"/>
                    </a:xfrm>
                    <a:prstGeom prst="rect"/>
                  </pic:spPr>
                </pic:pic>
              </a:graphicData>
            </a:graphic>
          </wp:inline>
        </w:drawing>
      </w:r>
    </w:p>
    <w:p w14:paraId="330961B0">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b/>
          <w:color w:val="000000"/>
          <w:sz w:val="21"/>
        </w:rPr>
        <w:t>Figure 2.</w:t>
      </w:r>
      <w:r>
        <w:rPr>
          <w:rFonts w:ascii="Times New Roman" w:hAnsi="Times New Roman"/>
          <w:color w:val="000000"/>
          <w:sz w:val="21"/>
        </w:rPr>
        <w:t xml:space="preserve"> RMDB–BiRAP phenotype construction and outcome-blind reliability gating. (A) A real Fundus-AVSeg image (059_D) is standardised before measurement; optic-disc and foveal landmarks establish the retinal coordinate frame, and Zone B is constructed only when disc quality control passes. (B) Two frozen branches retain the distinction between vascular identity and vessel support. VascX with the two-step UDCT corrector estimates artery, vein, and crossing identity, whereas the FIVES-derived occupancy estimator quantifies vessel support without assigning identity. Mass-UDCT retains calibrated four-class probability mass, whereas Factorized-UDCT requires occupancy support before identity is expressed. Prespecified operators generate candidate phenotypes while retaining entropy and cross-readout disagreement. (C) BiRAP applies ICC(1,1) to 2,359 same-eye repeat pairs before clinical labels are modelled. Four of nine prespecified phenotypes met ICC(1,1) ≥ 0.60 and were aggregated as bilateral patient-level summaries using patient-grouped folds; features failing quality control or repeatability stop before outcome modelling.</w:t>
      </w:r>
    </w:p>
    <w:p w14:paraId="75145ECB">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 level quantities so that image count could not act as a surrogate for outcome.</w:t>
      </w:r>
    </w:p>
    <w:p w14:paraId="1915789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Reliability was evaluated using 2,359 same 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Reliability was used only as a label blind retention rule. For candidate phenotype j, rⱼ was fixed before any systemic outcome analysis:</w:t>
      </w:r>
    </w:p>
    <w:p w14:paraId="6C8ABDE9">
      <w:pPr>
        <w:keepNext w:val="0"/>
        <w:keepLines/>
        <w:pageBreakBefore w:val="0"/>
        <w:widowControl/>
        <w:spacing w:before="120" w:after="120" w:line="240" w:lineRule="auto"/>
        <w:ind w:left="-288" w:right="-288"/>
        <w:jc w:val="both"/>
        <w:rPr>
          <w:sz w:val="20"/>
          <w:szCs w:val="20"/>
        </w:rPr>
      </w:pPr>
      <m:oMath>
        <m:r>
          <m:rPr>
            <m:sty m:val="p"/>
          </m:rPr>
          <m:t xml:space="preserve">rⱼ = </m:t>
        </m:r>
        <m:r>
          <m:rPr>
            <m:sty m:val="p"/>
            <m:scr m:val="double-struck"/>
          </m:rPr>
          <m:t>1</m:t>
        </m:r>
        <m:r>
          <m:rPr>
            <m:sty m:val="p"/>
          </m:rPr>
          <m:t>{ICCⱼ(1,1) ≥ 0.60}.</m:t>
        </m:r>
      </m:oMath>
      <w:r>
        <w:rPr>
          <w:rFonts w:ascii="Times New Roman" w:hAnsi="Times New Roman" w:eastAsia="Times New Roman"/>
          <w:color w:val="000000"/>
          <w:sz w:val="24"/>
        </w:rPr>
        <w:t xml:space="preserve">    (5)</w:t>
      </w:r>
    </w:p>
    <w:p w14:paraId="36373BEC">
      <w:pPr>
        <w:pStyle w:val="18"/>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2.5 Prespecified phenotype construction and evidence gating</w:t>
      </w:r>
    </w:p>
    <w:p w14:paraId="41C54AED">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The prespecified inputs were standardized left and right fundus photographs, frozen VascX identity logits, the frozen FIVES occupancy estimator, and optic-disc metadata. The output was a patient-level, ICC-gated phenotype vector accompanied by an evidence status independent of outcome-driven feature selection.</w:t>
      </w:r>
    </w:p>
    <w:p w14:paraId="6E6554FE">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Phenotype construction proceeded in four fixed stages. First, the field of view was normalized and disc-centred geometry was created only when optic-disc quality control passed. Second, the two-step UDCT residual corrector refined the frozen four-class identity logits. Third, Mass-UDCT preserved the calibrated four-class probability mass, whereas Factorized-UDCT combined the fixed occupancy gate with conditional vascular identity. Fourth, nine prespecified eye-level candidates quantified vessel mass, skeleton and branch density, artery-to-vein balance, entropy, and cross-readout disagreement globally and, when available, within Zone B.</w:t>
      </w:r>
    </w:p>
    <w:p w14:paraId="12E38810">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Same-eye ICC(1,1) was estimated before systemic outcomes or clinical covariates were accessed. Candidate j entered the reliable core only when ICC(1,1) ≥ 0.60; excluded candidates were retained as transparent negative results. Repeats were aggregated within eye, followed by bilateral means and absolute inter-eye differences at patient level.</w:t>
      </w:r>
    </w:p>
    <w:p w14:paraId="541C559C">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Incremental utility was then evaluated with patient-grouped nested cross-validation and paired patient-level bootstrap intervals. Failure at any evidential dimension bounded the corresponding claim; it did not retroactively invalidate evidence established at an earlier measurement layer.</w:t>
      </w:r>
    </w:p>
    <w:p w14:paraId="03C96D02">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2.6 Cross-domain measurement evaluation</w:t>
      </w:r>
    </w:p>
    <w:p w14:paraId="7E239D8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2.7 Patient-level modelling, normative deviation, and evidence gating</w:t>
      </w:r>
    </w:p>
    <w:p w14:paraId="57F1897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Next w:val="0"/>
        <w:keepLines/>
        <w:pageBreakBefore w:val="0"/>
        <w:widowControl/>
        <w:spacing w:before="120" w:after="120" w:line="240" w:lineRule="auto"/>
        <w:ind w:left="-288" w:right="-288"/>
        <w:jc w:val="both"/>
        <w:rPr>
          <w:sz w:val="20"/>
          <w:szCs w:val="20"/>
        </w:rPr>
      </w:pPr>
      <m:oMath>
        <m:r>
          <m:rPr>
            <m:sty m:val="p"/>
          </m:rPr>
          <m:t>dᵢ = [yᵢ − μ̂₋ₖ(aᵢ, sᵢ)] / σ̂₋ₖ(aᵢ, sᵢ).</m:t>
        </m:r>
      </m:oMath>
      <w:r>
        <w:rPr>
          <w:rFonts w:ascii="Times New Roman" w:hAnsi="Times New Roman" w:eastAsia="Times New Roman"/>
          <w:color w:val="000000"/>
          <w:sz w:val="24"/>
        </w:rPr>
        <w:t xml:space="preserve">    (6)</w:t>
      </w:r>
    </w:p>
    <w:p w14:paraId="57F6AB8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2.8 Reporting hierarchy</w:t>
      </w:r>
    </w:p>
    <w:p w14:paraId="21B21BE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3. Results</w:t>
      </w:r>
    </w:p>
    <w:p w14:paraId="3309F225">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3.1 Cross-domain measurement validity was heterogeneous</w:t>
      </w:r>
    </w:p>
    <w:p w14:paraId="7783EE23">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keepLines w:val="0"/>
        <w:pageBreakBefore w:val="0"/>
        <w:widowControl/>
        <w:spacing w:before="0" w:after="120" w:line="360" w:lineRule="auto"/>
        <w:ind w:firstLine="0" w:left="0" w:right="0"/>
        <w:jc w:val="both"/>
      </w:pPr>
      <w:r>
        <w:rPr>
          <w:rFonts w:ascii="Times New Roman" w:hAnsi="Times New Roman" w:eastAsia="Times New Roman"/>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w:t>
      </w:r>
    </w:p>
    <w:p w14:paraId="68F1762E">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9" name="Picture 9" descr="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
            <wp:cNvGraphicFramePr>
              <a:graphicFrameLocks noChangeAspect="1"/>
            </wp:cNvGraphicFramePr>
            <a:graphic>
              <a:graphicData uri="http://schemas.openxmlformats.org/drawingml/2006/picture">
                <pic:pic>
                  <pic:nvPicPr>
                    <pic:cNvPr id="0" name="Figure3_Measurement.png"/>
                    <pic:cNvPicPr/>
                  </pic:nvPicPr>
                  <pic:blipFill>
                    <a:blip r:embed="rId18"/>
                    <a:stretch>
                      <a:fillRect/>
                    </a:stretch>
                  </pic:blipFill>
                  <pic:spPr>
                    <a:xfrm>
                      <a:off x="0" y="0"/>
                      <a:ext cx="5257800" cy="3286125"/>
                    </a:xfrm>
                    <a:prstGeom prst="rect"/>
                  </pic:spPr>
                </pic:pic>
              </a:graphicData>
            </a:graphic>
          </wp:inline>
        </w:drawing>
      </w:r>
    </w:p>
    <w:p w14:paraId="3C5232CE">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3.</w:t>
      </w:r>
      <w:r>
        <w:rPr>
          <w:rFonts w:ascii="Times New Roman" w:hAnsi="Times New Roman" w:eastAsia="Times New Roman"/>
          <w:color w:val="000000"/>
          <w:sz w:val="21"/>
        </w:rPr>
        <w:t xml:space="preserve"> 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w:t>
      </w:r>
    </w:p>
    <w:p w14:paraId="178159CD">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2.</w:t>
      </w:r>
      <w:r>
        <w:rPr>
          <w:rFonts w:ascii="Times New Roman" w:hAnsi="Times New Roman" w:eastAsia="Times New Roman"/>
          <w:color w:val="000000"/>
          <w:sz w:val="24"/>
        </w:rPr>
        <w:t xml:space="preserve"> External measurement performance. Lower is better only for A/V ratio log error.</w:t>
      </w:r>
    </w:p>
    <w:tbl>
      <w:tblPr>
        <w:tblStyle w:val="20"/>
        <w:tblW w:w="8020" w:type="dxa"/>
        <w:tblLayout w:type="autofit"/>
        <w:tblCellMar>
          <w:top w:w="0" w:type="dxa"/>
          <w:left w:w="108" w:type="dxa"/>
          <w:bottom w:w="0" w:type="dxa"/>
          <w:right w:w="108" w:type="dxa"/>
        </w:tblCellMar>
        <w:jc w:val="center"/>
      </w:tblPr>
      <w:tblGrid>
        <w:gridCol w:w="1123"/>
        <w:gridCol w:w="1108"/>
        <w:gridCol w:w="835"/>
        <w:gridCol w:w="835"/>
        <w:gridCol w:w="835"/>
        <w:gridCol w:w="964"/>
        <w:gridCol w:w="1123"/>
        <w:gridCol w:w="1195"/>
      </w:tblGrid>
      <w:tr w14:paraId="478A8751">
        <w:trPr>
          <w:trHeight w:hRule="atLeast"/>
          <w:tblHeader w:val="true"/>
          <w:jc w:val="center"/>
          <w:tblHeader w:val="true"/>
          <w:cantSplit/>
        </w:trPr>
        <w:tc>
          <w:tcPr>
            <w:tcW w:w="1123"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2BCCB7FA">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Cohort</w:t>
            </w:r>
          </w:p>
        </w:tc>
        <w:tc>
          <w:tcPr>
            <w:tcW w:w="110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2B32D46E">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Readout</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31EBCB0">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Vessel Dice</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05AD61E">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Artery Dice</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7FD8E1E3">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Vein Dice</w:t>
            </w:r>
          </w:p>
        </w:tc>
        <w:tc>
          <w:tcPr>
            <w:tcW w:w="964"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8582E2C">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Mean A/V Dice</w:t>
            </w:r>
          </w:p>
        </w:tc>
        <w:tc>
          <w:tcPr>
            <w:tcW w:w="1123"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3488F0C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Type accuracy</w:t>
            </w:r>
          </w:p>
        </w:tc>
        <w:tc>
          <w:tcPr>
            <w:tcW w:w="119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C8E7532">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A/V ratio error</w:t>
            </w:r>
          </w:p>
        </w:tc>
      </w:tr>
      <w:tr w14:paraId="7EFC6277">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09018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RAV</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BBAA9A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VascX</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EDA0A2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2DCC86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0.8119</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19AB7E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0.8393</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FC64B4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0.8256</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CB5D07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0.8105</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44034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0.0716</w:t>
            </w:r>
          </w:p>
        </w:tc>
      </w:tr>
      <w:tr w14:paraId="4AF52A6F">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0B2C1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655CC1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VascX</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3D525F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0.5898</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3A614C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0.5461</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8EA6D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0.5629</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7D5156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0.5545</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C6B54A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0.5057</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CACFC4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0.0713</w:t>
            </w:r>
          </w:p>
        </w:tc>
      </w:tr>
      <w:tr w14:paraId="3852E5AF">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BE7598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13A3EC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Mass-UDCT</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6ACF2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0.6019</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4AE8F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0.5553</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F24DF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0.5716</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2C02CB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0.5635</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9CC694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0.5328</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4FFA5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0.0706</w:t>
            </w:r>
          </w:p>
        </w:tc>
      </w:tr>
      <w:tr w14:paraId="517F305B">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14CAE6D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3304859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43FC03F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0.5929</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6CCA18C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0.5479</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654563C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0.5640</w:t>
            </w:r>
          </w:p>
        </w:tc>
        <w:tc>
          <w:tcPr>
            <w:tcW w:w="964"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7567E9C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0.5560</w:t>
            </w:r>
          </w:p>
        </w:tc>
        <w:tc>
          <w:tcPr>
            <w:tcW w:w="1123"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01C101B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0.5059</w:t>
            </w:r>
          </w:p>
        </w:tc>
        <w:tc>
          <w:tcPr>
            <w:tcW w:w="119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190DAE6">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0.0689</w:t>
            </w:r>
          </w:p>
        </w:tc>
      </w:tr>
    </w:tbl>
    <w:p w14:paraId="36A0F564">
      <w:pPr>
        <w:spacing w:before="0" w:after="0" w:line="240" w:lineRule="auto"/>
        <w:jc w:val="center"/>
      </w:pPr>
    </w:p>
    <w:p w14:paraId="5FEBE969">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3.2 Outcome-blind repeatability selected four phenotypes</w:t>
      </w:r>
    </w:p>
    <w:p w14:paraId="032EF8F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0" name="Picture 10" descr="Outcome-blind same-eye repeatability. (A) Representative repeated views from the same mBRSET eye. (B) ICC(1,1) with bootstrap 95% confidence intervals for all nine candidates. The prespecified threshold retained four candidates and excluded five before any systemic outcome was accessed."/>
            <wp:cNvGraphicFramePr>
              <a:graphicFrameLocks noChangeAspect="1"/>
            </wp:cNvGraphicFramePr>
            <a:graphic>
              <a:graphicData uri="http://schemas.openxmlformats.org/drawingml/2006/picture">
                <pic:pic>
                  <pic:nvPicPr>
                    <pic:cNvPr id="0" name="Figure4_Repeatability.png"/>
                    <pic:cNvPicPr/>
                  </pic:nvPicPr>
                  <pic:blipFill>
                    <a:blip r:embed="rId19"/>
                    <a:stretch>
                      <a:fillRect/>
                    </a:stretch>
                  </pic:blipFill>
                  <pic:spPr>
                    <a:xfrm>
                      <a:off x="0" y="0"/>
                      <a:ext cx="5257800" cy="3286125"/>
                    </a:xfrm>
                    <a:prstGeom prst="rect"/>
                  </pic:spPr>
                </pic:pic>
              </a:graphicData>
            </a:graphic>
          </wp:inline>
        </w:drawing>
      </w:r>
    </w:p>
    <w:p w14:paraId="7DCA7E3D">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4.</w:t>
      </w:r>
      <w:r>
        <w:rPr>
          <w:rFonts w:ascii="Times New Roman" w:hAnsi="Times New Roman" w:eastAsia="Times New Roman"/>
          <w:color w:val="000000"/>
          <w:sz w:val="21"/>
        </w:rPr>
        <w:t xml:space="preserve"> Outcome-blind same-eye repeatability. (A) Representative repeated views from the same mBRSET eye. (B) ICC(1,1) with bootstrap 95% confidence intervals for all nine candidates. The prespecified threshold retained four candidates and excluded five before any systemic outcome was accessed.</w:t>
      </w:r>
    </w:p>
    <w:p w14:paraId="4613057F">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3.</w:t>
      </w:r>
      <w:r>
        <w:rPr>
          <w:rFonts w:ascii="Times New Roman" w:hAnsi="Times New Roman" w:eastAsia="Times New Roman"/>
          <w:color w:val="000000"/>
          <w:sz w:val="24"/>
        </w:rPr>
        <w:t xml:space="preserve"> Label-blind repeated-view reliability and phenotype retention.</w:t>
      </w:r>
    </w:p>
    <w:tbl>
      <w:tblPr>
        <w:tblStyle w:val="20"/>
        <w:tblW w:w="8078" w:type="dxa"/>
        <w:tblLayout w:type="autofit"/>
        <w:tblCellMar>
          <w:top w:w="0" w:type="dxa"/>
          <w:left w:w="108" w:type="dxa"/>
          <w:bottom w:w="0" w:type="dxa"/>
          <w:right w:w="108" w:type="dxa"/>
        </w:tblCellMar>
        <w:jc w:val="center"/>
      </w:tblPr>
      <w:tblGrid>
        <w:gridCol w:w="1555"/>
        <w:gridCol w:w="2505"/>
        <w:gridCol w:w="1007"/>
        <w:gridCol w:w="1756"/>
        <w:gridCol w:w="1252"/>
      </w:tblGrid>
      <w:tr w14:paraId="18AE6D5F">
        <w:trPr>
          <w:trHeight w:hRule="atLeast"/>
          <w:tblHeader w:val="true"/>
          <w:jc w:val="center"/>
          <w:tblHeader w:val="true"/>
          <w:cantSplit/>
        </w:trPr>
        <w:tc>
          <w:tcPr>
            <w:tcW w:w="155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0AA18102">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Phenotype</w:t>
            </w:r>
          </w:p>
        </w:tc>
        <w:tc>
          <w:tcPr>
            <w:tcW w:w="250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324C767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Measurement interpretation</w:t>
            </w:r>
          </w:p>
        </w:tc>
        <w:tc>
          <w:tcPr>
            <w:tcW w:w="1007"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D8588CB">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ICC(1,1)</w:t>
            </w:r>
          </w:p>
        </w:tc>
        <w:tc>
          <w:tcPr>
            <w:tcW w:w="1756"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2C4375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95% CI</w:t>
            </w:r>
          </w:p>
        </w:tc>
        <w:tc>
          <w:tcPr>
            <w:tcW w:w="1252"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6413775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Decision</w:t>
            </w:r>
          </w:p>
        </w:tc>
      </w:tr>
      <w:tr w14:paraId="57F49207">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9DEC74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Occupancy disagreement</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D051726">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Existence-readout mismatch</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E6D656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0.811</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6F57A1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0.791–0.829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9E584F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45FF03A6">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16B744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 skeleton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1F9CFD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Occupancy-gated geometry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429AFB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0.772</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76FDCC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0.752–0.789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3CCAEF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329E0D1A">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F1D88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Mass-UDCT skeleton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E04B7C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Mass-preserving geometry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BD1DCF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0.688</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3082C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0.665–0.710</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DFF133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5CA7D245">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C0127F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vessel mass fraction</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CF141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Continuous vessel support</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DDA92D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0.676</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C2203E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0.653–0.699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23E5C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79270D8E">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371A8A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 entropy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D0E8F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 ambiguity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EE45B3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0.503</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686882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0.473–0.534</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1FDB4E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0F10059B">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8164D6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 branch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28DD79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Topological complexity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8CA12A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0.484</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9DB91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0.452–0.514</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A13723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3C61598E">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91EAB2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A/V log-mass ratio</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46CE29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identity balance</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B9B0A5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0.384</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C897E8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0.346–0.420</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1E708B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206EBF14">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F07141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 A/V log-area ratio</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94418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Gated identity balance</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18BA4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0.360</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0D721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0.311–0.406</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C62303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594F3F80">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701F7D6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Base-to-mass disagreement</w:t>
            </w:r>
          </w:p>
        </w:tc>
        <w:tc>
          <w:tcPr>
            <w:tcW w:w="250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1FE7401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Identity-head mismatch</w:t>
            </w:r>
          </w:p>
        </w:tc>
        <w:tc>
          <w:tcPr>
            <w:tcW w:w="1007"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4652923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0.282</w:t>
            </w:r>
          </w:p>
        </w:tc>
        <w:tc>
          <w:tcPr>
            <w:tcW w:w="1756"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C16ADC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0.237–0.328</w:t>
            </w:r>
          </w:p>
        </w:tc>
        <w:tc>
          <w:tcPr>
            <w:tcW w:w="1252"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98234F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bl>
    <w:p w14:paraId="644740EA">
      <w:pPr>
        <w:spacing w:before="0" w:after="0" w:line="240" w:lineRule="auto"/>
        <w:jc w:val="center"/>
      </w:pPr>
    </w:p>
    <w:p w14:paraId="0FE0553D">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line="240" w:lineRule="auto"/>
        <w:jc w:val="center"/>
      </w:pPr>
      <w:r/>
    </w:p>
    <w:p w14:paraId="6B41BF30">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1" name="Picture 11" descr="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
            <wp:cNvGraphicFramePr>
              <a:graphicFrameLocks noChangeAspect="1"/>
            </wp:cNvGraphicFramePr>
            <a:graphic>
              <a:graphicData uri="http://schemas.openxmlformats.org/drawingml/2006/picture">
                <pic:pic>
                  <pic:nvPicPr>
                    <pic:cNvPr id="0" name="Figure5_CIMT.png"/>
                    <pic:cNvPicPr/>
                  </pic:nvPicPr>
                  <pic:blipFill>
                    <a:blip r:embed="rId20"/>
                    <a:stretch>
                      <a:fillRect/>
                    </a:stretch>
                  </pic:blipFill>
                  <pic:spPr>
                    <a:xfrm>
                      <a:off x="0" y="0"/>
                      <a:ext cx="5257800" cy="3286125"/>
                    </a:xfrm>
                    <a:prstGeom prst="rect"/>
                  </pic:spPr>
                </pic:pic>
              </a:graphicData>
            </a:graphic>
          </wp:inline>
        </w:drawing>
      </w:r>
    </w:p>
    <w:p w14:paraId="636FA762">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5.</w:t>
      </w:r>
      <w:r>
        <w:rPr>
          <w:rFonts w:ascii="Times New Roman" w:hAnsi="Times New Roman" w:eastAsia="Times New Roman"/>
          <w:color w:val="000000"/>
          <w:sz w:val="21"/>
        </w:rPr>
        <w:t xml:space="preserve"> 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w:t>
      </w:r>
    </w:p>
    <w:p w14:paraId="55262C16">
      <w:pPr>
        <w:spacing w:before="0" w:after="0" w:line="240" w:lineRule="auto"/>
        <w:jc w:val="center"/>
      </w:pPr>
    </w:p>
    <w:p w14:paraId="0BA5E862">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3.6 Negative controls and transport boundaries</w:t>
      </w:r>
    </w:p>
    <w:p w14:paraId="3EFBFA8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line="240" w:lineRule="auto"/>
        <w:jc w:val="center"/>
      </w:pPr>
      <w:r/>
    </w:p>
    <w:p w14:paraId="03FE0B26">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2" name="Picture 12" descr="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
            <wp:cNvGraphicFramePr>
              <a:graphicFrameLocks noChangeAspect="1"/>
            </wp:cNvGraphicFramePr>
            <a:graphic>
              <a:graphicData uri="http://schemas.openxmlformats.org/drawingml/2006/picture">
                <pic:pic>
                  <pic:nvPicPr>
                    <pic:cNvPr id="0" name="Figure6_ClinicalBoundary.png"/>
                    <pic:cNvPicPr/>
                  </pic:nvPicPr>
                  <pic:blipFill>
                    <a:blip r:embed="rId21"/>
                    <a:stretch>
                      <a:fillRect/>
                    </a:stretch>
                  </pic:blipFill>
                  <pic:spPr>
                    <a:xfrm>
                      <a:off x="0" y="0"/>
                      <a:ext cx="5257800" cy="3286125"/>
                    </a:xfrm>
                    <a:prstGeom prst="rect"/>
                  </pic:spPr>
                </pic:pic>
              </a:graphicData>
            </a:graphic>
          </wp:inline>
        </w:drawing>
      </w:r>
    </w:p>
    <w:p w14:paraId="1433CE07">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6.</w:t>
      </w:r>
      <w:r>
        <w:rPr>
          <w:rFonts w:ascii="Times New Roman" w:hAnsi="Times New Roman" w:eastAsia="Times New Roman"/>
          <w:color w:val="000000"/>
          <w:sz w:val="21"/>
        </w:rPr>
        <w:t xml:space="preserve"> 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w:t>
      </w:r>
    </w:p>
    <w:p w14:paraId="34203D94">
      <w:pPr>
        <w:spacing w:before="0" w:after="0" w:line="240" w:lineRule="auto"/>
        <w:jc w:val="center"/>
      </w:pPr>
    </w:p>
    <w:p w14:paraId="17CF2212">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3.7 Negative experiments defined the stopping rule</w:t>
      </w:r>
    </w:p>
    <w:p w14:paraId="2082E8B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pPr>
        <w:keepNext w:val="0"/>
        <w:keepLines w:val="0"/>
        <w:pageBreakBefore w:val="0"/>
        <w:widowControl/>
        <w:spacing w:before="0" w:after="120" w:line="360" w:lineRule="auto"/>
        <w:ind w:left="0" w:right="0" w:firstLine="0"/>
        <w:jc w:val="both"/>
      </w:pPr>
      <w:r>
        <w:rPr>
          <w:rFonts w:ascii="Times New Roman" w:hAnsi="Times New Roman" w:eastAsia="Times New Roman"/>
          <w:color w:val="000000"/>
          <w:sz w:val="24"/>
        </w:rPr>
        <w:t>A high-resolution residual domain-generalization branch was extended to 12 epochs to test whether the limited external gain reflected undertraining; checkpoint selection remained restricted to development data. The best checkpoint remained epoch 5. It achieved mean artery/vein Dice 0.8266 on the RAV development split versus 0.8446 for the frozen reference, FIVES vessel Dice 0.8136, and Dice 0.6038 on a seven-image retrospective device stress set versus 0.6042 for the frozen baseline. Because discrimination did not improve consistently and probability calibration worsened slightly, the branch was stopped. The seven-image stress result is descriptive only.</w:t>
      </w:r>
    </w:p>
    <w:p w14:paraId="2F83772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4. Discussion</w:t>
      </w:r>
    </w:p>
    <w:p w14:paraId="5F121B86">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4.1 Principal finding: the evidence layers diverged</w:t>
      </w:r>
    </w:p>
    <w:p w14:paraId="66B0EFF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4.2 Algorithmic and methodological contribution</w:t>
      </w:r>
    </w:p>
    <w:p w14:paraId="30956D3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4.3 Clinical interpretation and limits of increment</w:t>
      </w:r>
    </w:p>
    <w:p w14:paraId="099BD53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4.4 Limitations and confirmatory path</w:t>
      </w:r>
    </w:p>
    <w:p w14:paraId="01D2BF3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5. Conclusion</w:t>
      </w:r>
    </w:p>
    <w:p w14:paraId="3550C3E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A retinal vascular feature does not become a clinical biomarker merely because its source map is accurate or its association is statistically detectable. Across five core cohorts, RMDB–BiRAP supported external pixel measurement and four reproducible global phenotypes, while cross-cohort scale differences, direct high-dimensional fusion, a head-disagreement uncertainty proxy, the 12-epoch residual optimization branch, reliability-gated representation replacement, and calibrated mBRSET increment all failed to justify a stronger clinical claim. The contribution is an auditable route from measurable pixels to reproducible phenotypes, together with a transparent stopping rule until frozen confirmation in an independent high-resolution outcome cohort becomes possible.</w:t>
      </w:r>
    </w:p>
    <w:p w14:paraId="2D7F1692">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Declarations</w:t>
      </w:r>
    </w:p>
    <w:p w14:paraId="47BC9842">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Ethics approval and consent to participate</w:t>
      </w:r>
    </w:p>
    <w:p w14:paraId="094CABFA">
      <w:pPr>
        <w:pStyle w:val="18"/>
        <w:keepNext w:val="0"/>
        <w:keepLines w:val="0"/>
        <w:pageBreakBefore w:val="0"/>
        <w:widowControl/>
        <w:spacing w:before="0" w:after="120" w:line="360" w:lineRule="auto"/>
        <w:ind w:firstLine="0" w:left="0" w:right="0"/>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Data and code availability</w:t>
      </w:r>
    </w:p>
    <w:p w14:paraId="1320A4C6">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Competing interests</w:t>
      </w:r>
    </w:p>
    <w:p w14:paraId="11D67101">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keepLines/>
        <w:pageBreakBefore w:val="0"/>
        <w:widowControl/>
        <w:spacing w:before="200" w:after="120" w:line="240" w:lineRule="auto"/>
        <w:ind w:firstLine="0" w:left="0" w:right="0"/>
        <w:jc w:val="left"/>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Funding</w:t>
      </w:r>
    </w:p>
    <w:p w14:paraId="4F126B66">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keepLines/>
        <w:pageBreakBefore w:val="0"/>
        <w:widowControl/>
        <w:spacing w:before="200" w:after="120" w:line="240" w:lineRule="auto"/>
        <w:ind w:firstLine="0" w:left="0" w:right="0"/>
        <w:jc w:val="left"/>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Author contributions</w:t>
      </w:r>
    </w:p>
    <w:p w14:paraId="325001A8">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References</w:t>
      </w:r>
    </w:p>
    <w:p w14:paraId="7AC9721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 Wong TY, Mitchell P. The eye in hypertension. Lancet. 2007;369:425–435.</w:t>
      </w:r>
    </w:p>
    <w:p w14:paraId="7355D0D3">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[2] Poplin R, Varadarajan AV, Blumer K, et al. Prediction of cardiovascular risk factors from retinal fundus photographs via deep learning. Nature Biomedical Engineering. 2018;2:158–164.</w:t>
      </w:r>
    </w:p>
    <w:p w14:paraId="535A9BE5">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[4] Zhou Y, Chia MA, Wagner SK, et al. A foundation model for generalizable disease detection from retinal images. Nature. 2023;622:156–163.</w:t>
      </w:r>
    </w:p>
    <w:p w14:paraId="5102FEEF">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[5] McGraw KO, Wong SP. Forming inferences about some intraclass correlation coefficients. Psychological Methods. 1996;1:30–46.</w:t>
      </w:r>
    </w:p>
    <w:p w14:paraId="15BF5BC9">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[6] Koo TK, Li MY. A guideline of selecting and reporting intraclass correlation coefficients for reliability research. Journal of Chiropractic Medicine. 2016;15:155–163.</w:t>
      </w:r>
    </w:p>
    <w:p w14:paraId="0D78A3EC">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[7] Steyerberg EW. Clinical Prediction Models. 2nd ed. Springer; 2019.</w:t>
      </w:r>
    </w:p>
    <w:p w14:paraId="43D31F39">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[9] Efron B, Tibshirani RJ. An Introduction to the Bootstrap. Chapman &amp; Hall/CRC; 1993.</w:t>
      </w:r>
    </w:p>
    <w:p w14:paraId="0CD32A7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[10] DeLong ER, DeLong DM, Clarke-Pearson DL. Comparing the areas under two or more correlated receiver operating characteristic curves. Biometrics. 1988;44:837–845.</w:t>
      </w:r>
    </w:p>
    <w:p w14:paraId="174BBB54">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[11] Harrell FE Jr. Regression Modeling Strategies. 2nd ed. Springer; 2015.</w:t>
      </w:r>
    </w:p>
    <w:p w14:paraId="6CA5327F">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[12] Riley RD, van der Windt D, Croft P, Moons KGM, editors. Prognosis Research in Healthcare. Oxford University Press; 2019.</w:t>
      </w:r>
    </w:p>
    <w:p w14:paraId="08AFFEC7">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[13] Jin K, Huang X, Zhou J, et al. FIVES: A Fundus Image Dataset for Artificial Intelligence based Vessel Segmentation. Scientific Data. 2022;9:475. doi:10.1038/s41597-022-01564-3.</w:t>
      </w:r>
    </w:p>
    <w:p w14:paraId="0BF93BE0">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[14] Vargas Quiros J, Liefers B, van Garderen KA, Vermeulen JP, Eyened Reading Center, Klaver C. Rotterdam artery–vein segmentation (RAV) dataset. arXiv. 2025;arXiv:2512.17322. Dataset doi:10.34894/9OIMWY.</w:t>
      </w:r>
    </w:p>
    <w:p w14:paraId="0FABD62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[15] Deng Z, Gao W, Gong Z, et al. A Fundus Image Dataset for AI-based Artery-Vein Vessel Segmentation. Scientific Data. 2025;12. doi:10.1038/s41597-025-05381-2. Dataset doi:10.6084/m9.figshare.27938034.v2.</w:t>
      </w:r>
    </w:p>
    <w:p w14:paraId="79EEC317">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keepNext w:val="0"/>
        <w:keepLines/>
        <w:pageBreakBefore w:val="0"/>
        <w:widowControl/>
        <w:spacing w:before="0" w:line="240" w:lineRule="auto" w:after="44"/>
        <w:ind w:left="351" w:hanging="351" w:right="0"/>
        <w:jc w:val="left"/>
      </w:pPr>
      <w:r>
        <w:rPr>
          <w:rFonts w:ascii="Times New Roman" w:hAnsi="Times New Roman" w:eastAsia="Times New Roman"/>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504" w:footer="504"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3FF71DB"/>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360" w:lineRule="auto"/>
      <w:ind w:firstLine="0"/>
      <w:jc w:val="both"/>
    </w:pPr>
    <w:rPr>
      <w:rFonts w:ascii="Times New Roman" w:hAnsi="Times New Roman" w:eastAsiaTheme="minorAscii" w:cstheme="minorBidi" w:eastAsia="Times New Roman"/>
      <w:b w:val="0"/>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4"/>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360" w:lineRule="auto"/>
      <w:ind w:firstLine="0"/>
      <w:jc w:val="both"/>
    </w:pPr>
    <w:rPr>
      <w:rFonts w:ascii="Times New Roman" w:hAnsi="Times New Roman" w:eastAsia="Times New Roman" w:cs="Times New Roman"/>
      <w:b w:val="0"/>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104</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Kaiwen Deng; Liwei Liu</dc:creator>
  <dc:description>RMDB 3.1: refined Figures 1 and 2 integrated; captions and first in-text cross-references aligned to the final figure content.</dc:description>
  <cp:keywords>retinal vasculature; digital biomarker; artery–vein segmentation; repeatability; intraclass correlation; CIMT; hypertension; nested cross-validation</cp:keywords>
  <cp:lastModifiedBy>祁涟柒子衿</cp:lastModifiedBy>
  <dcterms:modified xsi:type="dcterms:W3CDTF">2026-08-24T15:36:29Z</dcterms:modified>
  <dc:subject>RMDB–BiRAP retinal vascular phenotype evaluation</dc:subject>
  <dc:title>From Retinal Vessel Maps to Digital Biomarkers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6663DBE96E3380097DF48B6A7A1C6808_43</vt:lpwstr>
  </property>
</Properties>
</file>