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Motivation: The retinal vasculature is increasingly proposed as a digital biomarker, but artery–vein segmentation accuracy does not establish that a derived phenotype is repeatable, transportable, or clinically additive. We therefore asked whether a retinal measurement could pass these distinct evidential gates without outcome-driven feature selection.</w:t>
        <w:br/>
        <w:br/>
        <w:t>Results: We introduce RMDB–BiRAP, a measurement-first framework that decouples vessel occupancy from artery–vein identity, forms mass-preserving and occupancy-gated readouts, and freezes an intraclass correlation-selected phenotype core before patient outcomes are inspected. FIVES, RAV, Fundus-AVSeg, China Fundus–CIMT, and mBRSET were assigned non-overlapping roles for development, locked measurement evaluation, repeatability analysis, and patient-level modelling. The frozen identity system achieved mean artery/vein Dice 0.8256 on RAV. On locked Fundus-AVSeg, mass preservation increased mean artery/vein Dice from 0.5545 to 0.5635 (paired Δ = 0.0090, 95% CI 0.0079–0.0101); diabetic retinopathy and low-quality images remained failure domains. Across 2,359 same-eye repeat pairs, four of nine prespecified phenotypes met the intraclass correlation criterion ICC(1,1) ≥ 0.60. Direct 104-dimensional fusion worsened CIMT prediction. In patient-grouped nested cross-validation, the reliable core did not improve hypertension discrimination or Brier score in calibrated mBRSET analyses (ΔAUROC = +0.00188, 95% CI −0.00588 to +0.00942); permutation controls showed no leakage signal.</w:t>
        <w:br/>
        <w:br/>
        <w:t>Conclusion: RMDB–BiRAP provides an auditable path from retinal vessel maps to four reproducible phenotypes while showing that segmentation accuracy, repeatability, and clinical increment are noninterchangeable.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repeatability-core replacement,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repeatability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mBRSET/BRSET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dual-readout vascular measurement</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Two complementary reconstructions were derived. The mass-preserving readout retained the calibrated joint four-class probability mass, preserving weak but potentially real vascular evidence. The factorized readout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 and factorized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mass-preserving and factorized maps, derives interpretable phenotype operators and cross-readout disagreement, applies the outcome-blind BiRAP reliability gate, and only then forms the patient vector for nested cross-validation.</w:t>
      </w:r>
    </w:p>
    <w:p w14:paraId="75145ECB">
      <w:pPr>
        <w:keepNext/>
        <w:spacing w:before="140" w:after="60"/>
      </w:pPr>
      <w:r>
        <w:rPr>
          <w:rFonts w:ascii="Arial" w:hAnsi="Arial" w:eastAsia="Arial"/>
          <w:b/>
          <w:i w:val="0"/>
          <w:color w:val="70519A"/>
          <w:sz w:val="22"/>
        </w:rPr>
        <w:t>2.4 BiRAP: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 ≥0.60. Outcome labels and systemic covariates were not used in this selection step.</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reliable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3  Construct complementary readouts. Retain the mass-preserving four-class probabilities and form the occupancy-gated factorized identity map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6  Apply the reliability gate. Retain phenotype j only when ICCj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VascX, mass-preserving UDCT, and factorized 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reliable-core model added the four ICC-selected phenotypes.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mass-preserving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mass-preserving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 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≥0.60 threshold. Occupancy disagreement showed the highest reliability (ICC 0.811, 95% CI 0.791–0.829), followed by factorized skeleton density (0.772, 0.752–0.789), mass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four repeatability-selected phenotypes yielded AUROC 0.6669 and Brier score 0.1892. The paired differences were +0.00188 in AUROC (95% CI −0.00588 to +0.00942) and +0.00050 in Brier score (95% CI −0.00064 to +0.00165). Thus, neither discrimination nor probability error showed a reliable reliable-core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reliable-core model, exceeding their corresponding null distributions (one-sided empirical p=0.005); outer-fold patient overlap was zero. This supports implementation integrity and argues against patient leakage, but it does not establish a reliable-core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replacing E10A with the four-phenotype ICC-gated core worsened repeated development MAE. Panel B reports calibrated reliable-core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reliable-core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reliable-core models, but the reliable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four-phenotype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repeatability-core replacement,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