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0" w:after="80" w:line="240" w:lineRule="auto"/>
        <w:jc w:val="left"/>
        <w:rPr>
          <w:rFonts w:ascii="Times New Roman" w:hAnsi="Times New Roman" w:eastAsia="Times New Roman"/>
          <w:b/>
          <w:i w:val="0"/>
          <w:color w:val="000000"/>
          <w:sz w:val="32"/>
        </w:rPr>
      </w:pPr>
      <w:r>
        <w:rPr>
          <w:rFonts w:ascii="Times New Roman" w:hAnsi="Times New Roman" w:eastAsia="Times New Roman"/>
          <w:b/>
          <w:i w:val="0"/>
          <w:color w:val="000000"/>
          <w:sz w:val="32"/>
        </w:rPr>
        <w:t>Pixel Accuracy Is Not Biomarker Validity:</w:t>
      </w:r>
      <w:r>
        <w:rPr>
          <w:rFonts w:ascii="Times New Roman" w:hAnsi="Times New Roman" w:eastAsia="Times New Roman"/>
          <w:b/>
          <w:i w:val="0"/>
          <w:color w:val="000000"/>
          <w:sz w:val="32"/>
        </w:rPr>
        <w:br w:type="textWrapping"/>
      </w:r>
      <w:r>
        <w:rPr>
          <w:rFonts w:ascii="Times New Roman" w:hAnsi="Times New Roman" w:eastAsia="Times New Roman"/>
          <w:b/>
          <w:i w:val="0"/>
          <w:color w:val="000000"/>
          <w:sz w:val="32"/>
        </w:rPr>
        <w:t>RMDB–BiRAP for Dual-Readout, Reliability-Gated Retinal Vascular Phenotyping</w:t>
      </w:r>
    </w:p>
    <w:p w14:paraId="1CD1E304">
      <w:pPr>
        <w:spacing w:before="0" w:after="80" w:line="240" w:lineRule="auto"/>
        <w:jc w:val="left"/>
        <w:rPr>
          <w:rFonts w:ascii="Times New Roman" w:hAnsi="Times New Roman" w:eastAsia="Times New Roman"/>
          <w:b/>
          <w:i w:val="0"/>
          <w:color w:val="000000"/>
          <w:sz w:val="32"/>
        </w:rPr>
      </w:pPr>
    </w:p>
    <w:p w14:paraId="18464417">
      <w:pPr>
        <w:keepNext w:val="0"/>
        <w:keepLines w:val="0"/>
        <w:widowControl w:val="0"/>
        <w:suppressLineNumbers w:val="0"/>
        <w:spacing w:before="0" w:beforeAutospacing="1" w:after="8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Kaiwen Deng, Liwei Liu*</w:t>
      </w:r>
    </w:p>
    <w:p w14:paraId="61247494">
      <w:pPr>
        <w:keepNext w:val="0"/>
        <w:keepLines w:val="0"/>
        <w:widowControl w:val="0"/>
        <w:suppressLineNumbers w:val="0"/>
        <w:spacing w:before="0" w:beforeAutospacing="1" w:after="320" w:afterAutospacing="0" w:line="273" w:lineRule="auto"/>
        <w:ind w:left="0" w:right="0"/>
        <w:jc w:val="both"/>
        <w:rPr>
          <w:rFonts w:hint="default" w:ascii="Times New Roman" w:hAnsi="Times New Roman" w:cs="Times New Roman"/>
          <w:b w:val="0"/>
          <w:i w:val="0"/>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School of Railway Intelligent Engineering, Dalian Jiaotong University, Dalian, 116028, China</w:t>
      </w:r>
    </w:p>
    <w:p w14:paraId="664939B3">
      <w:pPr>
        <w:keepNext w:val="0"/>
        <w:keepLines w:val="0"/>
        <w:widowControl w:val="0"/>
        <w:suppressLineNumbers w:val="0"/>
        <w:spacing w:before="0" w:beforeAutospacing="1" w:after="320" w:afterAutospacing="0" w:line="273" w:lineRule="auto"/>
        <w:ind w:left="0" w:right="0"/>
        <w:jc w:val="both"/>
        <w:rPr>
          <w:rFonts w:hint="default" w:ascii="Times New Roman" w:hAnsi="Times New Roman" w:cs="Times New Roman"/>
          <w:b w:val="0"/>
          <w:i w:val="0"/>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 xml:space="preserve"> </w:t>
      </w:r>
    </w:p>
    <w:p w14:paraId="060C546A">
      <w:pPr>
        <w:keepNext w:val="0"/>
        <w:keepLines w:val="0"/>
        <w:widowControl w:val="0"/>
        <w:suppressLineNumbers w:val="0"/>
        <w:spacing w:before="0" w:beforeAutospacing="1" w:after="6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val="0"/>
          <w:i w:val="0"/>
          <w:color w:val="000000"/>
          <w:kern w:val="2"/>
          <w:sz w:val="32"/>
          <w:szCs w:val="32"/>
          <w:lang w:val="en-US" w:eastAsia="zh-CN" w:bidi="ar"/>
        </w:rPr>
        <w:t>*Corresponding author</w:t>
      </w:r>
    </w:p>
    <w:p w14:paraId="0DA816F9">
      <w:pPr>
        <w:keepNext w:val="0"/>
        <w:keepLines w:val="0"/>
        <w:widowControl w:val="0"/>
        <w:suppressLineNumbers w:val="0"/>
        <w:spacing w:before="0" w:beforeAutospacing="1" w:after="360" w:afterAutospacing="0" w:line="273" w:lineRule="auto"/>
        <w:ind w:left="0" w:right="0"/>
        <w:jc w:val="both"/>
        <w:rPr>
          <w:rFonts w:hint="default" w:ascii="Times New Roman" w:hAnsi="Times New Roman" w:eastAsia="等线" w:cs="Times New Roman"/>
          <w:color w:val="000000"/>
          <w:kern w:val="2"/>
          <w:sz w:val="32"/>
          <w:szCs w:val="32"/>
        </w:rPr>
      </w:pPr>
      <w:r>
        <w:rPr>
          <w:rFonts w:hint="default" w:ascii="Times New Roman" w:hAnsi="Times New Roman" w:eastAsia="等线" w:cs="Times New Roman"/>
          <w:b/>
          <w:bCs w:val="0"/>
          <w:i w:val="0"/>
          <w:color w:val="000000"/>
          <w:kern w:val="2"/>
          <w:sz w:val="32"/>
          <w:szCs w:val="32"/>
          <w:lang w:val="en-US" w:eastAsia="zh-CN" w:bidi="ar"/>
        </w:rPr>
        <w:t xml:space="preserve">Email: </w:t>
      </w:r>
      <w:r>
        <w:rPr>
          <w:rFonts w:hint="default" w:ascii="Times New Roman" w:hAnsi="Times New Roman" w:eastAsia="等线" w:cs="Times New Roman"/>
          <w:b w:val="0"/>
          <w:i w:val="0"/>
          <w:color w:val="000000"/>
          <w:kern w:val="2"/>
          <w:sz w:val="32"/>
          <w:szCs w:val="32"/>
          <w:lang w:val="en-US" w:eastAsia="zh-CN" w:bidi="ar"/>
        </w:rPr>
        <w:t>Liwei Liu (</w:t>
      </w:r>
      <w:r>
        <w:rPr>
          <w:rFonts w:hint="default" w:ascii="Times New Roman" w:hAnsi="Times New Roman" w:eastAsia="等线" w:cs="Times New Roman"/>
          <w:b w:val="0"/>
          <w:i w:val="0"/>
          <w:color w:val="000000"/>
          <w:kern w:val="2"/>
          <w:sz w:val="32"/>
          <w:szCs w:val="32"/>
          <w:u w:val="single"/>
          <w:lang w:val="en-US" w:eastAsia="zh-CN" w:bidi="ar"/>
        </w:rPr>
        <w:t>liutree80@163.com</w:t>
      </w:r>
      <w:r>
        <w:rPr>
          <w:rFonts w:hint="default" w:ascii="Times New Roman" w:hAnsi="Times New Roman" w:eastAsia="等线" w:cs="Times New Roman"/>
          <w:b w:val="0"/>
          <w:i w:val="0"/>
          <w:color w:val="000000"/>
          <w:kern w:val="2"/>
          <w:sz w:val="32"/>
          <w:szCs w:val="32"/>
          <w:lang w:val="en-US" w:eastAsia="zh-CN" w:bidi="ar"/>
        </w:rPr>
        <w:t>)</w:t>
      </w:r>
    </w:p>
    <w:p w14:paraId="3F9FA12F">
      <w:pPr>
        <w:pStyle w:val="3"/>
        <w:keepNext/>
        <w:spacing w:before="200" w:after="120" w:line="240" w:lineRule="auto"/>
        <w:jc w:val="left"/>
      </w:pPr>
      <w:r>
        <w:rPr>
          <w:rFonts w:ascii="Times New Roman" w:hAnsi="Times New Roman" w:eastAsia="Times New Roman"/>
          <w:b/>
          <w:i w:val="0"/>
          <w:color w:val="000000"/>
          <w:sz w:val="28"/>
        </w:rPr>
        <w:t>Abstract:</w:t>
      </w:r>
    </w:p>
    <w:p w14:paraId="43075211">
      <w:pPr>
        <w:pStyle w:val="18"/>
        <w:keepNext w:val="0"/>
        <w:spacing w:before="0" w:after="160" w:line="276" w:lineRule="auto"/>
        <w:jc w:val="both"/>
      </w:pPr>
      <w:bookmarkStart w:id="0" w:name="_GoBack"/>
      <w:r>
        <w:rPr>
          <w:rFonts w:ascii="Times New Roman" w:hAnsi="Times New Roman" w:eastAsia="Times New Roman"/>
          <w:b w:val="0"/>
          <w:i w:val="0"/>
          <w:color w:val="000000"/>
          <w:sz w:val="24"/>
        </w:rPr>
        <w:t>Background: Retinal vascular artificial intelligence commonly treats pixel-level artery–vein segmentation as biomarker validation. This leaves a consequential but rarely tested gap: a vessel map can be accurate although its derived phenotype is nonrepeatable, nontransportable, or clinically redundant. We asked whether a digital biomarker from the retinal vasculature can pass these distinct evidential gates without outcome-driven feature selection. Methods: RMDB–BiRAP separates vessel occupancy from artery–vein identity, builds mass-preserving and occupancy-gated readouts, and freezes an ICC-gated phenotype core before outcome modelling. FIVES, RAV, Fundus-AVSeg, China Fundus–CIMT, and mBRSET had non-overlapping roles in development, locked evaluation, repeatability analysis, and patient-level modelling. Results: Mean artery/vein Dice was 0.8256 on RAV. In locked Fundus-AVSeg evaluation, mass preservation increased mean artery/vein Dice from 0.5545 to 0.5635 (paired Δ = 0.0090, 95% CI 0.0079–0.0101), but diabetic retinopathy and low-quality images remained failure domains. Across 2,359 same-eye repeat pairs, only four of nine prespecified phenotypes reached the intraclass correlation threshold of ICC(1,1) ≥ 0.60. Direct 104-dimensional fusion worsened CIMT prediction. In patient-grouped nested cross-validation, the ICC-gated phenotype core did not improve hypertension discrimination or Brier score in calibrated mBRSET analyses (ΔAUROC = +0.00188, 95% CI −0.00588 to +0.00942); permutation controls showed no leakage signal. Interpretation: Pixel accuracy, phenotype repeatability, cross-domain measurement, and clinical increment are separate evidential claims. RMDB–BiRAP yields four reproducible retinal phenotypes, but independent high-resolution outcome confirmation remains required.</w:t>
      </w:r>
    </w:p>
    <w:p w14:paraId="38EDC644">
      <w:pPr>
        <w:pStyle w:val="18"/>
        <w:keepNext w:val="0"/>
        <w:spacing w:before="0" w:after="100" w:line="276" w:lineRule="auto"/>
        <w:jc w:val="both"/>
      </w:pPr>
      <w:r>
        <w:rPr>
          <w:rFonts w:ascii="Times New Roman" w:hAnsi="Times New Roman" w:eastAsia="Times New Roman"/>
          <w:b/>
          <w:i w:val="0"/>
          <w:color w:val="000000"/>
          <w:sz w:val="24"/>
        </w:rPr>
        <w:t>Keywords: retinal vasculature; digital biomarker; artery–vein segmentation; repeatability; intraclass correlation; CIMT; hypertension; nested cross-validation</w:t>
      </w:r>
    </w:p>
    <w:bookmarkEnd w:id="0"/>
    <w:p w14:paraId="4D08B854">
      <w:pPr>
        <w:pStyle w:val="3"/>
        <w:keepNext/>
        <w:spacing w:before="200" w:after="120" w:line="240" w:lineRule="auto"/>
        <w:jc w:val="left"/>
      </w:pPr>
      <w:r>
        <w:rPr>
          <w:rFonts w:ascii="Times New Roman" w:hAnsi="Times New Roman" w:eastAsia="Times New Roman"/>
          <w:b/>
          <w:i w:val="0"/>
          <w:color w:val="000000"/>
          <w:sz w:val="28"/>
        </w:rPr>
        <w:t>1. Introduction</w:t>
      </w:r>
    </w:p>
    <w:p w14:paraId="55D97AA7">
      <w:pPr>
        <w:pStyle w:val="18"/>
        <w:keepNext w:val="0"/>
        <w:spacing w:before="0" w:after="100" w:line="276" w:lineRule="auto"/>
        <w:ind w:firstLine="360"/>
        <w:jc w:val="both"/>
      </w:pPr>
      <w:r>
        <w:rPr>
          <w:rFonts w:ascii="Times New Roman" w:hAnsi="Times New Roman" w:eastAsia="Times New Roman"/>
          <w:b w:val="0"/>
          <w:i w:val="0"/>
          <w:color w:val="000000"/>
          <w:sz w:val="24"/>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pStyle w:val="18"/>
        <w:keepNext w:val="0"/>
        <w:spacing w:before="0" w:after="100" w:line="276" w:lineRule="auto"/>
        <w:ind w:firstLine="360"/>
        <w:jc w:val="both"/>
      </w:pPr>
      <w:r>
        <w:rPr>
          <w:rFonts w:ascii="Times New Roman" w:hAnsi="Times New Roman" w:eastAsia="Times New Roman"/>
          <w:b w:val="0"/>
          <w:i w:val="0"/>
          <w:color w:val="000000"/>
          <w:sz w:val="24"/>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pStyle w:val="18"/>
        <w:keepNext w:val="0"/>
        <w:spacing w:before="0" w:after="100" w:line="276" w:lineRule="auto"/>
        <w:ind w:firstLine="360"/>
        <w:jc w:val="both"/>
      </w:pPr>
      <w:r>
        <w:rPr>
          <w:rFonts w:ascii="Times New Roman" w:hAnsi="Times New Roman" w:eastAsia="Times New Roman"/>
          <w:b w:val="0"/>
          <w:i w:val="0"/>
          <w:color w:val="000000"/>
          <w:sz w:val="24"/>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pStyle w:val="18"/>
        <w:keepNext w:val="0"/>
        <w:spacing w:before="0" w:after="100" w:line="276" w:lineRule="auto"/>
        <w:ind w:firstLine="360"/>
        <w:jc w:val="both"/>
      </w:pPr>
      <w:r>
        <w:rPr>
          <w:rFonts w:ascii="Times New Roman" w:hAnsi="Times New Roman" w:eastAsia="Times New Roman"/>
          <w:b w:val="0"/>
          <w:i w:val="0"/>
          <w:color w:val="000000"/>
          <w:sz w:val="24"/>
        </w:rPr>
        <w:t>We therefore organized the study around three gates that cannot substitute for one another: cross-domain measurement validity, outcome-blind same-eye repeatability, and incremental patient-level utility beyond clinical covariates. RMDB–BiRAP separates occupancy from identity, creates complementary mass-preserving and factorized vascular readouts, and retains phenotypes by repeated-view reliability before any systemic outcome is used.</w:t>
      </w:r>
    </w:p>
    <w:p w14:paraId="0C30E235">
      <w:pPr>
        <w:pStyle w:val="18"/>
        <w:keepNext w:val="0"/>
        <w:spacing w:before="0" w:after="100" w:line="276" w:lineRule="auto"/>
        <w:ind w:firstLine="360"/>
        <w:jc w:val="both"/>
      </w:pPr>
      <w:r>
        <w:rPr>
          <w:rFonts w:ascii="Times New Roman" w:hAnsi="Times New Roman" w:eastAsia="Times New Roman"/>
          <w:b w:val="0"/>
          <w:i w:val="0"/>
          <w:color w:val="000000"/>
          <w:sz w:val="24"/>
        </w:rPr>
        <w:t>The contribution is deliberately falsifiable. We report where the evidence survives—external measurement transfer and four reproducible global phenotypes—and where it stops: direct high-dimensional fusion, uncertainty-by-disagreement, substitution of the E10A representation with the ICC-gated phenotype core,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Next/>
        <w:keepLines/>
        <w:spacing w:before="40" w:after="120" w:line="240" w:lineRule="auto"/>
        <w:jc w:val="both"/>
      </w:pPr>
      <w:r>
        <w:rPr>
          <w:rFonts w:ascii="Times New Roman" w:hAnsi="Times New Roman" w:eastAsia="Times New Roman"/>
          <w:b/>
          <w:i/>
          <w:color w:val="000000"/>
          <w:sz w:val="24"/>
        </w:rPr>
        <w:t>Figure 1. 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ICC-gated phenotype core is fixed before outcome access. The mBRSET 224-pixel mirror supports external mechanism analysis with internal patient-level cross-validation, not independent high-resolution confirmation.</w:t>
      </w:r>
    </w:p>
    <w:p w14:paraId="6B1B8A75">
      <w:pPr>
        <w:pStyle w:val="3"/>
        <w:keepNext/>
        <w:spacing w:before="200" w:after="120" w:line="240" w:lineRule="auto"/>
        <w:jc w:val="left"/>
      </w:pPr>
      <w:r>
        <w:rPr>
          <w:rFonts w:ascii="Times New Roman" w:hAnsi="Times New Roman" w:eastAsia="Times New Roman"/>
          <w:b/>
          <w:i w:val="0"/>
          <w:color w:val="000000"/>
          <w:sz w:val="28"/>
        </w:rPr>
        <w:t>2. Materials and methods</w:t>
      </w:r>
    </w:p>
    <w:p w14:paraId="3383C4AF">
      <w:pPr>
        <w:pStyle w:val="4"/>
        <w:keepNext/>
        <w:spacing w:before="200" w:after="120" w:line="240" w:lineRule="auto"/>
        <w:jc w:val="left"/>
      </w:pPr>
      <w:r>
        <w:rPr>
          <w:rFonts w:ascii="Times New Roman" w:hAnsi="Times New Roman" w:eastAsia="Times New Roman"/>
          <w:b/>
          <w:i w:val="0"/>
          <w:color w:val="000000"/>
          <w:sz w:val="24"/>
        </w:rPr>
        <w:t>2.1 Study cohorts and evidence roles</w:t>
      </w:r>
    </w:p>
    <w:p w14:paraId="5D68E43B">
      <w:pPr>
        <w:pStyle w:val="18"/>
        <w:keepNext w:val="0"/>
        <w:spacing w:before="0" w:after="100" w:line="276" w:lineRule="auto"/>
        <w:ind w:firstLine="360"/>
        <w:jc w:val="both"/>
      </w:pPr>
      <w:r>
        <w:rPr>
          <w:rFonts w:ascii="Times New Roman" w:hAnsi="Times New Roman" w:eastAsia="Times New Roman"/>
          <w:b w:val="0"/>
          <w:i w:val="0"/>
          <w:color w:val="000000"/>
          <w:sz w:val="24"/>
        </w:rPr>
        <w:t>Five data resources had non-overlapping roles before analysis (Table 1). FIVES [13] provided occupancy supervision. RAV [14] and Fundus-AVSeg [15] supplied independent artery–vein references for cross-domain measurement audits. China Fundus–CIMT supplied paired bilateral fundus photographs and carotid intima–media thickness for development and previously locked internal validation. mBRSET, the 224-pixel BRSET mirror [16], supplied repeated views and systemic annotations for outcome-blind repeatability and exploratory mechanism analysis. VascX [17] provided the frozen identity backbone.</w:t>
      </w:r>
    </w:p>
    <w:p w14:paraId="031B33EF">
      <w:pPr>
        <w:pStyle w:val="18"/>
        <w:keepNext w:val="0"/>
        <w:spacing w:before="0" w:after="100" w:line="276" w:lineRule="auto"/>
        <w:ind w:firstLine="360"/>
        <w:jc w:val="both"/>
      </w:pPr>
      <w:r>
        <w:rPr>
          <w:rFonts w:ascii="Times New Roman" w:hAnsi="Times New Roman" w:eastAsia="Times New Roman"/>
          <w:b w:val="0"/>
          <w:i w:val="0"/>
          <w:color w:val="000000"/>
          <w:sz w:val="24"/>
        </w:rPr>
        <w:t>Cohort isolation was treated as part of the method. Pixel labels from RAV and Fundus-AVSeg were never used in patient-level outcome models. The 2,603-patient CIMT training split was used for method development; the 200-patient validation split was accessed only after E8 choices were frozen. An access audit identified an early clinical-baseline test artifact; it was not used for RMDB–BiRAP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pPr>
        <w:spacing w:before="0" w:after="0"/>
        <w:jc w:val="center"/>
      </w:pPr>
      <w:r>
        <w:br w:type="page"/>
      </w:r>
    </w:p>
    <w:p w14:paraId="490E8B35">
      <w:pPr>
        <w:keepNext/>
        <w:spacing w:before="40" w:after="120" w:line="240" w:lineRule="auto"/>
        <w:jc w:val="both"/>
      </w:pPr>
      <w:r>
        <w:rPr>
          <w:rFonts w:ascii="Times New Roman" w:hAnsi="Times New Roman" w:eastAsia="Times New Roman"/>
          <w:b/>
          <w:i/>
          <w:color w:val="000000"/>
          <w:sz w:val="24"/>
        </w:rPr>
        <w:t>Table 1. Cohorts, labels, and prespecified analytical roles.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1460"/>
        <w:gridCol w:w="1464"/>
        <w:gridCol w:w="1992"/>
        <w:gridCol w:w="20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before="0" w:after="0" w:line="240" w:lineRule="auto"/>
              <w:jc w:val="center"/>
            </w:pPr>
            <w:r>
              <w:rPr>
                <w:rFonts w:ascii="Times New Roman" w:hAnsi="Times New Roman" w:eastAsia="Times New Roman"/>
                <w:b/>
                <w:i w:val="0"/>
                <w:color w:val="000000"/>
                <w:sz w:val="21"/>
              </w:rPr>
              <w:t>Cohort</w:t>
            </w:r>
          </w:p>
        </w:tc>
        <w:tc>
          <w:tcPr>
            <w:tcW w:w="1757" w:type="dxa"/>
            <w:shd w:val="clear" w:color="auto" w:fill="48345F"/>
            <w:tcMar>
              <w:top w:w="75" w:type="dxa"/>
              <w:left w:w="85" w:type="dxa"/>
              <w:bottom w:w="75" w:type="dxa"/>
              <w:right w:w="85" w:type="dxa"/>
            </w:tcMar>
            <w:vAlign w:val="center"/>
          </w:tcPr>
          <w:p w14:paraId="59EF1E86">
            <w:pPr>
              <w:spacing w:before="0" w:after="0" w:line="240" w:lineRule="auto"/>
              <w:jc w:val="center"/>
            </w:pPr>
            <w:r>
              <w:rPr>
                <w:rFonts w:ascii="Times New Roman" w:hAnsi="Times New Roman" w:eastAsia="Times New Roman"/>
                <w:b/>
                <w:i w:val="0"/>
                <w:color w:val="000000"/>
                <w:sz w:val="21"/>
              </w:rPr>
              <w:t>Scale</w:t>
            </w:r>
          </w:p>
        </w:tc>
        <w:tc>
          <w:tcPr>
            <w:tcW w:w="2102" w:type="dxa"/>
            <w:shd w:val="clear" w:color="auto" w:fill="48345F"/>
            <w:tcMar>
              <w:top w:w="75" w:type="dxa"/>
              <w:left w:w="85" w:type="dxa"/>
              <w:bottom w:w="75" w:type="dxa"/>
              <w:right w:w="85" w:type="dxa"/>
            </w:tcMar>
            <w:vAlign w:val="center"/>
          </w:tcPr>
          <w:p w14:paraId="62E76077">
            <w:pPr>
              <w:spacing w:before="0" w:after="0" w:line="240" w:lineRule="auto"/>
              <w:jc w:val="center"/>
            </w:pPr>
            <w:r>
              <w:rPr>
                <w:rFonts w:ascii="Times New Roman" w:hAnsi="Times New Roman" w:eastAsia="Times New Roman"/>
                <w:b/>
                <w:i w:val="0"/>
                <w:color w:val="000000"/>
                <w:sz w:val="21"/>
              </w:rPr>
              <w:t>Available labels</w:t>
            </w:r>
          </w:p>
        </w:tc>
        <w:tc>
          <w:tcPr>
            <w:tcW w:w="2045" w:type="dxa"/>
            <w:shd w:val="clear" w:color="auto" w:fill="48345F"/>
            <w:tcMar>
              <w:top w:w="75" w:type="dxa"/>
              <w:left w:w="85" w:type="dxa"/>
              <w:bottom w:w="75" w:type="dxa"/>
              <w:right w:w="85" w:type="dxa"/>
            </w:tcMar>
            <w:vAlign w:val="center"/>
          </w:tcPr>
          <w:p w14:paraId="1FDFFBC9">
            <w:pPr>
              <w:spacing w:before="0" w:after="0" w:line="240" w:lineRule="auto"/>
              <w:jc w:val="center"/>
            </w:pPr>
            <w:r>
              <w:rPr>
                <w:rFonts w:ascii="Times New Roman" w:hAnsi="Times New Roman" w:eastAsia="Times New Roman"/>
                <w:b/>
                <w:i w:val="0"/>
                <w:color w:val="000000"/>
                <w:sz w:val="21"/>
              </w:rPr>
              <w:t>Prespecified role</w:t>
            </w:r>
          </w:p>
        </w:tc>
        <w:tc>
          <w:tcPr>
            <w:tcW w:w="1728" w:type="dxa"/>
            <w:shd w:val="clear" w:color="auto" w:fill="48345F"/>
            <w:tcMar>
              <w:top w:w="75" w:type="dxa"/>
              <w:left w:w="85" w:type="dxa"/>
              <w:bottom w:w="75" w:type="dxa"/>
              <w:right w:w="85" w:type="dxa"/>
            </w:tcMar>
            <w:vAlign w:val="center"/>
          </w:tcPr>
          <w:p w14:paraId="7C98101F">
            <w:pPr>
              <w:spacing w:before="0" w:after="0" w:line="240" w:lineRule="auto"/>
              <w:jc w:val="center"/>
            </w:pPr>
            <w:r>
              <w:rPr>
                <w:rFonts w:ascii="Times New Roman" w:hAnsi="Times New Roman" w:eastAsia="Times New Roman"/>
                <w:b/>
                <w:i w:val="0"/>
                <w:color w:val="000000"/>
                <w:sz w:val="21"/>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before="0" w:after="0" w:line="240" w:lineRule="auto"/>
              <w:jc w:val="left"/>
            </w:pPr>
            <w:r>
              <w:rPr>
                <w:rFonts w:ascii="Times New Roman" w:hAnsi="Times New Roman" w:eastAsia="Times New Roman"/>
                <w:b w:val="0"/>
                <w:i w:val="0"/>
                <w:color w:val="000000"/>
                <w:sz w:val="21"/>
              </w:rPr>
              <w:t>FIVES</w:t>
            </w:r>
          </w:p>
        </w:tc>
        <w:tc>
          <w:tcPr>
            <w:tcW w:w="1757" w:type="dxa"/>
            <w:shd w:val="clear" w:color="auto" w:fill="F3EDF9"/>
            <w:tcMar>
              <w:top w:w="75" w:type="dxa"/>
              <w:left w:w="85" w:type="dxa"/>
              <w:bottom w:w="75" w:type="dxa"/>
              <w:right w:w="85" w:type="dxa"/>
            </w:tcMar>
            <w:vAlign w:val="center"/>
          </w:tcPr>
          <w:p w14:paraId="690DE60E">
            <w:pPr>
              <w:spacing w:before="0" w:after="0" w:line="240" w:lineRule="auto"/>
              <w:jc w:val="left"/>
            </w:pPr>
            <w:r>
              <w:rPr>
                <w:rFonts w:ascii="Times New Roman" w:hAnsi="Times New Roman" w:eastAsia="Times New Roman"/>
                <w:b w:val="0"/>
                <w:i w:val="0"/>
                <w:color w:val="000000"/>
                <w:sz w:val="21"/>
              </w:rPr>
              <w:t>800 images (600 train/200 test)</w:t>
            </w:r>
          </w:p>
        </w:tc>
        <w:tc>
          <w:tcPr>
            <w:tcW w:w="2102" w:type="dxa"/>
            <w:shd w:val="clear" w:color="auto" w:fill="F3EDF9"/>
            <w:tcMar>
              <w:top w:w="75" w:type="dxa"/>
              <w:left w:w="85" w:type="dxa"/>
              <w:bottom w:w="75" w:type="dxa"/>
              <w:right w:w="85" w:type="dxa"/>
            </w:tcMar>
            <w:vAlign w:val="center"/>
          </w:tcPr>
          <w:p w14:paraId="62326D32">
            <w:pPr>
              <w:spacing w:before="0" w:after="0" w:line="240" w:lineRule="auto"/>
              <w:jc w:val="left"/>
            </w:pPr>
            <w:r>
              <w:rPr>
                <w:rFonts w:ascii="Times New Roman" w:hAnsi="Times New Roman" w:eastAsia="Times New Roman"/>
                <w:b w:val="0"/>
                <w:i w:val="0"/>
                <w:color w:val="000000"/>
                <w:sz w:val="21"/>
              </w:rPr>
              <w:t>Binary vessel mask</w:t>
            </w:r>
          </w:p>
        </w:tc>
        <w:tc>
          <w:tcPr>
            <w:tcW w:w="2045" w:type="dxa"/>
            <w:shd w:val="clear" w:color="auto" w:fill="F3EDF9"/>
            <w:tcMar>
              <w:top w:w="75" w:type="dxa"/>
              <w:left w:w="85" w:type="dxa"/>
              <w:bottom w:w="75" w:type="dxa"/>
              <w:right w:w="85" w:type="dxa"/>
            </w:tcMar>
            <w:vAlign w:val="center"/>
          </w:tcPr>
          <w:p w14:paraId="032B6CD6">
            <w:pPr>
              <w:spacing w:before="0" w:after="0" w:line="240" w:lineRule="auto"/>
              <w:jc w:val="left"/>
            </w:pPr>
            <w:r>
              <w:rPr>
                <w:rFonts w:ascii="Times New Roman" w:hAnsi="Times New Roman" w:eastAsia="Times New Roman"/>
                <w:b w:val="0"/>
                <w:i w:val="0"/>
                <w:color w:val="000000"/>
                <w:sz w:val="21"/>
              </w:rPr>
              <w:t>Occupancy-estimator source</w:t>
            </w:r>
          </w:p>
        </w:tc>
        <w:tc>
          <w:tcPr>
            <w:tcW w:w="1728" w:type="dxa"/>
            <w:shd w:val="clear" w:color="auto" w:fill="F3EDF9"/>
            <w:tcMar>
              <w:top w:w="75" w:type="dxa"/>
              <w:left w:w="85" w:type="dxa"/>
              <w:bottom w:w="75" w:type="dxa"/>
              <w:right w:w="85" w:type="dxa"/>
            </w:tcMar>
            <w:vAlign w:val="center"/>
          </w:tcPr>
          <w:p w14:paraId="6005B40A">
            <w:pPr>
              <w:spacing w:before="0" w:after="0" w:line="240" w:lineRule="auto"/>
              <w:jc w:val="left"/>
            </w:pPr>
            <w:r>
              <w:rPr>
                <w:rFonts w:ascii="Times New Roman" w:hAnsi="Times New Roman" w:eastAsia="Times New Roman"/>
                <w:b w:val="0"/>
                <w:i w:val="0"/>
                <w:color w:val="000000"/>
                <w:sz w:val="21"/>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before="0" w:after="0" w:line="240" w:lineRule="auto"/>
              <w:jc w:val="left"/>
            </w:pPr>
            <w:r>
              <w:rPr>
                <w:rFonts w:ascii="Times New Roman" w:hAnsi="Times New Roman" w:eastAsia="Times New Roman"/>
                <w:b w:val="0"/>
                <w:i w:val="0"/>
                <w:color w:val="000000"/>
                <w:sz w:val="21"/>
              </w:rPr>
              <w:t>RAV</w:t>
            </w:r>
          </w:p>
        </w:tc>
        <w:tc>
          <w:tcPr>
            <w:tcW w:w="1757" w:type="dxa"/>
            <w:shd w:val="clear" w:color="auto" w:fill="FFFFFF"/>
            <w:tcMar>
              <w:top w:w="75" w:type="dxa"/>
              <w:left w:w="85" w:type="dxa"/>
              <w:bottom w:w="75" w:type="dxa"/>
              <w:right w:w="85" w:type="dxa"/>
            </w:tcMar>
            <w:vAlign w:val="center"/>
          </w:tcPr>
          <w:p w14:paraId="3713839B">
            <w:pPr>
              <w:spacing w:before="0" w:after="0" w:line="240" w:lineRule="auto"/>
              <w:jc w:val="left"/>
            </w:pPr>
            <w:r>
              <w:rPr>
                <w:rFonts w:ascii="Times New Roman" w:hAnsi="Times New Roman" w:eastAsia="Times New Roman"/>
                <w:b w:val="0"/>
                <w:i w:val="0"/>
                <w:color w:val="000000"/>
                <w:sz w:val="21"/>
              </w:rPr>
              <w:t>206 images</w:t>
            </w:r>
          </w:p>
        </w:tc>
        <w:tc>
          <w:tcPr>
            <w:tcW w:w="2102" w:type="dxa"/>
            <w:shd w:val="clear" w:color="auto" w:fill="FFFFFF"/>
            <w:tcMar>
              <w:top w:w="75" w:type="dxa"/>
              <w:left w:w="85" w:type="dxa"/>
              <w:bottom w:w="75" w:type="dxa"/>
              <w:right w:w="85" w:type="dxa"/>
            </w:tcMar>
            <w:vAlign w:val="center"/>
          </w:tcPr>
          <w:p w14:paraId="297CAE94">
            <w:pPr>
              <w:spacing w:before="0" w:after="0" w:line="240" w:lineRule="auto"/>
              <w:jc w:val="left"/>
            </w:pPr>
            <w:r>
              <w:rPr>
                <w:rFonts w:ascii="Times New Roman" w:hAnsi="Times New Roman" w:eastAsia="Times New Roman"/>
                <w:b w:val="0"/>
                <w:i w:val="0"/>
                <w:color w:val="000000"/>
                <w:sz w:val="21"/>
              </w:rPr>
              <w:t>Artery and vein masks</w:t>
            </w:r>
          </w:p>
        </w:tc>
        <w:tc>
          <w:tcPr>
            <w:tcW w:w="2045" w:type="dxa"/>
            <w:shd w:val="clear" w:color="auto" w:fill="FFFFFF"/>
            <w:tcMar>
              <w:top w:w="75" w:type="dxa"/>
              <w:left w:w="85" w:type="dxa"/>
              <w:bottom w:w="75" w:type="dxa"/>
              <w:right w:w="85" w:type="dxa"/>
            </w:tcMar>
            <w:vAlign w:val="center"/>
          </w:tcPr>
          <w:p w14:paraId="70A1F754">
            <w:pPr>
              <w:spacing w:before="0" w:after="0" w:line="240" w:lineRule="auto"/>
              <w:jc w:val="left"/>
            </w:pPr>
            <w:r>
              <w:rPr>
                <w:rFonts w:ascii="Times New Roman" w:hAnsi="Times New Roman" w:eastAsia="Times New Roman"/>
                <w:b w:val="0"/>
                <w:i w:val="0"/>
                <w:color w:val="000000"/>
                <w:sz w:val="21"/>
              </w:rPr>
              <w:t>Cross-domain identity audit</w:t>
            </w:r>
          </w:p>
        </w:tc>
        <w:tc>
          <w:tcPr>
            <w:tcW w:w="1728" w:type="dxa"/>
            <w:shd w:val="clear" w:color="auto" w:fill="FFFFFF"/>
            <w:tcMar>
              <w:top w:w="75" w:type="dxa"/>
              <w:left w:w="85" w:type="dxa"/>
              <w:bottom w:w="75" w:type="dxa"/>
              <w:right w:w="85" w:type="dxa"/>
            </w:tcMar>
            <w:vAlign w:val="center"/>
          </w:tcPr>
          <w:p w14:paraId="2BC75D3C">
            <w:pPr>
              <w:spacing w:before="0" w:after="0" w:line="240" w:lineRule="auto"/>
              <w:jc w:val="left"/>
            </w:pPr>
            <w:r>
              <w:rPr>
                <w:rFonts w:ascii="Times New Roman" w:hAnsi="Times New Roman" w:eastAsia="Times New Roman"/>
                <w:b w:val="0"/>
                <w:i w:val="0"/>
                <w:color w:val="000000"/>
                <w:sz w:val="21"/>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before="0" w:after="0" w:line="240" w:lineRule="auto"/>
              <w:jc w:val="left"/>
            </w:pPr>
            <w:r>
              <w:rPr>
                <w:rFonts w:ascii="Times New Roman" w:hAnsi="Times New Roman" w:eastAsia="Times New Roman"/>
                <w:b w:val="0"/>
                <w:i w:val="0"/>
                <w:color w:val="000000"/>
                <w:sz w:val="21"/>
              </w:rPr>
              <w:t>Fundus-AVSeg</w:t>
            </w:r>
          </w:p>
        </w:tc>
        <w:tc>
          <w:tcPr>
            <w:tcW w:w="1757" w:type="dxa"/>
            <w:shd w:val="clear" w:color="auto" w:fill="F3EDF9"/>
            <w:tcMar>
              <w:top w:w="75" w:type="dxa"/>
              <w:left w:w="85" w:type="dxa"/>
              <w:bottom w:w="75" w:type="dxa"/>
              <w:right w:w="85" w:type="dxa"/>
            </w:tcMar>
            <w:vAlign w:val="center"/>
          </w:tcPr>
          <w:p w14:paraId="0CC90B45">
            <w:pPr>
              <w:spacing w:before="0" w:after="0" w:line="240" w:lineRule="auto"/>
              <w:jc w:val="left"/>
            </w:pPr>
            <w:r>
              <w:rPr>
                <w:rFonts w:ascii="Times New Roman" w:hAnsi="Times New Roman" w:eastAsia="Times New Roman"/>
                <w:b w:val="0"/>
                <w:i w:val="0"/>
                <w:color w:val="000000"/>
                <w:sz w:val="21"/>
              </w:rPr>
              <w:t>100 images</w:t>
            </w:r>
          </w:p>
        </w:tc>
        <w:tc>
          <w:tcPr>
            <w:tcW w:w="2102" w:type="dxa"/>
            <w:shd w:val="clear" w:color="auto" w:fill="F3EDF9"/>
            <w:tcMar>
              <w:top w:w="75" w:type="dxa"/>
              <w:left w:w="85" w:type="dxa"/>
              <w:bottom w:w="75" w:type="dxa"/>
              <w:right w:w="85" w:type="dxa"/>
            </w:tcMar>
            <w:vAlign w:val="center"/>
          </w:tcPr>
          <w:p w14:paraId="4F656476">
            <w:pPr>
              <w:spacing w:before="0" w:after="0" w:line="240" w:lineRule="auto"/>
              <w:jc w:val="left"/>
            </w:pPr>
            <w:r>
              <w:rPr>
                <w:rFonts w:ascii="Times New Roman" w:hAnsi="Times New Roman" w:eastAsia="Times New Roman"/>
                <w:b w:val="0"/>
                <w:i w:val="0"/>
                <w:color w:val="000000"/>
                <w:sz w:val="21"/>
              </w:rPr>
              <w:t>Vessel/A/V masks; disease; quality</w:t>
            </w:r>
          </w:p>
        </w:tc>
        <w:tc>
          <w:tcPr>
            <w:tcW w:w="2045" w:type="dxa"/>
            <w:shd w:val="clear" w:color="auto" w:fill="F3EDF9"/>
            <w:tcMar>
              <w:top w:w="75" w:type="dxa"/>
              <w:left w:w="85" w:type="dxa"/>
              <w:bottom w:w="75" w:type="dxa"/>
              <w:right w:w="85" w:type="dxa"/>
            </w:tcMar>
            <w:vAlign w:val="center"/>
          </w:tcPr>
          <w:p w14:paraId="3EBFD142">
            <w:pPr>
              <w:spacing w:before="0" w:after="0" w:line="240" w:lineRule="auto"/>
              <w:jc w:val="left"/>
            </w:pPr>
            <w:r>
              <w:rPr>
                <w:rFonts w:ascii="Times New Roman" w:hAnsi="Times New Roman" w:eastAsia="Times New Roman"/>
                <w:b w:val="0"/>
                <w:i w:val="0"/>
                <w:color w:val="000000"/>
                <w:sz w:val="21"/>
              </w:rPr>
              <w:t>Locked zero-tuning validation</w:t>
            </w:r>
          </w:p>
        </w:tc>
        <w:tc>
          <w:tcPr>
            <w:tcW w:w="1728" w:type="dxa"/>
            <w:shd w:val="clear" w:color="auto" w:fill="F3EDF9"/>
            <w:tcMar>
              <w:top w:w="75" w:type="dxa"/>
              <w:left w:w="85" w:type="dxa"/>
              <w:bottom w:w="75" w:type="dxa"/>
              <w:right w:w="85" w:type="dxa"/>
            </w:tcMar>
            <w:vAlign w:val="center"/>
          </w:tcPr>
          <w:p w14:paraId="1DB6984F">
            <w:pPr>
              <w:spacing w:before="0" w:after="0" w:line="240" w:lineRule="auto"/>
              <w:jc w:val="left"/>
            </w:pPr>
            <w:r>
              <w:rPr>
                <w:rFonts w:ascii="Times New Roman" w:hAnsi="Times New Roman" w:eastAsia="Times New Roman"/>
                <w:b w:val="0"/>
                <w:i w:val="0"/>
                <w:color w:val="000000"/>
                <w:sz w:val="21"/>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before="0" w:after="0" w:line="240" w:lineRule="auto"/>
              <w:jc w:val="left"/>
            </w:pPr>
            <w:r>
              <w:rPr>
                <w:rFonts w:ascii="Times New Roman" w:hAnsi="Times New Roman" w:eastAsia="Times New Roman"/>
                <w:b w:val="0"/>
                <w:i w:val="0"/>
                <w:color w:val="000000"/>
                <w:sz w:val="21"/>
              </w:rPr>
              <w:t>China Fundus–CIMT</w:t>
            </w:r>
          </w:p>
        </w:tc>
        <w:tc>
          <w:tcPr>
            <w:tcW w:w="1757" w:type="dxa"/>
            <w:shd w:val="clear" w:color="auto" w:fill="FFFFFF"/>
            <w:tcMar>
              <w:top w:w="75" w:type="dxa"/>
              <w:left w:w="85" w:type="dxa"/>
              <w:bottom w:w="75" w:type="dxa"/>
              <w:right w:w="85" w:type="dxa"/>
            </w:tcMar>
            <w:vAlign w:val="center"/>
          </w:tcPr>
          <w:p w14:paraId="091BC330">
            <w:pPr>
              <w:spacing w:before="0" w:after="0" w:line="240" w:lineRule="auto"/>
              <w:jc w:val="left"/>
            </w:pPr>
            <w:r>
              <w:rPr>
                <w:rFonts w:ascii="Times New Roman" w:hAnsi="Times New Roman" w:eastAsia="Times New Roman"/>
                <w:b w:val="0"/>
                <w:i w:val="0"/>
                <w:color w:val="000000"/>
                <w:sz w:val="21"/>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before="0" w:after="0" w:line="240" w:lineRule="auto"/>
              <w:jc w:val="left"/>
            </w:pPr>
            <w:r>
              <w:rPr>
                <w:rFonts w:ascii="Times New Roman" w:hAnsi="Times New Roman" w:eastAsia="Times New Roman"/>
                <w:b w:val="0"/>
                <w:i w:val="0"/>
                <w:color w:val="000000"/>
                <w:sz w:val="21"/>
              </w:rPr>
              <w:t>Age, sex, bilateral fundus, CIMT</w:t>
            </w:r>
          </w:p>
        </w:tc>
        <w:tc>
          <w:tcPr>
            <w:tcW w:w="2045" w:type="dxa"/>
            <w:shd w:val="clear" w:color="auto" w:fill="FFFFFF"/>
            <w:tcMar>
              <w:top w:w="75" w:type="dxa"/>
              <w:left w:w="85" w:type="dxa"/>
              <w:bottom w:w="75" w:type="dxa"/>
              <w:right w:w="85" w:type="dxa"/>
            </w:tcMar>
            <w:vAlign w:val="center"/>
          </w:tcPr>
          <w:p w14:paraId="736099C2">
            <w:pPr>
              <w:spacing w:before="0" w:after="0" w:line="240" w:lineRule="auto"/>
              <w:jc w:val="left"/>
            </w:pPr>
            <w:r>
              <w:rPr>
                <w:rFonts w:ascii="Times New Roman" w:hAnsi="Times New Roman" w:eastAsia="Times New Roman"/>
                <w:b w:val="0"/>
                <w:i w:val="0"/>
                <w:color w:val="000000"/>
                <w:sz w:val="21"/>
              </w:rPr>
              <w:t>Normative-deviation mechanism</w:t>
            </w:r>
          </w:p>
        </w:tc>
        <w:tc>
          <w:tcPr>
            <w:tcW w:w="1728" w:type="dxa"/>
            <w:shd w:val="clear" w:color="auto" w:fill="FFFFFF"/>
            <w:tcMar>
              <w:top w:w="75" w:type="dxa"/>
              <w:left w:w="85" w:type="dxa"/>
              <w:bottom w:w="75" w:type="dxa"/>
              <w:right w:w="85" w:type="dxa"/>
            </w:tcMar>
            <w:vAlign w:val="center"/>
          </w:tcPr>
          <w:p w14:paraId="046A8C08">
            <w:pPr>
              <w:spacing w:before="0" w:after="0" w:line="240" w:lineRule="auto"/>
              <w:jc w:val="left"/>
            </w:pPr>
            <w:r>
              <w:rPr>
                <w:rFonts w:ascii="Times New Roman" w:hAnsi="Times New Roman" w:eastAsia="Times New Roman"/>
                <w:b w:val="0"/>
                <w:i w:val="0"/>
                <w:color w:val="000000"/>
                <w:sz w:val="21"/>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before="0" w:after="0" w:line="240" w:lineRule="auto"/>
              <w:jc w:val="left"/>
            </w:pPr>
            <w:r>
              <w:rPr>
                <w:rFonts w:ascii="Times New Roman" w:hAnsi="Times New Roman" w:eastAsia="Times New Roman"/>
                <w:b w:val="0"/>
                <w:i w:val="0"/>
                <w:color w:val="000000"/>
                <w:sz w:val="21"/>
              </w:rPr>
              <w:t>mBRSET 224-pixel mirror</w:t>
            </w:r>
          </w:p>
        </w:tc>
        <w:tc>
          <w:tcPr>
            <w:tcW w:w="1757" w:type="dxa"/>
            <w:shd w:val="clear" w:color="auto" w:fill="F3EDF9"/>
            <w:tcMar>
              <w:top w:w="75" w:type="dxa"/>
              <w:left w:w="85" w:type="dxa"/>
              <w:bottom w:w="75" w:type="dxa"/>
              <w:right w:w="85" w:type="dxa"/>
            </w:tcMar>
            <w:vAlign w:val="center"/>
          </w:tcPr>
          <w:p w14:paraId="0D4A5C6A">
            <w:pPr>
              <w:spacing w:before="0" w:after="0" w:line="240" w:lineRule="auto"/>
              <w:jc w:val="left"/>
            </w:pPr>
            <w:r>
              <w:rPr>
                <w:rFonts w:ascii="Times New Roman" w:hAnsi="Times New Roman" w:eastAsia="Times New Roman"/>
                <w:b w:val="0"/>
                <w:i w:val="0"/>
                <w:color w:val="000000"/>
                <w:sz w:val="21"/>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before="0" w:after="0" w:line="240" w:lineRule="auto"/>
              <w:jc w:val="left"/>
            </w:pPr>
            <w:r>
              <w:rPr>
                <w:rFonts w:ascii="Times New Roman" w:hAnsi="Times New Roman" w:eastAsia="Times New Roman"/>
                <w:b w:val="0"/>
                <w:i w:val="0"/>
                <w:color w:val="000000"/>
                <w:sz w:val="21"/>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before="0" w:after="0" w:line="240" w:lineRule="auto"/>
              <w:jc w:val="left"/>
            </w:pPr>
            <w:r>
              <w:rPr>
                <w:rFonts w:ascii="Times New Roman" w:hAnsi="Times New Roman" w:eastAsia="Times New Roman"/>
                <w:b w:val="0"/>
                <w:i w:val="0"/>
                <w:color w:val="000000"/>
                <w:sz w:val="21"/>
              </w:rPr>
              <w:t>Reliability + exploratory HTN association</w:t>
            </w:r>
          </w:p>
        </w:tc>
        <w:tc>
          <w:tcPr>
            <w:tcW w:w="1728" w:type="dxa"/>
            <w:shd w:val="clear" w:color="auto" w:fill="F3EDF9"/>
            <w:tcMar>
              <w:top w:w="75" w:type="dxa"/>
              <w:left w:w="85" w:type="dxa"/>
              <w:bottom w:w="75" w:type="dxa"/>
              <w:right w:w="85" w:type="dxa"/>
            </w:tcMar>
            <w:vAlign w:val="center"/>
          </w:tcPr>
          <w:p w14:paraId="2CB2FB50">
            <w:pPr>
              <w:spacing w:before="0" w:after="0" w:line="240" w:lineRule="auto"/>
              <w:jc w:val="left"/>
            </w:pPr>
            <w:r>
              <w:rPr>
                <w:rFonts w:ascii="Times New Roman" w:hAnsi="Times New Roman" w:eastAsia="Times New Roman"/>
                <w:b w:val="0"/>
                <w:i w:val="0"/>
                <w:color w:val="000000"/>
                <w:sz w:val="21"/>
              </w:rPr>
              <w:t>External mechanism/internal CV</w:t>
            </w:r>
          </w:p>
        </w:tc>
      </w:tr>
    </w:tbl>
    <w:p w14:paraId="1DEA8449">
      <w:pPr>
        <w:spacing w:before="0" w:after="0"/>
        <w:jc w:val="center"/>
      </w:pPr>
    </w:p>
    <w:p w14:paraId="3D6F0DE8">
      <w:pPr>
        <w:pStyle w:val="4"/>
        <w:keepNext/>
        <w:spacing w:before="200" w:after="120" w:line="240" w:lineRule="auto"/>
        <w:jc w:val="left"/>
      </w:pPr>
      <w:r>
        <w:rPr>
          <w:rFonts w:ascii="Times New Roman" w:hAnsi="Times New Roman" w:eastAsia="Times New Roman"/>
          <w:b/>
          <w:i w:val="0"/>
          <w:color w:val="000000"/>
          <w:sz w:val="24"/>
        </w:rPr>
        <w:t>2.2 Anatomy-aware preprocessing</w:t>
      </w:r>
    </w:p>
    <w:p w14:paraId="7A731FED">
      <w:pPr>
        <w:pStyle w:val="18"/>
        <w:keepNext w:val="0"/>
        <w:spacing w:before="0" w:after="100" w:line="276" w:lineRule="auto"/>
        <w:ind w:firstLine="360"/>
        <w:jc w:val="both"/>
      </w:pPr>
      <w:r>
        <w:rPr>
          <w:rFonts w:ascii="Times New Roman" w:hAnsi="Times New Roman" w:eastAsia="Times New Roman"/>
          <w:b w:val="0"/>
          <w:i w:val="0"/>
          <w:color w:val="000000"/>
          <w:sz w:val="24"/>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pStyle w:val="18"/>
        <w:keepNext w:val="0"/>
        <w:spacing w:before="0" w:after="100" w:line="276" w:lineRule="auto"/>
        <w:ind w:firstLine="360"/>
        <w:jc w:val="both"/>
      </w:pPr>
      <w:r>
        <w:rPr>
          <w:rFonts w:ascii="Times New Roman" w:hAnsi="Times New Roman" w:eastAsia="Times New Roman"/>
          <w:b w:val="0"/>
          <w:i w:val="0"/>
          <w:color w:val="000000"/>
          <w:sz w:val="24"/>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pStyle w:val="4"/>
        <w:keepNext/>
        <w:spacing w:before="200" w:after="120" w:line="240" w:lineRule="auto"/>
        <w:jc w:val="left"/>
      </w:pPr>
      <w:r>
        <w:rPr>
          <w:rFonts w:ascii="Times New Roman" w:hAnsi="Times New Roman" w:eastAsia="Times New Roman"/>
          <w:b/>
          <w:i w:val="0"/>
          <w:color w:val="000000"/>
          <w:sz w:val="24"/>
        </w:rPr>
        <w:t>2.3 RMDB module: dual-readout vascular measurement</w:t>
      </w:r>
    </w:p>
    <w:p w14:paraId="282F9163">
      <w:pPr>
        <w:pStyle w:val="18"/>
        <w:spacing w:before="0" w:line="276" w:lineRule="auto"/>
        <w:jc w:val="both"/>
      </w:pPr>
      <w:r>
        <w:rPr>
          <w:rFonts w:ascii="Times New Roman" w:hAnsi="Times New Roman" w:eastAsia="Times New Roman"/>
          <w:color w:val="000000"/>
          <w:sz w:val="24"/>
        </w:rP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pStyle w:val="18"/>
        <w:keepNext w:val="0"/>
        <w:spacing w:before="0" w:after="100" w:line="276" w:lineRule="auto"/>
        <w:ind w:firstLine="360"/>
        <w:jc w:val="both"/>
      </w:pPr>
      <w:r>
        <w:rPr>
          <w:rFonts w:ascii="Times New Roman" w:hAnsi="Times New Roman" w:eastAsia="Times New Roman"/>
          <w:b w:val="0"/>
          <w:i w:val="0"/>
          <w:color w:val="000000"/>
          <w:sz w:val="24"/>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pStyle w:val="18"/>
        <w:keepNext/>
        <w:spacing w:before="0" w:after="40" w:line="276" w:lineRule="auto"/>
        <w:jc w:val="both"/>
      </w:pPr>
      <w:r>
        <w:rPr>
          <w:rFonts w:ascii="Times New Roman" w:hAnsi="Times New Roman" w:eastAsia="Times New Roman"/>
          <w:b w:val="0"/>
          <w:i w:val="0"/>
          <w:color w:val="000000"/>
          <w:sz w:val="24"/>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80" w:after="120" w:line="240" w:lineRule="auto"/>
        <w:jc w:val="center"/>
        <w:rPr>
          <w:sz w:val="20"/>
          <w:szCs w:val="20"/>
        </w:rPr>
      </w:pPr>
      <m:oMath>
        <m:r>
          <m:rPr/>
          <m:t>z⁽ᵗ⁺¹⁾ = z⁽ᵗ⁾ + gθ[x, z⁽⁰⁾, H(p⁽⁰⁾), D(x), p⁽ᵗ⁾],  t∈{0,1};   pᴹ=softmax(z⁽²⁾)</m:t>
        </m:r>
      </m:oMath>
      <w:r>
        <w:rPr>
          <w:rFonts w:ascii="Times New Roman" w:hAnsi="Times New Roman" w:eastAsia="Times New Roman"/>
          <w:b w:val="0"/>
          <w:i w:val="0"/>
          <w:color w:val="000000"/>
          <w:sz w:val="24"/>
        </w:rPr>
        <w:t xml:space="preserve">    (1)</w:t>
      </w:r>
    </w:p>
    <w:p w14:paraId="5B0D501B">
      <w:pPr>
        <w:pStyle w:val="18"/>
        <w:keepNext/>
        <w:spacing w:before="0" w:after="40" w:line="276" w:lineRule="auto"/>
        <w:jc w:val="both"/>
      </w:pPr>
      <w:r>
        <w:rPr>
          <w:rFonts w:ascii="Times New Roman" w:hAnsi="Times New Roman" w:eastAsia="Times New Roman"/>
          <w:b w:val="0"/>
          <w:i w:val="0"/>
          <w:color w:val="000000"/>
          <w:sz w:val="24"/>
        </w:rPr>
        <w:t>The refinement objective combined pixel classification, vascular topology, directional continuity, residual restraint, A/V mass preservation, and total vessel-mass preservation:</w:t>
      </w:r>
    </w:p>
    <w:p w14:paraId="683996CA">
      <w:pPr>
        <w:keepLines/>
        <w:spacing w:before="80" w:after="120" w:line="240" w:lineRule="auto"/>
        <w:jc w:val="center"/>
        <w:rPr>
          <w:sz w:val="20"/>
          <w:szCs w:val="20"/>
        </w:rPr>
      </w:pPr>
      <m:oMath>
        <m:r>
          <m:rPr/>
          <m:t>ℒUDCT = ℒCE + 0.5ℒDice + 0.10ℒdir + 0.10ℒves + 0.01ℒres + λAVℒAV + λmℒm</m:t>
        </m:r>
      </m:oMath>
      <w:r>
        <w:rPr>
          <w:rFonts w:ascii="Times New Roman" w:hAnsi="Times New Roman" w:eastAsia="Times New Roman"/>
          <w:b w:val="0"/>
          <w:i w:val="0"/>
          <w:color w:val="000000"/>
          <w:sz w:val="24"/>
        </w:rPr>
        <w:t xml:space="preserve">    (2)</w:t>
      </w:r>
    </w:p>
    <w:p w14:paraId="3DCAB820">
      <w:pPr>
        <w:pStyle w:val="18"/>
        <w:keepNext w:val="0"/>
        <w:spacing w:before="0" w:after="100" w:line="276" w:lineRule="auto"/>
        <w:ind w:firstLine="360"/>
        <w:jc w:val="both"/>
      </w:pPr>
      <w:r>
        <w:rPr>
          <w:rFonts w:ascii="Times New Roman" w:hAnsi="Times New Roman" w:eastAsia="Times New Roman"/>
          <w:b w:val="0"/>
          <w:i w:val="0"/>
          <w:color w:val="000000"/>
          <w:sz w:val="24"/>
        </w:rPr>
        <w:t>RMDB produced two complementary readouts. The mass-preserving UDCT readout (Mass-UDCT) retained the calibrated joint four-class probability mass, preserving weak but potentially real vascular evidence. The occupancy-gated factorized 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pStyle w:val="18"/>
        <w:keepNext/>
        <w:spacing w:before="0" w:after="40" w:line="276" w:lineRule="auto"/>
        <w:jc w:val="both"/>
      </w:pPr>
      <w:r>
        <w:rPr>
          <w:rFonts w:ascii="Times New Roman" w:hAnsi="Times New Roman" w:eastAsia="Times New Roman"/>
          <w:b w:val="0"/>
          <w:i w:val="0"/>
          <w:color w:val="000000"/>
          <w:sz w:val="24"/>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80" w:after="120" w:line="240" w:lineRule="auto"/>
        <w:jc w:val="center"/>
        <w:rPr>
          <w:sz w:val="20"/>
          <w:szCs w:val="20"/>
        </w:rPr>
      </w:pPr>
      <m:oMath>
        <m:r>
          <m:rPr/>
          <m:t>c=σ{[(1−H₄(p⁽⁰⁾))−0.35)/0.20};   õ=c(1−p⁽⁰⁾₀)+(1−c)oF;   pᶠₖ=</m:t>
        </m:r>
        <m:r>
          <m:rPr>
            <m:scr m:val="double-struck"/>
          </m:rPr>
          <m:t>1</m:t>
        </m:r>
        <m:r>
          <m:rPr/>
          <m:t>(õ≥τ)·õ·pᴹₖ/Σq∈{A,V,C}pᴹq</m:t>
        </m:r>
      </m:oMath>
      <w:r>
        <w:rPr>
          <w:rFonts w:ascii="Times New Roman" w:hAnsi="Times New Roman" w:eastAsia="Times New Roman"/>
          <w:b w:val="0"/>
          <w:i w:val="0"/>
          <w:color w:val="000000"/>
          <w:sz w:val="24"/>
        </w:rPr>
        <w:t xml:space="preserve">    (3)</w:t>
      </w:r>
    </w:p>
    <w:p w14:paraId="2C1A3D41">
      <w:pPr>
        <w:pStyle w:val="18"/>
        <w:keepNext w:val="0"/>
        <w:spacing w:before="0" w:after="100" w:line="276" w:lineRule="auto"/>
        <w:ind w:firstLine="360"/>
        <w:jc w:val="both"/>
      </w:pPr>
      <w:r>
        <w:rPr>
          <w:rFonts w:ascii="Times New Roman" w:hAnsi="Times New Roman" w:eastAsia="Times New Roman"/>
          <w:b w:val="0"/>
          <w:i w:val="0"/>
          <w:color w:val="000000"/>
          <w:sz w:val="24"/>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pStyle w:val="18"/>
        <w:keepNext/>
        <w:spacing w:before="0" w:after="40" w:line="276" w:lineRule="auto"/>
        <w:jc w:val="both"/>
      </w:pPr>
      <w:r>
        <w:rPr>
          <w:rFonts w:ascii="Times New Roman" w:hAnsi="Times New Roman" w:eastAsia="Times New Roman"/>
          <w:b w:val="0"/>
          <w:i w:val="0"/>
          <w:color w:val="000000"/>
          <w:sz w:val="24"/>
        </w:rPr>
        <w:t>The two readouts generated interpretable, continuous operators over the valid retinal domain Ω. Vessel support, artery–vein balance, and cross-readout disagreement were defined as:</w:t>
      </w:r>
    </w:p>
    <w:p w14:paraId="3A569E86">
      <w:pPr>
        <w:keepLines/>
        <w:spacing w:before="80" w:after="120" w:line="240" w:lineRule="auto"/>
        <w:jc w:val="center"/>
        <w:rPr>
          <w:sz w:val="20"/>
          <w:szCs w:val="20"/>
        </w:rPr>
      </w:pPr>
      <m:oMath>
        <m:r>
          <m:rPr/>
          <m:t>ϕmass=|Ω|⁻¹Σx∈Ω(1−pᴹ₀);   ϕAV=log{[Σx(pᴹA+pᴹC)+1]/[Σx(pᴹV+pᴹC)+1]};   ϕdis=|VM△VF|/|VM∪VF|</m:t>
        </m:r>
      </m:oMath>
      <w:r>
        <w:rPr>
          <w:rFonts w:ascii="Times New Roman" w:hAnsi="Times New Roman" w:eastAsia="Times New Roman"/>
          <w:b w:val="0"/>
          <w:i w:val="0"/>
          <w:color w:val="000000"/>
          <w:sz w:val="24"/>
        </w:rPr>
        <w:t xml:space="preserve">    (4)</w:t>
      </w:r>
    </w:p>
    <w:p w14:paraId="7E368FB7">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Next/>
        <w:keepLines/>
        <w:spacing w:before="40" w:after="120" w:line="240" w:lineRule="auto"/>
        <w:jc w:val="both"/>
      </w:pPr>
      <w:r>
        <w:rPr>
          <w:rFonts w:ascii="Times New Roman" w:hAnsi="Times New Roman" w:eastAsia="Times New Roman"/>
          <w:b/>
          <w:i/>
          <w:color w:val="000000"/>
          <w:sz w:val="24"/>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Mass-UDCT and Factorized-UDCT maps, derives interpretable phenotype operators and cross-readout disagreement, applies the outcome-blind BiRAP ICC gate, and only then forms the ICC-gated patient phenotype vector for nested cross-validation.</w:t>
      </w:r>
    </w:p>
    <w:p w14:paraId="75145ECB">
      <w:pPr>
        <w:pStyle w:val="4"/>
        <w:keepNext/>
        <w:spacing w:before="200" w:after="120" w:line="240" w:lineRule="auto"/>
        <w:jc w:val="left"/>
      </w:pPr>
      <w:r>
        <w:rPr>
          <w:rFonts w:ascii="Times New Roman" w:hAnsi="Times New Roman" w:eastAsia="Times New Roman"/>
          <w:b/>
          <w:i w:val="0"/>
          <w:color w:val="000000"/>
          <w:sz w:val="24"/>
        </w:rPr>
        <w:t>2.4 BiRAP module: outcome-blind reliability and patient aggregation</w:t>
      </w:r>
    </w:p>
    <w:p w14:paraId="0A2C0CCC">
      <w:pPr>
        <w:pStyle w:val="18"/>
        <w:keepNext w:val="0"/>
        <w:spacing w:before="0" w:after="100" w:line="276" w:lineRule="auto"/>
        <w:ind w:firstLine="360"/>
        <w:jc w:val="both"/>
      </w:pPr>
      <w:r>
        <w:rPr>
          <w:rFonts w:ascii="Times New Roman" w:hAnsi="Times New Roman" w:eastAsia="Times New Roman"/>
          <w:b w:val="0"/>
          <w:i w:val="0"/>
          <w:color w:val="000000"/>
          <w:sz w:val="24"/>
        </w:rPr>
        <w:t>For each patient, eye-level features were summarized using the bilateral mean and the absolute inter-eye difference where both eyes were available. Repeated views were first aggregated within eye when estimating patient-level quantities so that image count could not act as a surrogate for outcome.</w:t>
      </w:r>
    </w:p>
    <w:p w14:paraId="1915789C">
      <w:pPr>
        <w:pStyle w:val="18"/>
        <w:keepNext w:val="0"/>
        <w:spacing w:before="0" w:after="100" w:line="276" w:lineRule="auto"/>
        <w:ind w:firstLine="360"/>
        <w:jc w:val="both"/>
      </w:pPr>
      <w:r>
        <w:rPr>
          <w:rFonts w:ascii="Times New Roman" w:hAnsi="Times New Roman" w:eastAsia="Times New Roman"/>
          <w:b w:val="0"/>
          <w:i w:val="0"/>
          <w:color w:val="000000"/>
          <w:sz w:val="24"/>
        </w:rPr>
        <w:t>Reliability was evaluated using 2,359 same-eye repeat pairs in mBRSET. Nine global phenotypes were specified before disease-outcome analysis. ICC(1,1) with bootstrap 95% confidence intervals was calculated from the paired views. The retention threshold was fixed at ICC(1,1) ≥ 0.60. Outcome labels and systemic covariates were not used in this selection step. The four retained phenotypes formed the ICC-gated phenotype core.</w:t>
      </w:r>
    </w:p>
    <w:p w14:paraId="60C571B5">
      <w:pPr>
        <w:pStyle w:val="18"/>
        <w:keepNext/>
        <w:spacing w:before="0" w:after="40" w:line="276" w:lineRule="auto"/>
        <w:jc w:val="both"/>
      </w:pPr>
      <w:r>
        <w:rPr>
          <w:rFonts w:ascii="Times New Roman" w:hAnsi="Times New Roman" w:eastAsia="Times New Roman"/>
          <w:b w:val="0"/>
          <w:i w:val="0"/>
          <w:color w:val="000000"/>
          <w:sz w:val="24"/>
        </w:rPr>
        <w:t>Reliability was used only as a label-blind retention rule. For candidate phenotype j, rj was fixed before any systemic outcome analysis:</w:t>
      </w:r>
    </w:p>
    <w:p w14:paraId="6C8ABDE9">
      <w:pPr>
        <w:keepLines/>
        <w:spacing w:before="80" w:after="120" w:line="240" w:lineRule="auto"/>
        <w:jc w:val="center"/>
        <w:rPr>
          <w:sz w:val="20"/>
          <w:szCs w:val="20"/>
        </w:rPr>
      </w:pPr>
      <m:oMath>
        <m:r>
          <m:rPr/>
          <m:t xml:space="preserve">rⱼ = </m:t>
        </m:r>
        <m:r>
          <m:rPr>
            <m:scr m:val="double-struck"/>
          </m:rPr>
          <m:t>1</m:t>
        </m:r>
        <m:r>
          <m:rPr/>
          <m:t>{ICCⱼ(1,1) ≥ 0.60}</m:t>
        </m:r>
      </m:oMath>
      <w:r>
        <w:rPr>
          <w:rFonts w:ascii="Times New Roman" w:hAnsi="Times New Roman" w:eastAsia="Times New Roman"/>
          <w:b w:val="0"/>
          <w:i w:val="0"/>
          <w:color w:val="000000"/>
          <w:sz w:val="24"/>
        </w:rPr>
        <w:t xml:space="preserve">    (5)</w:t>
      </w:r>
    </w:p>
    <w:p w14:paraId="36373BEC">
      <w:pPr>
        <w:pStyle w:val="18"/>
        <w:keepNext/>
        <w:pBdr>
          <w:left w:val="single" w:color="70519A" w:sz="16" w:space="7"/>
        </w:pBdr>
        <w:shd w:val="clear" w:fill="E9DFF3"/>
        <w:spacing w:before="0" w:after="40" w:line="276" w:lineRule="auto"/>
        <w:jc w:val="both"/>
      </w:pPr>
      <w:r>
        <w:rPr>
          <w:rFonts w:ascii="Times New Roman" w:hAnsi="Times New Roman" w:eastAsia="Times New Roman"/>
          <w:b/>
          <w:i w:val="0"/>
          <w:color w:val="000000"/>
          <w:sz w:val="24"/>
        </w:rPr>
        <w:t>Algorithm 1. RMDB–BiRAP phenotype construction and evidence gating</w:t>
      </w:r>
    </w:p>
    <w:p w14:paraId="41C54AED">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Input. Standardized left/right fundus photographs; frozen VascX logits; frozen FIVES occupancy estimator; optic-disc metadata.</w:t>
      </w:r>
    </w:p>
    <w:p w14:paraId="6E6554FE">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Output. A patient-level ICC-gated phenotype vector and an evidence status that is independent of outcome-driven feature selection.</w:t>
      </w:r>
    </w:p>
    <w:p w14:paraId="12E3881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1  Standardize anatomy. Normalize the field of view; locate the disc; construct Zone B only when disc quality control passes.</w:t>
      </w:r>
    </w:p>
    <w:p w14:paraId="541C559C">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2  Refine vascular identity. Apply the two-step UDCT residual corrector to the frozen four-class identity logits.</w:t>
      </w:r>
    </w:p>
    <w:p w14:paraId="70E41FBB">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3  Construct complementary readouts. Retain the mass-preserving four-class probabilities and form the occupancy-gated factorized identity map (Factorized-UDCT) using the fixed gate and threshold.</w:t>
      </w:r>
    </w:p>
    <w:p w14:paraId="6AFBB9D1">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4  Extract eye-level candidates. Measure vessel mass, skeleton density, branch density, A/V balance, entropy, and cross-readout disagreement globally and, when available, within Zone B.</w:t>
      </w:r>
    </w:p>
    <w:p w14:paraId="44176145">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5  Estimate label-blind reliability. Compute ICC(1,1) from same-eye repeated views without systemic outcomes or clinical covariates.</w:t>
      </w:r>
    </w:p>
    <w:p w14:paraId="57E3BB60">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6  Apply the reliability gate. Retain phenotype j only when its ICC(1,1) is ≥ 0.60; preserve excluded candidates as transparent negative results.</w:t>
      </w:r>
    </w:p>
    <w:p w14:paraId="716E10E6">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7  Aggregate at patient level. For each retained phenotype, compute the bilateral mean and absolute inter-eye difference after within-eye repeat aggregation.</w:t>
      </w:r>
    </w:p>
    <w:p w14:paraId="48C80AE4">
      <w:pPr>
        <w:pStyle w:val="18"/>
        <w:keepNext/>
        <w:keepLines/>
        <w:pBdr>
          <w:left w:val="single" w:color="70519A" w:sz="16" w:space="7"/>
        </w:pBdr>
        <w:shd w:val="clear" w:fill="F3EDF9"/>
        <w:spacing w:before="0" w:after="0" w:line="276" w:lineRule="auto"/>
        <w:ind w:left="187" w:right="115"/>
        <w:jc w:val="both"/>
      </w:pPr>
      <w:r>
        <w:rPr>
          <w:rFonts w:ascii="Times New Roman" w:hAnsi="Times New Roman" w:eastAsia="Times New Roman"/>
          <w:b w:val="0"/>
          <w:i w:val="0"/>
          <w:color w:val="000000"/>
          <w:sz w:val="24"/>
        </w:rPr>
        <w:t>8  Test incremental utility. Within patient-grouped nested cross-validation, compare clinical-only and clinical-plus-retinal models using paired patient-level bootstrap intervals.</w:t>
      </w:r>
    </w:p>
    <w:p w14:paraId="4C6E4862">
      <w:pPr>
        <w:pStyle w:val="18"/>
        <w:keepNext w:val="0"/>
        <w:keepLines/>
        <w:pBdr>
          <w:left w:val="single" w:color="70519A" w:sz="16" w:space="7"/>
        </w:pBdr>
        <w:shd w:val="clear" w:fill="F3EDF9"/>
        <w:spacing w:before="0" w:after="120" w:line="276" w:lineRule="auto"/>
        <w:ind w:left="187" w:right="115"/>
        <w:jc w:val="both"/>
      </w:pPr>
      <w:r>
        <w:rPr>
          <w:rFonts w:ascii="Times New Roman" w:hAnsi="Times New Roman" w:eastAsia="Times New Roman"/>
          <w:b w:val="0"/>
          <w:i w:val="0"/>
          <w:color w:val="000000"/>
          <w:sz w:val="24"/>
        </w:rPr>
        <w:t>Stopping rule. A clinical biomarker claim is permitted only when measurement validity, repeatability, and clinical increment all pass their prespecified gates.</w:t>
      </w:r>
    </w:p>
    <w:p w14:paraId="03C96D02">
      <w:pPr>
        <w:pStyle w:val="4"/>
        <w:keepNext/>
        <w:spacing w:before="200" w:after="120" w:line="240" w:lineRule="auto"/>
        <w:jc w:val="left"/>
      </w:pPr>
      <w:r>
        <w:rPr>
          <w:rFonts w:ascii="Times New Roman" w:hAnsi="Times New Roman" w:eastAsia="Times New Roman"/>
          <w:b/>
          <w:i w:val="0"/>
          <w:color w:val="000000"/>
          <w:sz w:val="24"/>
        </w:rPr>
        <w:t>2.5 Cross-domain measurement evaluation</w:t>
      </w:r>
    </w:p>
    <w:p w14:paraId="7E239D8D">
      <w:pPr>
        <w:pStyle w:val="18"/>
        <w:keepNext w:val="0"/>
        <w:spacing w:before="0" w:after="100" w:line="276" w:lineRule="auto"/>
        <w:ind w:firstLine="360"/>
        <w:jc w:val="both"/>
      </w:pPr>
      <w:r>
        <w:rPr>
          <w:rFonts w:ascii="Times New Roman" w:hAnsi="Times New Roman" w:eastAsia="Times New Roman"/>
          <w:b w:val="0"/>
          <w:i w:val="0"/>
          <w:color w:val="000000"/>
          <w:sz w:val="24"/>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pStyle w:val="18"/>
        <w:keepNext w:val="0"/>
        <w:spacing w:before="0" w:after="100" w:line="276" w:lineRule="auto"/>
        <w:ind w:firstLine="360"/>
        <w:jc w:val="both"/>
      </w:pPr>
      <w:r>
        <w:rPr>
          <w:rFonts w:ascii="Times New Roman" w:hAnsi="Times New Roman" w:eastAsia="Times New Roman"/>
          <w:b w:val="0"/>
          <w:i w:val="0"/>
          <w:color w:val="000000"/>
          <w:sz w:val="24"/>
        </w:rPr>
        <w:t>Disease and image-quality strata were used to identify failure domains rather than to retune the locked models. This distinction preserves the external status of the validation while still exposing where the measurement system degrades.</w:t>
      </w:r>
    </w:p>
    <w:p w14:paraId="69574EC3">
      <w:pPr>
        <w:pStyle w:val="4"/>
        <w:keepNext/>
        <w:spacing w:before="200" w:after="120" w:line="240" w:lineRule="auto"/>
        <w:jc w:val="left"/>
      </w:pPr>
      <w:r>
        <w:rPr>
          <w:rFonts w:ascii="Times New Roman" w:hAnsi="Times New Roman" w:eastAsia="Times New Roman"/>
          <w:b/>
          <w:i w:val="0"/>
          <w:color w:val="000000"/>
          <w:sz w:val="24"/>
        </w:rPr>
        <w:t>2.6 Patient-level modelling, normative deviation, and evidence gating</w:t>
      </w:r>
    </w:p>
    <w:p w14:paraId="57F18970">
      <w:pPr>
        <w:pStyle w:val="18"/>
        <w:keepNext w:val="0"/>
        <w:spacing w:before="0" w:after="100" w:line="276" w:lineRule="auto"/>
        <w:ind w:firstLine="360"/>
        <w:jc w:val="both"/>
      </w:pPr>
      <w:r>
        <w:rPr>
          <w:rFonts w:ascii="Times New Roman" w:hAnsi="Times New Roman" w:eastAsia="Times New Roman"/>
          <w:b w:val="0"/>
          <w:i w:val="0"/>
          <w:color w:val="000000"/>
          <w:sz w:val="24"/>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pStyle w:val="18"/>
        <w:keepNext w:val="0"/>
        <w:spacing w:before="0" w:after="100" w:line="276" w:lineRule="auto"/>
        <w:ind w:firstLine="360"/>
        <w:jc w:val="both"/>
      </w:pPr>
      <w:r>
        <w:rPr>
          <w:rFonts w:ascii="Times New Roman" w:hAnsi="Times New Roman" w:eastAsia="Times New Roman"/>
          <w:b w:val="0"/>
          <w:i w:val="0"/>
          <w:color w:val="000000"/>
          <w:sz w:val="24"/>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one-shot E9 validation.</w:t>
      </w:r>
    </w:p>
    <w:p w14:paraId="563BF434">
      <w:pPr>
        <w:pStyle w:val="18"/>
        <w:keepNext/>
        <w:spacing w:before="0" w:after="40" w:line="276" w:lineRule="auto"/>
        <w:jc w:val="both"/>
      </w:pPr>
      <w:r>
        <w:rPr>
          <w:rFonts w:ascii="Times New Roman" w:hAnsi="Times New Roman" w:eastAsia="Times New Roman"/>
          <w:b w:val="0"/>
          <w:i w:val="0"/>
          <w:color w:val="000000"/>
          <w:sz w:val="24"/>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80" w:after="120" w:line="240" w:lineRule="auto"/>
        <w:jc w:val="center"/>
        <w:rPr>
          <w:sz w:val="20"/>
          <w:szCs w:val="20"/>
        </w:rPr>
      </w:pPr>
      <m:oMath>
        <m:r>
          <m:rPr/>
          <m:t>zᶜᴵᴹᵀᵢ=[yᵢ−μ₋ₖ(aᵢ,sᵢ)]/σ₋ₖ(aᵢ,sᵢ);   Φ⊥ᵢⱼ=Φᵢⱼ−E₋ₖ(Φᵢⱼ|aᵢ,sᵢ);   ŷᵢ=μ₋ₖ+σ₋ₖh₋ₖ(Φ⊥ᵢ)</m:t>
        </m:r>
      </m:oMath>
      <w:r>
        <w:rPr>
          <w:rFonts w:ascii="Times New Roman" w:hAnsi="Times New Roman" w:eastAsia="Times New Roman"/>
          <w:b w:val="0"/>
          <w:i w:val="0"/>
          <w:color w:val="000000"/>
          <w:sz w:val="24"/>
        </w:rPr>
        <w:t xml:space="preserve">    (6)</w:t>
      </w:r>
    </w:p>
    <w:p w14:paraId="57F6AB84">
      <w:pPr>
        <w:pStyle w:val="18"/>
        <w:keepNext w:val="0"/>
        <w:spacing w:before="0" w:after="100" w:line="276" w:lineRule="auto"/>
        <w:ind w:firstLine="360"/>
        <w:jc w:val="both"/>
      </w:pPr>
      <w:r>
        <w:rPr>
          <w:rFonts w:ascii="Times New Roman" w:hAnsi="Times New Roman" w:eastAsia="Times New Roman"/>
          <w:b w:val="0"/>
          <w:i w:val="0"/>
          <w:color w:val="000000"/>
          <w:sz w:val="24"/>
        </w:rPr>
        <w:t>For mBRSET hypertension, the clinical baseline contained age, sex, and diabetes duration. The phenotype-core–augmented model added the ICC-gated phenotype core to the clinical baseline.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pStyle w:val="4"/>
        <w:keepNext/>
        <w:spacing w:before="200" w:after="120" w:line="240" w:lineRule="auto"/>
        <w:jc w:val="left"/>
      </w:pPr>
      <w:r>
        <w:rPr>
          <w:rFonts w:ascii="Times New Roman" w:hAnsi="Times New Roman" w:eastAsia="Times New Roman"/>
          <w:b/>
          <w:i w:val="0"/>
          <w:color w:val="000000"/>
          <w:sz w:val="24"/>
        </w:rPr>
        <w:t>2.7 Reporting hierarchy</w:t>
      </w:r>
    </w:p>
    <w:p w14:paraId="21B21BE1">
      <w:pPr>
        <w:pStyle w:val="18"/>
        <w:keepNext w:val="0"/>
        <w:spacing w:before="0" w:after="100" w:line="276" w:lineRule="auto"/>
        <w:ind w:firstLine="360"/>
        <w:jc w:val="both"/>
      </w:pPr>
      <w:r>
        <w:rPr>
          <w:rFonts w:ascii="Times New Roman" w:hAnsi="Times New Roman" w:eastAsia="Times New Roman"/>
          <w:b w:val="0"/>
          <w:i w:val="0"/>
          <w:color w:val="000000"/>
          <w:sz w:val="24"/>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pStyle w:val="3"/>
        <w:keepNext/>
        <w:spacing w:before="200" w:after="120" w:line="240" w:lineRule="auto"/>
        <w:jc w:val="left"/>
      </w:pPr>
      <w:r>
        <w:rPr>
          <w:rFonts w:ascii="Times New Roman" w:hAnsi="Times New Roman" w:eastAsia="Times New Roman"/>
          <w:b/>
          <w:i w:val="0"/>
          <w:color w:val="000000"/>
          <w:sz w:val="28"/>
        </w:rPr>
        <w:t>3. Results</w:t>
      </w:r>
    </w:p>
    <w:p w14:paraId="3309F225">
      <w:pPr>
        <w:pStyle w:val="4"/>
        <w:keepNext/>
        <w:spacing w:before="200" w:after="120" w:line="240" w:lineRule="auto"/>
        <w:jc w:val="left"/>
      </w:pPr>
      <w:r>
        <w:rPr>
          <w:rFonts w:ascii="Times New Roman" w:hAnsi="Times New Roman" w:eastAsia="Times New Roman"/>
          <w:b/>
          <w:i w:val="0"/>
          <w:color w:val="000000"/>
          <w:sz w:val="24"/>
        </w:rPr>
        <w:t>3.1 Cross-domain measurement validity was heterogeneous</w:t>
      </w:r>
    </w:p>
    <w:p w14:paraId="7783EE23">
      <w:pPr>
        <w:pStyle w:val="18"/>
        <w:keepNext w:val="0"/>
        <w:spacing w:before="0" w:after="100" w:line="276" w:lineRule="auto"/>
        <w:ind w:firstLine="360"/>
        <w:jc w:val="both"/>
      </w:pPr>
      <w:r>
        <w:rPr>
          <w:rFonts w:ascii="Times New Roman" w:hAnsi="Times New Roman" w:eastAsia="Times New Roman"/>
          <w:b w:val="0"/>
          <w:i w:val="0"/>
          <w:color w:val="000000"/>
          <w:sz w:val="24"/>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pStyle w:val="18"/>
        <w:keepNext w:val="0"/>
        <w:spacing w:before="0" w:after="100" w:line="276" w:lineRule="auto"/>
        <w:ind w:firstLine="360"/>
        <w:jc w:val="both"/>
      </w:pPr>
      <w:r>
        <w:rPr>
          <w:rFonts w:ascii="Times New Roman" w:hAnsi="Times New Roman" w:eastAsia="Times New Roman"/>
          <w:b w:val="0"/>
          <w:i w:val="0"/>
          <w:color w:val="000000"/>
          <w:sz w:val="24"/>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pStyle w:val="18"/>
        <w:keepNext w:val="0"/>
        <w:spacing w:before="0" w:after="100" w:line="276" w:lineRule="auto"/>
        <w:ind w:firstLine="360"/>
        <w:jc w:val="both"/>
      </w:pPr>
      <w:r>
        <w:rPr>
          <w:rFonts w:ascii="Times New Roman" w:hAnsi="Times New Roman" w:eastAsia="Times New Roman"/>
          <w:b w:val="0"/>
          <w:i w:val="0"/>
          <w:color w:val="000000"/>
          <w:sz w:val="24"/>
        </w:rPr>
        <w:t>Absolute external performance remained moderate and strongly heterogeneous. For the Mass-UDCT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Next/>
        <w:keepLines/>
        <w:spacing w:before="40" w:after="120" w:line="240" w:lineRule="auto"/>
        <w:jc w:val="both"/>
      </w:pPr>
      <w:r>
        <w:rPr>
          <w:rFonts w:ascii="Times New Roman" w:hAnsi="Times New Roman" w:eastAsia="Times New Roman"/>
          <w:b/>
          <w:i/>
          <w:color w:val="000000"/>
          <w:sz w:val="24"/>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Mass-UDCT readout. The paired gain transferred across all 100 images, but absolute performance remained moderate and degraded most in diabetic retinopathy and low-quality photographs.</w:t>
      </w:r>
    </w:p>
    <w:p w14:paraId="178159CD">
      <w:pPr>
        <w:keepNext/>
        <w:spacing w:before="40" w:after="120" w:line="240" w:lineRule="auto"/>
        <w:jc w:val="both"/>
      </w:pPr>
      <w:r>
        <w:rPr>
          <w:rFonts w:ascii="Times New Roman" w:hAnsi="Times New Roman" w:eastAsia="Times New Roman"/>
          <w:b/>
          <w:i/>
          <w:color w:val="000000"/>
          <w:sz w:val="24"/>
        </w:rPr>
        <w:t>Table 2. External measurement performance. Lower is better only for A/V ratio log error.</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1698"/>
        <w:gridCol w:w="837"/>
        <w:gridCol w:w="858"/>
        <w:gridCol w:w="824"/>
        <w:gridCol w:w="875"/>
        <w:gridCol w:w="1019"/>
        <w:gridCol w:w="888"/>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before="0" w:after="0" w:line="240" w:lineRule="auto"/>
              <w:jc w:val="center"/>
            </w:pPr>
            <w:r>
              <w:rPr>
                <w:rFonts w:ascii="Times New Roman" w:hAnsi="Times New Roman" w:eastAsia="Times New Roman"/>
                <w:b/>
                <w:i w:val="0"/>
                <w:color w:val="000000"/>
                <w:sz w:val="21"/>
              </w:rPr>
              <w:t>Cohort</w:t>
            </w:r>
          </w:p>
        </w:tc>
        <w:tc>
          <w:tcPr>
            <w:tcW w:w="1440" w:type="dxa"/>
            <w:shd w:val="clear" w:color="auto" w:fill="48345F"/>
            <w:tcMar>
              <w:top w:w="75" w:type="dxa"/>
              <w:left w:w="85" w:type="dxa"/>
              <w:bottom w:w="75" w:type="dxa"/>
              <w:right w:w="85" w:type="dxa"/>
            </w:tcMar>
            <w:vAlign w:val="center"/>
          </w:tcPr>
          <w:p w14:paraId="2B32D46E">
            <w:pPr>
              <w:spacing w:before="0" w:after="0" w:line="240" w:lineRule="auto"/>
              <w:jc w:val="center"/>
            </w:pPr>
            <w:r>
              <w:rPr>
                <w:rFonts w:ascii="Times New Roman" w:hAnsi="Times New Roman" w:eastAsia="Times New Roman"/>
                <w:b/>
                <w:i w:val="0"/>
                <w:color w:val="000000"/>
                <w:sz w:val="21"/>
              </w:rPr>
              <w:t>Readout</w:t>
            </w:r>
          </w:p>
        </w:tc>
        <w:tc>
          <w:tcPr>
            <w:tcW w:w="1051" w:type="dxa"/>
            <w:shd w:val="clear" w:color="auto" w:fill="48345F"/>
            <w:tcMar>
              <w:top w:w="75" w:type="dxa"/>
              <w:left w:w="85" w:type="dxa"/>
              <w:bottom w:w="75" w:type="dxa"/>
              <w:right w:w="85" w:type="dxa"/>
            </w:tcMar>
            <w:vAlign w:val="center"/>
          </w:tcPr>
          <w:p w14:paraId="531EBCB0">
            <w:pPr>
              <w:spacing w:before="0" w:after="0" w:line="240" w:lineRule="auto"/>
              <w:jc w:val="center"/>
            </w:pPr>
            <w:r>
              <w:rPr>
                <w:rFonts w:ascii="Times New Roman" w:hAnsi="Times New Roman" w:eastAsia="Times New Roman"/>
                <w:b/>
                <w:i w:val="0"/>
                <w:color w:val="000000"/>
                <w:sz w:val="21"/>
              </w:rPr>
              <w:t>Vessel Dice</w:t>
            </w:r>
          </w:p>
        </w:tc>
        <w:tc>
          <w:tcPr>
            <w:tcW w:w="1051" w:type="dxa"/>
            <w:shd w:val="clear" w:color="auto" w:fill="48345F"/>
            <w:tcMar>
              <w:top w:w="75" w:type="dxa"/>
              <w:left w:w="85" w:type="dxa"/>
              <w:bottom w:w="75" w:type="dxa"/>
              <w:right w:w="85" w:type="dxa"/>
            </w:tcMar>
            <w:vAlign w:val="center"/>
          </w:tcPr>
          <w:p w14:paraId="505AD61E">
            <w:pPr>
              <w:spacing w:before="0" w:after="0" w:line="240" w:lineRule="auto"/>
              <w:jc w:val="center"/>
            </w:pPr>
            <w:r>
              <w:rPr>
                <w:rFonts w:ascii="Times New Roman" w:hAnsi="Times New Roman" w:eastAsia="Times New Roman"/>
                <w:b/>
                <w:i w:val="0"/>
                <w:color w:val="000000"/>
                <w:sz w:val="21"/>
              </w:rPr>
              <w:t>Artery Dice</w:t>
            </w:r>
          </w:p>
        </w:tc>
        <w:tc>
          <w:tcPr>
            <w:tcW w:w="1008" w:type="dxa"/>
            <w:shd w:val="clear" w:color="auto" w:fill="48345F"/>
            <w:tcMar>
              <w:top w:w="75" w:type="dxa"/>
              <w:left w:w="85" w:type="dxa"/>
              <w:bottom w:w="75" w:type="dxa"/>
              <w:right w:w="85" w:type="dxa"/>
            </w:tcMar>
            <w:vAlign w:val="center"/>
          </w:tcPr>
          <w:p w14:paraId="7FD8E1E3">
            <w:pPr>
              <w:spacing w:before="0" w:after="0" w:line="240" w:lineRule="auto"/>
              <w:jc w:val="center"/>
            </w:pPr>
            <w:r>
              <w:rPr>
                <w:rFonts w:ascii="Times New Roman" w:hAnsi="Times New Roman" w:eastAsia="Times New Roman"/>
                <w:b/>
                <w:i w:val="0"/>
                <w:color w:val="000000"/>
                <w:sz w:val="21"/>
              </w:rPr>
              <w:t>Vein Dice</w:t>
            </w:r>
          </w:p>
        </w:tc>
        <w:tc>
          <w:tcPr>
            <w:tcW w:w="1181" w:type="dxa"/>
            <w:shd w:val="clear" w:color="auto" w:fill="48345F"/>
            <w:tcMar>
              <w:top w:w="75" w:type="dxa"/>
              <w:left w:w="85" w:type="dxa"/>
              <w:bottom w:w="75" w:type="dxa"/>
              <w:right w:w="85" w:type="dxa"/>
            </w:tcMar>
            <w:vAlign w:val="center"/>
          </w:tcPr>
          <w:p w14:paraId="58582E2C">
            <w:pPr>
              <w:spacing w:before="0" w:after="0" w:line="240" w:lineRule="auto"/>
              <w:jc w:val="center"/>
            </w:pPr>
            <w:r>
              <w:rPr>
                <w:rFonts w:ascii="Times New Roman" w:hAnsi="Times New Roman" w:eastAsia="Times New Roman"/>
                <w:b/>
                <w:i w:val="0"/>
                <w:color w:val="000000"/>
                <w:sz w:val="21"/>
              </w:rPr>
              <w:t>Mean A/V Dice</w:t>
            </w:r>
          </w:p>
        </w:tc>
        <w:tc>
          <w:tcPr>
            <w:tcW w:w="1123" w:type="dxa"/>
            <w:shd w:val="clear" w:color="auto" w:fill="48345F"/>
            <w:tcMar>
              <w:top w:w="75" w:type="dxa"/>
              <w:left w:w="85" w:type="dxa"/>
              <w:bottom w:w="75" w:type="dxa"/>
              <w:right w:w="85" w:type="dxa"/>
            </w:tcMar>
            <w:vAlign w:val="center"/>
          </w:tcPr>
          <w:p w14:paraId="3488F0C7">
            <w:pPr>
              <w:spacing w:before="0" w:after="0" w:line="240" w:lineRule="auto"/>
              <w:jc w:val="center"/>
            </w:pPr>
            <w:r>
              <w:rPr>
                <w:rFonts w:ascii="Times New Roman" w:hAnsi="Times New Roman" w:eastAsia="Times New Roman"/>
                <w:b/>
                <w:i w:val="0"/>
                <w:color w:val="000000"/>
                <w:sz w:val="21"/>
              </w:rPr>
              <w:t>Type accuracy</w:t>
            </w:r>
          </w:p>
        </w:tc>
        <w:tc>
          <w:tcPr>
            <w:tcW w:w="1224" w:type="dxa"/>
            <w:shd w:val="clear" w:color="auto" w:fill="48345F"/>
            <w:tcMar>
              <w:top w:w="75" w:type="dxa"/>
              <w:left w:w="85" w:type="dxa"/>
              <w:bottom w:w="75" w:type="dxa"/>
              <w:right w:w="85" w:type="dxa"/>
            </w:tcMar>
            <w:vAlign w:val="center"/>
          </w:tcPr>
          <w:p w14:paraId="4C8E7532">
            <w:pPr>
              <w:spacing w:before="0" w:after="0" w:line="240" w:lineRule="auto"/>
              <w:jc w:val="center"/>
            </w:pPr>
            <w:r>
              <w:rPr>
                <w:rFonts w:ascii="Times New Roman" w:hAnsi="Times New Roman" w:eastAsia="Times New Roman"/>
                <w:b/>
                <w:i w:val="0"/>
                <w:color w:val="000000"/>
                <w:sz w:val="21"/>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before="0" w:after="0" w:line="240" w:lineRule="auto"/>
              <w:jc w:val="left"/>
            </w:pPr>
            <w:r>
              <w:rPr>
                <w:rFonts w:ascii="Times New Roman" w:hAnsi="Times New Roman" w:eastAsia="Times New Roman"/>
                <w:b w:val="0"/>
                <w:i w:val="0"/>
                <w:color w:val="000000"/>
                <w:sz w:val="21"/>
              </w:rPr>
              <w:t>RAV</w:t>
            </w:r>
          </w:p>
        </w:tc>
        <w:tc>
          <w:tcPr>
            <w:tcW w:w="1440" w:type="dxa"/>
            <w:shd w:val="clear" w:color="auto" w:fill="F3EDF9"/>
            <w:tcMar>
              <w:top w:w="75" w:type="dxa"/>
              <w:left w:w="85" w:type="dxa"/>
              <w:bottom w:w="75" w:type="dxa"/>
              <w:right w:w="85" w:type="dxa"/>
            </w:tcMar>
            <w:vAlign w:val="center"/>
          </w:tcPr>
          <w:p w14:paraId="0BBAA9AE">
            <w:pPr>
              <w:spacing w:before="0" w:after="0" w:line="240" w:lineRule="auto"/>
              <w:jc w:val="left"/>
            </w:pPr>
            <w:r>
              <w:rPr>
                <w:rFonts w:ascii="Times New Roman" w:hAnsi="Times New Roman" w:eastAsia="Times New Roman"/>
                <w:b w:val="0"/>
                <w:i w:val="0"/>
                <w:color w:val="000000"/>
                <w:sz w:val="21"/>
              </w:rPr>
              <w:t>VascX</w:t>
            </w:r>
          </w:p>
        </w:tc>
        <w:tc>
          <w:tcPr>
            <w:tcW w:w="1051" w:type="dxa"/>
            <w:shd w:val="clear" w:color="auto" w:fill="F3EDF9"/>
            <w:tcMar>
              <w:top w:w="75" w:type="dxa"/>
              <w:left w:w="85" w:type="dxa"/>
              <w:bottom w:w="75" w:type="dxa"/>
              <w:right w:w="85" w:type="dxa"/>
            </w:tcMar>
            <w:vAlign w:val="center"/>
          </w:tcPr>
          <w:p w14:paraId="7EDA0A2B">
            <w:pPr>
              <w:spacing w:before="0" w:after="0" w:line="240" w:lineRule="auto"/>
              <w:jc w:val="left"/>
            </w:pPr>
            <w:r>
              <w:rPr>
                <w:rFonts w:ascii="Times New Roman" w:hAnsi="Times New Roman" w:eastAsia="Times New Roman"/>
                <w:b w:val="0"/>
                <w:i w:val="0"/>
                <w:color w:val="000000"/>
                <w:sz w:val="21"/>
              </w:rPr>
              <w:t>—</w:t>
            </w:r>
          </w:p>
        </w:tc>
        <w:tc>
          <w:tcPr>
            <w:tcW w:w="1051" w:type="dxa"/>
            <w:shd w:val="clear" w:color="auto" w:fill="F3EDF9"/>
            <w:tcMar>
              <w:top w:w="75" w:type="dxa"/>
              <w:left w:w="85" w:type="dxa"/>
              <w:bottom w:w="75" w:type="dxa"/>
              <w:right w:w="85" w:type="dxa"/>
            </w:tcMar>
            <w:vAlign w:val="center"/>
          </w:tcPr>
          <w:p w14:paraId="02DCC868">
            <w:pPr>
              <w:spacing w:before="0" w:after="0" w:line="240" w:lineRule="auto"/>
              <w:jc w:val="left"/>
            </w:pPr>
            <w:r>
              <w:rPr>
                <w:rFonts w:ascii="Times New Roman" w:hAnsi="Times New Roman" w:eastAsia="Times New Roman"/>
                <w:b w:val="0"/>
                <w:i w:val="0"/>
                <w:color w:val="000000"/>
                <w:sz w:val="21"/>
              </w:rPr>
              <w:t>0.8119</w:t>
            </w:r>
          </w:p>
        </w:tc>
        <w:tc>
          <w:tcPr>
            <w:tcW w:w="1008" w:type="dxa"/>
            <w:shd w:val="clear" w:color="auto" w:fill="F3EDF9"/>
            <w:tcMar>
              <w:top w:w="75" w:type="dxa"/>
              <w:left w:w="85" w:type="dxa"/>
              <w:bottom w:w="75" w:type="dxa"/>
              <w:right w:w="85" w:type="dxa"/>
            </w:tcMar>
            <w:vAlign w:val="center"/>
          </w:tcPr>
          <w:p w14:paraId="519AB7E0">
            <w:pPr>
              <w:spacing w:before="0" w:after="0" w:line="240" w:lineRule="auto"/>
              <w:jc w:val="left"/>
            </w:pPr>
            <w:r>
              <w:rPr>
                <w:rFonts w:ascii="Times New Roman" w:hAnsi="Times New Roman" w:eastAsia="Times New Roman"/>
                <w:b w:val="0"/>
                <w:i w:val="0"/>
                <w:color w:val="000000"/>
                <w:sz w:val="21"/>
              </w:rPr>
              <w:t>0.8393</w:t>
            </w:r>
          </w:p>
        </w:tc>
        <w:tc>
          <w:tcPr>
            <w:tcW w:w="1181" w:type="dxa"/>
            <w:shd w:val="clear" w:color="auto" w:fill="F3EDF9"/>
            <w:tcMar>
              <w:top w:w="75" w:type="dxa"/>
              <w:left w:w="85" w:type="dxa"/>
              <w:bottom w:w="75" w:type="dxa"/>
              <w:right w:w="85" w:type="dxa"/>
            </w:tcMar>
            <w:vAlign w:val="center"/>
          </w:tcPr>
          <w:p w14:paraId="6FC64B42">
            <w:pPr>
              <w:spacing w:before="0" w:after="0" w:line="240" w:lineRule="auto"/>
              <w:jc w:val="left"/>
            </w:pPr>
            <w:r>
              <w:rPr>
                <w:rFonts w:ascii="Times New Roman" w:hAnsi="Times New Roman" w:eastAsia="Times New Roman"/>
                <w:b w:val="0"/>
                <w:i w:val="0"/>
                <w:color w:val="000000"/>
                <w:sz w:val="21"/>
              </w:rPr>
              <w:t>0.8256</w:t>
            </w:r>
          </w:p>
        </w:tc>
        <w:tc>
          <w:tcPr>
            <w:tcW w:w="1123" w:type="dxa"/>
            <w:shd w:val="clear" w:color="auto" w:fill="F3EDF9"/>
            <w:tcMar>
              <w:top w:w="75" w:type="dxa"/>
              <w:left w:w="85" w:type="dxa"/>
              <w:bottom w:w="75" w:type="dxa"/>
              <w:right w:w="85" w:type="dxa"/>
            </w:tcMar>
            <w:vAlign w:val="center"/>
          </w:tcPr>
          <w:p w14:paraId="1CB5D073">
            <w:pPr>
              <w:spacing w:before="0" w:after="0" w:line="240" w:lineRule="auto"/>
              <w:jc w:val="left"/>
            </w:pPr>
            <w:r>
              <w:rPr>
                <w:rFonts w:ascii="Times New Roman" w:hAnsi="Times New Roman" w:eastAsia="Times New Roman"/>
                <w:b w:val="0"/>
                <w:i w:val="0"/>
                <w:color w:val="000000"/>
                <w:sz w:val="21"/>
              </w:rPr>
              <w:t>0.8105</w:t>
            </w:r>
          </w:p>
        </w:tc>
        <w:tc>
          <w:tcPr>
            <w:tcW w:w="1224" w:type="dxa"/>
            <w:shd w:val="clear" w:color="auto" w:fill="F3EDF9"/>
            <w:tcMar>
              <w:top w:w="75" w:type="dxa"/>
              <w:left w:w="85" w:type="dxa"/>
              <w:bottom w:w="75" w:type="dxa"/>
              <w:right w:w="85" w:type="dxa"/>
            </w:tcMar>
            <w:vAlign w:val="center"/>
          </w:tcPr>
          <w:p w14:paraId="53440341">
            <w:pPr>
              <w:spacing w:before="0" w:after="0" w:line="240" w:lineRule="auto"/>
              <w:jc w:val="left"/>
            </w:pPr>
            <w:r>
              <w:rPr>
                <w:rFonts w:ascii="Times New Roman" w:hAnsi="Times New Roman" w:eastAsia="Times New Roman"/>
                <w:b w:val="0"/>
                <w:i w:val="0"/>
                <w:color w:val="000000"/>
                <w:sz w:val="21"/>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before="0" w:after="0" w:line="240" w:lineRule="auto"/>
              <w:jc w:val="left"/>
            </w:pPr>
            <w:r>
              <w:rPr>
                <w:rFonts w:ascii="Times New Roman" w:hAnsi="Times New Roman" w:eastAsia="Times New Roman"/>
                <w:b w:val="0"/>
                <w:i w:val="0"/>
                <w:color w:val="000000"/>
                <w:sz w:val="21"/>
              </w:rPr>
              <w:t>Fundus-AVSeg</w:t>
            </w:r>
          </w:p>
        </w:tc>
        <w:tc>
          <w:tcPr>
            <w:tcW w:w="1440" w:type="dxa"/>
            <w:shd w:val="clear" w:color="auto" w:fill="FFFFFF"/>
            <w:tcMar>
              <w:top w:w="75" w:type="dxa"/>
              <w:left w:w="85" w:type="dxa"/>
              <w:bottom w:w="75" w:type="dxa"/>
              <w:right w:w="85" w:type="dxa"/>
            </w:tcMar>
            <w:vAlign w:val="center"/>
          </w:tcPr>
          <w:p w14:paraId="1655CC1C">
            <w:pPr>
              <w:spacing w:before="0" w:after="0" w:line="240" w:lineRule="auto"/>
              <w:jc w:val="left"/>
            </w:pPr>
            <w:r>
              <w:rPr>
                <w:rFonts w:ascii="Times New Roman" w:hAnsi="Times New Roman" w:eastAsia="Times New Roman"/>
                <w:b w:val="0"/>
                <w:i w:val="0"/>
                <w:color w:val="000000"/>
                <w:sz w:val="21"/>
              </w:rPr>
              <w:t>VascX</w:t>
            </w:r>
          </w:p>
        </w:tc>
        <w:tc>
          <w:tcPr>
            <w:tcW w:w="1051" w:type="dxa"/>
            <w:shd w:val="clear" w:color="auto" w:fill="FFFFFF"/>
            <w:tcMar>
              <w:top w:w="75" w:type="dxa"/>
              <w:left w:w="85" w:type="dxa"/>
              <w:bottom w:w="75" w:type="dxa"/>
              <w:right w:w="85" w:type="dxa"/>
            </w:tcMar>
            <w:vAlign w:val="center"/>
          </w:tcPr>
          <w:p w14:paraId="43D525F5">
            <w:pPr>
              <w:spacing w:before="0" w:after="0" w:line="240" w:lineRule="auto"/>
              <w:jc w:val="left"/>
            </w:pPr>
            <w:r>
              <w:rPr>
                <w:rFonts w:ascii="Times New Roman" w:hAnsi="Times New Roman" w:eastAsia="Times New Roman"/>
                <w:b w:val="0"/>
                <w:i w:val="0"/>
                <w:color w:val="000000"/>
                <w:sz w:val="21"/>
              </w:rPr>
              <w:t>0.5898</w:t>
            </w:r>
          </w:p>
        </w:tc>
        <w:tc>
          <w:tcPr>
            <w:tcW w:w="1051" w:type="dxa"/>
            <w:shd w:val="clear" w:color="auto" w:fill="FFFFFF"/>
            <w:tcMar>
              <w:top w:w="75" w:type="dxa"/>
              <w:left w:w="85" w:type="dxa"/>
              <w:bottom w:w="75" w:type="dxa"/>
              <w:right w:w="85" w:type="dxa"/>
            </w:tcMar>
            <w:vAlign w:val="center"/>
          </w:tcPr>
          <w:p w14:paraId="43A614C4">
            <w:pPr>
              <w:spacing w:before="0" w:after="0" w:line="240" w:lineRule="auto"/>
              <w:jc w:val="left"/>
            </w:pPr>
            <w:r>
              <w:rPr>
                <w:rFonts w:ascii="Times New Roman" w:hAnsi="Times New Roman" w:eastAsia="Times New Roman"/>
                <w:b w:val="0"/>
                <w:i w:val="0"/>
                <w:color w:val="000000"/>
                <w:sz w:val="21"/>
              </w:rPr>
              <w:t>0.5461</w:t>
            </w:r>
          </w:p>
        </w:tc>
        <w:tc>
          <w:tcPr>
            <w:tcW w:w="1008" w:type="dxa"/>
            <w:shd w:val="clear" w:color="auto" w:fill="FFFFFF"/>
            <w:tcMar>
              <w:top w:w="75" w:type="dxa"/>
              <w:left w:w="85" w:type="dxa"/>
              <w:bottom w:w="75" w:type="dxa"/>
              <w:right w:w="85" w:type="dxa"/>
            </w:tcMar>
            <w:vAlign w:val="center"/>
          </w:tcPr>
          <w:p w14:paraId="508EA6DC">
            <w:pPr>
              <w:spacing w:before="0" w:after="0" w:line="240" w:lineRule="auto"/>
              <w:jc w:val="left"/>
            </w:pPr>
            <w:r>
              <w:rPr>
                <w:rFonts w:ascii="Times New Roman" w:hAnsi="Times New Roman" w:eastAsia="Times New Roman"/>
                <w:b w:val="0"/>
                <w:i w:val="0"/>
                <w:color w:val="000000"/>
                <w:sz w:val="21"/>
              </w:rPr>
              <w:t>0.5629</w:t>
            </w:r>
          </w:p>
        </w:tc>
        <w:tc>
          <w:tcPr>
            <w:tcW w:w="1181" w:type="dxa"/>
            <w:shd w:val="clear" w:color="auto" w:fill="FFFFFF"/>
            <w:tcMar>
              <w:top w:w="75" w:type="dxa"/>
              <w:left w:w="85" w:type="dxa"/>
              <w:bottom w:w="75" w:type="dxa"/>
              <w:right w:w="85" w:type="dxa"/>
            </w:tcMar>
            <w:vAlign w:val="center"/>
          </w:tcPr>
          <w:p w14:paraId="77D51564">
            <w:pPr>
              <w:spacing w:before="0" w:after="0" w:line="240" w:lineRule="auto"/>
              <w:jc w:val="left"/>
            </w:pPr>
            <w:r>
              <w:rPr>
                <w:rFonts w:ascii="Times New Roman" w:hAnsi="Times New Roman" w:eastAsia="Times New Roman"/>
                <w:b w:val="0"/>
                <w:i w:val="0"/>
                <w:color w:val="000000"/>
                <w:sz w:val="21"/>
              </w:rPr>
              <w:t>0.5545</w:t>
            </w:r>
          </w:p>
        </w:tc>
        <w:tc>
          <w:tcPr>
            <w:tcW w:w="1123" w:type="dxa"/>
            <w:shd w:val="clear" w:color="auto" w:fill="FFFFFF"/>
            <w:tcMar>
              <w:top w:w="75" w:type="dxa"/>
              <w:left w:w="85" w:type="dxa"/>
              <w:bottom w:w="75" w:type="dxa"/>
              <w:right w:w="85" w:type="dxa"/>
            </w:tcMar>
            <w:vAlign w:val="center"/>
          </w:tcPr>
          <w:p w14:paraId="7C6B54AF">
            <w:pPr>
              <w:spacing w:before="0" w:after="0" w:line="240" w:lineRule="auto"/>
              <w:jc w:val="left"/>
            </w:pPr>
            <w:r>
              <w:rPr>
                <w:rFonts w:ascii="Times New Roman" w:hAnsi="Times New Roman" w:eastAsia="Times New Roman"/>
                <w:b w:val="0"/>
                <w:i w:val="0"/>
                <w:color w:val="000000"/>
                <w:sz w:val="21"/>
              </w:rPr>
              <w:t>0.5057</w:t>
            </w:r>
          </w:p>
        </w:tc>
        <w:tc>
          <w:tcPr>
            <w:tcW w:w="1224" w:type="dxa"/>
            <w:shd w:val="clear" w:color="auto" w:fill="FFFFFF"/>
            <w:tcMar>
              <w:top w:w="75" w:type="dxa"/>
              <w:left w:w="85" w:type="dxa"/>
              <w:bottom w:w="75" w:type="dxa"/>
              <w:right w:w="85" w:type="dxa"/>
            </w:tcMar>
            <w:vAlign w:val="center"/>
          </w:tcPr>
          <w:p w14:paraId="5CACFC47">
            <w:pPr>
              <w:spacing w:before="0" w:after="0" w:line="240" w:lineRule="auto"/>
              <w:jc w:val="left"/>
            </w:pPr>
            <w:r>
              <w:rPr>
                <w:rFonts w:ascii="Times New Roman" w:hAnsi="Times New Roman" w:eastAsia="Times New Roman"/>
                <w:b w:val="0"/>
                <w:i w:val="0"/>
                <w:color w:val="000000"/>
                <w:sz w:val="21"/>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before="0" w:after="0" w:line="240" w:lineRule="auto"/>
              <w:jc w:val="left"/>
            </w:pPr>
            <w:r>
              <w:rPr>
                <w:rFonts w:ascii="Times New Roman" w:hAnsi="Times New Roman" w:eastAsia="Times New Roman"/>
                <w:b w:val="0"/>
                <w:i w:val="0"/>
                <w:color w:val="000000"/>
                <w:sz w:val="21"/>
              </w:rPr>
              <w:t>Fundus-AVSeg</w:t>
            </w:r>
          </w:p>
        </w:tc>
        <w:tc>
          <w:tcPr>
            <w:tcW w:w="1440" w:type="dxa"/>
            <w:shd w:val="clear" w:color="auto" w:fill="F3EDF9"/>
            <w:tcMar>
              <w:top w:w="75" w:type="dxa"/>
              <w:left w:w="85" w:type="dxa"/>
              <w:bottom w:w="75" w:type="dxa"/>
              <w:right w:w="85" w:type="dxa"/>
            </w:tcMar>
            <w:vAlign w:val="center"/>
          </w:tcPr>
          <w:p w14:paraId="613A3ECC">
            <w:pPr>
              <w:spacing w:before="0" w:after="0" w:line="240" w:lineRule="auto"/>
              <w:jc w:val="left"/>
            </w:pPr>
            <w:r>
              <w:rPr>
                <w:rFonts w:ascii="Times New Roman" w:hAnsi="Times New Roman" w:eastAsia="Times New Roman"/>
                <w:b w:val="0"/>
                <w:i w:val="0"/>
                <w:color w:val="000000"/>
                <w:sz w:val="21"/>
              </w:rPr>
              <w:t>Mass-UDCT</w:t>
            </w:r>
          </w:p>
        </w:tc>
        <w:tc>
          <w:tcPr>
            <w:tcW w:w="1051" w:type="dxa"/>
            <w:shd w:val="clear" w:color="auto" w:fill="F3EDF9"/>
            <w:tcMar>
              <w:top w:w="75" w:type="dxa"/>
              <w:left w:w="85" w:type="dxa"/>
              <w:bottom w:w="75" w:type="dxa"/>
              <w:right w:w="85" w:type="dxa"/>
            </w:tcMar>
            <w:vAlign w:val="center"/>
          </w:tcPr>
          <w:p w14:paraId="756ACF2D">
            <w:pPr>
              <w:spacing w:before="0" w:after="0" w:line="240" w:lineRule="auto"/>
              <w:jc w:val="left"/>
            </w:pPr>
            <w:r>
              <w:rPr>
                <w:rFonts w:ascii="Times New Roman" w:hAnsi="Times New Roman" w:eastAsia="Times New Roman"/>
                <w:b w:val="0"/>
                <w:i w:val="0"/>
                <w:color w:val="000000"/>
                <w:sz w:val="21"/>
              </w:rPr>
              <w:t>0.6019</w:t>
            </w:r>
          </w:p>
        </w:tc>
        <w:tc>
          <w:tcPr>
            <w:tcW w:w="1051" w:type="dxa"/>
            <w:shd w:val="clear" w:color="auto" w:fill="F3EDF9"/>
            <w:tcMar>
              <w:top w:w="75" w:type="dxa"/>
              <w:left w:w="85" w:type="dxa"/>
              <w:bottom w:w="75" w:type="dxa"/>
              <w:right w:w="85" w:type="dxa"/>
            </w:tcMar>
            <w:vAlign w:val="center"/>
          </w:tcPr>
          <w:p w14:paraId="604AE8F4">
            <w:pPr>
              <w:spacing w:before="0" w:after="0" w:line="240" w:lineRule="auto"/>
              <w:jc w:val="left"/>
            </w:pPr>
            <w:r>
              <w:rPr>
                <w:rFonts w:ascii="Times New Roman" w:hAnsi="Times New Roman" w:eastAsia="Times New Roman"/>
                <w:b w:val="0"/>
                <w:i w:val="0"/>
                <w:color w:val="000000"/>
                <w:sz w:val="21"/>
              </w:rPr>
              <w:t>0.5553</w:t>
            </w:r>
          </w:p>
        </w:tc>
        <w:tc>
          <w:tcPr>
            <w:tcW w:w="1008" w:type="dxa"/>
            <w:shd w:val="clear" w:color="auto" w:fill="F3EDF9"/>
            <w:tcMar>
              <w:top w:w="75" w:type="dxa"/>
              <w:left w:w="85" w:type="dxa"/>
              <w:bottom w:w="75" w:type="dxa"/>
              <w:right w:w="85" w:type="dxa"/>
            </w:tcMar>
            <w:vAlign w:val="center"/>
          </w:tcPr>
          <w:p w14:paraId="50F24DFE">
            <w:pPr>
              <w:spacing w:before="0" w:after="0" w:line="240" w:lineRule="auto"/>
              <w:jc w:val="left"/>
            </w:pPr>
            <w:r>
              <w:rPr>
                <w:rFonts w:ascii="Times New Roman" w:hAnsi="Times New Roman" w:eastAsia="Times New Roman"/>
                <w:b w:val="0"/>
                <w:i w:val="0"/>
                <w:color w:val="000000"/>
                <w:sz w:val="21"/>
              </w:rPr>
              <w:t>0.5716</w:t>
            </w:r>
          </w:p>
        </w:tc>
        <w:tc>
          <w:tcPr>
            <w:tcW w:w="1181" w:type="dxa"/>
            <w:shd w:val="clear" w:color="auto" w:fill="F3EDF9"/>
            <w:tcMar>
              <w:top w:w="75" w:type="dxa"/>
              <w:left w:w="85" w:type="dxa"/>
              <w:bottom w:w="75" w:type="dxa"/>
              <w:right w:w="85" w:type="dxa"/>
            </w:tcMar>
            <w:vAlign w:val="center"/>
          </w:tcPr>
          <w:p w14:paraId="02C02CBB">
            <w:pPr>
              <w:spacing w:before="0" w:after="0" w:line="240" w:lineRule="auto"/>
              <w:jc w:val="left"/>
            </w:pPr>
            <w:r>
              <w:rPr>
                <w:rFonts w:ascii="Times New Roman" w:hAnsi="Times New Roman" w:eastAsia="Times New Roman"/>
                <w:b w:val="0"/>
                <w:i w:val="0"/>
                <w:color w:val="000000"/>
                <w:sz w:val="21"/>
              </w:rPr>
              <w:t>0.5635</w:t>
            </w:r>
          </w:p>
        </w:tc>
        <w:tc>
          <w:tcPr>
            <w:tcW w:w="1123" w:type="dxa"/>
            <w:shd w:val="clear" w:color="auto" w:fill="F3EDF9"/>
            <w:tcMar>
              <w:top w:w="75" w:type="dxa"/>
              <w:left w:w="85" w:type="dxa"/>
              <w:bottom w:w="75" w:type="dxa"/>
              <w:right w:w="85" w:type="dxa"/>
            </w:tcMar>
            <w:vAlign w:val="center"/>
          </w:tcPr>
          <w:p w14:paraId="39CC694F">
            <w:pPr>
              <w:spacing w:before="0" w:after="0" w:line="240" w:lineRule="auto"/>
              <w:jc w:val="left"/>
            </w:pPr>
            <w:r>
              <w:rPr>
                <w:rFonts w:ascii="Times New Roman" w:hAnsi="Times New Roman" w:eastAsia="Times New Roman"/>
                <w:b w:val="0"/>
                <w:i w:val="0"/>
                <w:color w:val="000000"/>
                <w:sz w:val="21"/>
              </w:rPr>
              <w:t>0.5328</w:t>
            </w:r>
          </w:p>
        </w:tc>
        <w:tc>
          <w:tcPr>
            <w:tcW w:w="1224" w:type="dxa"/>
            <w:shd w:val="clear" w:color="auto" w:fill="F3EDF9"/>
            <w:tcMar>
              <w:top w:w="75" w:type="dxa"/>
              <w:left w:w="85" w:type="dxa"/>
              <w:bottom w:w="75" w:type="dxa"/>
              <w:right w:w="85" w:type="dxa"/>
            </w:tcMar>
            <w:vAlign w:val="center"/>
          </w:tcPr>
          <w:p w14:paraId="604FFA58">
            <w:pPr>
              <w:spacing w:before="0" w:after="0" w:line="240" w:lineRule="auto"/>
              <w:jc w:val="left"/>
            </w:pPr>
            <w:r>
              <w:rPr>
                <w:rFonts w:ascii="Times New Roman" w:hAnsi="Times New Roman" w:eastAsia="Times New Roman"/>
                <w:b w:val="0"/>
                <w:i w:val="0"/>
                <w:color w:val="000000"/>
                <w:sz w:val="21"/>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before="0" w:after="0" w:line="240" w:lineRule="auto"/>
              <w:jc w:val="left"/>
            </w:pPr>
            <w:r>
              <w:rPr>
                <w:rFonts w:ascii="Times New Roman" w:hAnsi="Times New Roman" w:eastAsia="Times New Roman"/>
                <w:b w:val="0"/>
                <w:i w:val="0"/>
                <w:color w:val="000000"/>
                <w:sz w:val="21"/>
              </w:rPr>
              <w:t>Fundus-AVSeg</w:t>
            </w:r>
          </w:p>
        </w:tc>
        <w:tc>
          <w:tcPr>
            <w:tcW w:w="1440" w:type="dxa"/>
            <w:shd w:val="clear" w:color="auto" w:fill="FFFFFF"/>
            <w:tcMar>
              <w:top w:w="75" w:type="dxa"/>
              <w:left w:w="85" w:type="dxa"/>
              <w:bottom w:w="75" w:type="dxa"/>
              <w:right w:w="85" w:type="dxa"/>
            </w:tcMar>
            <w:vAlign w:val="center"/>
          </w:tcPr>
          <w:p w14:paraId="33048597">
            <w:pPr>
              <w:spacing w:before="0" w:after="0" w:line="240" w:lineRule="auto"/>
              <w:jc w:val="left"/>
            </w:pPr>
            <w:r>
              <w:rPr>
                <w:rFonts w:ascii="Times New Roman" w:hAnsi="Times New Roman" w:eastAsia="Times New Roman"/>
                <w:b w:val="0"/>
                <w:i w:val="0"/>
                <w:color w:val="000000"/>
                <w:sz w:val="21"/>
              </w:rPr>
              <w:t>Factorized-UDCT</w:t>
            </w:r>
          </w:p>
        </w:tc>
        <w:tc>
          <w:tcPr>
            <w:tcW w:w="1051" w:type="dxa"/>
            <w:shd w:val="clear" w:color="auto" w:fill="FFFFFF"/>
            <w:tcMar>
              <w:top w:w="75" w:type="dxa"/>
              <w:left w:w="85" w:type="dxa"/>
              <w:bottom w:w="75" w:type="dxa"/>
              <w:right w:w="85" w:type="dxa"/>
            </w:tcMar>
            <w:vAlign w:val="center"/>
          </w:tcPr>
          <w:p w14:paraId="43FC03F7">
            <w:pPr>
              <w:spacing w:before="0" w:after="0" w:line="240" w:lineRule="auto"/>
              <w:jc w:val="left"/>
            </w:pPr>
            <w:r>
              <w:rPr>
                <w:rFonts w:ascii="Times New Roman" w:hAnsi="Times New Roman" w:eastAsia="Times New Roman"/>
                <w:b w:val="0"/>
                <w:i w:val="0"/>
                <w:color w:val="000000"/>
                <w:sz w:val="21"/>
              </w:rPr>
              <w:t>0.5929</w:t>
            </w:r>
          </w:p>
        </w:tc>
        <w:tc>
          <w:tcPr>
            <w:tcW w:w="1051" w:type="dxa"/>
            <w:shd w:val="clear" w:color="auto" w:fill="FFFFFF"/>
            <w:tcMar>
              <w:top w:w="75" w:type="dxa"/>
              <w:left w:w="85" w:type="dxa"/>
              <w:bottom w:w="75" w:type="dxa"/>
              <w:right w:w="85" w:type="dxa"/>
            </w:tcMar>
            <w:vAlign w:val="center"/>
          </w:tcPr>
          <w:p w14:paraId="6CCA18CD">
            <w:pPr>
              <w:spacing w:before="0" w:after="0" w:line="240" w:lineRule="auto"/>
              <w:jc w:val="left"/>
            </w:pPr>
            <w:r>
              <w:rPr>
                <w:rFonts w:ascii="Times New Roman" w:hAnsi="Times New Roman" w:eastAsia="Times New Roman"/>
                <w:b w:val="0"/>
                <w:i w:val="0"/>
                <w:color w:val="000000"/>
                <w:sz w:val="21"/>
              </w:rPr>
              <w:t>0.5479</w:t>
            </w:r>
          </w:p>
        </w:tc>
        <w:tc>
          <w:tcPr>
            <w:tcW w:w="1008" w:type="dxa"/>
            <w:shd w:val="clear" w:color="auto" w:fill="FFFFFF"/>
            <w:tcMar>
              <w:top w:w="75" w:type="dxa"/>
              <w:left w:w="85" w:type="dxa"/>
              <w:bottom w:w="75" w:type="dxa"/>
              <w:right w:w="85" w:type="dxa"/>
            </w:tcMar>
            <w:vAlign w:val="center"/>
          </w:tcPr>
          <w:p w14:paraId="654563CE">
            <w:pPr>
              <w:spacing w:before="0" w:after="0" w:line="240" w:lineRule="auto"/>
              <w:jc w:val="left"/>
            </w:pPr>
            <w:r>
              <w:rPr>
                <w:rFonts w:ascii="Times New Roman" w:hAnsi="Times New Roman" w:eastAsia="Times New Roman"/>
                <w:b w:val="0"/>
                <w:i w:val="0"/>
                <w:color w:val="000000"/>
                <w:sz w:val="21"/>
              </w:rPr>
              <w:t>0.5640</w:t>
            </w:r>
          </w:p>
        </w:tc>
        <w:tc>
          <w:tcPr>
            <w:tcW w:w="1181" w:type="dxa"/>
            <w:shd w:val="clear" w:color="auto" w:fill="FFFFFF"/>
            <w:tcMar>
              <w:top w:w="75" w:type="dxa"/>
              <w:left w:w="85" w:type="dxa"/>
              <w:bottom w:w="75" w:type="dxa"/>
              <w:right w:w="85" w:type="dxa"/>
            </w:tcMar>
            <w:vAlign w:val="center"/>
          </w:tcPr>
          <w:p w14:paraId="7567E9C4">
            <w:pPr>
              <w:spacing w:before="0" w:after="0" w:line="240" w:lineRule="auto"/>
              <w:jc w:val="left"/>
            </w:pPr>
            <w:r>
              <w:rPr>
                <w:rFonts w:ascii="Times New Roman" w:hAnsi="Times New Roman" w:eastAsia="Times New Roman"/>
                <w:b w:val="0"/>
                <w:i w:val="0"/>
                <w:color w:val="000000"/>
                <w:sz w:val="21"/>
              </w:rPr>
              <w:t>0.5560</w:t>
            </w:r>
          </w:p>
        </w:tc>
        <w:tc>
          <w:tcPr>
            <w:tcW w:w="1123" w:type="dxa"/>
            <w:shd w:val="clear" w:color="auto" w:fill="FFFFFF"/>
            <w:tcMar>
              <w:top w:w="75" w:type="dxa"/>
              <w:left w:w="85" w:type="dxa"/>
              <w:bottom w:w="75" w:type="dxa"/>
              <w:right w:w="85" w:type="dxa"/>
            </w:tcMar>
            <w:vAlign w:val="center"/>
          </w:tcPr>
          <w:p w14:paraId="01C101B9">
            <w:pPr>
              <w:spacing w:before="0" w:after="0" w:line="240" w:lineRule="auto"/>
              <w:jc w:val="left"/>
            </w:pPr>
            <w:r>
              <w:rPr>
                <w:rFonts w:ascii="Times New Roman" w:hAnsi="Times New Roman" w:eastAsia="Times New Roman"/>
                <w:b w:val="0"/>
                <w:i w:val="0"/>
                <w:color w:val="000000"/>
                <w:sz w:val="21"/>
              </w:rPr>
              <w:t>0.5059</w:t>
            </w:r>
          </w:p>
        </w:tc>
        <w:tc>
          <w:tcPr>
            <w:tcW w:w="1224" w:type="dxa"/>
            <w:shd w:val="clear" w:color="auto" w:fill="FFFFFF"/>
            <w:tcMar>
              <w:top w:w="75" w:type="dxa"/>
              <w:left w:w="85" w:type="dxa"/>
              <w:bottom w:w="75" w:type="dxa"/>
              <w:right w:w="85" w:type="dxa"/>
            </w:tcMar>
            <w:vAlign w:val="center"/>
          </w:tcPr>
          <w:p w14:paraId="5190DAE6">
            <w:pPr>
              <w:spacing w:before="0" w:after="0" w:line="240" w:lineRule="auto"/>
              <w:jc w:val="left"/>
            </w:pPr>
            <w:r>
              <w:rPr>
                <w:rFonts w:ascii="Times New Roman" w:hAnsi="Times New Roman" w:eastAsia="Times New Roman"/>
                <w:b w:val="0"/>
                <w:i w:val="0"/>
                <w:color w:val="000000"/>
                <w:sz w:val="21"/>
              </w:rPr>
              <w:t>0.0689</w:t>
            </w:r>
          </w:p>
        </w:tc>
      </w:tr>
    </w:tbl>
    <w:p w14:paraId="36A0F564">
      <w:pPr>
        <w:spacing w:before="0" w:after="0"/>
        <w:jc w:val="center"/>
      </w:pPr>
    </w:p>
    <w:p w14:paraId="5FEBE969">
      <w:pPr>
        <w:pStyle w:val="4"/>
        <w:keepNext/>
        <w:spacing w:before="200" w:after="120" w:line="240" w:lineRule="auto"/>
        <w:jc w:val="left"/>
      </w:pPr>
      <w:r>
        <w:rPr>
          <w:rFonts w:ascii="Times New Roman" w:hAnsi="Times New Roman" w:eastAsia="Times New Roman"/>
          <w:b/>
          <w:i w:val="0"/>
          <w:color w:val="000000"/>
          <w:sz w:val="24"/>
        </w:rPr>
        <w:t>3.2 Outcome-blind repeatability selected four phenotypes</w:t>
      </w:r>
    </w:p>
    <w:p w14:paraId="032EF8F5">
      <w:pPr>
        <w:pStyle w:val="18"/>
        <w:keepNext w:val="0"/>
        <w:spacing w:before="0" w:after="100" w:line="276" w:lineRule="auto"/>
        <w:ind w:firstLine="360"/>
        <w:jc w:val="both"/>
      </w:pPr>
      <w:r>
        <w:rPr>
          <w:rFonts w:ascii="Times New Roman" w:hAnsi="Times New Roman" w:eastAsia="Times New Roman"/>
          <w:b w:val="0"/>
          <w:i w:val="0"/>
          <w:color w:val="000000"/>
          <w:sz w:val="24"/>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pStyle w:val="18"/>
        <w:keepNext w:val="0"/>
        <w:spacing w:before="0" w:after="100" w:line="276" w:lineRule="auto"/>
        <w:ind w:firstLine="360"/>
        <w:jc w:val="both"/>
      </w:pPr>
      <w:r>
        <w:rPr>
          <w:rFonts w:ascii="Times New Roman" w:hAnsi="Times New Roman" w:eastAsia="Times New Roman"/>
          <w:b w:val="0"/>
          <w:i w:val="0"/>
          <w:color w:val="000000"/>
          <w:sz w:val="24"/>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Next/>
        <w:keepLines/>
        <w:spacing w:before="40" w:after="120" w:line="240" w:lineRule="auto"/>
        <w:jc w:val="both"/>
      </w:pPr>
      <w:r>
        <w:rPr>
          <w:rFonts w:ascii="Times New Roman" w:hAnsi="Times New Roman" w:eastAsia="Times New Roman"/>
          <w:b/>
          <w:i/>
          <w:color w:val="000000"/>
          <w:sz w:val="24"/>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40" w:after="120" w:line="240" w:lineRule="auto"/>
        <w:jc w:val="both"/>
      </w:pPr>
      <w:r>
        <w:rPr>
          <w:rFonts w:ascii="Times New Roman" w:hAnsi="Times New Roman" w:eastAsia="Times New Roman"/>
          <w:b/>
          <w:i/>
          <w:color w:val="000000"/>
          <w:sz w:val="24"/>
        </w:rPr>
        <w:t>Table 3. Label-blind repeated-view reliability and phenotype retention.</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before="0" w:after="0" w:line="240" w:lineRule="auto"/>
              <w:jc w:val="center"/>
            </w:pPr>
            <w:r>
              <w:rPr>
                <w:rFonts w:ascii="Times New Roman" w:hAnsi="Times New Roman" w:eastAsia="Times New Roman"/>
                <w:b/>
                <w:i w:val="0"/>
                <w:color w:val="000000"/>
                <w:sz w:val="21"/>
              </w:rPr>
              <w:t>Phenotype</w:t>
            </w:r>
          </w:p>
        </w:tc>
        <w:tc>
          <w:tcPr>
            <w:tcW w:w="2664" w:type="dxa"/>
            <w:shd w:val="clear" w:color="auto" w:fill="48345F"/>
            <w:tcMar>
              <w:top w:w="75" w:type="dxa"/>
              <w:left w:w="85" w:type="dxa"/>
              <w:bottom w:w="75" w:type="dxa"/>
              <w:right w:w="85" w:type="dxa"/>
            </w:tcMar>
            <w:vAlign w:val="center"/>
          </w:tcPr>
          <w:p w14:paraId="324C7677">
            <w:pPr>
              <w:spacing w:before="0" w:after="0" w:line="240" w:lineRule="auto"/>
              <w:jc w:val="center"/>
            </w:pPr>
            <w:r>
              <w:rPr>
                <w:rFonts w:ascii="Times New Roman" w:hAnsi="Times New Roman" w:eastAsia="Times New Roman"/>
                <w:b/>
                <w:i w:val="0"/>
                <w:color w:val="000000"/>
                <w:sz w:val="21"/>
              </w:rPr>
              <w:t>Measurement interpretation</w:t>
            </w:r>
          </w:p>
        </w:tc>
        <w:tc>
          <w:tcPr>
            <w:tcW w:w="1037" w:type="dxa"/>
            <w:shd w:val="clear" w:color="auto" w:fill="48345F"/>
            <w:tcMar>
              <w:top w:w="75" w:type="dxa"/>
              <w:left w:w="85" w:type="dxa"/>
              <w:bottom w:w="75" w:type="dxa"/>
              <w:right w:w="85" w:type="dxa"/>
            </w:tcMar>
            <w:vAlign w:val="center"/>
          </w:tcPr>
          <w:p w14:paraId="4D8588CB">
            <w:pPr>
              <w:spacing w:before="0" w:after="0" w:line="240" w:lineRule="auto"/>
              <w:jc w:val="center"/>
            </w:pPr>
            <w:r>
              <w:rPr>
                <w:rFonts w:ascii="Times New Roman" w:hAnsi="Times New Roman" w:eastAsia="Times New Roman"/>
                <w:b/>
                <w:i w:val="0"/>
                <w:color w:val="000000"/>
                <w:sz w:val="21"/>
              </w:rPr>
              <w:t>ICC(1,1)</w:t>
            </w:r>
          </w:p>
        </w:tc>
        <w:tc>
          <w:tcPr>
            <w:tcW w:w="1325" w:type="dxa"/>
            <w:shd w:val="clear" w:color="auto" w:fill="48345F"/>
            <w:tcMar>
              <w:top w:w="75" w:type="dxa"/>
              <w:left w:w="85" w:type="dxa"/>
              <w:bottom w:w="75" w:type="dxa"/>
              <w:right w:w="85" w:type="dxa"/>
            </w:tcMar>
            <w:vAlign w:val="center"/>
          </w:tcPr>
          <w:p w14:paraId="42C43757">
            <w:pPr>
              <w:spacing w:before="0" w:after="0" w:line="240" w:lineRule="auto"/>
              <w:jc w:val="center"/>
            </w:pPr>
            <w:r>
              <w:rPr>
                <w:rFonts w:ascii="Times New Roman" w:hAnsi="Times New Roman" w:eastAsia="Times New Roman"/>
                <w:b/>
                <w:i w:val="0"/>
                <w:color w:val="000000"/>
                <w:sz w:val="21"/>
              </w:rPr>
              <w:t>95% CI</w:t>
            </w:r>
          </w:p>
        </w:tc>
        <w:tc>
          <w:tcPr>
            <w:tcW w:w="1037" w:type="dxa"/>
            <w:shd w:val="clear" w:color="auto" w:fill="48345F"/>
            <w:tcMar>
              <w:top w:w="75" w:type="dxa"/>
              <w:left w:w="85" w:type="dxa"/>
              <w:bottom w:w="75" w:type="dxa"/>
              <w:right w:w="85" w:type="dxa"/>
            </w:tcMar>
            <w:vAlign w:val="center"/>
          </w:tcPr>
          <w:p w14:paraId="64137757">
            <w:pPr>
              <w:spacing w:before="0" w:after="0" w:line="240" w:lineRule="auto"/>
              <w:jc w:val="center"/>
            </w:pPr>
            <w:r>
              <w:rPr>
                <w:rFonts w:ascii="Times New Roman" w:hAnsi="Times New Roman" w:eastAsia="Times New Roman"/>
                <w:b/>
                <w:i w:val="0"/>
                <w:color w:val="000000"/>
                <w:sz w:val="21"/>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before="0" w:after="0" w:line="240" w:lineRule="auto"/>
              <w:jc w:val="left"/>
            </w:pPr>
            <w:r>
              <w:rPr>
                <w:rFonts w:ascii="Times New Roman" w:hAnsi="Times New Roman" w:eastAsia="Times New Roman"/>
                <w:b w:val="0"/>
                <w:i w:val="0"/>
                <w:color w:val="000000"/>
                <w:sz w:val="21"/>
              </w:rPr>
              <w:t>Occupancy disagreement</w:t>
            </w:r>
          </w:p>
        </w:tc>
        <w:tc>
          <w:tcPr>
            <w:tcW w:w="2664" w:type="dxa"/>
            <w:shd w:val="clear" w:color="auto" w:fill="F3EDF9"/>
            <w:tcMar>
              <w:top w:w="75" w:type="dxa"/>
              <w:left w:w="85" w:type="dxa"/>
              <w:bottom w:w="75" w:type="dxa"/>
              <w:right w:w="85" w:type="dxa"/>
            </w:tcMar>
            <w:vAlign w:val="center"/>
          </w:tcPr>
          <w:p w14:paraId="3D051726">
            <w:pPr>
              <w:spacing w:before="0" w:after="0" w:line="240" w:lineRule="auto"/>
              <w:jc w:val="left"/>
            </w:pPr>
            <w:r>
              <w:rPr>
                <w:rFonts w:ascii="Times New Roman" w:hAnsi="Times New Roman" w:eastAsia="Times New Roman"/>
                <w:b w:val="0"/>
                <w:i w:val="0"/>
                <w:color w:val="000000"/>
                <w:sz w:val="21"/>
              </w:rPr>
              <w:t>Existence-readout mismatch</w:t>
            </w:r>
          </w:p>
        </w:tc>
        <w:tc>
          <w:tcPr>
            <w:tcW w:w="1037" w:type="dxa"/>
            <w:shd w:val="clear" w:color="auto" w:fill="F3EDF9"/>
            <w:tcMar>
              <w:top w:w="75" w:type="dxa"/>
              <w:left w:w="85" w:type="dxa"/>
              <w:bottom w:w="75" w:type="dxa"/>
              <w:right w:w="85" w:type="dxa"/>
            </w:tcMar>
            <w:vAlign w:val="center"/>
          </w:tcPr>
          <w:p w14:paraId="4E6D656B">
            <w:pPr>
              <w:spacing w:before="0" w:after="0" w:line="240" w:lineRule="auto"/>
              <w:jc w:val="left"/>
            </w:pPr>
            <w:r>
              <w:rPr>
                <w:rFonts w:ascii="Times New Roman" w:hAnsi="Times New Roman" w:eastAsia="Times New Roman"/>
                <w:b w:val="0"/>
                <w:i w:val="0"/>
                <w:color w:val="000000"/>
                <w:sz w:val="21"/>
              </w:rPr>
              <w:t>0.811</w:t>
            </w:r>
          </w:p>
        </w:tc>
        <w:tc>
          <w:tcPr>
            <w:tcW w:w="1325" w:type="dxa"/>
            <w:shd w:val="clear" w:color="auto" w:fill="F3EDF9"/>
            <w:tcMar>
              <w:top w:w="75" w:type="dxa"/>
              <w:left w:w="85" w:type="dxa"/>
              <w:bottom w:w="75" w:type="dxa"/>
              <w:right w:w="85" w:type="dxa"/>
            </w:tcMar>
            <w:vAlign w:val="center"/>
          </w:tcPr>
          <w:p w14:paraId="26F57A1B">
            <w:pPr>
              <w:spacing w:before="0" w:after="0" w:line="240" w:lineRule="auto"/>
              <w:jc w:val="left"/>
            </w:pPr>
            <w:r>
              <w:rPr>
                <w:rFonts w:ascii="Times New Roman" w:hAnsi="Times New Roman" w:eastAsia="Times New Roman"/>
                <w:b w:val="0"/>
                <w:i w:val="0"/>
                <w:color w:val="000000"/>
                <w:sz w:val="21"/>
              </w:rPr>
              <w:t>0.791–0.829</w:t>
            </w:r>
          </w:p>
        </w:tc>
        <w:tc>
          <w:tcPr>
            <w:tcW w:w="1037" w:type="dxa"/>
            <w:shd w:val="clear" w:color="auto" w:fill="F3EDF9"/>
            <w:tcMar>
              <w:top w:w="75" w:type="dxa"/>
              <w:left w:w="85" w:type="dxa"/>
              <w:bottom w:w="75" w:type="dxa"/>
              <w:right w:w="85" w:type="dxa"/>
            </w:tcMar>
            <w:vAlign w:val="center"/>
          </w:tcPr>
          <w:p w14:paraId="39E584F7">
            <w:pPr>
              <w:spacing w:before="0" w:after="0" w:line="240" w:lineRule="auto"/>
              <w:jc w:val="left"/>
            </w:pPr>
            <w:r>
              <w:rPr>
                <w:rFonts w:ascii="Times New Roman" w:hAnsi="Times New Roman" w:eastAsia="Times New Roman"/>
                <w:b w:val="0"/>
                <w:i w:val="0"/>
                <w:color w:val="000000"/>
                <w:sz w:val="21"/>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before="0" w:after="0" w:line="240" w:lineRule="auto"/>
              <w:jc w:val="left"/>
            </w:pPr>
            <w:r>
              <w:rPr>
                <w:rFonts w:ascii="Times New Roman" w:hAnsi="Times New Roman" w:eastAsia="Times New Roman"/>
                <w:b w:val="0"/>
                <w:i w:val="0"/>
                <w:color w:val="000000"/>
                <w:sz w:val="21"/>
              </w:rPr>
              <w:t>Factorized-UDCT skeleton density</w:t>
            </w:r>
          </w:p>
        </w:tc>
        <w:tc>
          <w:tcPr>
            <w:tcW w:w="2664" w:type="dxa"/>
            <w:shd w:val="clear" w:color="auto" w:fill="FFFFFF"/>
            <w:tcMar>
              <w:top w:w="75" w:type="dxa"/>
              <w:left w:w="85" w:type="dxa"/>
              <w:bottom w:w="75" w:type="dxa"/>
              <w:right w:w="85" w:type="dxa"/>
            </w:tcMar>
            <w:vAlign w:val="center"/>
          </w:tcPr>
          <w:p w14:paraId="41F9CFD3">
            <w:pPr>
              <w:spacing w:before="0" w:after="0" w:line="240" w:lineRule="auto"/>
              <w:jc w:val="left"/>
            </w:pPr>
            <w:r>
              <w:rPr>
                <w:rFonts w:ascii="Times New Roman" w:hAnsi="Times New Roman" w:eastAsia="Times New Roman"/>
                <w:b w:val="0"/>
                <w:i w:val="0"/>
                <w:color w:val="000000"/>
                <w:sz w:val="21"/>
              </w:rPr>
              <w:t>Occupancy-gated geometry</w:t>
            </w:r>
          </w:p>
        </w:tc>
        <w:tc>
          <w:tcPr>
            <w:tcW w:w="1037" w:type="dxa"/>
            <w:shd w:val="clear" w:color="auto" w:fill="FFFFFF"/>
            <w:tcMar>
              <w:top w:w="75" w:type="dxa"/>
              <w:left w:w="85" w:type="dxa"/>
              <w:bottom w:w="75" w:type="dxa"/>
              <w:right w:w="85" w:type="dxa"/>
            </w:tcMar>
            <w:vAlign w:val="center"/>
          </w:tcPr>
          <w:p w14:paraId="0429AFBA">
            <w:pPr>
              <w:spacing w:before="0" w:after="0" w:line="240" w:lineRule="auto"/>
              <w:jc w:val="left"/>
            </w:pPr>
            <w:r>
              <w:rPr>
                <w:rFonts w:ascii="Times New Roman" w:hAnsi="Times New Roman" w:eastAsia="Times New Roman"/>
                <w:b w:val="0"/>
                <w:i w:val="0"/>
                <w:color w:val="000000"/>
                <w:sz w:val="21"/>
              </w:rPr>
              <w:t>0.772</w:t>
            </w:r>
          </w:p>
        </w:tc>
        <w:tc>
          <w:tcPr>
            <w:tcW w:w="1325" w:type="dxa"/>
            <w:shd w:val="clear" w:color="auto" w:fill="FFFFFF"/>
            <w:tcMar>
              <w:top w:w="75" w:type="dxa"/>
              <w:left w:w="85" w:type="dxa"/>
              <w:bottom w:w="75" w:type="dxa"/>
              <w:right w:w="85" w:type="dxa"/>
            </w:tcMar>
            <w:vAlign w:val="center"/>
          </w:tcPr>
          <w:p w14:paraId="776FDCCA">
            <w:pPr>
              <w:spacing w:before="0" w:after="0" w:line="240" w:lineRule="auto"/>
              <w:jc w:val="left"/>
            </w:pPr>
            <w:r>
              <w:rPr>
                <w:rFonts w:ascii="Times New Roman" w:hAnsi="Times New Roman" w:eastAsia="Times New Roman"/>
                <w:b w:val="0"/>
                <w:i w:val="0"/>
                <w:color w:val="000000"/>
                <w:sz w:val="21"/>
              </w:rPr>
              <w:t>0.752–0.789</w:t>
            </w:r>
          </w:p>
        </w:tc>
        <w:tc>
          <w:tcPr>
            <w:tcW w:w="1037" w:type="dxa"/>
            <w:shd w:val="clear" w:color="auto" w:fill="FFFFFF"/>
            <w:tcMar>
              <w:top w:w="75" w:type="dxa"/>
              <w:left w:w="85" w:type="dxa"/>
              <w:bottom w:w="75" w:type="dxa"/>
              <w:right w:w="85" w:type="dxa"/>
            </w:tcMar>
            <w:vAlign w:val="center"/>
          </w:tcPr>
          <w:p w14:paraId="73CCAEFC">
            <w:pPr>
              <w:spacing w:before="0" w:after="0" w:line="240" w:lineRule="auto"/>
              <w:jc w:val="left"/>
            </w:pPr>
            <w:r>
              <w:rPr>
                <w:rFonts w:ascii="Times New Roman" w:hAnsi="Times New Roman" w:eastAsia="Times New Roman"/>
                <w:b w:val="0"/>
                <w:i w:val="0"/>
                <w:color w:val="000000"/>
                <w:sz w:val="21"/>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before="0" w:after="0" w:line="240" w:lineRule="auto"/>
              <w:jc w:val="left"/>
            </w:pPr>
            <w:r>
              <w:rPr>
                <w:rFonts w:ascii="Times New Roman" w:hAnsi="Times New Roman" w:eastAsia="Times New Roman"/>
                <w:b w:val="0"/>
                <w:i w:val="0"/>
                <w:color w:val="000000"/>
                <w:sz w:val="21"/>
              </w:rPr>
              <w:t>Mass-UDCT skeleton density</w:t>
            </w:r>
          </w:p>
        </w:tc>
        <w:tc>
          <w:tcPr>
            <w:tcW w:w="2664" w:type="dxa"/>
            <w:shd w:val="clear" w:color="auto" w:fill="F3EDF9"/>
            <w:tcMar>
              <w:top w:w="75" w:type="dxa"/>
              <w:left w:w="85" w:type="dxa"/>
              <w:bottom w:w="75" w:type="dxa"/>
              <w:right w:w="85" w:type="dxa"/>
            </w:tcMar>
            <w:vAlign w:val="center"/>
          </w:tcPr>
          <w:p w14:paraId="2E04B7CB">
            <w:pPr>
              <w:spacing w:before="0" w:after="0" w:line="240" w:lineRule="auto"/>
              <w:jc w:val="left"/>
            </w:pPr>
            <w:r>
              <w:rPr>
                <w:rFonts w:ascii="Times New Roman" w:hAnsi="Times New Roman" w:eastAsia="Times New Roman"/>
                <w:b w:val="0"/>
                <w:i w:val="0"/>
                <w:color w:val="000000"/>
                <w:sz w:val="21"/>
              </w:rPr>
              <w:t>Mass-preserving geometry</w:t>
            </w:r>
          </w:p>
        </w:tc>
        <w:tc>
          <w:tcPr>
            <w:tcW w:w="1037" w:type="dxa"/>
            <w:shd w:val="clear" w:color="auto" w:fill="F3EDF9"/>
            <w:tcMar>
              <w:top w:w="75" w:type="dxa"/>
              <w:left w:w="85" w:type="dxa"/>
              <w:bottom w:w="75" w:type="dxa"/>
              <w:right w:w="85" w:type="dxa"/>
            </w:tcMar>
            <w:vAlign w:val="center"/>
          </w:tcPr>
          <w:p w14:paraId="7BD1DCF3">
            <w:pPr>
              <w:spacing w:before="0" w:after="0" w:line="240" w:lineRule="auto"/>
              <w:jc w:val="left"/>
            </w:pPr>
            <w:r>
              <w:rPr>
                <w:rFonts w:ascii="Times New Roman" w:hAnsi="Times New Roman" w:eastAsia="Times New Roman"/>
                <w:b w:val="0"/>
                <w:i w:val="0"/>
                <w:color w:val="000000"/>
                <w:sz w:val="21"/>
              </w:rPr>
              <w:t>0.688</w:t>
            </w:r>
          </w:p>
        </w:tc>
        <w:tc>
          <w:tcPr>
            <w:tcW w:w="1325" w:type="dxa"/>
            <w:shd w:val="clear" w:color="auto" w:fill="F3EDF9"/>
            <w:tcMar>
              <w:top w:w="75" w:type="dxa"/>
              <w:left w:w="85" w:type="dxa"/>
              <w:bottom w:w="75" w:type="dxa"/>
              <w:right w:w="85" w:type="dxa"/>
            </w:tcMar>
            <w:vAlign w:val="center"/>
          </w:tcPr>
          <w:p w14:paraId="3F3082C1">
            <w:pPr>
              <w:spacing w:before="0" w:after="0" w:line="240" w:lineRule="auto"/>
              <w:jc w:val="left"/>
            </w:pPr>
            <w:r>
              <w:rPr>
                <w:rFonts w:ascii="Times New Roman" w:hAnsi="Times New Roman" w:eastAsia="Times New Roman"/>
                <w:b w:val="0"/>
                <w:i w:val="0"/>
                <w:color w:val="000000"/>
                <w:sz w:val="21"/>
              </w:rPr>
              <w:t>0.665–0.710</w:t>
            </w:r>
          </w:p>
        </w:tc>
        <w:tc>
          <w:tcPr>
            <w:tcW w:w="1037" w:type="dxa"/>
            <w:shd w:val="clear" w:color="auto" w:fill="F3EDF9"/>
            <w:tcMar>
              <w:top w:w="75" w:type="dxa"/>
              <w:left w:w="85" w:type="dxa"/>
              <w:bottom w:w="75" w:type="dxa"/>
              <w:right w:w="85" w:type="dxa"/>
            </w:tcMar>
            <w:vAlign w:val="center"/>
          </w:tcPr>
          <w:p w14:paraId="5DFF1334">
            <w:pPr>
              <w:spacing w:before="0" w:after="0" w:line="240" w:lineRule="auto"/>
              <w:jc w:val="left"/>
            </w:pPr>
            <w:r>
              <w:rPr>
                <w:rFonts w:ascii="Times New Roman" w:hAnsi="Times New Roman" w:eastAsia="Times New Roman"/>
                <w:b w:val="0"/>
                <w:i w:val="0"/>
                <w:color w:val="000000"/>
                <w:sz w:val="21"/>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before="0" w:after="0" w:line="240" w:lineRule="auto"/>
              <w:jc w:val="left"/>
            </w:pPr>
            <w:r>
              <w:rPr>
                <w:rFonts w:ascii="Times New Roman" w:hAnsi="Times New Roman" w:eastAsia="Times New Roman"/>
                <w:b w:val="0"/>
                <w:i w:val="0"/>
                <w:color w:val="000000"/>
                <w:sz w:val="21"/>
              </w:rPr>
              <w:t>Soft vessel mass fraction</w:t>
            </w:r>
          </w:p>
        </w:tc>
        <w:tc>
          <w:tcPr>
            <w:tcW w:w="2664" w:type="dxa"/>
            <w:shd w:val="clear" w:color="auto" w:fill="FFFFFF"/>
            <w:tcMar>
              <w:top w:w="75" w:type="dxa"/>
              <w:left w:w="85" w:type="dxa"/>
              <w:bottom w:w="75" w:type="dxa"/>
              <w:right w:w="85" w:type="dxa"/>
            </w:tcMar>
            <w:vAlign w:val="center"/>
          </w:tcPr>
          <w:p w14:paraId="3FCF1419">
            <w:pPr>
              <w:spacing w:before="0" w:after="0" w:line="240" w:lineRule="auto"/>
              <w:jc w:val="left"/>
            </w:pPr>
            <w:r>
              <w:rPr>
                <w:rFonts w:ascii="Times New Roman" w:hAnsi="Times New Roman" w:eastAsia="Times New Roman"/>
                <w:b w:val="0"/>
                <w:i w:val="0"/>
                <w:color w:val="000000"/>
                <w:sz w:val="21"/>
              </w:rPr>
              <w:t>Continuous vessel support</w:t>
            </w:r>
          </w:p>
        </w:tc>
        <w:tc>
          <w:tcPr>
            <w:tcW w:w="1037" w:type="dxa"/>
            <w:shd w:val="clear" w:color="auto" w:fill="FFFFFF"/>
            <w:tcMar>
              <w:top w:w="75" w:type="dxa"/>
              <w:left w:w="85" w:type="dxa"/>
              <w:bottom w:w="75" w:type="dxa"/>
              <w:right w:w="85" w:type="dxa"/>
            </w:tcMar>
            <w:vAlign w:val="center"/>
          </w:tcPr>
          <w:p w14:paraId="0DDA92D9">
            <w:pPr>
              <w:spacing w:before="0" w:after="0" w:line="240" w:lineRule="auto"/>
              <w:jc w:val="left"/>
            </w:pPr>
            <w:r>
              <w:rPr>
                <w:rFonts w:ascii="Times New Roman" w:hAnsi="Times New Roman" w:eastAsia="Times New Roman"/>
                <w:b w:val="0"/>
                <w:i w:val="0"/>
                <w:color w:val="000000"/>
                <w:sz w:val="21"/>
              </w:rPr>
              <w:t>0.676</w:t>
            </w:r>
          </w:p>
        </w:tc>
        <w:tc>
          <w:tcPr>
            <w:tcW w:w="1325" w:type="dxa"/>
            <w:shd w:val="clear" w:color="auto" w:fill="FFFFFF"/>
            <w:tcMar>
              <w:top w:w="75" w:type="dxa"/>
              <w:left w:w="85" w:type="dxa"/>
              <w:bottom w:w="75" w:type="dxa"/>
              <w:right w:w="85" w:type="dxa"/>
            </w:tcMar>
            <w:vAlign w:val="center"/>
          </w:tcPr>
          <w:p w14:paraId="0C2203E5">
            <w:pPr>
              <w:spacing w:before="0" w:after="0" w:line="240" w:lineRule="auto"/>
              <w:jc w:val="left"/>
            </w:pPr>
            <w:r>
              <w:rPr>
                <w:rFonts w:ascii="Times New Roman" w:hAnsi="Times New Roman" w:eastAsia="Times New Roman"/>
                <w:b w:val="0"/>
                <w:i w:val="0"/>
                <w:color w:val="000000"/>
                <w:sz w:val="21"/>
              </w:rPr>
              <w:t>0.653–0.699</w:t>
            </w:r>
          </w:p>
        </w:tc>
        <w:tc>
          <w:tcPr>
            <w:tcW w:w="1037" w:type="dxa"/>
            <w:shd w:val="clear" w:color="auto" w:fill="FFFFFF"/>
            <w:tcMar>
              <w:top w:w="75" w:type="dxa"/>
              <w:left w:w="85" w:type="dxa"/>
              <w:bottom w:w="75" w:type="dxa"/>
              <w:right w:w="85" w:type="dxa"/>
            </w:tcMar>
            <w:vAlign w:val="center"/>
          </w:tcPr>
          <w:p w14:paraId="5323E5C0">
            <w:pPr>
              <w:spacing w:before="0" w:after="0" w:line="240" w:lineRule="auto"/>
              <w:jc w:val="left"/>
            </w:pPr>
            <w:r>
              <w:rPr>
                <w:rFonts w:ascii="Times New Roman" w:hAnsi="Times New Roman" w:eastAsia="Times New Roman"/>
                <w:b w:val="0"/>
                <w:i w:val="0"/>
                <w:color w:val="000000"/>
                <w:sz w:val="21"/>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before="0" w:after="0" w:line="240" w:lineRule="auto"/>
              <w:jc w:val="left"/>
            </w:pPr>
            <w:r>
              <w:rPr>
                <w:rFonts w:ascii="Times New Roman" w:hAnsi="Times New Roman" w:eastAsia="Times New Roman"/>
                <w:b w:val="0"/>
                <w:i w:val="0"/>
                <w:color w:val="000000"/>
                <w:sz w:val="21"/>
              </w:rPr>
              <w:t>Identity entropy</w:t>
            </w:r>
          </w:p>
        </w:tc>
        <w:tc>
          <w:tcPr>
            <w:tcW w:w="2664" w:type="dxa"/>
            <w:shd w:val="clear" w:color="auto" w:fill="F3EDF9"/>
            <w:tcMar>
              <w:top w:w="75" w:type="dxa"/>
              <w:left w:w="85" w:type="dxa"/>
              <w:bottom w:w="75" w:type="dxa"/>
              <w:right w:w="85" w:type="dxa"/>
            </w:tcMar>
            <w:vAlign w:val="center"/>
          </w:tcPr>
          <w:p w14:paraId="4BD0E8F5">
            <w:pPr>
              <w:spacing w:before="0" w:after="0" w:line="240" w:lineRule="auto"/>
              <w:jc w:val="left"/>
            </w:pPr>
            <w:r>
              <w:rPr>
                <w:rFonts w:ascii="Times New Roman" w:hAnsi="Times New Roman" w:eastAsia="Times New Roman"/>
                <w:b w:val="0"/>
                <w:i w:val="0"/>
                <w:color w:val="000000"/>
                <w:sz w:val="21"/>
              </w:rPr>
              <w:t>Identity ambiguity</w:t>
            </w:r>
          </w:p>
        </w:tc>
        <w:tc>
          <w:tcPr>
            <w:tcW w:w="1037" w:type="dxa"/>
            <w:shd w:val="clear" w:color="auto" w:fill="F3EDF9"/>
            <w:tcMar>
              <w:top w:w="75" w:type="dxa"/>
              <w:left w:w="85" w:type="dxa"/>
              <w:bottom w:w="75" w:type="dxa"/>
              <w:right w:w="85" w:type="dxa"/>
            </w:tcMar>
            <w:vAlign w:val="center"/>
          </w:tcPr>
          <w:p w14:paraId="0EE45B30">
            <w:pPr>
              <w:spacing w:before="0" w:after="0" w:line="240" w:lineRule="auto"/>
              <w:jc w:val="left"/>
            </w:pPr>
            <w:r>
              <w:rPr>
                <w:rFonts w:ascii="Times New Roman" w:hAnsi="Times New Roman" w:eastAsia="Times New Roman"/>
                <w:b w:val="0"/>
                <w:i w:val="0"/>
                <w:color w:val="000000"/>
                <w:sz w:val="21"/>
              </w:rPr>
              <w:t>0.503</w:t>
            </w:r>
          </w:p>
        </w:tc>
        <w:tc>
          <w:tcPr>
            <w:tcW w:w="1325" w:type="dxa"/>
            <w:shd w:val="clear" w:color="auto" w:fill="F3EDF9"/>
            <w:tcMar>
              <w:top w:w="75" w:type="dxa"/>
              <w:left w:w="85" w:type="dxa"/>
              <w:bottom w:w="75" w:type="dxa"/>
              <w:right w:w="85" w:type="dxa"/>
            </w:tcMar>
            <w:vAlign w:val="center"/>
          </w:tcPr>
          <w:p w14:paraId="76868828">
            <w:pPr>
              <w:spacing w:before="0" w:after="0" w:line="240" w:lineRule="auto"/>
              <w:jc w:val="left"/>
            </w:pPr>
            <w:r>
              <w:rPr>
                <w:rFonts w:ascii="Times New Roman" w:hAnsi="Times New Roman" w:eastAsia="Times New Roman"/>
                <w:b w:val="0"/>
                <w:i w:val="0"/>
                <w:color w:val="000000"/>
                <w:sz w:val="21"/>
              </w:rPr>
              <w:t>0.473–0.534</w:t>
            </w:r>
          </w:p>
        </w:tc>
        <w:tc>
          <w:tcPr>
            <w:tcW w:w="1037" w:type="dxa"/>
            <w:shd w:val="clear" w:color="auto" w:fill="F3EDF9"/>
            <w:tcMar>
              <w:top w:w="75" w:type="dxa"/>
              <w:left w:w="85" w:type="dxa"/>
              <w:bottom w:w="75" w:type="dxa"/>
              <w:right w:w="85" w:type="dxa"/>
            </w:tcMar>
            <w:vAlign w:val="center"/>
          </w:tcPr>
          <w:p w14:paraId="01FDB4E1">
            <w:pPr>
              <w:spacing w:before="0" w:after="0" w:line="240" w:lineRule="auto"/>
              <w:jc w:val="left"/>
            </w:pPr>
            <w:r>
              <w:rPr>
                <w:rFonts w:ascii="Times New Roman" w:hAnsi="Times New Roman" w:eastAsia="Times New Roman"/>
                <w:b w:val="0"/>
                <w:i w:val="0"/>
                <w:color w:val="000000"/>
                <w:sz w:val="21"/>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before="0" w:after="0" w:line="240" w:lineRule="auto"/>
              <w:jc w:val="left"/>
            </w:pPr>
            <w:r>
              <w:rPr>
                <w:rFonts w:ascii="Times New Roman" w:hAnsi="Times New Roman" w:eastAsia="Times New Roman"/>
                <w:b w:val="0"/>
                <w:i w:val="0"/>
                <w:color w:val="000000"/>
                <w:sz w:val="21"/>
              </w:rPr>
              <w:t>Mass branch density</w:t>
            </w:r>
          </w:p>
        </w:tc>
        <w:tc>
          <w:tcPr>
            <w:tcW w:w="2664" w:type="dxa"/>
            <w:shd w:val="clear" w:color="auto" w:fill="FFFFFF"/>
            <w:tcMar>
              <w:top w:w="75" w:type="dxa"/>
              <w:left w:w="85" w:type="dxa"/>
              <w:bottom w:w="75" w:type="dxa"/>
              <w:right w:w="85" w:type="dxa"/>
            </w:tcMar>
            <w:vAlign w:val="center"/>
          </w:tcPr>
          <w:p w14:paraId="228DD79C">
            <w:pPr>
              <w:spacing w:before="0" w:after="0" w:line="240" w:lineRule="auto"/>
              <w:jc w:val="left"/>
            </w:pPr>
            <w:r>
              <w:rPr>
                <w:rFonts w:ascii="Times New Roman" w:hAnsi="Times New Roman" w:eastAsia="Times New Roman"/>
                <w:b w:val="0"/>
                <w:i w:val="0"/>
                <w:color w:val="000000"/>
                <w:sz w:val="21"/>
              </w:rPr>
              <w:t>Topological complexity</w:t>
            </w:r>
          </w:p>
        </w:tc>
        <w:tc>
          <w:tcPr>
            <w:tcW w:w="1037" w:type="dxa"/>
            <w:shd w:val="clear" w:color="auto" w:fill="FFFFFF"/>
            <w:tcMar>
              <w:top w:w="75" w:type="dxa"/>
              <w:left w:w="85" w:type="dxa"/>
              <w:bottom w:w="75" w:type="dxa"/>
              <w:right w:w="85" w:type="dxa"/>
            </w:tcMar>
            <w:vAlign w:val="center"/>
          </w:tcPr>
          <w:p w14:paraId="48CA12A5">
            <w:pPr>
              <w:spacing w:before="0" w:after="0" w:line="240" w:lineRule="auto"/>
              <w:jc w:val="left"/>
            </w:pPr>
            <w:r>
              <w:rPr>
                <w:rFonts w:ascii="Times New Roman" w:hAnsi="Times New Roman" w:eastAsia="Times New Roman"/>
                <w:b w:val="0"/>
                <w:i w:val="0"/>
                <w:color w:val="000000"/>
                <w:sz w:val="21"/>
              </w:rPr>
              <w:t>0.484</w:t>
            </w:r>
          </w:p>
        </w:tc>
        <w:tc>
          <w:tcPr>
            <w:tcW w:w="1325" w:type="dxa"/>
            <w:shd w:val="clear" w:color="auto" w:fill="FFFFFF"/>
            <w:tcMar>
              <w:top w:w="75" w:type="dxa"/>
              <w:left w:w="85" w:type="dxa"/>
              <w:bottom w:w="75" w:type="dxa"/>
              <w:right w:w="85" w:type="dxa"/>
            </w:tcMar>
            <w:vAlign w:val="center"/>
          </w:tcPr>
          <w:p w14:paraId="3F9DB914">
            <w:pPr>
              <w:spacing w:before="0" w:after="0" w:line="240" w:lineRule="auto"/>
              <w:jc w:val="left"/>
            </w:pPr>
            <w:r>
              <w:rPr>
                <w:rFonts w:ascii="Times New Roman" w:hAnsi="Times New Roman" w:eastAsia="Times New Roman"/>
                <w:b w:val="0"/>
                <w:i w:val="0"/>
                <w:color w:val="000000"/>
                <w:sz w:val="21"/>
              </w:rPr>
              <w:t>0.452–0.514</w:t>
            </w:r>
          </w:p>
        </w:tc>
        <w:tc>
          <w:tcPr>
            <w:tcW w:w="1037" w:type="dxa"/>
            <w:shd w:val="clear" w:color="auto" w:fill="FFFFFF"/>
            <w:tcMar>
              <w:top w:w="75" w:type="dxa"/>
              <w:left w:w="85" w:type="dxa"/>
              <w:bottom w:w="75" w:type="dxa"/>
              <w:right w:w="85" w:type="dxa"/>
            </w:tcMar>
            <w:vAlign w:val="center"/>
          </w:tcPr>
          <w:p w14:paraId="3A137234">
            <w:pPr>
              <w:spacing w:before="0" w:after="0" w:line="240" w:lineRule="auto"/>
              <w:jc w:val="left"/>
            </w:pPr>
            <w:r>
              <w:rPr>
                <w:rFonts w:ascii="Times New Roman" w:hAnsi="Times New Roman" w:eastAsia="Times New Roman"/>
                <w:b w:val="0"/>
                <w:i w:val="0"/>
                <w:color w:val="000000"/>
                <w:sz w:val="21"/>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before="0" w:after="0" w:line="240" w:lineRule="auto"/>
              <w:jc w:val="left"/>
            </w:pPr>
            <w:r>
              <w:rPr>
                <w:rFonts w:ascii="Times New Roman" w:hAnsi="Times New Roman" w:eastAsia="Times New Roman"/>
                <w:b w:val="0"/>
                <w:i w:val="0"/>
                <w:color w:val="000000"/>
                <w:sz w:val="21"/>
              </w:rPr>
              <w:t>Soft A/V log-mass ratio</w:t>
            </w:r>
          </w:p>
        </w:tc>
        <w:tc>
          <w:tcPr>
            <w:tcW w:w="2664" w:type="dxa"/>
            <w:shd w:val="clear" w:color="auto" w:fill="F3EDF9"/>
            <w:tcMar>
              <w:top w:w="75" w:type="dxa"/>
              <w:left w:w="85" w:type="dxa"/>
              <w:bottom w:w="75" w:type="dxa"/>
              <w:right w:w="85" w:type="dxa"/>
            </w:tcMar>
            <w:vAlign w:val="center"/>
          </w:tcPr>
          <w:p w14:paraId="546CE290">
            <w:pPr>
              <w:spacing w:before="0" w:after="0" w:line="240" w:lineRule="auto"/>
              <w:jc w:val="left"/>
            </w:pPr>
            <w:r>
              <w:rPr>
                <w:rFonts w:ascii="Times New Roman" w:hAnsi="Times New Roman" w:eastAsia="Times New Roman"/>
                <w:b w:val="0"/>
                <w:i w:val="0"/>
                <w:color w:val="000000"/>
                <w:sz w:val="21"/>
              </w:rPr>
              <w:t>Soft identity balance</w:t>
            </w:r>
          </w:p>
        </w:tc>
        <w:tc>
          <w:tcPr>
            <w:tcW w:w="1037" w:type="dxa"/>
            <w:shd w:val="clear" w:color="auto" w:fill="F3EDF9"/>
            <w:tcMar>
              <w:top w:w="75" w:type="dxa"/>
              <w:left w:w="85" w:type="dxa"/>
              <w:bottom w:w="75" w:type="dxa"/>
              <w:right w:w="85" w:type="dxa"/>
            </w:tcMar>
            <w:vAlign w:val="center"/>
          </w:tcPr>
          <w:p w14:paraId="2B9B0A51">
            <w:pPr>
              <w:spacing w:before="0" w:after="0" w:line="240" w:lineRule="auto"/>
              <w:jc w:val="left"/>
            </w:pPr>
            <w:r>
              <w:rPr>
                <w:rFonts w:ascii="Times New Roman" w:hAnsi="Times New Roman" w:eastAsia="Times New Roman"/>
                <w:b w:val="0"/>
                <w:i w:val="0"/>
                <w:color w:val="000000"/>
                <w:sz w:val="21"/>
              </w:rPr>
              <w:t>0.384</w:t>
            </w:r>
          </w:p>
        </w:tc>
        <w:tc>
          <w:tcPr>
            <w:tcW w:w="1325" w:type="dxa"/>
            <w:shd w:val="clear" w:color="auto" w:fill="F3EDF9"/>
            <w:tcMar>
              <w:top w:w="75" w:type="dxa"/>
              <w:left w:w="85" w:type="dxa"/>
              <w:bottom w:w="75" w:type="dxa"/>
              <w:right w:w="85" w:type="dxa"/>
            </w:tcMar>
            <w:vAlign w:val="center"/>
          </w:tcPr>
          <w:p w14:paraId="5C897E8D">
            <w:pPr>
              <w:spacing w:before="0" w:after="0" w:line="240" w:lineRule="auto"/>
              <w:jc w:val="left"/>
            </w:pPr>
            <w:r>
              <w:rPr>
                <w:rFonts w:ascii="Times New Roman" w:hAnsi="Times New Roman" w:eastAsia="Times New Roman"/>
                <w:b w:val="0"/>
                <w:i w:val="0"/>
                <w:color w:val="000000"/>
                <w:sz w:val="21"/>
              </w:rPr>
              <w:t>0.346–0.420</w:t>
            </w:r>
          </w:p>
        </w:tc>
        <w:tc>
          <w:tcPr>
            <w:tcW w:w="1037" w:type="dxa"/>
            <w:shd w:val="clear" w:color="auto" w:fill="F3EDF9"/>
            <w:tcMar>
              <w:top w:w="75" w:type="dxa"/>
              <w:left w:w="85" w:type="dxa"/>
              <w:bottom w:w="75" w:type="dxa"/>
              <w:right w:w="85" w:type="dxa"/>
            </w:tcMar>
            <w:vAlign w:val="center"/>
          </w:tcPr>
          <w:p w14:paraId="21E708B3">
            <w:pPr>
              <w:spacing w:before="0" w:after="0" w:line="240" w:lineRule="auto"/>
              <w:jc w:val="left"/>
            </w:pPr>
            <w:r>
              <w:rPr>
                <w:rFonts w:ascii="Times New Roman" w:hAnsi="Times New Roman" w:eastAsia="Times New Roman"/>
                <w:b w:val="0"/>
                <w:i w:val="0"/>
                <w:color w:val="000000"/>
                <w:sz w:val="21"/>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before="0" w:after="0" w:line="240" w:lineRule="auto"/>
              <w:jc w:val="left"/>
            </w:pPr>
            <w:r>
              <w:rPr>
                <w:rFonts w:ascii="Times New Roman" w:hAnsi="Times New Roman" w:eastAsia="Times New Roman"/>
                <w:b w:val="0"/>
                <w:i w:val="0"/>
                <w:color w:val="000000"/>
                <w:sz w:val="21"/>
              </w:rPr>
              <w:t>Factorized-UDCT A/V log-area ratio</w:t>
            </w:r>
          </w:p>
        </w:tc>
        <w:tc>
          <w:tcPr>
            <w:tcW w:w="2664" w:type="dxa"/>
            <w:shd w:val="clear" w:color="auto" w:fill="FFFFFF"/>
            <w:tcMar>
              <w:top w:w="75" w:type="dxa"/>
              <w:left w:w="85" w:type="dxa"/>
              <w:bottom w:w="75" w:type="dxa"/>
              <w:right w:w="85" w:type="dxa"/>
            </w:tcMar>
            <w:vAlign w:val="center"/>
          </w:tcPr>
          <w:p w14:paraId="5394418D">
            <w:pPr>
              <w:spacing w:before="0" w:after="0" w:line="240" w:lineRule="auto"/>
              <w:jc w:val="left"/>
            </w:pPr>
            <w:r>
              <w:rPr>
                <w:rFonts w:ascii="Times New Roman" w:hAnsi="Times New Roman" w:eastAsia="Times New Roman"/>
                <w:b w:val="0"/>
                <w:i w:val="0"/>
                <w:color w:val="000000"/>
                <w:sz w:val="21"/>
              </w:rPr>
              <w:t>Gated identity balance</w:t>
            </w:r>
          </w:p>
        </w:tc>
        <w:tc>
          <w:tcPr>
            <w:tcW w:w="1037" w:type="dxa"/>
            <w:shd w:val="clear" w:color="auto" w:fill="FFFFFF"/>
            <w:tcMar>
              <w:top w:w="75" w:type="dxa"/>
              <w:left w:w="85" w:type="dxa"/>
              <w:bottom w:w="75" w:type="dxa"/>
              <w:right w:w="85" w:type="dxa"/>
            </w:tcMar>
            <w:vAlign w:val="center"/>
          </w:tcPr>
          <w:p w14:paraId="4B18BA4E">
            <w:pPr>
              <w:spacing w:before="0" w:after="0" w:line="240" w:lineRule="auto"/>
              <w:jc w:val="left"/>
            </w:pPr>
            <w:r>
              <w:rPr>
                <w:rFonts w:ascii="Times New Roman" w:hAnsi="Times New Roman" w:eastAsia="Times New Roman"/>
                <w:b w:val="0"/>
                <w:i w:val="0"/>
                <w:color w:val="000000"/>
                <w:sz w:val="21"/>
              </w:rPr>
              <w:t>0.360</w:t>
            </w:r>
          </w:p>
        </w:tc>
        <w:tc>
          <w:tcPr>
            <w:tcW w:w="1325" w:type="dxa"/>
            <w:shd w:val="clear" w:color="auto" w:fill="FFFFFF"/>
            <w:tcMar>
              <w:top w:w="75" w:type="dxa"/>
              <w:left w:w="85" w:type="dxa"/>
              <w:bottom w:w="75" w:type="dxa"/>
              <w:right w:w="85" w:type="dxa"/>
            </w:tcMar>
            <w:vAlign w:val="center"/>
          </w:tcPr>
          <w:p w14:paraId="750D721D">
            <w:pPr>
              <w:spacing w:before="0" w:after="0" w:line="240" w:lineRule="auto"/>
              <w:jc w:val="left"/>
            </w:pPr>
            <w:r>
              <w:rPr>
                <w:rFonts w:ascii="Times New Roman" w:hAnsi="Times New Roman" w:eastAsia="Times New Roman"/>
                <w:b w:val="0"/>
                <w:i w:val="0"/>
                <w:color w:val="000000"/>
                <w:sz w:val="21"/>
              </w:rPr>
              <w:t>0.311–0.406</w:t>
            </w:r>
          </w:p>
        </w:tc>
        <w:tc>
          <w:tcPr>
            <w:tcW w:w="1037" w:type="dxa"/>
            <w:shd w:val="clear" w:color="auto" w:fill="FFFFFF"/>
            <w:tcMar>
              <w:top w:w="75" w:type="dxa"/>
              <w:left w:w="85" w:type="dxa"/>
              <w:bottom w:w="75" w:type="dxa"/>
              <w:right w:w="85" w:type="dxa"/>
            </w:tcMar>
            <w:vAlign w:val="center"/>
          </w:tcPr>
          <w:p w14:paraId="1C623032">
            <w:pPr>
              <w:spacing w:before="0" w:after="0" w:line="240" w:lineRule="auto"/>
              <w:jc w:val="left"/>
            </w:pPr>
            <w:r>
              <w:rPr>
                <w:rFonts w:ascii="Times New Roman" w:hAnsi="Times New Roman" w:eastAsia="Times New Roman"/>
                <w:b w:val="0"/>
                <w:i w:val="0"/>
                <w:color w:val="000000"/>
                <w:sz w:val="21"/>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before="0" w:after="0" w:line="240" w:lineRule="auto"/>
              <w:jc w:val="left"/>
            </w:pPr>
            <w:r>
              <w:rPr>
                <w:rFonts w:ascii="Times New Roman" w:hAnsi="Times New Roman" w:eastAsia="Times New Roman"/>
                <w:b w:val="0"/>
                <w:i w:val="0"/>
                <w:color w:val="000000"/>
                <w:sz w:val="21"/>
              </w:rPr>
              <w:t>Base-to-mass disagreement</w:t>
            </w:r>
          </w:p>
        </w:tc>
        <w:tc>
          <w:tcPr>
            <w:tcW w:w="2664" w:type="dxa"/>
            <w:shd w:val="clear" w:color="auto" w:fill="F3EDF9"/>
            <w:tcMar>
              <w:top w:w="75" w:type="dxa"/>
              <w:left w:w="85" w:type="dxa"/>
              <w:bottom w:w="75" w:type="dxa"/>
              <w:right w:w="85" w:type="dxa"/>
            </w:tcMar>
            <w:vAlign w:val="center"/>
          </w:tcPr>
          <w:p w14:paraId="1FE7401F">
            <w:pPr>
              <w:spacing w:before="0" w:after="0" w:line="240" w:lineRule="auto"/>
              <w:jc w:val="left"/>
            </w:pPr>
            <w:r>
              <w:rPr>
                <w:rFonts w:ascii="Times New Roman" w:hAnsi="Times New Roman" w:eastAsia="Times New Roman"/>
                <w:b w:val="0"/>
                <w:i w:val="0"/>
                <w:color w:val="000000"/>
                <w:sz w:val="21"/>
              </w:rPr>
              <w:t>Identity-head mismatch</w:t>
            </w:r>
          </w:p>
        </w:tc>
        <w:tc>
          <w:tcPr>
            <w:tcW w:w="1037" w:type="dxa"/>
            <w:shd w:val="clear" w:color="auto" w:fill="F3EDF9"/>
            <w:tcMar>
              <w:top w:w="75" w:type="dxa"/>
              <w:left w:w="85" w:type="dxa"/>
              <w:bottom w:w="75" w:type="dxa"/>
              <w:right w:w="85" w:type="dxa"/>
            </w:tcMar>
            <w:vAlign w:val="center"/>
          </w:tcPr>
          <w:p w14:paraId="4652923C">
            <w:pPr>
              <w:spacing w:before="0" w:after="0" w:line="240" w:lineRule="auto"/>
              <w:jc w:val="left"/>
            </w:pPr>
            <w:r>
              <w:rPr>
                <w:rFonts w:ascii="Times New Roman" w:hAnsi="Times New Roman" w:eastAsia="Times New Roman"/>
                <w:b w:val="0"/>
                <w:i w:val="0"/>
                <w:color w:val="000000"/>
                <w:sz w:val="21"/>
              </w:rPr>
              <w:t>0.282</w:t>
            </w:r>
          </w:p>
        </w:tc>
        <w:tc>
          <w:tcPr>
            <w:tcW w:w="1325" w:type="dxa"/>
            <w:shd w:val="clear" w:color="auto" w:fill="F3EDF9"/>
            <w:tcMar>
              <w:top w:w="75" w:type="dxa"/>
              <w:left w:w="85" w:type="dxa"/>
              <w:bottom w:w="75" w:type="dxa"/>
              <w:right w:w="85" w:type="dxa"/>
            </w:tcMar>
            <w:vAlign w:val="center"/>
          </w:tcPr>
          <w:p w14:paraId="5C16ADC2">
            <w:pPr>
              <w:spacing w:before="0" w:after="0" w:line="240" w:lineRule="auto"/>
              <w:jc w:val="left"/>
            </w:pPr>
            <w:r>
              <w:rPr>
                <w:rFonts w:ascii="Times New Roman" w:hAnsi="Times New Roman" w:eastAsia="Times New Roman"/>
                <w:b w:val="0"/>
                <w:i w:val="0"/>
                <w:color w:val="000000"/>
                <w:sz w:val="21"/>
              </w:rPr>
              <w:t>0.237–0.328</w:t>
            </w:r>
          </w:p>
        </w:tc>
        <w:tc>
          <w:tcPr>
            <w:tcW w:w="1037" w:type="dxa"/>
            <w:shd w:val="clear" w:color="auto" w:fill="F3EDF9"/>
            <w:tcMar>
              <w:top w:w="75" w:type="dxa"/>
              <w:left w:w="85" w:type="dxa"/>
              <w:bottom w:w="75" w:type="dxa"/>
              <w:right w:w="85" w:type="dxa"/>
            </w:tcMar>
            <w:vAlign w:val="center"/>
          </w:tcPr>
          <w:p w14:paraId="598234FA">
            <w:pPr>
              <w:spacing w:before="0" w:after="0" w:line="240" w:lineRule="auto"/>
              <w:jc w:val="left"/>
            </w:pPr>
            <w:r>
              <w:rPr>
                <w:rFonts w:ascii="Times New Roman" w:hAnsi="Times New Roman" w:eastAsia="Times New Roman"/>
                <w:b w:val="0"/>
                <w:i w:val="0"/>
                <w:color w:val="000000"/>
                <w:sz w:val="21"/>
              </w:rPr>
              <w:t>Exclude</w:t>
            </w:r>
          </w:p>
        </w:tc>
      </w:tr>
    </w:tbl>
    <w:p w14:paraId="644740EA">
      <w:pPr>
        <w:spacing w:before="0" w:after="0"/>
        <w:jc w:val="center"/>
      </w:pPr>
    </w:p>
    <w:p w14:paraId="0FE0553D">
      <w:pPr>
        <w:pStyle w:val="4"/>
        <w:keepNext/>
        <w:spacing w:before="200" w:after="120" w:line="240" w:lineRule="auto"/>
        <w:jc w:val="left"/>
      </w:pPr>
      <w:r>
        <w:rPr>
          <w:rFonts w:ascii="Times New Roman" w:hAnsi="Times New Roman" w:eastAsia="Times New Roman"/>
          <w:b/>
          <w:i w:val="0"/>
          <w:color w:val="000000"/>
          <w:sz w:val="24"/>
        </w:rPr>
        <w:t>3.3 High-dimensional dual-readout fusion failed to add CIMT value</w:t>
      </w:r>
    </w:p>
    <w:p w14:paraId="0952E4FE">
      <w:pPr>
        <w:pStyle w:val="18"/>
        <w:keepNext w:val="0"/>
        <w:spacing w:before="0" w:after="100" w:line="276" w:lineRule="auto"/>
        <w:ind w:firstLine="360"/>
        <w:jc w:val="both"/>
      </w:pPr>
      <w:r>
        <w:rPr>
          <w:rFonts w:ascii="Times New Roman" w:hAnsi="Times New Roman" w:eastAsia="Times New Roman"/>
          <w:b w:val="0"/>
          <w:i w:val="0"/>
          <w:color w:val="000000"/>
          <w:sz w:val="24"/>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pStyle w:val="18"/>
        <w:keepNext w:val="0"/>
        <w:spacing w:before="0" w:after="100" w:line="276" w:lineRule="auto"/>
        <w:ind w:firstLine="360"/>
        <w:jc w:val="both"/>
      </w:pPr>
      <w:r>
        <w:rPr>
          <w:rFonts w:ascii="Times New Roman" w:hAnsi="Times New Roman" w:eastAsia="Times New Roman"/>
          <w:b w:val="0"/>
          <w:i w:val="0"/>
          <w:color w:val="000000"/>
          <w:sz w:val="24"/>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pStyle w:val="4"/>
        <w:keepNext/>
        <w:spacing w:before="200" w:after="120" w:line="240" w:lineRule="auto"/>
        <w:jc w:val="left"/>
      </w:pPr>
      <w:r>
        <w:rPr>
          <w:rFonts w:ascii="Times New Roman" w:hAnsi="Times New Roman" w:eastAsia="Times New Roman"/>
          <w:b/>
          <w:i w:val="0"/>
          <w:color w:val="000000"/>
          <w:sz w:val="24"/>
        </w:rPr>
        <w:t>3.4 Conditional normative deviation revealed a small development signal</w:t>
      </w:r>
    </w:p>
    <w:p w14:paraId="339D835C">
      <w:pPr>
        <w:pStyle w:val="18"/>
        <w:keepNext w:val="0"/>
        <w:spacing w:before="0" w:after="100" w:line="276" w:lineRule="auto"/>
        <w:ind w:firstLine="360"/>
        <w:jc w:val="both"/>
      </w:pPr>
      <w:r>
        <w:rPr>
          <w:rFonts w:ascii="Times New Roman" w:hAnsi="Times New Roman" w:eastAsia="Times New Roman"/>
          <w:b w:val="0"/>
          <w:i w:val="0"/>
          <w:color w:val="000000"/>
          <w:sz w:val="24"/>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pStyle w:val="18"/>
        <w:keepNext w:val="0"/>
        <w:spacing w:before="0" w:after="100" w:line="276" w:lineRule="auto"/>
        <w:ind w:firstLine="360"/>
        <w:jc w:val="both"/>
      </w:pPr>
      <w:r>
        <w:rPr>
          <w:rFonts w:ascii="Times New Roman" w:hAnsi="Times New Roman" w:eastAsia="Times New Roman"/>
          <w:b w:val="0"/>
          <w:i w:val="0"/>
          <w:color w:val="000000"/>
          <w:sz w:val="24"/>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pStyle w:val="18"/>
        <w:keepNext w:val="0"/>
        <w:spacing w:before="0" w:after="100" w:line="276" w:lineRule="auto"/>
        <w:ind w:firstLine="360"/>
        <w:jc w:val="both"/>
      </w:pPr>
      <w:r>
        <w:rPr>
          <w:rFonts w:ascii="Times New Roman" w:hAnsi="Times New Roman" w:eastAsia="Times New Roman"/>
          <w:b w:val="0"/>
          <w:i w:val="0"/>
          <w:color w:val="000000"/>
          <w:sz w:val="24"/>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pPr>
        <w:spacing w:before="0" w:after="0"/>
        <w:jc w:val="center"/>
      </w:pPr>
      <w:r>
        <w:br w:type="page"/>
      </w:r>
    </w:p>
    <w:p w14:paraId="6B41BF30">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Next/>
        <w:keepLines/>
        <w:spacing w:before="40" w:after="120" w:line="240" w:lineRule="auto"/>
        <w:jc w:val="both"/>
      </w:pPr>
      <w:r>
        <w:rPr>
          <w:rFonts w:ascii="Times New Roman" w:hAnsi="Times New Roman" w:eastAsia="Times New Roman"/>
          <w:b/>
          <w:i/>
          <w:color w:val="000000"/>
          <w:sz w:val="24"/>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before="0" w:after="0"/>
        <w:jc w:val="center"/>
      </w:pPr>
    </w:p>
    <w:p w14:paraId="0BA5E862">
      <w:pPr>
        <w:pStyle w:val="4"/>
        <w:keepNext/>
        <w:spacing w:before="200" w:after="120" w:line="240" w:lineRule="auto"/>
        <w:jc w:val="left"/>
      </w:pPr>
      <w:r>
        <w:rPr>
          <w:rFonts w:ascii="Times New Roman" w:hAnsi="Times New Roman" w:eastAsia="Times New Roman"/>
          <w:b/>
          <w:i w:val="0"/>
          <w:color w:val="000000"/>
          <w:sz w:val="24"/>
        </w:rPr>
        <w:t>3.5 Calibrated mBRSET analyses did not establish incremental hypertension information</w:t>
      </w:r>
    </w:p>
    <w:p w14:paraId="01ED7ED3">
      <w:pPr>
        <w:pStyle w:val="18"/>
        <w:keepNext w:val="0"/>
        <w:spacing w:before="0" w:after="100" w:line="276" w:lineRule="auto"/>
        <w:ind w:firstLine="360"/>
        <w:jc w:val="both"/>
      </w:pPr>
      <w:r>
        <w:rPr>
          <w:rFonts w:ascii="Times New Roman" w:hAnsi="Times New Roman" w:eastAsia="Times New Roman"/>
          <w:b w:val="0"/>
          <w:i w:val="0"/>
          <w:color w:val="000000"/>
          <w:sz w:val="24"/>
        </w:rPr>
        <w:t>Among 1,276 mBRSET patients with complete hypertension analysis, 912 were positive. After outer-training cross-fitted Platt calibration, the clinical model (age, sex, diabetes duration) had AUROC 0.6651 and Brier score 0.1887; adding the ICC-gated phenotype core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pStyle w:val="18"/>
        <w:keepNext w:val="0"/>
        <w:spacing w:before="0" w:after="100" w:line="276" w:lineRule="auto"/>
        <w:ind w:firstLine="360"/>
        <w:jc w:val="both"/>
      </w:pPr>
      <w:r>
        <w:rPr>
          <w:rFonts w:ascii="Times New Roman" w:hAnsi="Times New Roman" w:eastAsia="Times New Roman"/>
          <w:b w:val="0"/>
          <w:i w:val="0"/>
          <w:color w:val="000000"/>
          <w:sz w:val="24"/>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pStyle w:val="4"/>
        <w:keepNext/>
        <w:spacing w:before="200" w:after="120" w:line="240" w:lineRule="auto"/>
        <w:jc w:val="left"/>
      </w:pPr>
      <w:r>
        <w:rPr>
          <w:rFonts w:ascii="Times New Roman" w:hAnsi="Times New Roman" w:eastAsia="Times New Roman"/>
          <w:b/>
          <w:i w:val="0"/>
          <w:color w:val="000000"/>
          <w:sz w:val="24"/>
        </w:rPr>
        <w:t>3.6 Negative controls and transport boundaries</w:t>
      </w:r>
    </w:p>
    <w:p w14:paraId="3EFBFA88">
      <w:pPr>
        <w:pStyle w:val="18"/>
        <w:keepNext w:val="0"/>
        <w:spacing w:before="0" w:after="100" w:line="276" w:lineRule="auto"/>
        <w:ind w:firstLine="360"/>
        <w:jc w:val="both"/>
      </w:pPr>
      <w:r>
        <w:rPr>
          <w:rFonts w:ascii="Times New Roman" w:hAnsi="Times New Roman" w:eastAsia="Times New Roman"/>
          <w:b w:val="0"/>
          <w:i w:val="0"/>
          <w:color w:val="000000"/>
          <w:sz w:val="24"/>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pStyle w:val="18"/>
        <w:keepNext w:val="0"/>
        <w:spacing w:before="0" w:after="100" w:line="276" w:lineRule="auto"/>
        <w:ind w:firstLine="360"/>
        <w:jc w:val="both"/>
      </w:pPr>
      <w:r>
        <w:rPr>
          <w:rFonts w:ascii="Times New Roman" w:hAnsi="Times New Roman" w:eastAsia="Times New Roman"/>
          <w:b w:val="0"/>
          <w:i w:val="0"/>
          <w:color w:val="000000"/>
          <w:sz w:val="24"/>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pPr>
        <w:spacing w:before="0" w:after="0"/>
        <w:jc w:val="center"/>
      </w:pPr>
      <w:r>
        <w:br w:type="page"/>
      </w:r>
    </w:p>
    <w:p w14:paraId="03FE0B26">
      <w:pPr>
        <w:keepNext/>
        <w:spacing w:before="0" w:after="80" w:line="240" w:lineRule="auto"/>
        <w:jc w:val="center"/>
      </w:pPr>
      <w:r>
        <w:rPr>
          <w:rFonts w:ascii="Times New Roman" w:hAnsi="Times New Roman" w:eastAsia="Times New Roman"/>
          <w:color w:val="000000"/>
          <w:sz w:val="24"/>
        </w:rP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Next/>
        <w:keepLines/>
        <w:spacing w:before="40" w:after="120" w:line="240" w:lineRule="auto"/>
        <w:jc w:val="both"/>
      </w:pPr>
      <w:r>
        <w:rPr>
          <w:rFonts w:ascii="Times New Roman" w:hAnsi="Times New Roman" w:eastAsia="Times New Roman"/>
          <w:b/>
          <w:i/>
          <w:color w:val="000000"/>
          <w:sz w:val="24"/>
        </w:rPr>
        <w:t>Figure 6. Patient-level results, negative controls, and claim boundary. Panel A shows that substituting the E10A representation with the ICC-gated phenotype core worsened repeated development MAE. Panel B reports calibrated phenotype-core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before="0" w:after="0"/>
        <w:jc w:val="center"/>
      </w:pPr>
    </w:p>
    <w:p w14:paraId="17CF2212">
      <w:pPr>
        <w:pStyle w:val="4"/>
        <w:keepNext/>
        <w:spacing w:before="200" w:after="120" w:line="240" w:lineRule="auto"/>
        <w:jc w:val="left"/>
      </w:pPr>
      <w:r>
        <w:rPr>
          <w:rFonts w:ascii="Times New Roman" w:hAnsi="Times New Roman" w:eastAsia="Times New Roman"/>
          <w:b/>
          <w:i w:val="0"/>
          <w:color w:val="000000"/>
          <w:sz w:val="24"/>
        </w:rPr>
        <w:t>3.7 Negative experiments defined the stopping rule</w:t>
      </w:r>
    </w:p>
    <w:p w14:paraId="2082E8BC">
      <w:pPr>
        <w:pStyle w:val="18"/>
        <w:keepNext w:val="0"/>
        <w:spacing w:before="0" w:after="100" w:line="276" w:lineRule="auto"/>
        <w:ind w:firstLine="360"/>
        <w:jc w:val="both"/>
      </w:pPr>
      <w:r>
        <w:rPr>
          <w:rFonts w:ascii="Times New Roman" w:hAnsi="Times New Roman" w:eastAsia="Times New Roman"/>
          <w:b w:val="0"/>
          <w:i w:val="0"/>
          <w:color w:val="000000"/>
          <w:sz w:val="24"/>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outcome-driven feature expansion in the current cohorts.</w:t>
      </w:r>
    </w:p>
    <w:p w14:paraId="2F83772E">
      <w:pPr>
        <w:pStyle w:val="18"/>
        <w:keepNext w:val="0"/>
        <w:spacing w:before="0" w:after="100" w:line="276" w:lineRule="auto"/>
        <w:ind w:firstLine="360"/>
        <w:jc w:val="both"/>
      </w:pPr>
      <w:r>
        <w:rPr>
          <w:rFonts w:ascii="Times New Roman" w:hAnsi="Times New Roman" w:eastAsia="Times New Roman"/>
          <w:b w:val="0"/>
          <w:i w:val="0"/>
          <w:color w:val="000000"/>
          <w:sz w:val="24"/>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pStyle w:val="3"/>
        <w:keepNext/>
        <w:spacing w:before="200" w:after="120" w:line="240" w:lineRule="auto"/>
        <w:jc w:val="left"/>
      </w:pPr>
      <w:r>
        <w:rPr>
          <w:rFonts w:ascii="Times New Roman" w:hAnsi="Times New Roman" w:eastAsia="Times New Roman"/>
          <w:b/>
          <w:i w:val="0"/>
          <w:color w:val="000000"/>
          <w:sz w:val="28"/>
        </w:rPr>
        <w:t>4. Discussion</w:t>
      </w:r>
    </w:p>
    <w:p w14:paraId="5F121B86">
      <w:pPr>
        <w:pStyle w:val="4"/>
        <w:keepNext/>
        <w:spacing w:before="200" w:after="120" w:line="240" w:lineRule="auto"/>
        <w:jc w:val="left"/>
      </w:pPr>
      <w:r>
        <w:rPr>
          <w:rFonts w:ascii="Times New Roman" w:hAnsi="Times New Roman" w:eastAsia="Times New Roman"/>
          <w:b/>
          <w:i w:val="0"/>
          <w:color w:val="000000"/>
          <w:sz w:val="24"/>
        </w:rPr>
        <w:t>4.1 Principal finding: the evidence layers diverged</w:t>
      </w:r>
    </w:p>
    <w:p w14:paraId="66B0EFFF">
      <w:pPr>
        <w:pStyle w:val="18"/>
        <w:keepNext w:val="0"/>
        <w:spacing w:before="0" w:after="100" w:line="276" w:lineRule="auto"/>
        <w:ind w:firstLine="360"/>
        <w:jc w:val="both"/>
      </w:pPr>
      <w:r>
        <w:rPr>
          <w:rFonts w:ascii="Times New Roman" w:hAnsi="Times New Roman" w:eastAsia="Times New Roman"/>
          <w:b w:val="0"/>
          <w:i w:val="0"/>
          <w:color w:val="000000"/>
          <w:sz w:val="24"/>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high-dimensional fusion worsened CIMT performance; the conditional-deviation signal was small; and calibrated mBRSET phenotype-core increments crossed the null overall and in sensitivity analyses. Measurement validity, repeatability, and clinical utility were empirically distinct.</w:t>
      </w:r>
    </w:p>
    <w:p w14:paraId="640CF3B4">
      <w:pPr>
        <w:pStyle w:val="18"/>
        <w:keepNext w:val="0"/>
        <w:spacing w:before="0" w:after="100" w:line="276" w:lineRule="auto"/>
        <w:ind w:firstLine="360"/>
        <w:jc w:val="both"/>
      </w:pPr>
      <w:r>
        <w:rPr>
          <w:rFonts w:ascii="Times New Roman" w:hAnsi="Times New Roman" w:eastAsia="Times New Roman"/>
          <w:b w:val="0"/>
          <w:i w:val="0"/>
          <w:color w:val="000000"/>
          <w:sz w:val="24"/>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pStyle w:val="4"/>
        <w:keepNext/>
        <w:spacing w:before="200" w:after="120" w:line="240" w:lineRule="auto"/>
        <w:jc w:val="left"/>
      </w:pPr>
      <w:r>
        <w:rPr>
          <w:rFonts w:ascii="Times New Roman" w:hAnsi="Times New Roman" w:eastAsia="Times New Roman"/>
          <w:b/>
          <w:i w:val="0"/>
          <w:color w:val="000000"/>
          <w:sz w:val="24"/>
        </w:rPr>
        <w:t>4.2 Algorithmic and methodological contribution</w:t>
      </w:r>
    </w:p>
    <w:p w14:paraId="30956D39">
      <w:pPr>
        <w:pStyle w:val="18"/>
        <w:keepNext w:val="0"/>
        <w:spacing w:before="0" w:after="100" w:line="276" w:lineRule="auto"/>
        <w:ind w:firstLine="360"/>
        <w:jc w:val="both"/>
      </w:pPr>
      <w:r>
        <w:rPr>
          <w:rFonts w:ascii="Times New Roman" w:hAnsi="Times New Roman" w:eastAsia="Times New Roman"/>
          <w:b w:val="0"/>
          <w:i w:val="0"/>
          <w:color w:val="000000"/>
          <w:sz w:val="24"/>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pStyle w:val="18"/>
        <w:keepNext w:val="0"/>
        <w:spacing w:before="0" w:after="100" w:line="276" w:lineRule="auto"/>
        <w:ind w:firstLine="360"/>
        <w:jc w:val="both"/>
      </w:pPr>
      <w:r>
        <w:rPr>
          <w:rFonts w:ascii="Times New Roman" w:hAnsi="Times New Roman" w:eastAsia="Times New Roman"/>
          <w:b w:val="0"/>
          <w:i w:val="0"/>
          <w:color w:val="000000"/>
          <w:sz w:val="24"/>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pStyle w:val="18"/>
        <w:keepNext w:val="0"/>
        <w:spacing w:before="0" w:after="100" w:line="276" w:lineRule="auto"/>
        <w:ind w:firstLine="360"/>
        <w:jc w:val="both"/>
      </w:pPr>
      <w:r>
        <w:rPr>
          <w:rFonts w:ascii="Times New Roman" w:hAnsi="Times New Roman" w:eastAsia="Times New Roman"/>
          <w:b w:val="0"/>
          <w:i w:val="0"/>
          <w:color w:val="000000"/>
          <w:sz w:val="24"/>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pStyle w:val="4"/>
        <w:keepNext/>
        <w:spacing w:before="200" w:after="120" w:line="240" w:lineRule="auto"/>
        <w:jc w:val="left"/>
      </w:pPr>
      <w:r>
        <w:rPr>
          <w:rFonts w:ascii="Times New Roman" w:hAnsi="Times New Roman" w:eastAsia="Times New Roman"/>
          <w:b/>
          <w:i w:val="0"/>
          <w:color w:val="000000"/>
          <w:sz w:val="24"/>
        </w:rPr>
        <w:t>4.3 Clinical interpretation and limits of increment</w:t>
      </w:r>
    </w:p>
    <w:p w14:paraId="099BD538">
      <w:pPr>
        <w:pStyle w:val="18"/>
        <w:keepNext w:val="0"/>
        <w:spacing w:before="0" w:after="100" w:line="276" w:lineRule="auto"/>
        <w:ind w:firstLine="360"/>
        <w:jc w:val="both"/>
      </w:pPr>
      <w:r>
        <w:rPr>
          <w:rFonts w:ascii="Times New Roman" w:hAnsi="Times New Roman" w:eastAsia="Times New Roman"/>
          <w:b w:val="0"/>
          <w:i w:val="0"/>
          <w:color w:val="000000"/>
          <w:sz w:val="24"/>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pStyle w:val="18"/>
        <w:keepNext w:val="0"/>
        <w:spacing w:before="0" w:after="100" w:line="276" w:lineRule="auto"/>
        <w:ind w:firstLine="360"/>
        <w:jc w:val="both"/>
      </w:pPr>
      <w:r>
        <w:rPr>
          <w:rFonts w:ascii="Times New Roman" w:hAnsi="Times New Roman" w:eastAsia="Times New Roman"/>
          <w:b w:val="0"/>
          <w:i w:val="0"/>
          <w:color w:val="000000"/>
          <w:sz w:val="24"/>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pStyle w:val="18"/>
        <w:keepNext w:val="0"/>
        <w:spacing w:before="0" w:after="100" w:line="276" w:lineRule="auto"/>
        <w:ind w:firstLine="360"/>
        <w:jc w:val="both"/>
      </w:pPr>
      <w:r>
        <w:rPr>
          <w:rFonts w:ascii="Times New Roman" w:hAnsi="Times New Roman" w:eastAsia="Times New Roman"/>
          <w:b w:val="0"/>
          <w:i w:val="0"/>
          <w:color w:val="000000"/>
          <w:sz w:val="24"/>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pStyle w:val="4"/>
        <w:keepNext/>
        <w:spacing w:before="200" w:after="120" w:line="240" w:lineRule="auto"/>
        <w:jc w:val="left"/>
      </w:pPr>
      <w:r>
        <w:rPr>
          <w:rFonts w:ascii="Times New Roman" w:hAnsi="Times New Roman" w:eastAsia="Times New Roman"/>
          <w:b/>
          <w:i w:val="0"/>
          <w:color w:val="000000"/>
          <w:sz w:val="24"/>
        </w:rPr>
        <w:t>4.4 Limitations and confirmatory path</w:t>
      </w:r>
    </w:p>
    <w:p w14:paraId="01D2BF3F">
      <w:pPr>
        <w:pStyle w:val="18"/>
        <w:keepNext w:val="0"/>
        <w:spacing w:before="0" w:after="100" w:line="276" w:lineRule="auto"/>
        <w:ind w:firstLine="360"/>
        <w:jc w:val="both"/>
      </w:pPr>
      <w:r>
        <w:rPr>
          <w:rFonts w:ascii="Times New Roman" w:hAnsi="Times New Roman" w:eastAsia="Times New Roman"/>
          <w:b w:val="0"/>
          <w:i w:val="0"/>
          <w:color w:val="000000"/>
          <w:sz w:val="24"/>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pStyle w:val="18"/>
        <w:keepNext w:val="0"/>
        <w:spacing w:before="0" w:after="100" w:line="276" w:lineRule="auto"/>
        <w:ind w:firstLine="360"/>
        <w:jc w:val="both"/>
      </w:pPr>
      <w:r>
        <w:rPr>
          <w:rFonts w:ascii="Times New Roman" w:hAnsi="Times New Roman" w:eastAsia="Times New Roman"/>
          <w:b w:val="0"/>
          <w:i w:val="0"/>
          <w:color w:val="000000"/>
          <w:sz w:val="24"/>
        </w:rPr>
        <w:t>A definitive study should freeze preprocessing, both readouts, the ICC-gated 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pStyle w:val="3"/>
        <w:keepNext/>
        <w:spacing w:before="200" w:after="120" w:line="240" w:lineRule="auto"/>
        <w:jc w:val="left"/>
      </w:pPr>
      <w:r>
        <w:rPr>
          <w:rFonts w:ascii="Times New Roman" w:hAnsi="Times New Roman" w:eastAsia="Times New Roman"/>
          <w:b/>
          <w:i w:val="0"/>
          <w:color w:val="000000"/>
          <w:sz w:val="28"/>
        </w:rPr>
        <w:t>5. Conclusion</w:t>
      </w:r>
    </w:p>
    <w:p w14:paraId="3550C3E2">
      <w:pPr>
        <w:pStyle w:val="18"/>
        <w:keepNext w:val="0"/>
        <w:spacing w:before="0" w:after="100" w:line="276" w:lineRule="auto"/>
        <w:ind w:firstLine="360"/>
        <w:jc w:val="both"/>
      </w:pPr>
      <w:r>
        <w:rPr>
          <w:rFonts w:ascii="Times New Roman" w:hAnsi="Times New Roman" w:eastAsia="Times New Roman"/>
          <w:b w:val="0"/>
          <w:i w:val="0"/>
          <w:color w:val="000000"/>
          <w:sz w:val="24"/>
        </w:rPr>
        <w:t>A retinal vascular feature should not be called a biomarker merely because it can be segmented, repeated, or associated with an outcome. Across five cohorts, RMDB–BiRAP supported cross-domain measurement and four reproducible global phenotypes, while direct high-dimensional fusion, a head-disagreement uncertainty proxy, substitution of the E10A representation with the ICC-gated phenotype core, and calibrated mBRSET increment all failed to justify a clinical claim. The contribution is an auditable route from measurable pixels to reproducible phenotypes—and a transparent stopping rule until frozen confirmation on an independent high-resolution outcome cohort is possible.</w:t>
      </w:r>
    </w:p>
    <w:p w14:paraId="2D7F1692">
      <w:pPr>
        <w:pStyle w:val="18"/>
        <w:keepNext/>
        <w:spacing w:before="0" w:after="80" w:line="276" w:lineRule="auto"/>
        <w:jc w:val="both"/>
      </w:pPr>
      <w:r>
        <w:rPr>
          <w:rFonts w:ascii="Times New Roman" w:hAnsi="Times New Roman" w:eastAsia="Times New Roman"/>
          <w:b/>
          <w:i w:val="0"/>
          <w:color w:val="000000"/>
          <w:sz w:val="24"/>
        </w:rPr>
        <w:t>Declarations</w:t>
      </w:r>
    </w:p>
    <w:p w14:paraId="47BC9842">
      <w:pPr>
        <w:pStyle w:val="18"/>
        <w:keepNext/>
        <w:spacing w:before="0" w:after="100" w:line="276" w:lineRule="auto"/>
        <w:jc w:val="both"/>
      </w:pPr>
      <w:r>
        <w:rPr>
          <w:rFonts w:ascii="Times New Roman" w:hAnsi="Times New Roman" w:eastAsia="Times New Roman"/>
          <w:b/>
          <w:i w:val="0"/>
          <w:color w:val="000000"/>
          <w:sz w:val="24"/>
        </w:rPr>
        <w:t>Ethics approval and consent to participate</w:t>
      </w:r>
    </w:p>
    <w:p w14:paraId="094CABFA">
      <w:pPr>
        <w:pStyle w:val="18"/>
        <w:keepNext w:val="0"/>
        <w:spacing w:before="0" w:after="100" w:line="276" w:lineRule="auto"/>
        <w:jc w:val="both"/>
      </w:pPr>
      <w:r>
        <w:rPr>
          <w:rFonts w:ascii="Times New Roman" w:hAnsi="Times New Roman" w:eastAsia="Times New Roman"/>
          <w:b w:val="0"/>
          <w:i/>
          <w:color w:val="000000"/>
          <w:sz w:val="24"/>
        </w:rPr>
        <w:t>[Insert institutional review-board identifiers, consent status, and data-governance statements for the China Fundus–CIMT cohort. Public-data use should follow the original cohort licences.]</w:t>
      </w:r>
    </w:p>
    <w:p w14:paraId="1309008E">
      <w:pPr>
        <w:pStyle w:val="18"/>
        <w:keepNext/>
        <w:spacing w:before="0" w:after="100" w:line="276" w:lineRule="auto"/>
        <w:jc w:val="both"/>
      </w:pPr>
      <w:r>
        <w:rPr>
          <w:rFonts w:ascii="Times New Roman" w:hAnsi="Times New Roman" w:eastAsia="Times New Roman"/>
          <w:b/>
          <w:i w:val="0"/>
          <w:color w:val="000000"/>
          <w:sz w:val="24"/>
        </w:rPr>
        <w:t>Data and code availability</w:t>
      </w:r>
    </w:p>
    <w:p w14:paraId="1320A4C6">
      <w:pPr>
        <w:pStyle w:val="18"/>
        <w:keepNext w:val="0"/>
        <w:spacing w:before="0" w:after="100" w:line="276" w:lineRule="auto"/>
        <w:jc w:val="both"/>
      </w:pPr>
      <w:r>
        <w:rPr>
          <w:rFonts w:ascii="Times New Roman" w:hAnsi="Times New Roman" w:eastAsia="Times New Roman"/>
          <w:b w:val="0"/>
          <w:i w:val="0"/>
          <w:color w:val="000000"/>
          <w:sz w:val="24"/>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pStyle w:val="18"/>
        <w:keepNext/>
        <w:spacing w:before="0" w:after="100" w:line="276" w:lineRule="auto"/>
        <w:jc w:val="both"/>
      </w:pPr>
      <w:r>
        <w:rPr>
          <w:rFonts w:ascii="Times New Roman" w:hAnsi="Times New Roman" w:eastAsia="Times New Roman"/>
          <w:b/>
          <w:i w:val="0"/>
          <w:color w:val="000000"/>
          <w:sz w:val="24"/>
        </w:rPr>
        <w:t>Competing interests</w:t>
      </w:r>
    </w:p>
    <w:p w14:paraId="11D67101">
      <w:pPr>
        <w:pStyle w:val="18"/>
        <w:keepNext w:val="0"/>
        <w:spacing w:before="0" w:after="100" w:line="276" w:lineRule="auto"/>
        <w:jc w:val="both"/>
      </w:pPr>
      <w:r>
        <w:rPr>
          <w:rFonts w:ascii="Times New Roman" w:hAnsi="Times New Roman" w:eastAsia="Times New Roman"/>
          <w:b w:val="0"/>
          <w:i/>
          <w:color w:val="000000"/>
          <w:sz w:val="24"/>
        </w:rPr>
        <w:t>[The authors declare no competing interests / insert disclosures.]</w:t>
      </w:r>
    </w:p>
    <w:p w14:paraId="2A6B5B73">
      <w:pPr>
        <w:pStyle w:val="18"/>
        <w:keepNext/>
        <w:spacing w:before="0" w:after="100" w:line="276" w:lineRule="auto"/>
        <w:jc w:val="both"/>
      </w:pPr>
      <w:r>
        <w:rPr>
          <w:rFonts w:ascii="Times New Roman" w:hAnsi="Times New Roman" w:eastAsia="Times New Roman"/>
          <w:b/>
          <w:i w:val="0"/>
          <w:color w:val="000000"/>
          <w:sz w:val="24"/>
        </w:rPr>
        <w:t>Funding</w:t>
      </w:r>
    </w:p>
    <w:p w14:paraId="4F126B66">
      <w:pPr>
        <w:pStyle w:val="18"/>
        <w:keepNext w:val="0"/>
        <w:spacing w:before="0" w:after="100" w:line="276" w:lineRule="auto"/>
        <w:jc w:val="both"/>
      </w:pPr>
      <w:r>
        <w:rPr>
          <w:rFonts w:ascii="Times New Roman" w:hAnsi="Times New Roman" w:eastAsia="Times New Roman"/>
          <w:b w:val="0"/>
          <w:i/>
          <w:color w:val="000000"/>
          <w:sz w:val="24"/>
        </w:rPr>
        <w:t>[Insert funding sources and grant numbers.]</w:t>
      </w:r>
    </w:p>
    <w:p w14:paraId="6B071F6F">
      <w:pPr>
        <w:pStyle w:val="18"/>
        <w:keepNext/>
        <w:spacing w:before="0" w:after="100" w:line="276" w:lineRule="auto"/>
        <w:jc w:val="both"/>
      </w:pPr>
      <w:r>
        <w:rPr>
          <w:rFonts w:ascii="Times New Roman" w:hAnsi="Times New Roman" w:eastAsia="Times New Roman"/>
          <w:b/>
          <w:i w:val="0"/>
          <w:color w:val="000000"/>
          <w:sz w:val="24"/>
        </w:rPr>
        <w:t>Author contributions</w:t>
      </w:r>
    </w:p>
    <w:p w14:paraId="325001A8">
      <w:pPr>
        <w:pStyle w:val="18"/>
        <w:keepNext w:val="0"/>
        <w:spacing w:before="0" w:after="100" w:line="276" w:lineRule="auto"/>
        <w:jc w:val="both"/>
      </w:pPr>
      <w:r>
        <w:rPr>
          <w:rFonts w:ascii="Times New Roman" w:hAnsi="Times New Roman" w:eastAsia="Times New Roman"/>
          <w:b w:val="0"/>
          <w:i/>
          <w:color w:val="000000"/>
          <w:sz w:val="24"/>
        </w:rPr>
        <w:t>[Insert CRediT author-contribution statement.]</w:t>
      </w:r>
    </w:p>
    <w:p w14:paraId="0C6576CA">
      <w:pPr>
        <w:pStyle w:val="3"/>
        <w:keepNext/>
        <w:spacing w:before="200" w:after="120" w:line="240" w:lineRule="auto"/>
        <w:jc w:val="left"/>
      </w:pPr>
      <w:r>
        <w:rPr>
          <w:rFonts w:ascii="Times New Roman" w:hAnsi="Times New Roman" w:eastAsia="Times New Roman"/>
          <w:b/>
          <w:i w:val="0"/>
          <w:color w:val="000000"/>
          <w:sz w:val="28"/>
        </w:rPr>
        <w:t>References</w:t>
      </w:r>
    </w:p>
    <w:p w14:paraId="7AC97218">
      <w:pPr>
        <w:pStyle w:val="18"/>
        <w:keepNext/>
        <w:spacing w:before="0" w:after="80" w:line="276" w:lineRule="auto"/>
        <w:ind w:left="259" w:hanging="259"/>
        <w:jc w:val="both"/>
      </w:pPr>
      <w:r>
        <w:rPr>
          <w:rFonts w:ascii="Times New Roman" w:hAnsi="Times New Roman" w:eastAsia="Times New Roman"/>
          <w:b w:val="0"/>
          <w:i w:val="0"/>
          <w:color w:val="000000"/>
          <w:sz w:val="24"/>
        </w:rPr>
        <w:t>1. Wong TY, Mitchell P. The eye in hypertension. Lancet. 2007;369:425–435.</w:t>
      </w:r>
    </w:p>
    <w:p w14:paraId="7355D0D3">
      <w:pPr>
        <w:pStyle w:val="18"/>
        <w:keepNext/>
        <w:spacing w:before="0" w:after="80" w:line="276" w:lineRule="auto"/>
        <w:ind w:left="259" w:hanging="259"/>
        <w:jc w:val="both"/>
      </w:pPr>
      <w:r>
        <w:rPr>
          <w:rFonts w:ascii="Times New Roman" w:hAnsi="Times New Roman" w:eastAsia="Times New Roman"/>
          <w:b w:val="0"/>
          <w:i w:val="0"/>
          <w:color w:val="000000"/>
          <w:sz w:val="24"/>
        </w:rPr>
        <w:t>2. Poplin R, Varadarajan AV, Blumer K, et al. Prediction of cardiovascular risk factors from retinal fundus photographs via deep learning. Nature Biomedical Engineering. 2018;2:158–164.</w:t>
      </w:r>
    </w:p>
    <w:p w14:paraId="535A9BE5">
      <w:pPr>
        <w:pStyle w:val="18"/>
        <w:keepNext/>
        <w:spacing w:before="0" w:after="80" w:line="276" w:lineRule="auto"/>
        <w:ind w:left="259" w:hanging="259"/>
        <w:jc w:val="both"/>
      </w:pPr>
      <w:r>
        <w:rPr>
          <w:rFonts w:ascii="Times New Roman" w:hAnsi="Times New Roman" w:eastAsia="Times New Roman"/>
          <w:b w:val="0"/>
          <w:i w:val="0"/>
          <w:color w:val="000000"/>
          <w:sz w:val="24"/>
        </w:rPr>
        <w:t>3. Ting DSW, Cheung CYL, Lim G, et al. Development and validation of a deep learning system for diabetic retinopathy and related eye diseases using retinal images from multiethnic populations with diabetes. JAMA. 2017;318:2211–2223.</w:t>
      </w:r>
    </w:p>
    <w:p w14:paraId="4EECF535">
      <w:pPr>
        <w:pStyle w:val="18"/>
        <w:keepNext/>
        <w:spacing w:before="0" w:after="80" w:line="276" w:lineRule="auto"/>
        <w:ind w:left="259" w:hanging="259"/>
        <w:jc w:val="both"/>
      </w:pPr>
      <w:r>
        <w:rPr>
          <w:rFonts w:ascii="Times New Roman" w:hAnsi="Times New Roman" w:eastAsia="Times New Roman"/>
          <w:b w:val="0"/>
          <w:i w:val="0"/>
          <w:color w:val="000000"/>
          <w:sz w:val="24"/>
        </w:rPr>
        <w:t>4. Zhou Y, Chia MA, Wagner SK, et al. A foundation model for generalizable disease detection from retinal images. Nature. 2023;622:156–163.</w:t>
      </w:r>
    </w:p>
    <w:p w14:paraId="5102FEEF">
      <w:pPr>
        <w:pStyle w:val="18"/>
        <w:keepNext/>
        <w:spacing w:before="0" w:after="80" w:line="276" w:lineRule="auto"/>
        <w:ind w:left="259" w:hanging="259"/>
        <w:jc w:val="both"/>
      </w:pPr>
      <w:r>
        <w:rPr>
          <w:rFonts w:ascii="Times New Roman" w:hAnsi="Times New Roman" w:eastAsia="Times New Roman"/>
          <w:b w:val="0"/>
          <w:i w:val="0"/>
          <w:color w:val="000000"/>
          <w:sz w:val="24"/>
        </w:rPr>
        <w:t>5. McGraw KO, Wong SP. Forming inferences about some intraclass correlation coefficients. Psychological Methods. 1996;1:30–46.</w:t>
      </w:r>
    </w:p>
    <w:p w14:paraId="15BF5BC9">
      <w:pPr>
        <w:pStyle w:val="18"/>
        <w:keepNext/>
        <w:spacing w:before="0" w:after="80" w:line="276" w:lineRule="auto"/>
        <w:ind w:left="259" w:hanging="259"/>
        <w:jc w:val="both"/>
      </w:pPr>
      <w:r>
        <w:rPr>
          <w:rFonts w:ascii="Times New Roman" w:hAnsi="Times New Roman" w:eastAsia="Times New Roman"/>
          <w:b w:val="0"/>
          <w:i w:val="0"/>
          <w:color w:val="000000"/>
          <w:sz w:val="24"/>
        </w:rPr>
        <w:t>6. Koo TK, Li MY. A guideline of selecting and reporting intraclass correlation coefficients for reliability research. Journal of Chiropractic Medicine. 2016;15:155–163.</w:t>
      </w:r>
    </w:p>
    <w:p w14:paraId="0D78A3EC">
      <w:pPr>
        <w:pStyle w:val="18"/>
        <w:keepNext/>
        <w:spacing w:before="0" w:after="80" w:line="276" w:lineRule="auto"/>
        <w:ind w:left="259" w:hanging="259"/>
        <w:jc w:val="both"/>
      </w:pPr>
      <w:r>
        <w:rPr>
          <w:rFonts w:ascii="Times New Roman" w:hAnsi="Times New Roman" w:eastAsia="Times New Roman"/>
          <w:b w:val="0"/>
          <w:i w:val="0"/>
          <w:color w:val="000000"/>
          <w:sz w:val="24"/>
        </w:rPr>
        <w:t>7. Steyerberg EW. Clinical Prediction Models. 2nd ed. Springer; 2019.</w:t>
      </w:r>
    </w:p>
    <w:p w14:paraId="43D31F39">
      <w:pPr>
        <w:pStyle w:val="18"/>
        <w:keepNext/>
        <w:spacing w:before="0" w:after="80" w:line="276" w:lineRule="auto"/>
        <w:ind w:left="259" w:hanging="259"/>
        <w:jc w:val="both"/>
      </w:pPr>
      <w:r>
        <w:rPr>
          <w:rFonts w:ascii="Times New Roman" w:hAnsi="Times New Roman" w:eastAsia="Times New Roman"/>
          <w:b w:val="0"/>
          <w:i w:val="0"/>
          <w:color w:val="000000"/>
          <w:sz w:val="24"/>
        </w:rPr>
        <w:t>8. Collins GS, Reitsma JB, Altman DG, Moons KGM. Transparent reporting of a multivariable prediction model for individual prognosis or diagnosis (TRIPOD). Annals of Internal Medicine. 2015;162:55–63.</w:t>
      </w:r>
    </w:p>
    <w:p w14:paraId="2128F814">
      <w:pPr>
        <w:pStyle w:val="18"/>
        <w:keepNext/>
        <w:spacing w:before="0" w:after="80" w:line="276" w:lineRule="auto"/>
        <w:ind w:left="259" w:hanging="259"/>
        <w:jc w:val="both"/>
      </w:pPr>
      <w:r>
        <w:rPr>
          <w:rFonts w:ascii="Times New Roman" w:hAnsi="Times New Roman" w:eastAsia="Times New Roman"/>
          <w:b w:val="0"/>
          <w:i w:val="0"/>
          <w:color w:val="000000"/>
          <w:sz w:val="24"/>
        </w:rPr>
        <w:t>9. Efron B, Tibshirani RJ. An Introduction to the Bootstrap. Chapman &amp; Hall/CRC; 1993.</w:t>
      </w:r>
    </w:p>
    <w:p w14:paraId="0CD32A78">
      <w:pPr>
        <w:pStyle w:val="18"/>
        <w:spacing w:before="0" w:after="30" w:line="276" w:lineRule="auto"/>
        <w:ind w:left="259" w:hanging="259"/>
        <w:jc w:val="both"/>
      </w:pPr>
      <w:r>
        <w:rPr>
          <w:rFonts w:ascii="Times New Roman" w:hAnsi="Times New Roman" w:eastAsia="Times New Roman"/>
          <w:b w:val="0"/>
          <w:i w:val="0"/>
          <w:color w:val="000000"/>
          <w:sz w:val="24"/>
        </w:rPr>
        <w:t>10. DeLong ER, DeLong DM, Clarke-Pearson DL. Comparing the areas under two or more correlated receiver operating characteristic curves. Biometrics. 1988;44:837–845.</w:t>
      </w:r>
    </w:p>
    <w:p w14:paraId="174BBB54">
      <w:pPr>
        <w:pStyle w:val="18"/>
        <w:spacing w:before="0" w:after="30" w:line="276" w:lineRule="auto"/>
        <w:ind w:left="259" w:hanging="259"/>
        <w:jc w:val="both"/>
      </w:pPr>
      <w:r>
        <w:rPr>
          <w:rFonts w:ascii="Times New Roman" w:hAnsi="Times New Roman" w:eastAsia="Times New Roman"/>
          <w:b w:val="0"/>
          <w:i w:val="0"/>
          <w:color w:val="000000"/>
          <w:sz w:val="24"/>
        </w:rPr>
        <w:t>11. Harrell FE Jr. Regression Modeling Strategies. 2nd ed. Springer; 2015.</w:t>
      </w:r>
    </w:p>
    <w:p w14:paraId="6CA5327F">
      <w:pPr>
        <w:pStyle w:val="18"/>
        <w:spacing w:before="0" w:after="30" w:line="276" w:lineRule="auto"/>
        <w:ind w:left="259" w:hanging="259"/>
        <w:jc w:val="both"/>
      </w:pPr>
      <w:r>
        <w:rPr>
          <w:rFonts w:ascii="Times New Roman" w:hAnsi="Times New Roman" w:eastAsia="Times New Roman"/>
          <w:b w:val="0"/>
          <w:i w:val="0"/>
          <w:color w:val="000000"/>
          <w:sz w:val="24"/>
        </w:rPr>
        <w:t>12. Riley RD, van der Windt D, Croft P, Moons KGM, editors. Prognosis Research in Healthcare. Oxford University Press; 2019.</w:t>
      </w:r>
    </w:p>
    <w:p w14:paraId="08AFFEC7">
      <w:pPr>
        <w:pStyle w:val="18"/>
        <w:spacing w:before="0" w:after="30" w:line="276" w:lineRule="auto"/>
        <w:ind w:left="259" w:hanging="259"/>
        <w:jc w:val="both"/>
      </w:pPr>
      <w:r>
        <w:rPr>
          <w:rFonts w:ascii="Times New Roman" w:hAnsi="Times New Roman" w:eastAsia="Times New Roman"/>
          <w:b w:val="0"/>
          <w:i w:val="0"/>
          <w:color w:val="000000"/>
          <w:sz w:val="24"/>
        </w:rPr>
        <w:t>13. Jin K, Huang X, Zhou J, et al. FIVES: A Fundus Image Dataset for Artificial Intelligence based Vessel Segmentation. Scientific Data. 2022;9:475. doi:10.1038/s41597-022-01564-3.</w:t>
      </w:r>
    </w:p>
    <w:p w14:paraId="0BF93BE0">
      <w:pPr>
        <w:pStyle w:val="18"/>
        <w:spacing w:before="0" w:after="30" w:line="276" w:lineRule="auto"/>
        <w:ind w:left="259" w:hanging="259"/>
        <w:jc w:val="both"/>
      </w:pPr>
      <w:r>
        <w:rPr>
          <w:rFonts w:ascii="Times New Roman" w:hAnsi="Times New Roman" w:eastAsia="Times New Roman"/>
          <w:b w:val="0"/>
          <w:i w:val="0"/>
          <w:color w:val="000000"/>
          <w:sz w:val="24"/>
        </w:rPr>
        <w:t>14. Vargas Quiros J, Liefers B, van Garderen KA, Vermeulen JP, Eyened Reading Center, Klaver C. Rotterdam artery–vein segmentation (RAV) dataset. arXiv. 2025;arXiv:2512.17322. Dataset doi:10.34894/9OIMWY.</w:t>
      </w:r>
    </w:p>
    <w:p w14:paraId="0FABD628">
      <w:pPr>
        <w:pStyle w:val="18"/>
        <w:spacing w:before="0" w:after="30" w:line="276" w:lineRule="auto"/>
        <w:ind w:left="259" w:hanging="259"/>
        <w:jc w:val="both"/>
      </w:pPr>
      <w:r>
        <w:rPr>
          <w:rFonts w:ascii="Times New Roman" w:hAnsi="Times New Roman" w:eastAsia="Times New Roman"/>
          <w:b w:val="0"/>
          <w:i w:val="0"/>
          <w:color w:val="000000"/>
          <w:sz w:val="24"/>
        </w:rPr>
        <w:t>15. Deng Z, Gao W, Gong Z, et al. A Fundus Image Dataset for AI-based Artery-Vein Vessel Segmentation. Scientific Data. 2025;12. doi:10.1038/s41597-025-05381-2. Dataset doi:10.6084/m9.figshare.27938034.v2.</w:t>
      </w:r>
    </w:p>
    <w:p w14:paraId="79EEC317">
      <w:pPr>
        <w:pStyle w:val="18"/>
        <w:spacing w:before="0" w:after="30" w:line="276" w:lineRule="auto"/>
        <w:ind w:left="259" w:hanging="259"/>
        <w:jc w:val="both"/>
      </w:pPr>
      <w:r>
        <w:rPr>
          <w:rFonts w:ascii="Times New Roman" w:hAnsi="Times New Roman" w:eastAsia="Times New Roman"/>
          <w:b w:val="0"/>
          <w:i w:val="0"/>
          <w:color w:val="000000"/>
          <w:sz w:val="24"/>
        </w:rPr>
        <w:t>16. Nakayama LF, Ribeiro LZ, Restrepo D, et al. BRSET: A Brazilian Multilabel Ophthalmological Dataset of Retina Fundus Photos. PLOS Digital Health. 2024;3:e0000454. doi:10.1371/journal.pdig.0000454. Dataset doi:10.13026/xcxw-8198.</w:t>
      </w:r>
    </w:p>
    <w:p w14:paraId="1D4D62BE">
      <w:pPr>
        <w:pStyle w:val="18"/>
        <w:spacing w:before="0" w:line="276" w:lineRule="auto"/>
        <w:jc w:val="both"/>
      </w:pPr>
      <w:r>
        <w:rPr>
          <w:rFonts w:ascii="Times New Roman" w:hAnsi="Times New Roman" w:eastAsia="Times New Roman"/>
          <w:b w:val="0"/>
          <w:i w:val="0"/>
          <w:color w:val="000000"/>
          <w:sz w:val="24"/>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7B74B04"/>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120" w:line="276" w:lineRule="auto"/>
      <w:jc w:val="both"/>
    </w:pPr>
    <w:rPr>
      <w:rFonts w:ascii="Times New Roman" w:hAnsi="Times New Roman" w:eastAsiaTheme="minorAscii" w:cstheme="minorBidi"/>
      <w:color w:val="000000"/>
      <w:kern w:val="2"/>
      <w:sz w:val="24"/>
      <w:szCs w:val="28"/>
      <w:lang w:val="en-US" w:eastAsia="zh-CN" w:bidi="ar-SA"/>
    </w:rPr>
  </w:style>
  <w:style w:type="paragraph" w:styleId="2">
    <w:name w:val="heading 1"/>
    <w:basedOn w:val="1"/>
    <w:next w:val="1"/>
    <w:link w:val="33"/>
    <w:autoRedefine/>
    <w:qFormat/>
    <w:uiPriority w:val="9"/>
    <w:pPr>
      <w:keepNext/>
      <w:keepLines/>
      <w:spacing w:before="200" w:after="120" w:line="240" w:lineRule="auto"/>
      <w:outlineLvl w:val="0"/>
    </w:pPr>
    <w:rPr>
      <w:rFonts w:eastAsia="Times New Roman" w:cs="Times New Roman" w:asciiTheme="minorAscii" w:hAnsiTheme="minorAscii"/>
      <w:b/>
      <w:bCs/>
      <w:color w:val="000000"/>
      <w:kern w:val="44"/>
      <w:sz w:val="28"/>
      <w:szCs w:val="32"/>
    </w:rPr>
  </w:style>
  <w:style w:type="paragraph" w:styleId="3">
    <w:name w:val="heading 2"/>
    <w:basedOn w:val="1"/>
    <w:next w:val="1"/>
    <w:link w:val="29"/>
    <w:autoRedefine/>
    <w:unhideWhenUsed/>
    <w:qFormat/>
    <w:uiPriority w:val="9"/>
    <w:pPr>
      <w:keepNext/>
      <w:widowControl/>
      <w:spacing w:before="200" w:after="120"/>
      <w:outlineLvl w:val="1"/>
    </w:pPr>
    <w:rPr>
      <w:rFonts w:ascii="Times New Roman" w:hAnsi="Times New Roman" w:eastAsia="Times New Roman" w:cs="Times New Roman"/>
      <w:b/>
      <w:color w:val="000000"/>
      <w:sz w:val="28"/>
    </w:rPr>
  </w:style>
  <w:style w:type="paragraph" w:styleId="4">
    <w:name w:val="heading 3"/>
    <w:basedOn w:val="1"/>
    <w:next w:val="1"/>
    <w:link w:val="30"/>
    <w:unhideWhenUsed/>
    <w:qFormat/>
    <w:uiPriority w:val="9"/>
    <w:pPr>
      <w:keepNext/>
      <w:keepLines/>
      <w:adjustRightInd w:val="0"/>
      <w:spacing w:before="200" w:after="120" w:line="288" w:lineRule="auto"/>
      <w:outlineLvl w:val="2"/>
    </w:pPr>
    <w:rPr>
      <w:rFonts w:ascii="Times New Roman" w:hAnsi="Times New Roman" w:eastAsia="Times New Roman" w:cs="Times New Roman"/>
      <w:b/>
      <w:bCs/>
      <w:color w:val="000000"/>
      <w:sz w:val="28"/>
    </w:rPr>
  </w:style>
  <w:style w:type="paragraph" w:styleId="5">
    <w:name w:val="heading 4"/>
    <w:basedOn w:val="1"/>
    <w:next w:val="1"/>
    <w:unhideWhenUsed/>
    <w:qFormat/>
    <w:uiPriority w:val="9"/>
    <w:pPr>
      <w:spacing w:beforeAutospacing="1" w:afterAutospacing="1"/>
      <w:jc w:val="left"/>
      <w:outlineLvl w:val="3"/>
    </w:pPr>
    <w:rPr>
      <w:rFonts w:hint="eastAsia" w:ascii="Times New Roman" w:hAnsi="Times New Roman"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Times New Roman" w:hAnsi="Times New Roman"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rFonts w:ascii="Times New Roman" w:hAnsi="Times New Roman" w:cs="Times New Roman"/>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rPr>
      <w:rFonts w:ascii="Times New Roman" w:hAnsi="Times New Roman" w:cs="Times New Roman"/>
    </w:rPr>
  </w:style>
  <w:style w:type="table" w:default="1" w:styleId="20">
    <w:name w:val="Normal Table"/>
    <w:autoRedefine/>
    <w:semiHidden/>
    <w:unhideWhenUsed/>
    <w:qFormat/>
    <w:uiPriority w:val="99"/>
    <w:rPr>
      <w:rFonts w:ascii="Times New Roman" w:hAnsi="Times New Roman" w:cs="Times New Roman"/>
    </w:rPr>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rPr>
      <w:rFonts w:ascii="Times New Roman" w:hAnsi="Times New Roman" w:cs="Times New Roman"/>
    </w:rPr>
  </w:style>
  <w:style w:type="paragraph" w:styleId="12">
    <w:name w:val="toc 3"/>
    <w:basedOn w:val="1"/>
    <w:next w:val="1"/>
    <w:autoRedefine/>
    <w:unhideWhenUsed/>
    <w:qFormat/>
    <w:uiPriority w:val="39"/>
    <w:pPr>
      <w:widowControl/>
      <w:spacing w:after="100" w:line="259" w:lineRule="auto"/>
      <w:ind w:left="440"/>
      <w:jc w:val="left"/>
    </w:pPr>
    <w:rPr>
      <w:rFonts w:ascii="Times New Roman" w:hAnsi="Times New Roman"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rFonts w:ascii="Times New Roman" w:hAnsi="Times New Roman" w:cs="Times New Roman"/>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rFonts w:ascii="Times New Roman" w:hAnsi="Times New Roman" w:cs="Times New Roman"/>
      <w:sz w:val="18"/>
      <w:szCs w:val="18"/>
    </w:rPr>
  </w:style>
  <w:style w:type="paragraph" w:styleId="15">
    <w:name w:val="toc 1"/>
    <w:basedOn w:val="1"/>
    <w:next w:val="1"/>
    <w:autoRedefine/>
    <w:unhideWhenUsed/>
    <w:qFormat/>
    <w:uiPriority w:val="39"/>
    <w:pPr>
      <w:widowControl/>
      <w:spacing w:after="100" w:line="259" w:lineRule="auto"/>
      <w:jc w:val="left"/>
    </w:pPr>
    <w:rPr>
      <w:rFonts w:ascii="Times New Roman" w:hAnsi="Times New Roman"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ascii="Times New Roman" w:hAnsi="Times New Roman"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Times New Roman" w:hAnsi="Times New Roman" w:eastAsia="宋体" w:cs="Times New Roman"/>
      <w:kern w:val="0"/>
      <w:sz w:val="24"/>
      <w:szCs w:val="24"/>
    </w:rPr>
  </w:style>
  <w:style w:type="paragraph" w:styleId="18">
    <w:name w:val="Normal (Web)"/>
    <w:basedOn w:val="1"/>
    <w:link w:val="53"/>
    <w:unhideWhenUsed/>
    <w:qFormat/>
    <w:uiPriority w:val="99"/>
    <w:pPr>
      <w:widowControl/>
      <w:spacing w:before="100" w:beforeAutospacing="1" w:after="120" w:afterAutospacing="1" w:line="276" w:lineRule="auto"/>
      <w:jc w:val="both"/>
    </w:pPr>
    <w:rPr>
      <w:rFonts w:ascii="Times New Roman" w:hAnsi="Times New Roman" w:eastAsia="Times New Roman" w:cs="Times New Roman"/>
      <w:color w:val="000000"/>
      <w:kern w:val="0"/>
      <w:sz w:val="24"/>
      <w:szCs w:val="28"/>
    </w:rPr>
  </w:style>
  <w:style w:type="paragraph" w:styleId="19">
    <w:name w:val="annotation subject"/>
    <w:basedOn w:val="11"/>
    <w:next w:val="11"/>
    <w:link w:val="43"/>
    <w:semiHidden/>
    <w:unhideWhenUsed/>
    <w:qFormat/>
    <w:uiPriority w:val="99"/>
    <w:rPr>
      <w:rFonts w:ascii="Times New Roman" w:hAnsi="Times New Roman" w:cs="Times New Roman"/>
      <w:b/>
      <w:bCs/>
    </w:rPr>
  </w:style>
  <w:style w:type="table" w:styleId="21">
    <w:name w:val="Table Grid"/>
    <w:basedOn w:val="20"/>
    <w:qFormat/>
    <w:uiPriority w:val="39"/>
    <w:pPr>
      <w:widowControl w:val="0"/>
      <w:jc w:val="both"/>
    </w:pPr>
    <w:rPr>
      <w:rFonts w:ascii="Times New Roman" w:hAnsi="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rFonts w:ascii="Times New Roman" w:hAnsi="Times New Roman" w:cs="Times New Roman"/>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rFonts w:ascii="Times New Roman" w:hAnsi="Times New Roman" w:cs="Times New Roman"/>
      <w:b/>
      <w:bCs/>
    </w:rPr>
  </w:style>
  <w:style w:type="character" w:styleId="25">
    <w:name w:val="Emphasis"/>
    <w:basedOn w:val="23"/>
    <w:qFormat/>
    <w:uiPriority w:val="20"/>
    <w:rPr>
      <w:rFonts w:ascii="Times New Roman" w:hAnsi="Times New Roman" w:cs="Times New Roman"/>
      <w:i/>
    </w:rPr>
  </w:style>
  <w:style w:type="character" w:styleId="26">
    <w:name w:val="Hyperlink"/>
    <w:basedOn w:val="23"/>
    <w:autoRedefine/>
    <w:unhideWhenUsed/>
    <w:qFormat/>
    <w:uiPriority w:val="99"/>
    <w:rPr>
      <w:rFonts w:ascii="Times New Roman" w:hAnsi="Times New Roman" w:cs="Times New Roman"/>
      <w:color w:val="0000FF"/>
      <w:u w:val="single"/>
    </w:rPr>
  </w:style>
  <w:style w:type="character" w:styleId="27">
    <w:name w:val="HTML Code"/>
    <w:basedOn w:val="23"/>
    <w:autoRedefine/>
    <w:semiHidden/>
    <w:unhideWhenUsed/>
    <w:qFormat/>
    <w:uiPriority w:val="99"/>
    <w:rPr>
      <w:rFonts w:ascii="Times New Roman" w:hAnsi="Times New Roman" w:cs="Times New Roman"/>
      <w:sz w:val="20"/>
    </w:rPr>
  </w:style>
  <w:style w:type="character" w:styleId="28">
    <w:name w:val="annotation reference"/>
    <w:basedOn w:val="23"/>
    <w:autoRedefine/>
    <w:semiHidden/>
    <w:unhideWhenUsed/>
    <w:qFormat/>
    <w:uiPriority w:val="99"/>
    <w:rPr>
      <w:rFonts w:ascii="Times New Roman" w:hAnsi="Times New Roman" w:cs="Times New Roman"/>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Times New Roman" w:hAnsi="Times New Roman" w:eastAsia="Times New Roman" w:cs="Times New Roman"/>
      <w:color w:val="222222"/>
      <w:kern w:val="2"/>
      <w:sz w:val="21"/>
      <w:szCs w:val="21"/>
      <w:lang w:val="en-US" w:eastAsia="zh-CN" w:bidi="ar-SA"/>
    </w:rPr>
  </w:style>
  <w:style w:type="character" w:customStyle="1" w:styleId="32">
    <w:name w:val="正文2 Char"/>
    <w:link w:val="31"/>
    <w:autoRedefine/>
    <w:qFormat/>
    <w:uiPriority w:val="0"/>
    <w:rPr>
      <w:rFonts w:ascii="Times New Roman" w:hAnsi="Times New Roman" w:eastAsia="Times New Roman" w:cs="Times New Roman"/>
      <w:color w:val="222222"/>
      <w:szCs w:val="21"/>
    </w:rPr>
  </w:style>
  <w:style w:type="character" w:customStyle="1" w:styleId="33">
    <w:name w:val="标题 1 字符"/>
    <w:basedOn w:val="23"/>
    <w:link w:val="2"/>
    <w:autoRedefine/>
    <w:qFormat/>
    <w:uiPriority w:val="9"/>
    <w:rPr>
      <w:rFonts w:cs="Times New Roman" w:asciiTheme="minorAscii" w:hAnsiTheme="minorAscii" w:eastAsiaTheme="minorEastAsia"/>
      <w:b/>
      <w:bCs/>
      <w:kern w:val="44"/>
      <w:sz w:val="32"/>
      <w:szCs w:val="32"/>
    </w:rPr>
  </w:style>
  <w:style w:type="character" w:customStyle="1" w:styleId="34">
    <w:name w:val="页眉 字符"/>
    <w:basedOn w:val="23"/>
    <w:link w:val="14"/>
    <w:qFormat/>
    <w:uiPriority w:val="99"/>
    <w:rPr>
      <w:rFonts w:ascii="Times New Roman" w:hAnsi="Times New Roman" w:cs="Times New Roman"/>
      <w:sz w:val="18"/>
      <w:szCs w:val="18"/>
    </w:rPr>
  </w:style>
  <w:style w:type="character" w:customStyle="1" w:styleId="35">
    <w:name w:val="页脚 字符"/>
    <w:basedOn w:val="23"/>
    <w:link w:val="13"/>
    <w:qFormat/>
    <w:uiPriority w:val="99"/>
    <w:rPr>
      <w:rFonts w:ascii="Times New Roman" w:hAnsi="Times New Roman" w:cs="Times New Roman"/>
      <w:sz w:val="18"/>
      <w:szCs w:val="18"/>
    </w:rPr>
  </w:style>
  <w:style w:type="character" w:styleId="36">
    <w:name w:val="Placeholder Text"/>
    <w:basedOn w:val="23"/>
    <w:semiHidden/>
    <w:qFormat/>
    <w:uiPriority w:val="99"/>
    <w:rPr>
      <w:rFonts w:ascii="Times New Roman" w:hAnsi="Times New Roman" w:cs="Times New Roman"/>
      <w:color w:val="666666"/>
    </w:rPr>
  </w:style>
  <w:style w:type="table" w:customStyle="1" w:styleId="37">
    <w:name w:val="网格型12"/>
    <w:basedOn w:val="20"/>
    <w:qFormat/>
    <w:uiPriority w:val="39"/>
    <w:rPr>
      <w:rFonts w:ascii="Times New Roman" w:hAnsi="Times New Roman" w:eastAsia="微软雅黑" w:cs="Times New Roman"/>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rPr>
      <w:rFonts w:ascii="Times New Roman" w:hAnsi="Times New Roman" w:cs="Times New Roman"/>
    </w:rPr>
  </w:style>
  <w:style w:type="character" w:customStyle="1" w:styleId="39">
    <w:name w:val="HTML 预设格式 字符"/>
    <w:basedOn w:val="23"/>
    <w:link w:val="17"/>
    <w:autoRedefine/>
    <w:qFormat/>
    <w:uiPriority w:val="99"/>
    <w:rPr>
      <w:rFonts w:ascii="Times New Roman" w:hAnsi="Times New Roman" w:eastAsia="宋体" w:cs="Times New Roman"/>
      <w:kern w:val="0"/>
      <w:sz w:val="24"/>
      <w:szCs w:val="24"/>
    </w:rPr>
  </w:style>
  <w:style w:type="paragraph" w:customStyle="1" w:styleId="40">
    <w:name w:val="EndNote Bibliography"/>
    <w:basedOn w:val="1"/>
    <w:link w:val="41"/>
    <w:qFormat/>
    <w:uiPriority w:val="0"/>
    <w:rPr>
      <w:rFonts w:ascii="Times New Roman" w:hAnsi="Times New Roman" w:eastAsia="宋体" w:cs="Times New Roman"/>
      <w:sz w:val="20"/>
    </w:rPr>
  </w:style>
  <w:style w:type="character" w:customStyle="1" w:styleId="41">
    <w:name w:val="EndNote Bibliography 字符"/>
    <w:link w:val="40"/>
    <w:qFormat/>
    <w:uiPriority w:val="0"/>
    <w:rPr>
      <w:rFonts w:ascii="Times New Roman" w:hAnsi="Times New Roman" w:eastAsia="宋体" w:cs="Times New Roman"/>
      <w:sz w:val="20"/>
    </w:rPr>
  </w:style>
  <w:style w:type="character" w:customStyle="1" w:styleId="42">
    <w:name w:val="批注文字 字符"/>
    <w:basedOn w:val="23"/>
    <w:link w:val="11"/>
    <w:autoRedefine/>
    <w:semiHidden/>
    <w:qFormat/>
    <w:uiPriority w:val="99"/>
    <w:rPr>
      <w:rFonts w:ascii="Times New Roman" w:hAnsi="Times New Roman" w:cs="Times New Roman"/>
    </w:rPr>
  </w:style>
  <w:style w:type="character" w:customStyle="1" w:styleId="43">
    <w:name w:val="批注主题 字符"/>
    <w:basedOn w:val="42"/>
    <w:link w:val="19"/>
    <w:semiHidden/>
    <w:qFormat/>
    <w:uiPriority w:val="99"/>
    <w:rPr>
      <w:rFonts w:ascii="Times New Roman" w:hAnsi="Times New Roman" w:cs="Times New Roman"/>
      <w:b/>
      <w:bCs/>
    </w:rPr>
  </w:style>
  <w:style w:type="character" w:customStyle="1" w:styleId="44">
    <w:name w:val="text_csco8"/>
    <w:basedOn w:val="23"/>
    <w:autoRedefine/>
    <w:qFormat/>
    <w:uiPriority w:val="0"/>
    <w:rPr>
      <w:rFonts w:ascii="Times New Roman" w:hAnsi="Times New Roman" w:cs="Times New Roman"/>
    </w:rPr>
  </w:style>
  <w:style w:type="character" w:customStyle="1" w:styleId="45">
    <w:name w:val="未处理的提及1"/>
    <w:basedOn w:val="23"/>
    <w:autoRedefine/>
    <w:semiHidden/>
    <w:unhideWhenUsed/>
    <w:qFormat/>
    <w:uiPriority w:val="99"/>
    <w:rPr>
      <w:rFonts w:ascii="Times New Roman" w:hAnsi="Times New Roman" w:cs="Times New Roman"/>
      <w:color w:val="605E5C"/>
      <w:shd w:val="clear" w:color="auto" w:fill="E1DFDD"/>
    </w:rPr>
  </w:style>
  <w:style w:type="paragraph" w:customStyle="1" w:styleId="46">
    <w:name w:val="Authors"/>
    <w:qFormat/>
    <w:uiPriority w:val="0"/>
    <w:pPr>
      <w:spacing w:after="113"/>
      <w:ind w:left="1418"/>
    </w:pPr>
    <w:rPr>
      <w:rFonts w:ascii="Times New Roman" w:hAnsi="Times New Roman"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Times New Roman" w:hAnsi="Times New Roman" w:eastAsia="微软雅黑" w:cs="Times New Roman"/>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Times New Roman" w:hAnsi="Times New Roman" w:eastAsia="微软雅黑" w:cs="Times New Roman"/>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Times New Roman" w:hAnsi="Times New Roman"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Times New Roman" w:hAnsi="Times New Roman"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Times New Roman" w:hAnsi="Times New Roman" w:eastAsia="微软雅黑" w:cs="Times New Roman"/>
      <w:sz w:val="26"/>
    </w:rPr>
  </w:style>
  <w:style w:type="character" w:customStyle="1" w:styleId="57">
    <w:name w:val="b63ee27f-4cf3-414c-9275-d88e3f90795e 字符"/>
    <w:basedOn w:val="54"/>
    <w:link w:val="56"/>
    <w:autoRedefine/>
    <w:qFormat/>
    <w:uiPriority w:val="0"/>
    <w:rPr>
      <w:rFonts w:ascii="Times New Roman" w:hAnsi="Times New Roman"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Times New Roman" w:hAnsi="Times New Roman" w:eastAsia="微软雅黑" w:cs="Times New Roman"/>
      <w:bCs w:val="0"/>
      <w:color w:val="000000"/>
      <w:sz w:val="32"/>
      <w:szCs w:val="36"/>
    </w:rPr>
  </w:style>
  <w:style w:type="character" w:customStyle="1" w:styleId="59">
    <w:name w:val="21bc9c4b-6a32-43e5-beaa-fd2d792c5735 字符"/>
    <w:basedOn w:val="53"/>
    <w:link w:val="58"/>
    <w:qFormat/>
    <w:uiPriority w:val="0"/>
    <w:rPr>
      <w:rFonts w:ascii="Times New Roman" w:hAnsi="Times New Roman"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rFonts w:ascii="Times New Roman" w:hAnsi="Times New Roman" w:cs="Times New Roman"/>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Times New Roman" w:hAnsi="Times New Roman" w:eastAsia="宋体" w:cs="Times New Roman"/>
      <w:kern w:val="0"/>
      <w:sz w:val="24"/>
      <w:szCs w:val="24"/>
    </w:rPr>
  </w:style>
  <w:style w:type="character" w:customStyle="1" w:styleId="63">
    <w:name w:val="ng-star-inserted1"/>
    <w:basedOn w:val="23"/>
    <w:autoRedefine/>
    <w:qFormat/>
    <w:uiPriority w:val="0"/>
    <w:rPr>
      <w:rFonts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26</Pages>
  <Words>3157</Words>
  <Characters>21508</Characters>
  <Lines>1</Lines>
  <Paragraphs>1</Paragraphs>
  <TotalTime>101</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2026-01-06T23:41:00Z</dcterms:created>
  <dc:creator>[Author names]</dc:creator>
  <cp:keywords>retinal vasculature, dual readout, measurement validity, repeatability, CIMT, hypertension</cp:keywords>
  <cp:lastModifiedBy>祁涟柒子衿</cp:lastModifiedBy>
  <dcterms:modified xsi:type="dcterms:W3CDTF">2026-08-21T17:53:43Z</dcterms:modified>
  <dc:subject>RMDB–BiRAP retinal vascular phenotype measurement framework</dc:subject>
  <dc:title>Pixel Accuracy Is Not Biomarker Validity: RMDB–BiRAP for Dual-Readout, Reliability-Gated Retinal Vascular Phenotyping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