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0" w:after="80" w:line="240" w:lineRule="auto"/>
        <w:jc w:val="left"/>
      </w:pPr>
      <w:r>
        <w:rPr>
          <w:rFonts w:ascii="Times New Roman" w:hAnsi="Times New Roman" w:eastAsia="Times New Roman"/>
          <w:b/>
          <w:i w:val="0"/>
          <w:color w:val="000000"/>
          <w:sz w:val="32"/>
        </w:rPr>
        <w:t>Pixel Accuracy Is Not Biomarker Validity:</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RMDB–BiRAP for Dual-Readout, Reliability-Gated Retinal Vascular Phenotyping</w:t>
      </w:r>
      <w:bookmarkStart w:id="0" w:name="_GoBack"/>
      <w:bookmarkEnd w:id="0"/>
    </w:p>
    <w:p w14:paraId="4FED592B">
      <w:pPr>
        <w:spacing w:after="80" w:before="0" w:line="240" w:lineRule="auto"/>
        <w:jc w:val="left"/>
      </w:pPr>
      <w:r>
        <w:rPr>
          <w:rFonts w:ascii="Times New Roman" w:hAnsi="Times New Roman" w:eastAsia="Times New Roman"/>
          <w:b w:val="0"/>
          <w:i w:val="0"/>
          <w:color w:val="000000"/>
          <w:sz w:val="32"/>
        </w:rPr>
        <w:t>[Author names]</w:t>
      </w:r>
    </w:p>
    <w:p w14:paraId="7330037B">
      <w:pPr>
        <w:keepNext w:val="0"/>
        <w:spacing w:before="0" w:after="320" w:line="240" w:lineRule="auto"/>
        <w:jc w:val="left"/>
      </w:pPr>
      <w:r>
        <w:rPr>
          <w:rFonts w:ascii="Times New Roman" w:hAnsi="Times New Roman" w:eastAsia="Times New Roman"/>
          <w:b w:val="0"/>
          <w:i w:val="0"/>
          <w:color w:val="000000"/>
          <w:sz w:val="32"/>
        </w:rPr>
        <w:t>[Affiliations]</w:t>
      </w:r>
    </w:p>
    <w:p w14:paraId="539C03FB">
      <w:pPr>
        <w:keepNext w:val="0"/>
        <w:spacing w:before="0" w:after="60" w:line="240" w:lineRule="auto"/>
        <w:jc w:val="left"/>
      </w:pPr>
      <w:r>
        <w:rPr>
          <w:rFonts w:ascii="Times New Roman" w:hAnsi="Times New Roman" w:eastAsia="Times New Roman"/>
          <w:b w:val="0"/>
          <w:i w:val="0"/>
          <w:color w:val="000000"/>
          <w:sz w:val="32"/>
        </w:rPr>
        <w:t>[Corresponding author and email]</w:t>
      </w:r>
    </w:p>
    <w:p w14:paraId="75910CA0">
      <w:pPr>
        <w:spacing w:before="0" w:after="360" w:line="240" w:lineRule="auto"/>
        <w:jc w:val="left"/>
      </w:pPr>
      <w:r>
        <w:rPr>
          <w:rFonts w:ascii="Times New Roman" w:hAnsi="Times New Roman" w:eastAsia="Times New Roman"/>
          <w:b w:val="0"/>
          <w:i/>
          <w:color w:val="505050"/>
          <w:sz w:val="24"/>
        </w:rPr>
        <w:t>Full scientific manuscript  |  Author and governance fields must be completed before submission</w:t>
      </w:r>
    </w:p>
    <w:p w14:paraId="3F9FA12F">
      <w:pPr>
        <w:pStyle w:val="3"/>
        <w:keepNext/>
        <w:spacing w:before="200" w:after="120" w:line="240" w:lineRule="auto"/>
        <w:jc w:val="left"/>
      </w:pPr>
      <w:r>
        <w:rPr>
          <w:rFonts w:ascii="Times New Roman" w:hAnsi="Times New Roman" w:eastAsia="Times New Roman"/>
          <w:b/>
          <w:i w:val="0"/>
          <w:color w:val="000000"/>
          <w:sz w:val="28"/>
        </w:rPr>
        <w:t>Abstract:</w:t>
      </w:r>
    </w:p>
    <w:p w14:paraId="43075211">
      <w:pPr>
        <w:pStyle w:val="18"/>
        <w:keepNext w:val="0"/>
        <w:spacing w:before="0" w:after="160" w:line="276" w:lineRule="auto"/>
        <w:jc w:val="both"/>
      </w:pPr>
      <w:r>
        <w:rPr>
          <w:rFonts w:ascii="Times New Roman" w:hAnsi="Times New Roman" w:eastAsia="Times New Roman"/>
          <w:b w:val="0"/>
          <w:i w:val="0"/>
          <w:color w:val="000000"/>
          <w:sz w:val="24"/>
        </w:rPr>
        <w:t>Retinal vasculature is increasingly used as a window onto systemic disease, yet retinal artificial intelligence often treats pixel-level artery–vein segmentation as if it were already validation of a digital biomarker. This collapses three different questions: whether vessels were measured correctly, whether the resulting quantity survives repeat imaging, and whether it adds information beyond routine clinical variables. A segmentation map can therefore appear accurate while its derived phenotype is not repeatable, not transportable, or clinically redundant. We asked whether a retinal vascular measurement could earn biomarker status only after passing these separate evidential tests.</w:t>
      </w:r>
    </w:p>
    <w:p>
      <w:pPr>
        <w:pStyle w:val="18"/>
        <w:spacing w:before="0" w:line="276" w:lineRule="auto"/>
        <w:jc w:val="both"/>
      </w:pPr>
      <w:r>
        <w:rPr>
          <w:rFonts w:ascii="Times New Roman" w:hAnsi="Times New Roman" w:eastAsia="Times New Roman"/>
          <w:b w:val="0"/>
          <w:i w:val="0"/>
          <w:color w:val="000000"/>
          <w:sz w:val="24"/>
        </w:rPr>
        <w:t>We developed RMDB–BiRAP, a measurement first framework that separates vessel occupancy from artery–vein identity and produces complementary mass-preserving and occupancy-gated readouts. Nine phenotype candidates were specified before outcome access, and their repeatability was estimated by intraclass correlation from same-eye repeat views. Only the retained core was delivered to patient-level nested cross-validation. FIVES, RAV, Fundus-AVSeg, China Fundus–CIMT, and mBRSET were assigned non-overlapping roles in development, locked measurement evaluation, repeatability analysis, and patient-level modelling.</w:t>
      </w:r>
    </w:p>
    <w:p>
      <w:pPr>
        <w:pStyle w:val="18"/>
        <w:spacing w:before="0" w:line="276" w:lineRule="auto"/>
        <w:jc w:val="both"/>
      </w:pPr>
      <w:r>
        <w:rPr>
          <w:rFonts w:ascii="Times New Roman" w:hAnsi="Times New Roman" w:eastAsia="Times New Roman"/>
          <w:b w:val="0"/>
          <w:i w:val="0"/>
          <w:color w:val="000000"/>
          <w:sz w:val="24"/>
        </w:rPr>
        <w:t>Mean artery/vein Dice was 0.8256 on RAV. In the locked Fundus-AVSeg evaluation, mass preservation increased mean artery/vein Dice from 0.5545 to 0.5635 (paired Δ = 0.0090, 95% CI 0.0079–0.0101), although diabetic retinopathy and low-quality images remained failure domains. Across 2,359 same-eye repeat pairs, four of nine prespecified phenotypes reached the intraclass correlation threshold of ICC(1,1) ≥ 0.60. Direct 104-dimensional fusion worsened CIMT prediction. In calibrated mBRSET nested cross-validation, the ICC-gated phenotype core did not improve hypertension discrimination or Brier score (ΔAUROC = +0.00188, 95% CI −0.00588 to +0.00942), and permutation controls showed no leakage signal. RMDB–BiRAP therefore establishes a reproducible evidence-gating procedure rather than a validated clinical biomarker; independent high-resolution outcome confirmation remains required.</w:t>
      </w:r>
    </w:p>
    <w:p w14:paraId="38EDC644">
      <w:pPr>
        <w:pStyle w:val="18"/>
        <w:keepNext w:val="0"/>
        <w:spacing w:before="0" w:after="100" w:line="276" w:lineRule="auto"/>
        <w:jc w:val="both"/>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retinal vasculature; digital biomarker; artery–vein segmentation; repeatability; intraclass correlation; CIMT; hypertension; nested cross-validation</w:t>
      </w:r>
    </w:p>
    <w:p w14:paraId="4D08B854">
      <w:pPr>
        <w:pStyle w:val="3"/>
        <w:keepNext/>
        <w:spacing w:before="200" w:after="120" w:line="240" w:lineRule="auto"/>
        <w:jc w:val="left"/>
      </w:pPr>
      <w:r>
        <w:rPr>
          <w:rFonts w:ascii="Times New Roman" w:hAnsi="Times New Roman" w:eastAsia="Times New Roman"/>
          <w:b/>
          <w:i w:val="0"/>
          <w:color w:val="000000"/>
          <w:sz w:val="28"/>
        </w:rPr>
        <w:t>1. Introduction</w:t>
      </w:r>
    </w:p>
    <w:p w14:paraId="55D97AA7">
      <w:pPr>
        <w:pStyle w:val="18"/>
        <w:keepNext w:val="0"/>
        <w:spacing w:before="0" w:after="100" w:line="276" w:lineRule="auto"/>
        <w:ind w:firstLine="360"/>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spacing w:before="0" w:after="100" w:line="276" w:lineRule="auto"/>
        <w:ind w:firstLine="360"/>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pStyle w:val="18"/>
        <w:keepNext w:val="0"/>
        <w:spacing w:before="0" w:after="100" w:line="276" w:lineRule="auto"/>
        <w:ind w:firstLine="360"/>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spacing w:before="0" w:after="100" w:line="276" w:lineRule="auto"/>
        <w:ind w:firstLine="360"/>
        <w:jc w:val="both"/>
      </w:pPr>
      <w:r>
        <w:rPr>
          <w:rFonts w:ascii="Times New Roman" w:hAnsi="Times New Roman" w:eastAsia="Times New Roman"/>
          <w:b w:val="0"/>
          <w:i w:val="0"/>
          <w:color w:val="000000"/>
          <w:sz w:val="24"/>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pStyle w:val="18"/>
        <w:keepNext w:val="0"/>
        <w:spacing w:before="0" w:after="100" w:line="276" w:lineRule="auto"/>
        <w:ind w:firstLine="360"/>
        <w:jc w:val="both"/>
      </w:pPr>
      <w:r>
        <w:rPr>
          <w:rFonts w:ascii="Times New Roman" w:hAnsi="Times New Roman" w:eastAsia="Times New Roman"/>
          <w:b w:val="0"/>
          <w:i w:val="0"/>
          <w:color w:val="000000"/>
          <w:sz w:val="24"/>
        </w:rPr>
        <w:t>The contribution is deliberately falsifiable. We report where the evidence survives—external measurement transfer and four reproducible global phenotypes—and where it stops: direct high-dimensional fusion, uncertainty-by-disagreement, substitution of the E10A representation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Next/>
        <w:keepLines/>
        <w:spacing w:before="40" w:after="120" w:line="240" w:lineRule="auto"/>
        <w:jc w:val="both"/>
      </w:pPr>
      <w:r>
        <w:rPr>
          <w:rFonts w:ascii="Times New Roman" w:hAnsi="Times New Roman" w:eastAsia="Times New Roman"/>
          <w:b/>
          <w:i/>
          <w:color w:val="000000"/>
          <w:sz w:val="24"/>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mBRSET 224-pixel mirror supports external mechanism analysis with internal patient-level cross-validation, not independent high-resolution confirmation.</w:t>
      </w:r>
    </w:p>
    <w:p w14:paraId="6B1B8A75">
      <w:pPr>
        <w:pStyle w:val="3"/>
        <w:keepNext/>
        <w:spacing w:before="200" w:after="120" w:line="240" w:lineRule="auto"/>
        <w:jc w:val="left"/>
      </w:pPr>
      <w:r>
        <w:rPr>
          <w:rFonts w:ascii="Times New Roman" w:hAnsi="Times New Roman" w:eastAsia="Times New Roman"/>
          <w:b/>
          <w:i w:val="0"/>
          <w:color w:val="000000"/>
          <w:sz w:val="28"/>
        </w:rPr>
        <w:t>2. Materials and methods</w:t>
      </w:r>
    </w:p>
    <w:p w14:paraId="3383C4AF">
      <w:pPr>
        <w:pStyle w:val="4"/>
        <w:keepNext/>
        <w:spacing w:before="200" w:after="120" w:line="240" w:lineRule="auto"/>
        <w:jc w:val="left"/>
      </w:pPr>
      <w:r>
        <w:rPr>
          <w:rFonts w:ascii="Times New Roman" w:hAnsi="Times New Roman" w:eastAsia="Times New Roman"/>
          <w:b/>
          <w:i w:val="0"/>
          <w:color w:val="000000"/>
          <w:sz w:val="24"/>
        </w:rPr>
        <w:t>2.1 Study cohorts and evidence roles</w:t>
      </w:r>
    </w:p>
    <w:p w14:paraId="5D68E43B">
      <w:pPr>
        <w:pStyle w:val="18"/>
        <w:keepNext w:val="0"/>
        <w:spacing w:before="0" w:after="100" w:line="276" w:lineRule="auto"/>
        <w:ind w:firstLine="360"/>
        <w:jc w:val="both"/>
      </w:pPr>
      <w:r>
        <w:rPr>
          <w:rFonts w:ascii="Times New Roman" w:hAnsi="Times New Roman" w:eastAsia="Times New Roman"/>
          <w:b w:val="0"/>
          <w:i w:val="0"/>
          <w:color w:val="000000"/>
          <w:sz w:val="24"/>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 the 224-pixel BRSET mirror [16], supplied repeated views and systemic annotations for outcome-blind repeatability and exploratory mechanism analysis. VascX [17] provided the frozen identity backbone.</w:t>
      </w:r>
    </w:p>
    <w:p w14:paraId="031B33EF">
      <w:pPr>
        <w:pStyle w:val="18"/>
        <w:keepNext w:val="0"/>
        <w:spacing w:before="0" w:after="100" w:line="276" w:lineRule="auto"/>
        <w:ind w:firstLine="360"/>
        <w:jc w:val="both"/>
      </w:pPr>
      <w:r>
        <w:rPr>
          <w:rFonts w:ascii="Times New Roman" w:hAnsi="Times New Roman" w:eastAsia="Times New Roman"/>
          <w:b w:val="0"/>
          <w:i w:val="0"/>
          <w:color w:val="000000"/>
          <w:sz w:val="24"/>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RMDB–BiRAP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pPr>
        <w:spacing w:before="0" w:after="0"/>
        <w:jc w:val="center"/>
      </w:pPr>
      <w:r>
        <w:br w:type="page"/>
      </w:r>
    </w:p>
    <w:p w14:paraId="490E8B35">
      <w:pPr>
        <w:keepNext/>
        <w:spacing w:before="40" w:after="120" w:line="240" w:lineRule="auto"/>
        <w:jc w:val="both"/>
      </w:pPr>
      <w:r>
        <w:rPr>
          <w:rFonts w:ascii="Times New Roman" w:hAnsi="Times New Roman" w:eastAsia="Times New Roman"/>
          <w:b/>
          <w:i/>
          <w:color w:val="000000"/>
          <w:sz w:val="24"/>
        </w:rPr>
        <w:t>Table 1. Cohorts, labels, and prespecified analytical roles.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before="0"/>
              <w:jc w:val="center"/>
            </w:pPr>
            <w:r>
              <w:rPr>
                <w:rFonts w:ascii="Times New Roman" w:hAnsi="Times New Roman" w:eastAsia="Times New Roman"/>
                <w:b/>
                <w:i w:val="0"/>
                <w:color w:val="000000"/>
                <w:sz w:val="21"/>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before="0"/>
              <w:jc w:val="center"/>
            </w:pPr>
            <w:r>
              <w:rPr>
                <w:rFonts w:ascii="Times New Roman" w:hAnsi="Times New Roman" w:eastAsia="Times New Roman"/>
                <w:b/>
                <w:i w:val="0"/>
                <w:color w:val="000000"/>
                <w:sz w:val="21"/>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before="0"/>
              <w:jc w:val="center"/>
            </w:pPr>
            <w:r>
              <w:rPr>
                <w:rFonts w:ascii="Times New Roman" w:hAnsi="Times New Roman" w:eastAsia="Times New Roman"/>
                <w:b/>
                <w:i w:val="0"/>
                <w:color w:val="000000"/>
                <w:sz w:val="21"/>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before="0"/>
              <w:jc w:val="center"/>
            </w:pPr>
            <w:r>
              <w:rPr>
                <w:rFonts w:ascii="Times New Roman" w:hAnsi="Times New Roman" w:eastAsia="Times New Roman"/>
                <w:b/>
                <w:i w:val="0"/>
                <w:color w:val="000000"/>
                <w:sz w:val="21"/>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before="0"/>
              <w:jc w:val="center"/>
            </w:pPr>
            <w:r>
              <w:rPr>
                <w:rFonts w:ascii="Times New Roman" w:hAnsi="Times New Roman" w:eastAsia="Times New Roman"/>
                <w:b/>
                <w:i w:val="0"/>
                <w:color w:val="000000"/>
                <w:sz w:val="21"/>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before="0"/>
              <w:jc w:val="left"/>
            </w:pPr>
            <w:r>
              <w:rPr>
                <w:rFonts w:ascii="Times New Roman" w:hAnsi="Times New Roman" w:eastAsia="Times New Roman"/>
                <w:b w:val="0"/>
                <w:i w:val="0"/>
                <w:color w:val="000000"/>
                <w:sz w:val="21"/>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before="0"/>
              <w:jc w:val="left"/>
            </w:pPr>
            <w:r>
              <w:rPr>
                <w:rFonts w:ascii="Times New Roman" w:hAnsi="Times New Roman" w:eastAsia="Times New Roman"/>
                <w:b w:val="0"/>
                <w:i w:val="0"/>
                <w:color w:val="000000"/>
                <w:sz w:val="21"/>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before="0"/>
              <w:jc w:val="left"/>
            </w:pPr>
            <w:r>
              <w:rPr>
                <w:rFonts w:ascii="Times New Roman" w:hAnsi="Times New Roman" w:eastAsia="Times New Roman"/>
                <w:b w:val="0"/>
                <w:i w:val="0"/>
                <w:color w:val="000000"/>
                <w:sz w:val="21"/>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before="0"/>
              <w:jc w:val="left"/>
            </w:pPr>
            <w:r>
              <w:rPr>
                <w:rFonts w:ascii="Times New Roman" w:hAnsi="Times New Roman" w:eastAsia="Times New Roman"/>
                <w:b w:val="0"/>
                <w:i w:val="0"/>
                <w:color w:val="000000"/>
                <w:sz w:val="21"/>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before="0"/>
              <w:jc w:val="left"/>
            </w:pPr>
            <w:r>
              <w:rPr>
                <w:rFonts w:ascii="Times New Roman" w:hAnsi="Times New Roman" w:eastAsia="Times New Roman"/>
                <w:b w:val="0"/>
                <w:i w:val="0"/>
                <w:color w:val="000000"/>
                <w:sz w:val="21"/>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before="0"/>
              <w:jc w:val="left"/>
            </w:pPr>
            <w:r>
              <w:rPr>
                <w:rFonts w:ascii="Times New Roman" w:hAnsi="Times New Roman" w:eastAsia="Times New Roman"/>
                <w:b w:val="0"/>
                <w:i w:val="0"/>
                <w:color w:val="000000"/>
                <w:sz w:val="21"/>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before="0"/>
              <w:jc w:val="left"/>
            </w:pPr>
            <w:r>
              <w:rPr>
                <w:rFonts w:ascii="Times New Roman" w:hAnsi="Times New Roman" w:eastAsia="Times New Roman"/>
                <w:b w:val="0"/>
                <w:i w:val="0"/>
                <w:color w:val="000000"/>
                <w:sz w:val="21"/>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before="0"/>
              <w:jc w:val="left"/>
            </w:pPr>
            <w:r>
              <w:rPr>
                <w:rFonts w:ascii="Times New Roman" w:hAnsi="Times New Roman" w:eastAsia="Times New Roman"/>
                <w:b w:val="0"/>
                <w:i w:val="0"/>
                <w:color w:val="000000"/>
                <w:sz w:val="21"/>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before="0"/>
              <w:jc w:val="left"/>
            </w:pPr>
            <w:r>
              <w:rPr>
                <w:rFonts w:ascii="Times New Roman" w:hAnsi="Times New Roman" w:eastAsia="Times New Roman"/>
                <w:b w:val="0"/>
                <w:i w:val="0"/>
                <w:color w:val="000000"/>
                <w:sz w:val="21"/>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before="0"/>
              <w:jc w:val="left"/>
            </w:pPr>
            <w:r>
              <w:rPr>
                <w:rFonts w:ascii="Times New Roman" w:hAnsi="Times New Roman" w:eastAsia="Times New Roman"/>
                <w:b w:val="0"/>
                <w:i w:val="0"/>
                <w:color w:val="000000"/>
                <w:sz w:val="21"/>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before="0"/>
              <w:jc w:val="left"/>
            </w:pPr>
            <w:r>
              <w:rPr>
                <w:rFonts w:ascii="Times New Roman" w:hAnsi="Times New Roman" w:eastAsia="Times New Roman"/>
                <w:b w:val="0"/>
                <w:i w:val="0"/>
                <w:color w:val="000000"/>
                <w:sz w:val="21"/>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before="0"/>
              <w:jc w:val="left"/>
            </w:pPr>
            <w:r>
              <w:rPr>
                <w:rFonts w:ascii="Times New Roman" w:hAnsi="Times New Roman" w:eastAsia="Times New Roman"/>
                <w:b w:val="0"/>
                <w:i w:val="0"/>
                <w:color w:val="000000"/>
                <w:sz w:val="21"/>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before="0"/>
              <w:jc w:val="left"/>
            </w:pPr>
            <w:r>
              <w:rPr>
                <w:rFonts w:ascii="Times New Roman" w:hAnsi="Times New Roman" w:eastAsia="Times New Roman"/>
                <w:b w:val="0"/>
                <w:i w:val="0"/>
                <w:color w:val="000000"/>
                <w:sz w:val="21"/>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before="0"/>
              <w:jc w:val="left"/>
            </w:pPr>
            <w:r>
              <w:rPr>
                <w:rFonts w:ascii="Times New Roman" w:hAnsi="Times New Roman" w:eastAsia="Times New Roman"/>
                <w:b w:val="0"/>
                <w:i w:val="0"/>
                <w:color w:val="000000"/>
                <w:sz w:val="21"/>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before="0"/>
              <w:jc w:val="left"/>
            </w:pPr>
            <w:r>
              <w:rPr>
                <w:rFonts w:ascii="Times New Roman" w:hAnsi="Times New Roman" w:eastAsia="Times New Roman"/>
                <w:b w:val="0"/>
                <w:i w:val="0"/>
                <w:color w:val="000000"/>
                <w:sz w:val="21"/>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before="0"/>
              <w:jc w:val="left"/>
            </w:pPr>
            <w:r>
              <w:rPr>
                <w:rFonts w:ascii="Times New Roman" w:hAnsi="Times New Roman" w:eastAsia="Times New Roman"/>
                <w:b w:val="0"/>
                <w:i w:val="0"/>
                <w:color w:val="000000"/>
                <w:sz w:val="21"/>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before="0"/>
              <w:jc w:val="left"/>
            </w:pPr>
            <w:r>
              <w:rPr>
                <w:rFonts w:ascii="Times New Roman" w:hAnsi="Times New Roman" w:eastAsia="Times New Roman"/>
                <w:b w:val="0"/>
                <w:i w:val="0"/>
                <w:color w:val="000000"/>
                <w:sz w:val="21"/>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before="0"/>
              <w:jc w:val="left"/>
            </w:pPr>
            <w:r>
              <w:rPr>
                <w:rFonts w:ascii="Times New Roman" w:hAnsi="Times New Roman" w:eastAsia="Times New Roman"/>
                <w:b w:val="0"/>
                <w:i w:val="0"/>
                <w:color w:val="000000"/>
                <w:sz w:val="21"/>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before="0"/>
              <w:jc w:val="left"/>
            </w:pPr>
            <w:r>
              <w:rPr>
                <w:rFonts w:ascii="Times New Roman" w:hAnsi="Times New Roman" w:eastAsia="Times New Roman"/>
                <w:b w:val="0"/>
                <w:i w:val="0"/>
                <w:color w:val="000000"/>
                <w:sz w:val="21"/>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before="0"/>
              <w:jc w:val="left"/>
            </w:pPr>
            <w:r>
              <w:rPr>
                <w:rFonts w:ascii="Times New Roman" w:hAnsi="Times New Roman" w:eastAsia="Times New Roman"/>
                <w:b w:val="0"/>
                <w:i w:val="0"/>
                <w:color w:val="000000"/>
                <w:sz w:val="21"/>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before="0"/>
              <w:jc w:val="left"/>
            </w:pPr>
            <w:r>
              <w:rPr>
                <w:rFonts w:ascii="Times New Roman" w:hAnsi="Times New Roman" w:eastAsia="Times New Roman"/>
                <w:b w:val="0"/>
                <w:i w:val="0"/>
                <w:color w:val="000000"/>
                <w:sz w:val="21"/>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before="0"/>
              <w:jc w:val="left"/>
            </w:pPr>
            <w:r>
              <w:rPr>
                <w:rFonts w:ascii="Times New Roman" w:hAnsi="Times New Roman" w:eastAsia="Times New Roman"/>
                <w:b w:val="0"/>
                <w:i w:val="0"/>
                <w:color w:val="000000"/>
                <w:sz w:val="21"/>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before="0"/>
              <w:jc w:val="left"/>
            </w:pPr>
            <w:r>
              <w:rPr>
                <w:rFonts w:ascii="Times New Roman" w:hAnsi="Times New Roman" w:eastAsia="Times New Roman"/>
                <w:b w:val="0"/>
                <w:i w:val="0"/>
                <w:color w:val="000000"/>
                <w:sz w:val="21"/>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before="0"/>
              <w:jc w:val="left"/>
            </w:pPr>
            <w:r>
              <w:rPr>
                <w:rFonts w:ascii="Times New Roman" w:hAnsi="Times New Roman" w:eastAsia="Times New Roman"/>
                <w:b w:val="0"/>
                <w:i w:val="0"/>
                <w:color w:val="000000"/>
                <w:sz w:val="21"/>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before="0"/>
              <w:jc w:val="left"/>
            </w:pPr>
            <w:r>
              <w:rPr>
                <w:rFonts w:ascii="Times New Roman" w:hAnsi="Times New Roman" w:eastAsia="Times New Roman"/>
                <w:b w:val="0"/>
                <w:i w:val="0"/>
                <w:color w:val="000000"/>
                <w:sz w:val="21"/>
              </w:rPr>
              <w:t>External mechanism/internal CV</w:t>
            </w:r>
          </w:p>
        </w:tc>
      </w:tr>
    </w:tbl>
    <w:p w14:paraId="1DEA8449">
      <w:pPr>
        <w:spacing w:after="0" w:before="0"/>
        <w:jc w:val="center"/>
      </w:pPr>
    </w:p>
    <w:p w14:paraId="3D6F0DE8">
      <w:pPr>
        <w:pStyle w:val="4"/>
        <w:keepNext/>
        <w:spacing w:before="200" w:after="120" w:line="240" w:lineRule="auto"/>
        <w:jc w:val="left"/>
      </w:pPr>
      <w:r>
        <w:rPr>
          <w:rFonts w:ascii="Times New Roman" w:hAnsi="Times New Roman" w:eastAsia="Times New Roman"/>
          <w:b/>
          <w:i w:val="0"/>
          <w:color w:val="000000"/>
          <w:sz w:val="24"/>
        </w:rPr>
        <w:t>2.2 Anatomy-aware preprocessing</w:t>
      </w:r>
    </w:p>
    <w:p w14:paraId="7A731FED">
      <w:pPr>
        <w:pStyle w:val="18"/>
        <w:keepNext w:val="0"/>
        <w:spacing w:before="0" w:after="100" w:line="276" w:lineRule="auto"/>
        <w:ind w:firstLine="360"/>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spacing w:before="0" w:after="100" w:line="276" w:lineRule="auto"/>
        <w:ind w:firstLine="360"/>
        <w:jc w:val="both"/>
      </w:pPr>
      <w:r>
        <w:rPr>
          <w:rFonts w:ascii="Times New Roman" w:hAnsi="Times New Roman" w:eastAsia="Times New Roman"/>
          <w:b w:val="0"/>
          <w:i w:val="0"/>
          <w:color w:val="000000"/>
          <w:sz w:val="24"/>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pStyle w:val="4"/>
        <w:keepNext/>
        <w:spacing w:before="200" w:after="120" w:line="240" w:lineRule="auto"/>
        <w:jc w:val="left"/>
      </w:pPr>
      <w:r>
        <w:rPr>
          <w:rFonts w:ascii="Times New Roman" w:hAnsi="Times New Roman" w:eastAsia="Times New Roman"/>
          <w:b/>
          <w:i w:val="0"/>
          <w:color w:val="000000"/>
          <w:sz w:val="24"/>
        </w:rPr>
        <w:t>2.3 RMDB module: dual-readout vascular measurement</w:t>
      </w:r>
    </w:p>
    <w:p>
      <w:pPr>
        <w:pStyle w:val="18"/>
        <w:spacing w:before="0" w:line="276" w:lineRule="auto"/>
        <w:jc w:val="both"/>
      </w:pPr>
      <w:r>
        <w:rPr>
          <w:rFonts w:ascii="Times New Roman" w:hAnsi="Times New Roman" w:eastAsia="Times New Roman"/>
          <w:color w:val="000000"/>
          <w:sz w:val="24"/>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pStyle w:val="18"/>
        <w:keepNext w:val="0"/>
        <w:spacing w:before="0" w:after="100" w:line="276" w:lineRule="auto"/>
        <w:ind w:firstLine="360"/>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spacing w:before="0" w:after="40" w:line="276" w:lineRule="auto"/>
        <w:jc w:val="both"/>
      </w:pPr>
      <w:r>
        <w:rPr>
          <w:rFonts w:ascii="Times New Roman" w:hAnsi="Times New Roman" w:eastAsia="Times New Roman"/>
          <w:b w:val="0"/>
          <w:i w:val="0"/>
          <w:color w:val="000000"/>
          <w:sz w:val="24"/>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80" w:after="120" w:line="240" w:lineRule="auto"/>
        <w:jc w:val="center"/>
        <w:rPr>
          <w:sz w:val="20"/>
          <w:szCs w:val="20"/>
        </w:rPr>
      </w:pPr>
      <m:oMath>
        <m:r>
          <m:rPr/>
          <m:t>z⁽ᵗ⁺¹⁾ = z⁽ᵗ⁾ + gθ[x, z⁽⁰⁾, H(p⁽⁰⁾), D(x), p⁽ᵗ⁾],  t∈{0,1};   pᴹ=softmax(z⁽²⁾)</m:t>
        </m:r>
      </m:oMath>
      <w:r>
        <w:rPr>
          <w:rFonts w:ascii="Times New Roman" w:hAnsi="Times New Roman" w:eastAsia="Times New Roman"/>
          <w:b w:val="0"/>
          <w:i w:val="0"/>
          <w:color w:val="000000"/>
          <w:sz w:val="24"/>
        </w:rPr>
        <w:t xml:space="preserve">    (1)</w:t>
      </w:r>
    </w:p>
    <w:p w14:paraId="5B0D501B">
      <w:pPr>
        <w:pStyle w:val="18"/>
        <w:keepNext/>
        <w:spacing w:before="0" w:after="40" w:line="276" w:lineRule="auto"/>
        <w:jc w:val="both"/>
      </w:pPr>
      <w:r>
        <w:rPr>
          <w:rFonts w:ascii="Times New Roman" w:hAnsi="Times New Roman" w:eastAsia="Times New Roman"/>
          <w:b w:val="0"/>
          <w:i w:val="0"/>
          <w:color w:val="000000"/>
          <w:sz w:val="24"/>
        </w:rPr>
        <w:t>The refinement objective combined pixel classification, vascular topology, directional continuity, residual restraint, A/V mass preservation, and total vessel-mass preservation:</w:t>
      </w:r>
    </w:p>
    <w:p w14:paraId="683996CA">
      <w:pPr>
        <w:keepLines/>
        <w:spacing w:before="80" w:after="120" w:line="240" w:lineRule="auto"/>
        <w:jc w:val="center"/>
        <w:rPr>
          <w:sz w:val="20"/>
          <w:szCs w:val="20"/>
        </w:rPr>
      </w:pPr>
      <m:oMath>
        <m:r>
          <m:rPr/>
          <m:t>ℒUDCT = ℒCE + 0.5ℒDice + 0.10ℒdir + 0.10ℒves + 0.01ℒres + λAVℒAV + λmℒm</m:t>
        </m:r>
      </m:oMath>
      <w:r>
        <w:rPr>
          <w:rFonts w:ascii="Times New Roman" w:hAnsi="Times New Roman" w:eastAsia="Times New Roman"/>
          <w:b w:val="0"/>
          <w:i w:val="0"/>
          <w:color w:val="000000"/>
          <w:sz w:val="24"/>
        </w:rPr>
        <w:t xml:space="preserve">    (2)</w:t>
      </w:r>
    </w:p>
    <w:p w14:paraId="3DCAB820">
      <w:pPr>
        <w:pStyle w:val="18"/>
        <w:keepNext w:val="0"/>
        <w:spacing w:before="0" w:after="100" w:line="276" w:lineRule="auto"/>
        <w:ind w:firstLine="360"/>
        <w:jc w:val="both"/>
      </w:pPr>
      <w:r>
        <w:rPr>
          <w:rFonts w:ascii="Times New Roman" w:hAnsi="Times New Roman" w:eastAsia="Times New Roman"/>
          <w:b w:val="0"/>
          <w:i w:val="0"/>
          <w:color w:val="000000"/>
          <w:sz w:val="24"/>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pStyle w:val="18"/>
        <w:keepNext/>
        <w:spacing w:before="0" w:after="40" w:line="276" w:lineRule="auto"/>
        <w:jc w:val="both"/>
      </w:pPr>
      <w:r>
        <w:rPr>
          <w:rFonts w:ascii="Times New Roman" w:hAnsi="Times New Roman" w:eastAsia="Times New Roman"/>
          <w:b w:val="0"/>
          <w:i w:val="0"/>
          <w:color w:val="000000"/>
          <w:sz w:val="24"/>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80" w:after="120" w:line="240" w:lineRule="auto"/>
        <w:jc w:val="center"/>
        <w:rPr>
          <w:sz w:val="20"/>
          <w:szCs w:val="20"/>
        </w:rPr>
      </w:pPr>
      <m:oMath>
        <m:r>
          <m:rPr/>
          <m:t>c=σ{[(1−H₄(p⁽⁰⁾))−0.35)/0.20};   õ=c(1−p⁽⁰⁾₀)+(1−c)oF;   pᶠₖ=</m:t>
        </m:r>
        <m:r>
          <m:rPr>
            <m:scr m:val="double-struck"/>
          </m:rPr>
          <m:t>1</m:t>
        </m:r>
        <m:r>
          <m:rPr/>
          <m:t>(õ≥τ)·õ·pᴹₖ/Σq∈{A,V,C}pᴹq</m:t>
        </m:r>
      </m:oMath>
      <w:r>
        <w:rPr>
          <w:rFonts w:ascii="Times New Roman" w:hAnsi="Times New Roman" w:eastAsia="Times New Roman"/>
          <w:b w:val="0"/>
          <w:i w:val="0"/>
          <w:color w:val="000000"/>
          <w:sz w:val="24"/>
        </w:rPr>
        <w:t xml:space="preserve">    (3)</w:t>
      </w:r>
    </w:p>
    <w:p w14:paraId="2C1A3D41">
      <w:pPr>
        <w:pStyle w:val="18"/>
        <w:keepNext w:val="0"/>
        <w:spacing w:before="0" w:after="100" w:line="276" w:lineRule="auto"/>
        <w:ind w:firstLine="360"/>
        <w:jc w:val="both"/>
      </w:pPr>
      <w:r>
        <w:rPr>
          <w:rFonts w:ascii="Times New Roman" w:hAnsi="Times New Roman" w:eastAsia="Times New Roman"/>
          <w:b w:val="0"/>
          <w:i w:val="0"/>
          <w:color w:val="000000"/>
          <w:sz w:val="24"/>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pStyle w:val="18"/>
        <w:keepNext/>
        <w:spacing w:before="0" w:after="40" w:line="276" w:lineRule="auto"/>
        <w:jc w:val="both"/>
      </w:pPr>
      <w:r>
        <w:rPr>
          <w:rFonts w:ascii="Times New Roman" w:hAnsi="Times New Roman" w:eastAsia="Times New Roman"/>
          <w:b w:val="0"/>
          <w:i w:val="0"/>
          <w:color w:val="000000"/>
          <w:sz w:val="24"/>
        </w:rPr>
        <w:t>The two readouts generated interpretable, continuous operators over the valid retinal domain Ω. Vessel support, artery–vein balance, and cross-readout disagreement were defined as:</w:t>
      </w:r>
    </w:p>
    <w:p w14:paraId="3A569E86">
      <w:pPr>
        <w:keepLines/>
        <w:spacing w:before="80" w:after="120" w:line="240" w:lineRule="auto"/>
        <w:jc w:val="center"/>
        <w:rPr>
          <w:sz w:val="20"/>
          <w:szCs w:val="20"/>
        </w:rPr>
      </w:pPr>
      <m:oMath>
        <m:r>
          <m:rPr/>
          <m:t>ϕmass=|Ω|⁻¹Σx∈Ω(1−pᴹ₀);   ϕAV=log{[Σx(pᴹA+pᴹC)+1]/[Σx(pᴹV+pᴹC)+1]};   ϕdis=|VM△VF|/|VM∪VF|</m:t>
        </m:r>
      </m:oMath>
      <w:r>
        <w:rPr>
          <w:rFonts w:ascii="Times New Roman" w:hAnsi="Times New Roman" w:eastAsia="Times New Roman"/>
          <w:b w:val="0"/>
          <w:i w:val="0"/>
          <w:color w:val="000000"/>
          <w:sz w:val="24"/>
        </w:rPr>
        <w:t xml:space="preserve">    (4)</w:t>
      </w:r>
    </w:p>
    <w:p w14:paraId="7E368FB7">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Next/>
        <w:keepLines/>
        <w:spacing w:before="40" w:after="120" w:line="240" w:lineRule="auto"/>
        <w:jc w:val="both"/>
      </w:pPr>
      <w:r>
        <w:rPr>
          <w:rFonts w:ascii="Times New Roman" w:hAnsi="Times New Roman" w:eastAsia="Times New Roman"/>
          <w:b/>
          <w:i/>
          <w:color w:val="000000"/>
          <w:sz w:val="24"/>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pStyle w:val="4"/>
        <w:keepNext/>
        <w:spacing w:before="200" w:after="120" w:line="240" w:lineRule="auto"/>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spacing w:before="0" w:after="100" w:line="276" w:lineRule="auto"/>
        <w:ind w:firstLine="360"/>
        <w:jc w:val="both"/>
      </w:pPr>
      <w:r>
        <w:rPr>
          <w:rFonts w:ascii="Times New Roman" w:hAnsi="Times New Roman" w:eastAsia="Times New Roman"/>
          <w:b w:val="0"/>
          <w:i w:val="0"/>
          <w:color w:val="000000"/>
          <w:sz w:val="24"/>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pStyle w:val="18"/>
        <w:keepNext w:val="0"/>
        <w:spacing w:before="0" w:after="100" w:line="276" w:lineRule="auto"/>
        <w:ind w:firstLine="360"/>
        <w:jc w:val="both"/>
      </w:pPr>
      <w:r>
        <w:rPr>
          <w:rFonts w:ascii="Times New Roman" w:hAnsi="Times New Roman" w:eastAsia="Times New Roman"/>
          <w:b w:val="0"/>
          <w:i w:val="0"/>
          <w:color w:val="000000"/>
          <w:sz w:val="24"/>
        </w:rPr>
        <w:t>Reliability was evaluated using 2,359 same-eye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pStyle w:val="18"/>
        <w:keepNext/>
        <w:spacing w:before="0" w:after="40" w:line="276" w:lineRule="auto"/>
        <w:jc w:val="both"/>
      </w:pPr>
      <w:r>
        <w:rPr>
          <w:rFonts w:ascii="Times New Roman" w:hAnsi="Times New Roman" w:eastAsia="Times New Roman"/>
          <w:b w:val="0"/>
          <w:i w:val="0"/>
          <w:color w:val="000000"/>
          <w:sz w:val="24"/>
        </w:rPr>
        <w:t>Reliability was used only as a label-blind retention rule. For candidate phenotype j, rj was fixed before any systemic outcome analysis:</w:t>
      </w:r>
    </w:p>
    <w:p w14:paraId="6C8ABDE9">
      <w:pPr>
        <w:keepLines/>
        <w:spacing w:before="80" w:after="120" w:line="240" w:lineRule="auto"/>
        <w:jc w:val="center"/>
        <w:rPr>
          <w:sz w:val="20"/>
          <w:szCs w:val="20"/>
        </w:rPr>
      </w:pPr>
      <m:oMath>
        <m:r>
          <m:rPr/>
          <m:t xml:space="preserve">rⱼ = </m:t>
        </m:r>
        <m:r>
          <m:rPr>
            <m:scr m:val="double-struck"/>
          </m:rPr>
          <m:t>1</m:t>
        </m:r>
        <m:r>
          <m:rPr/>
          <m:t>{ICCⱼ(1,1) ≥ 0.60}</m:t>
        </m:r>
      </m:oMath>
      <w:r>
        <w:rPr>
          <w:rFonts w:ascii="Times New Roman" w:hAnsi="Times New Roman" w:eastAsia="Times New Roman"/>
          <w:b w:val="0"/>
          <w:i w:val="0"/>
          <w:color w:val="000000"/>
          <w:sz w:val="24"/>
        </w:rPr>
        <w:t xml:space="preserve">    (5)</w:t>
      </w:r>
    </w:p>
    <w:p w14:paraId="36373BEC">
      <w:pPr>
        <w:pStyle w:val="18"/>
        <w:keepNext/>
        <w:pBdr>
          <w:left w:val="single" w:color="70519A" w:sz="16" w:space="7"/>
        </w:pBdr>
        <w:shd w:val="clear" w:fill="E9DFF3"/>
        <w:spacing w:before="0" w:after="40" w:line="276" w:lineRule="auto"/>
        <w:jc w:val="both"/>
      </w:pPr>
      <w:r>
        <w:rPr>
          <w:rFonts w:ascii="Times New Roman" w:hAnsi="Times New Roman" w:eastAsia="Times New Roman"/>
          <w:b/>
          <w:i w:val="0"/>
          <w:color w:val="000000"/>
          <w:sz w:val="24"/>
        </w:rPr>
        <w:t>Algorithm 1. RMDB–BiRAP phenotype construction and evidence gating</w:t>
      </w:r>
    </w:p>
    <w:p w14:paraId="41C54AED">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Input. Standardized left/right fundus photographs; frozen VascX logits; frozen FIVES occupancy estimator; optic-disc metadata.</w:t>
      </w:r>
    </w:p>
    <w:p w14:paraId="6E6554FE">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Output. A patient-level ICC-gated phenotype vector and an evidence status that is independent of outcome-driven feature selection.</w:t>
      </w:r>
    </w:p>
    <w:p w14:paraId="12E3881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1  Standardize anatomy. Normalize the field of view; locate the disc; construct Zone B only when disc quality control passes.</w:t>
      </w:r>
    </w:p>
    <w:p w14:paraId="541C559C">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2  Refine vascular identity. Apply the two-step UDCT residual corrector to the frozen four-class identity logits.</w:t>
      </w:r>
    </w:p>
    <w:p w14:paraId="70E41FBB">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3  Construct complementary readouts. Retain the mass-preserving four-class probabilities and form the occupancy-gated factorized identity map (Factorized-UDCT) using the fixed gate and threshold.</w:t>
      </w:r>
    </w:p>
    <w:p w14:paraId="6AFBB9D1">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4  Extract eye-level candidates. Measure vessel mass, skeleton density, branch density, A/V balance, entropy, and cross-readout disagreement globally and, when available, within Zone B.</w:t>
      </w:r>
    </w:p>
    <w:p w14:paraId="44176145">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5  Estimate label-blind reliability. Compute ICC(1,1) from same-eye repeated views without systemic outcomes or clinical covariates.</w:t>
      </w:r>
    </w:p>
    <w:p w14:paraId="57E3BB6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6  Apply the reliability gate. Retain phenotype j only when its ICC(1,1) is ≥ 0.60; preserve excluded candidates as transparent negative results.</w:t>
      </w:r>
    </w:p>
    <w:p w14:paraId="716E10E6">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7  Aggregate at patient level. For each retained phenotype, compute the bilateral mean and absolute inter-eye difference after within-eye repeat aggregation.</w:t>
      </w:r>
    </w:p>
    <w:p w14:paraId="48C80AE4">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8  Test incremental utility. Within patient-grouped nested cross-validation, compare clinical-only and clinical-plus-retinal models using paired patient-level bootstrap intervals.</w:t>
      </w:r>
    </w:p>
    <w:p w14:paraId="4C6E4862">
      <w:pPr>
        <w:pStyle w:val="18"/>
        <w:keepNext w:val="0"/>
        <w:keepLines/>
        <w:pBdr>
          <w:left w:val="single" w:color="70519A" w:sz="16" w:space="7"/>
        </w:pBdr>
        <w:shd w:val="clear" w:fill="F3EDF9"/>
        <w:spacing w:before="0" w:after="120" w:line="276" w:lineRule="auto"/>
        <w:ind w:left="187" w:right="115"/>
        <w:jc w:val="both"/>
      </w:pPr>
      <w:r>
        <w:rPr>
          <w:rFonts w:ascii="Times New Roman" w:hAnsi="Times New Roman" w:eastAsia="Times New Roman"/>
          <w:b w:val="0"/>
          <w:i w:val="0"/>
          <w:color w:val="000000"/>
          <w:sz w:val="24"/>
        </w:rPr>
        <w:t>Stopping rule. A clinical biomarker claim is permitted only when measurement validity, repeatability, and clinical increment all pass their prespecified gates.</w:t>
      </w:r>
    </w:p>
    <w:p w14:paraId="03C96D02">
      <w:pPr>
        <w:pStyle w:val="4"/>
        <w:keepNext/>
        <w:spacing w:before="200" w:after="120" w:line="240" w:lineRule="auto"/>
        <w:jc w:val="left"/>
      </w:pPr>
      <w:r>
        <w:rPr>
          <w:rFonts w:ascii="Times New Roman" w:hAnsi="Times New Roman" w:eastAsia="Times New Roman"/>
          <w:b/>
          <w:i w:val="0"/>
          <w:color w:val="000000"/>
          <w:sz w:val="24"/>
        </w:rPr>
        <w:t>2.5 Cross-domain measurement evaluation</w:t>
      </w:r>
    </w:p>
    <w:p w14:paraId="7E239D8D">
      <w:pPr>
        <w:pStyle w:val="18"/>
        <w:keepNext w:val="0"/>
        <w:spacing w:before="0" w:after="100" w:line="276" w:lineRule="auto"/>
        <w:ind w:firstLine="360"/>
        <w:jc w:val="both"/>
      </w:pPr>
      <w:r>
        <w:rPr>
          <w:rFonts w:ascii="Times New Roman" w:hAnsi="Times New Roman" w:eastAsia="Times New Roman"/>
          <w:b w:val="0"/>
          <w:i w:val="0"/>
          <w:color w:val="000000"/>
          <w:sz w:val="24"/>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pStyle w:val="18"/>
        <w:keepNext w:val="0"/>
        <w:spacing w:before="0" w:after="100" w:line="276" w:lineRule="auto"/>
        <w:ind w:firstLine="360"/>
        <w:jc w:val="both"/>
      </w:pPr>
      <w:r>
        <w:rPr>
          <w:rFonts w:ascii="Times New Roman" w:hAnsi="Times New Roman" w:eastAsia="Times New Roman"/>
          <w:b w:val="0"/>
          <w:i w:val="0"/>
          <w:color w:val="000000"/>
          <w:sz w:val="24"/>
        </w:rPr>
        <w:t>Disease and image-quality strata were used to identify failure domains rather than to retune the locked models. This distinction preserves the external status of the validation while still exposing where the measurement system degrades.</w:t>
      </w:r>
    </w:p>
    <w:p w14:paraId="69574EC3">
      <w:pPr>
        <w:pStyle w:val="4"/>
        <w:keepNext/>
        <w:spacing w:before="200" w:after="120" w:line="240" w:lineRule="auto"/>
        <w:jc w:val="left"/>
      </w:pPr>
      <w:r>
        <w:rPr>
          <w:rFonts w:ascii="Times New Roman" w:hAnsi="Times New Roman" w:eastAsia="Times New Roman"/>
          <w:b/>
          <w:i w:val="0"/>
          <w:color w:val="000000"/>
          <w:sz w:val="24"/>
        </w:rPr>
        <w:t>2.6 Patient-level modelling, normative deviation, and evidence gating</w:t>
      </w:r>
    </w:p>
    <w:p w14:paraId="57F18970">
      <w:pPr>
        <w:pStyle w:val="18"/>
        <w:keepNext w:val="0"/>
        <w:spacing w:before="0" w:after="100" w:line="276" w:lineRule="auto"/>
        <w:ind w:firstLine="360"/>
        <w:jc w:val="both"/>
      </w:pPr>
      <w:r>
        <w:rPr>
          <w:rFonts w:ascii="Times New Roman" w:hAnsi="Times New Roman" w:eastAsia="Times New Roman"/>
          <w:b w:val="0"/>
          <w:i w:val="0"/>
          <w:color w:val="000000"/>
          <w:sz w:val="24"/>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spacing w:before="0" w:after="100" w:line="276" w:lineRule="auto"/>
        <w:ind w:firstLine="360"/>
        <w:jc w:val="both"/>
      </w:pPr>
      <w:r>
        <w:rPr>
          <w:rFonts w:ascii="Times New Roman" w:hAnsi="Times New Roman" w:eastAsia="Times New Roman"/>
          <w:b w:val="0"/>
          <w:i w:val="0"/>
          <w:color w:val="000000"/>
          <w:sz w:val="24"/>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pStyle w:val="18"/>
        <w:keepNext/>
        <w:spacing w:before="0" w:after="40" w:line="276" w:lineRule="auto"/>
        <w:jc w:val="both"/>
      </w:pPr>
      <w:r>
        <w:rPr>
          <w:rFonts w:ascii="Times New Roman" w:hAnsi="Times New Roman" w:eastAsia="Times New Roman"/>
          <w:b w:val="0"/>
          <w:i w:val="0"/>
          <w:color w:val="000000"/>
          <w:sz w:val="24"/>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80" w:after="120" w:line="240" w:lineRule="auto"/>
        <w:jc w:val="center"/>
        <w:rPr>
          <w:sz w:val="20"/>
          <w:szCs w:val="20"/>
        </w:rPr>
      </w:pPr>
      <m:oMath>
        <m:r>
          <m:rPr/>
          <m:t>zᶜᴵᴹᵀᵢ=[yᵢ−μ₋ₖ(aᵢ,sᵢ)]/σ₋ₖ(aᵢ,sᵢ);   Φ⊥ᵢⱼ=Φᵢⱼ−E₋ₖ(Φᵢⱼ|aᵢ,sᵢ);   ŷᵢ=μ₋ₖ+σ₋ₖh₋ₖ(Φ⊥ᵢ)</m:t>
        </m:r>
      </m:oMath>
      <w:r>
        <w:rPr>
          <w:rFonts w:ascii="Times New Roman" w:hAnsi="Times New Roman" w:eastAsia="Times New Roman"/>
          <w:b w:val="0"/>
          <w:i w:val="0"/>
          <w:color w:val="000000"/>
          <w:sz w:val="24"/>
        </w:rPr>
        <w:t xml:space="preserve">    (6)</w:t>
      </w:r>
    </w:p>
    <w:p w14:paraId="57F6AB84">
      <w:pPr>
        <w:pStyle w:val="18"/>
        <w:keepNext w:val="0"/>
        <w:spacing w:before="0" w:after="100" w:line="276" w:lineRule="auto"/>
        <w:ind w:firstLine="360"/>
        <w:jc w:val="both"/>
      </w:pPr>
      <w:r>
        <w:rPr>
          <w:rFonts w:ascii="Times New Roman" w:hAnsi="Times New Roman" w:eastAsia="Times New Roman"/>
          <w:b w:val="0"/>
          <w:i w:val="0"/>
          <w:color w:val="000000"/>
          <w:sz w:val="24"/>
        </w:rPr>
        <w:t>For mBRSET hypertension, the clinical baseline contained age, sex, and diabetes duration. The phenotype-core–augmented model added the ICC-gated phenotype core to the clinical baseline.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pStyle w:val="4"/>
        <w:keepNext/>
        <w:spacing w:before="200" w:after="120" w:line="240" w:lineRule="auto"/>
        <w:jc w:val="left"/>
      </w:pPr>
      <w:r>
        <w:rPr>
          <w:rFonts w:ascii="Times New Roman" w:hAnsi="Times New Roman" w:eastAsia="Times New Roman"/>
          <w:b/>
          <w:i w:val="0"/>
          <w:color w:val="000000"/>
          <w:sz w:val="24"/>
        </w:rPr>
        <w:t>2.7 Reporting hierarchy</w:t>
      </w:r>
    </w:p>
    <w:p w14:paraId="21B21BE1">
      <w:pPr>
        <w:pStyle w:val="18"/>
        <w:keepNext w:val="0"/>
        <w:spacing w:before="0" w:after="100" w:line="276" w:lineRule="auto"/>
        <w:ind w:firstLine="360"/>
        <w:jc w:val="both"/>
      </w:pPr>
      <w:r>
        <w:rPr>
          <w:rFonts w:ascii="Times New Roman" w:hAnsi="Times New Roman" w:eastAsia="Times New Roman"/>
          <w:b w:val="0"/>
          <w:i w:val="0"/>
          <w:color w:val="000000"/>
          <w:sz w:val="24"/>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pStyle w:val="3"/>
        <w:keepNext/>
        <w:spacing w:before="200" w:after="120" w:line="240" w:lineRule="auto"/>
        <w:jc w:val="left"/>
      </w:pPr>
      <w:r>
        <w:rPr>
          <w:rFonts w:ascii="Times New Roman" w:hAnsi="Times New Roman" w:eastAsia="Times New Roman"/>
          <w:b/>
          <w:i w:val="0"/>
          <w:color w:val="000000"/>
          <w:sz w:val="28"/>
        </w:rPr>
        <w:t>3. Results</w:t>
      </w:r>
    </w:p>
    <w:p w14:paraId="3309F225">
      <w:pPr>
        <w:pStyle w:val="4"/>
        <w:keepNext/>
        <w:spacing w:before="200" w:after="120" w:line="240" w:lineRule="auto"/>
        <w:jc w:val="left"/>
      </w:pPr>
      <w:r>
        <w:rPr>
          <w:rFonts w:ascii="Times New Roman" w:hAnsi="Times New Roman" w:eastAsia="Times New Roman"/>
          <w:b/>
          <w:i w:val="0"/>
          <w:color w:val="000000"/>
          <w:sz w:val="24"/>
        </w:rPr>
        <w:t>3.1 Cross-domain measurement validity was heterogeneous</w:t>
      </w:r>
    </w:p>
    <w:p w14:paraId="7783EE23">
      <w:pPr>
        <w:pStyle w:val="18"/>
        <w:keepNext w:val="0"/>
        <w:spacing w:before="0" w:after="100" w:line="276" w:lineRule="auto"/>
        <w:ind w:firstLine="360"/>
        <w:jc w:val="both"/>
      </w:pPr>
      <w:r>
        <w:rPr>
          <w:rFonts w:ascii="Times New Roman" w:hAnsi="Times New Roman" w:eastAsia="Times New Roman"/>
          <w:b w:val="0"/>
          <w:i w:val="0"/>
          <w:color w:val="000000"/>
          <w:sz w:val="24"/>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pStyle w:val="18"/>
        <w:keepNext w:val="0"/>
        <w:spacing w:before="0" w:after="100" w:line="276" w:lineRule="auto"/>
        <w:ind w:firstLine="360"/>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spacing w:before="0" w:after="100" w:line="276" w:lineRule="auto"/>
        <w:ind w:firstLine="360"/>
        <w:jc w:val="both"/>
      </w:pPr>
      <w:r>
        <w:rPr>
          <w:rFonts w:ascii="Times New Roman" w:hAnsi="Times New Roman" w:eastAsia="Times New Roman"/>
          <w:b w:val="0"/>
          <w:i w:val="0"/>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Next/>
        <w:keepLines/>
        <w:spacing w:before="40" w:after="120" w:line="240" w:lineRule="auto"/>
        <w:jc w:val="both"/>
      </w:pPr>
      <w:r>
        <w:rPr>
          <w:rFonts w:ascii="Times New Roman" w:hAnsi="Times New Roman" w:eastAsia="Times New Roman"/>
          <w:b/>
          <w:i/>
          <w:color w:val="000000"/>
          <w:sz w:val="24"/>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Mass-UDCT readout. The paired gain transferred across all 100 images, but absolute performance remained moderate and degraded most in diabetic retinopathy and low-quality photographs.</w:t>
      </w:r>
    </w:p>
    <w:p w14:paraId="178159CD">
      <w:pPr>
        <w:keepNext/>
        <w:spacing w:before="40" w:after="120" w:line="240" w:lineRule="auto"/>
        <w:jc w:val="both"/>
      </w:pPr>
      <w:r>
        <w:rPr>
          <w:rFonts w:ascii="Times New Roman" w:hAnsi="Times New Roman" w:eastAsia="Times New Roman"/>
          <w:b/>
          <w:i/>
          <w:color w:val="000000"/>
          <w:sz w:val="24"/>
        </w:rPr>
        <w:t>Table 2. External measurement performance. Lower is better only for A/V ratio log error.</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before="0"/>
              <w:jc w:val="center"/>
            </w:pPr>
            <w:r>
              <w:rPr>
                <w:rFonts w:ascii="Times New Roman" w:hAnsi="Times New Roman" w:eastAsia="Times New Roman"/>
                <w:b/>
                <w:i w:val="0"/>
                <w:color w:val="000000"/>
                <w:sz w:val="21"/>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before="0"/>
              <w:jc w:val="center"/>
            </w:pPr>
            <w:r>
              <w:rPr>
                <w:rFonts w:ascii="Times New Roman" w:hAnsi="Times New Roman" w:eastAsia="Times New Roman"/>
                <w:b/>
                <w:i w:val="0"/>
                <w:color w:val="000000"/>
                <w:sz w:val="21"/>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before="0"/>
              <w:jc w:val="center"/>
            </w:pPr>
            <w:r>
              <w:rPr>
                <w:rFonts w:ascii="Times New Roman" w:hAnsi="Times New Roman" w:eastAsia="Times New Roman"/>
                <w:b/>
                <w:i w:val="0"/>
                <w:color w:val="000000"/>
                <w:sz w:val="21"/>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before="0"/>
              <w:jc w:val="center"/>
            </w:pPr>
            <w:r>
              <w:rPr>
                <w:rFonts w:ascii="Times New Roman" w:hAnsi="Times New Roman" w:eastAsia="Times New Roman"/>
                <w:b/>
                <w:i w:val="0"/>
                <w:color w:val="000000"/>
                <w:sz w:val="21"/>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before="0"/>
              <w:jc w:val="center"/>
            </w:pPr>
            <w:r>
              <w:rPr>
                <w:rFonts w:ascii="Times New Roman" w:hAnsi="Times New Roman" w:eastAsia="Times New Roman"/>
                <w:b/>
                <w:i w:val="0"/>
                <w:color w:val="000000"/>
                <w:sz w:val="21"/>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before="0"/>
              <w:jc w:val="center"/>
            </w:pPr>
            <w:r>
              <w:rPr>
                <w:rFonts w:ascii="Times New Roman" w:hAnsi="Times New Roman" w:eastAsia="Times New Roman"/>
                <w:b/>
                <w:i w:val="0"/>
                <w:color w:val="000000"/>
                <w:sz w:val="21"/>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before="0"/>
              <w:jc w:val="center"/>
            </w:pPr>
            <w:r>
              <w:rPr>
                <w:rFonts w:ascii="Times New Roman" w:hAnsi="Times New Roman" w:eastAsia="Times New Roman"/>
                <w:b/>
                <w:i w:val="0"/>
                <w:color w:val="000000"/>
                <w:sz w:val="21"/>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before="0"/>
              <w:jc w:val="center"/>
            </w:pPr>
            <w:r>
              <w:rPr>
                <w:rFonts w:ascii="Times New Roman" w:hAnsi="Times New Roman" w:eastAsia="Times New Roman"/>
                <w:b/>
                <w:i w:val="0"/>
                <w:color w:val="000000"/>
                <w:sz w:val="21"/>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before="0"/>
              <w:jc w:val="left"/>
            </w:pPr>
            <w:r>
              <w:rPr>
                <w:rFonts w:ascii="Times New Roman" w:hAnsi="Times New Roman" w:eastAsia="Times New Roman"/>
                <w:b w:val="0"/>
                <w:i w:val="0"/>
                <w:color w:val="000000"/>
                <w:sz w:val="21"/>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before="0"/>
              <w:jc w:val="left"/>
            </w:pPr>
            <w:r>
              <w:rPr>
                <w:rFonts w:ascii="Times New Roman" w:hAnsi="Times New Roman" w:eastAsia="Times New Roman"/>
                <w:b w:val="0"/>
                <w:i w:val="0"/>
                <w:color w:val="000000"/>
                <w:sz w:val="21"/>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before="0"/>
              <w:jc w:val="left"/>
            </w:pPr>
            <w:r>
              <w:rPr>
                <w:rFonts w:ascii="Times New Roman" w:hAnsi="Times New Roman" w:eastAsia="Times New Roman"/>
                <w:b w:val="0"/>
                <w:i w:val="0"/>
                <w:color w:val="000000"/>
                <w:sz w:val="21"/>
              </w:rPr>
              <w:t>—</w:t>
            </w:r>
          </w:p>
        </w:tc>
        <w:tc>
          <w:tcPr>
            <w:tcW w:w="1051" w:type="dxa"/>
            <w:shd w:val="clear" w:color="auto" w:fill="F3EDF9"/>
            <w:tcMar>
              <w:top w:w="75" w:type="dxa"/>
              <w:left w:w="85" w:type="dxa"/>
              <w:bottom w:w="75" w:type="dxa"/>
              <w:right w:w="85" w:type="dxa"/>
            </w:tcMar>
            <w:vAlign w:val="center"/>
          </w:tcPr>
          <w:p w14:paraId="02DCC868">
            <w:pPr>
              <w:spacing w:after="0" w:line="240" w:lineRule="auto" w:before="0"/>
              <w:jc w:val="left"/>
            </w:pPr>
            <w:r>
              <w:rPr>
                <w:rFonts w:ascii="Times New Roman" w:hAnsi="Times New Roman" w:eastAsia="Times New Roman"/>
                <w:b w:val="0"/>
                <w:i w:val="0"/>
                <w:color w:val="000000"/>
                <w:sz w:val="21"/>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before="0"/>
              <w:jc w:val="left"/>
            </w:pPr>
            <w:r>
              <w:rPr>
                <w:rFonts w:ascii="Times New Roman" w:hAnsi="Times New Roman" w:eastAsia="Times New Roman"/>
                <w:b w:val="0"/>
                <w:i w:val="0"/>
                <w:color w:val="000000"/>
                <w:sz w:val="21"/>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before="0"/>
              <w:jc w:val="left"/>
            </w:pPr>
            <w:r>
              <w:rPr>
                <w:rFonts w:ascii="Times New Roman" w:hAnsi="Times New Roman" w:eastAsia="Times New Roman"/>
                <w:b w:val="0"/>
                <w:i w:val="0"/>
                <w:color w:val="000000"/>
                <w:sz w:val="21"/>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before="0"/>
              <w:jc w:val="left"/>
            </w:pPr>
            <w:r>
              <w:rPr>
                <w:rFonts w:ascii="Times New Roman" w:hAnsi="Times New Roman" w:eastAsia="Times New Roman"/>
                <w:b w:val="0"/>
                <w:i w:val="0"/>
                <w:color w:val="000000"/>
                <w:sz w:val="21"/>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before="0"/>
              <w:jc w:val="left"/>
            </w:pPr>
            <w:r>
              <w:rPr>
                <w:rFonts w:ascii="Times New Roman" w:hAnsi="Times New Roman" w:eastAsia="Times New Roman"/>
                <w:b w:val="0"/>
                <w:i w:val="0"/>
                <w:color w:val="000000"/>
                <w:sz w:val="21"/>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before="0"/>
              <w:jc w:val="left"/>
            </w:pPr>
            <w:r>
              <w:rPr>
                <w:rFonts w:ascii="Times New Roman" w:hAnsi="Times New Roman" w:eastAsia="Times New Roman"/>
                <w:b w:val="0"/>
                <w:i w:val="0"/>
                <w:color w:val="000000"/>
                <w:sz w:val="21"/>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before="0"/>
              <w:jc w:val="left"/>
            </w:pPr>
            <w:r>
              <w:rPr>
                <w:rFonts w:ascii="Times New Roman" w:hAnsi="Times New Roman" w:eastAsia="Times New Roman"/>
                <w:b w:val="0"/>
                <w:i w:val="0"/>
                <w:color w:val="000000"/>
                <w:sz w:val="21"/>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before="0"/>
              <w:jc w:val="left"/>
            </w:pPr>
            <w:r>
              <w:rPr>
                <w:rFonts w:ascii="Times New Roman" w:hAnsi="Times New Roman" w:eastAsia="Times New Roman"/>
                <w:b w:val="0"/>
                <w:i w:val="0"/>
                <w:color w:val="000000"/>
                <w:sz w:val="21"/>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before="0"/>
              <w:jc w:val="left"/>
            </w:pPr>
            <w:r>
              <w:rPr>
                <w:rFonts w:ascii="Times New Roman" w:hAnsi="Times New Roman" w:eastAsia="Times New Roman"/>
                <w:b w:val="0"/>
                <w:i w:val="0"/>
                <w:color w:val="000000"/>
                <w:sz w:val="21"/>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before="0"/>
              <w:jc w:val="left"/>
            </w:pPr>
            <w:r>
              <w:rPr>
                <w:rFonts w:ascii="Times New Roman" w:hAnsi="Times New Roman" w:eastAsia="Times New Roman"/>
                <w:b w:val="0"/>
                <w:i w:val="0"/>
                <w:color w:val="000000"/>
                <w:sz w:val="21"/>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before="0"/>
              <w:jc w:val="left"/>
            </w:pPr>
            <w:r>
              <w:rPr>
                <w:rFonts w:ascii="Times New Roman" w:hAnsi="Times New Roman" w:eastAsia="Times New Roman"/>
                <w:b w:val="0"/>
                <w:i w:val="0"/>
                <w:color w:val="000000"/>
                <w:sz w:val="21"/>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before="0"/>
              <w:jc w:val="left"/>
            </w:pPr>
            <w:r>
              <w:rPr>
                <w:rFonts w:ascii="Times New Roman" w:hAnsi="Times New Roman" w:eastAsia="Times New Roman"/>
                <w:b w:val="0"/>
                <w:i w:val="0"/>
                <w:color w:val="000000"/>
                <w:sz w:val="21"/>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before="0"/>
              <w:jc w:val="left"/>
            </w:pPr>
            <w:r>
              <w:rPr>
                <w:rFonts w:ascii="Times New Roman" w:hAnsi="Times New Roman" w:eastAsia="Times New Roman"/>
                <w:b w:val="0"/>
                <w:i w:val="0"/>
                <w:color w:val="000000"/>
                <w:sz w:val="21"/>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before="0"/>
              <w:jc w:val="left"/>
            </w:pPr>
            <w:r>
              <w:rPr>
                <w:rFonts w:ascii="Times New Roman" w:hAnsi="Times New Roman" w:eastAsia="Times New Roman"/>
                <w:b w:val="0"/>
                <w:i w:val="0"/>
                <w:color w:val="000000"/>
                <w:sz w:val="21"/>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before="0"/>
              <w:jc w:val="left"/>
            </w:pPr>
            <w:r>
              <w:rPr>
                <w:rFonts w:ascii="Times New Roman" w:hAnsi="Times New Roman" w:eastAsia="Times New Roman"/>
                <w:b w:val="0"/>
                <w:i w:val="0"/>
                <w:color w:val="000000"/>
                <w:sz w:val="21"/>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before="0"/>
              <w:jc w:val="left"/>
            </w:pPr>
            <w:r>
              <w:rPr>
                <w:rFonts w:ascii="Times New Roman" w:hAnsi="Times New Roman" w:eastAsia="Times New Roman"/>
                <w:b w:val="0"/>
                <w:i w:val="0"/>
                <w:color w:val="000000"/>
                <w:sz w:val="21"/>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before="0"/>
              <w:jc w:val="left"/>
            </w:pPr>
            <w:r>
              <w:rPr>
                <w:rFonts w:ascii="Times New Roman" w:hAnsi="Times New Roman" w:eastAsia="Times New Roman"/>
                <w:b w:val="0"/>
                <w:i w:val="0"/>
                <w:color w:val="000000"/>
                <w:sz w:val="21"/>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before="0"/>
              <w:jc w:val="left"/>
            </w:pPr>
            <w:r>
              <w:rPr>
                <w:rFonts w:ascii="Times New Roman" w:hAnsi="Times New Roman" w:eastAsia="Times New Roman"/>
                <w:b w:val="0"/>
                <w:i w:val="0"/>
                <w:color w:val="000000"/>
                <w:sz w:val="21"/>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before="0"/>
              <w:jc w:val="left"/>
            </w:pPr>
            <w:r>
              <w:rPr>
                <w:rFonts w:ascii="Times New Roman" w:hAnsi="Times New Roman" w:eastAsia="Times New Roman"/>
                <w:b w:val="0"/>
                <w:i w:val="0"/>
                <w:color w:val="000000"/>
                <w:sz w:val="21"/>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before="0"/>
              <w:jc w:val="left"/>
            </w:pPr>
            <w:r>
              <w:rPr>
                <w:rFonts w:ascii="Times New Roman" w:hAnsi="Times New Roman" w:eastAsia="Times New Roman"/>
                <w:b w:val="0"/>
                <w:i w:val="0"/>
                <w:color w:val="000000"/>
                <w:sz w:val="21"/>
              </w:rPr>
              <w:t>Factorized-UDCT</w:t>
            </w:r>
          </w:p>
        </w:tc>
        <w:tc>
          <w:tcPr>
            <w:tcW w:w="1051" w:type="dxa"/>
            <w:shd w:val="clear" w:color="auto" w:fill="FFFFFF"/>
            <w:tcMar>
              <w:top w:w="75" w:type="dxa"/>
              <w:left w:w="85" w:type="dxa"/>
              <w:bottom w:w="75" w:type="dxa"/>
              <w:right w:w="85" w:type="dxa"/>
            </w:tcMar>
            <w:vAlign w:val="center"/>
          </w:tcPr>
          <w:p w14:paraId="43FC03F7">
            <w:pPr>
              <w:spacing w:after="0" w:line="240" w:lineRule="auto" w:before="0"/>
              <w:jc w:val="left"/>
            </w:pPr>
            <w:r>
              <w:rPr>
                <w:rFonts w:ascii="Times New Roman" w:hAnsi="Times New Roman" w:eastAsia="Times New Roman"/>
                <w:b w:val="0"/>
                <w:i w:val="0"/>
                <w:color w:val="000000"/>
                <w:sz w:val="21"/>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before="0"/>
              <w:jc w:val="left"/>
            </w:pPr>
            <w:r>
              <w:rPr>
                <w:rFonts w:ascii="Times New Roman" w:hAnsi="Times New Roman" w:eastAsia="Times New Roman"/>
                <w:b w:val="0"/>
                <w:i w:val="0"/>
                <w:color w:val="000000"/>
                <w:sz w:val="21"/>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before="0"/>
              <w:jc w:val="left"/>
            </w:pPr>
            <w:r>
              <w:rPr>
                <w:rFonts w:ascii="Times New Roman" w:hAnsi="Times New Roman" w:eastAsia="Times New Roman"/>
                <w:b w:val="0"/>
                <w:i w:val="0"/>
                <w:color w:val="000000"/>
                <w:sz w:val="21"/>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before="0"/>
              <w:jc w:val="left"/>
            </w:pPr>
            <w:r>
              <w:rPr>
                <w:rFonts w:ascii="Times New Roman" w:hAnsi="Times New Roman" w:eastAsia="Times New Roman"/>
                <w:b w:val="0"/>
                <w:i w:val="0"/>
                <w:color w:val="000000"/>
                <w:sz w:val="21"/>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before="0"/>
              <w:jc w:val="left"/>
            </w:pPr>
            <w:r>
              <w:rPr>
                <w:rFonts w:ascii="Times New Roman" w:hAnsi="Times New Roman" w:eastAsia="Times New Roman"/>
                <w:b w:val="0"/>
                <w:i w:val="0"/>
                <w:color w:val="000000"/>
                <w:sz w:val="21"/>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before="0"/>
              <w:jc w:val="left"/>
            </w:pPr>
            <w:r>
              <w:rPr>
                <w:rFonts w:ascii="Times New Roman" w:hAnsi="Times New Roman" w:eastAsia="Times New Roman"/>
                <w:b w:val="0"/>
                <w:i w:val="0"/>
                <w:color w:val="000000"/>
                <w:sz w:val="21"/>
              </w:rPr>
              <w:t>0.0689</w:t>
            </w:r>
          </w:p>
        </w:tc>
      </w:tr>
    </w:tbl>
    <w:p w14:paraId="36A0F564">
      <w:pPr>
        <w:spacing w:after="0" w:before="0"/>
        <w:jc w:val="center"/>
      </w:pPr>
    </w:p>
    <w:p w14:paraId="5FEBE969">
      <w:pPr>
        <w:pStyle w:val="4"/>
        <w:keepNext/>
        <w:spacing w:before="200" w:after="120" w:line="240" w:lineRule="auto"/>
        <w:jc w:val="left"/>
      </w:pPr>
      <w:r>
        <w:rPr>
          <w:rFonts w:ascii="Times New Roman" w:hAnsi="Times New Roman" w:eastAsia="Times New Roman"/>
          <w:b/>
          <w:i w:val="0"/>
          <w:color w:val="000000"/>
          <w:sz w:val="24"/>
        </w:rPr>
        <w:t>3.2 Outcome-blind repeatability selected four phenotypes</w:t>
      </w:r>
    </w:p>
    <w:p w14:paraId="032EF8F5">
      <w:pPr>
        <w:pStyle w:val="18"/>
        <w:keepNext w:val="0"/>
        <w:spacing w:before="0" w:after="100" w:line="276" w:lineRule="auto"/>
        <w:ind w:firstLine="360"/>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spacing w:before="0" w:after="100" w:line="276" w:lineRule="auto"/>
        <w:ind w:firstLine="360"/>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Next/>
        <w:keepLines/>
        <w:spacing w:before="40" w:after="120" w:line="240" w:lineRule="auto"/>
        <w:jc w:val="both"/>
      </w:pPr>
      <w:r>
        <w:rPr>
          <w:rFonts w:ascii="Times New Roman" w:hAnsi="Times New Roman" w:eastAsia="Times New Roman"/>
          <w:b/>
          <w:i/>
          <w:color w:val="000000"/>
          <w:sz w:val="24"/>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40" w:after="120" w:line="240" w:lineRule="auto"/>
        <w:jc w:val="both"/>
      </w:pPr>
      <w:r>
        <w:rPr>
          <w:rFonts w:ascii="Times New Roman" w:hAnsi="Times New Roman" w:eastAsia="Times New Roman"/>
          <w:b/>
          <w:i/>
          <w:color w:val="000000"/>
          <w:sz w:val="24"/>
        </w:rPr>
        <w:t>Table 3. Label-blind repeated-view reliability and phenotype retention.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before="0"/>
              <w:jc w:val="center"/>
            </w:pPr>
            <w:r>
              <w:rPr>
                <w:rFonts w:ascii="Times New Roman" w:hAnsi="Times New Roman" w:eastAsia="Times New Roman"/>
                <w:b/>
                <w:i w:val="0"/>
                <w:color w:val="000000"/>
                <w:sz w:val="21"/>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before="0"/>
              <w:jc w:val="center"/>
            </w:pPr>
            <w:r>
              <w:rPr>
                <w:rFonts w:ascii="Times New Roman" w:hAnsi="Times New Roman" w:eastAsia="Times New Roman"/>
                <w:b/>
                <w:i w:val="0"/>
                <w:color w:val="000000"/>
                <w:sz w:val="21"/>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before="0"/>
              <w:jc w:val="center"/>
            </w:pPr>
            <w:r>
              <w:rPr>
                <w:rFonts w:ascii="Times New Roman" w:hAnsi="Times New Roman" w:eastAsia="Times New Roman"/>
                <w:b/>
                <w:i w:val="0"/>
                <w:color w:val="000000"/>
                <w:sz w:val="21"/>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before="0"/>
              <w:jc w:val="center"/>
            </w:pPr>
            <w:r>
              <w:rPr>
                <w:rFonts w:ascii="Times New Roman" w:hAnsi="Times New Roman" w:eastAsia="Times New Roman"/>
                <w:b/>
                <w:i w:val="0"/>
                <w:color w:val="000000"/>
                <w:sz w:val="21"/>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before="0"/>
              <w:jc w:val="center"/>
            </w:pPr>
            <w:r>
              <w:rPr>
                <w:rFonts w:ascii="Times New Roman" w:hAnsi="Times New Roman" w:eastAsia="Times New Roman"/>
                <w:b/>
                <w:i w:val="0"/>
                <w:color w:val="000000"/>
                <w:sz w:val="21"/>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before="0"/>
              <w:jc w:val="left"/>
            </w:pPr>
            <w:r>
              <w:rPr>
                <w:rFonts w:ascii="Times New Roman" w:hAnsi="Times New Roman" w:eastAsia="Times New Roman"/>
                <w:b w:val="0"/>
                <w:i w:val="0"/>
                <w:color w:val="000000"/>
                <w:sz w:val="21"/>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before="0"/>
              <w:jc w:val="left"/>
            </w:pPr>
            <w:r>
              <w:rPr>
                <w:rFonts w:ascii="Times New Roman" w:hAnsi="Times New Roman" w:eastAsia="Times New Roman"/>
                <w:b w:val="0"/>
                <w:i w:val="0"/>
                <w:color w:val="000000"/>
                <w:sz w:val="21"/>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before="0"/>
              <w:jc w:val="left"/>
            </w:pPr>
            <w:r>
              <w:rPr>
                <w:rFonts w:ascii="Times New Roman" w:hAnsi="Times New Roman" w:eastAsia="Times New Roman"/>
                <w:b w:val="0"/>
                <w:i w:val="0"/>
                <w:color w:val="000000"/>
                <w:sz w:val="21"/>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before="0"/>
              <w:jc w:val="left"/>
            </w:pPr>
            <w:r>
              <w:rPr>
                <w:rFonts w:ascii="Times New Roman" w:hAnsi="Times New Roman" w:eastAsia="Times New Roman"/>
                <w:b w:val="0"/>
                <w:i w:val="0"/>
                <w:color w:val="000000"/>
                <w:sz w:val="21"/>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before="0"/>
              <w:jc w:val="left"/>
            </w:pPr>
            <w:r>
              <w:rPr>
                <w:rFonts w:ascii="Times New Roman" w:hAnsi="Times New Roman" w:eastAsia="Times New Roman"/>
                <w:b w:val="0"/>
                <w:i w:val="0"/>
                <w:color w:val="000000"/>
                <w:sz w:val="21"/>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before="0"/>
              <w:jc w:val="left"/>
            </w:pPr>
            <w:r>
              <w:rPr>
                <w:rFonts w:ascii="Times New Roman" w:hAnsi="Times New Roman" w:eastAsia="Times New Roman"/>
                <w:b w:val="0"/>
                <w:i w:val="0"/>
                <w:color w:val="000000"/>
                <w:sz w:val="21"/>
              </w:rPr>
              <w:t>Factorized-UDCT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before="0"/>
              <w:jc w:val="left"/>
            </w:pPr>
            <w:r>
              <w:rPr>
                <w:rFonts w:ascii="Times New Roman" w:hAnsi="Times New Roman" w:eastAsia="Times New Roman"/>
                <w:b w:val="0"/>
                <w:i w:val="0"/>
                <w:color w:val="000000"/>
                <w:sz w:val="21"/>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before="0"/>
              <w:jc w:val="left"/>
            </w:pPr>
            <w:r>
              <w:rPr>
                <w:rFonts w:ascii="Times New Roman" w:hAnsi="Times New Roman" w:eastAsia="Times New Roman"/>
                <w:b w:val="0"/>
                <w:i w:val="0"/>
                <w:color w:val="000000"/>
                <w:sz w:val="21"/>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before="0"/>
              <w:jc w:val="left"/>
            </w:pPr>
            <w:r>
              <w:rPr>
                <w:rFonts w:ascii="Times New Roman" w:hAnsi="Times New Roman" w:eastAsia="Times New Roman"/>
                <w:b w:val="0"/>
                <w:i w:val="0"/>
                <w:color w:val="000000"/>
                <w:sz w:val="21"/>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before="0"/>
              <w:jc w:val="left"/>
            </w:pPr>
            <w:r>
              <w:rPr>
                <w:rFonts w:ascii="Times New Roman" w:hAnsi="Times New Roman" w:eastAsia="Times New Roman"/>
                <w:b w:val="0"/>
                <w:i w:val="0"/>
                <w:color w:val="000000"/>
                <w:sz w:val="21"/>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before="0"/>
              <w:jc w:val="left"/>
            </w:pPr>
            <w:r>
              <w:rPr>
                <w:rFonts w:ascii="Times New Roman" w:hAnsi="Times New Roman" w:eastAsia="Times New Roman"/>
                <w:b w:val="0"/>
                <w:i w:val="0"/>
                <w:color w:val="000000"/>
                <w:sz w:val="21"/>
              </w:rPr>
              <w:t>Mass-UDCT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before="0"/>
              <w:jc w:val="left"/>
            </w:pPr>
            <w:r>
              <w:rPr>
                <w:rFonts w:ascii="Times New Roman" w:hAnsi="Times New Roman" w:eastAsia="Times New Roman"/>
                <w:b w:val="0"/>
                <w:i w:val="0"/>
                <w:color w:val="000000"/>
                <w:sz w:val="21"/>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before="0"/>
              <w:jc w:val="left"/>
            </w:pPr>
            <w:r>
              <w:rPr>
                <w:rFonts w:ascii="Times New Roman" w:hAnsi="Times New Roman" w:eastAsia="Times New Roman"/>
                <w:b w:val="0"/>
                <w:i w:val="0"/>
                <w:color w:val="000000"/>
                <w:sz w:val="21"/>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before="0"/>
              <w:jc w:val="left"/>
            </w:pPr>
            <w:r>
              <w:rPr>
                <w:rFonts w:ascii="Times New Roman" w:hAnsi="Times New Roman" w:eastAsia="Times New Roman"/>
                <w:b w:val="0"/>
                <w:i w:val="0"/>
                <w:color w:val="000000"/>
                <w:sz w:val="21"/>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before="0"/>
              <w:jc w:val="left"/>
            </w:pPr>
            <w:r>
              <w:rPr>
                <w:rFonts w:ascii="Times New Roman" w:hAnsi="Times New Roman" w:eastAsia="Times New Roman"/>
                <w:b w:val="0"/>
                <w:i w:val="0"/>
                <w:color w:val="000000"/>
                <w:sz w:val="21"/>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before="0"/>
              <w:jc w:val="left"/>
            </w:pPr>
            <w:r>
              <w:rPr>
                <w:rFonts w:ascii="Times New Roman" w:hAnsi="Times New Roman" w:eastAsia="Times New Roman"/>
                <w:b w:val="0"/>
                <w:i w:val="0"/>
                <w:color w:val="000000"/>
                <w:sz w:val="21"/>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before="0"/>
              <w:jc w:val="left"/>
            </w:pPr>
            <w:r>
              <w:rPr>
                <w:rFonts w:ascii="Times New Roman" w:hAnsi="Times New Roman" w:eastAsia="Times New Roman"/>
                <w:b w:val="0"/>
                <w:i w:val="0"/>
                <w:color w:val="000000"/>
                <w:sz w:val="21"/>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before="0"/>
              <w:jc w:val="left"/>
            </w:pPr>
            <w:r>
              <w:rPr>
                <w:rFonts w:ascii="Times New Roman" w:hAnsi="Times New Roman" w:eastAsia="Times New Roman"/>
                <w:b w:val="0"/>
                <w:i w:val="0"/>
                <w:color w:val="000000"/>
                <w:sz w:val="21"/>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before="0"/>
              <w:jc w:val="left"/>
            </w:pPr>
            <w:r>
              <w:rPr>
                <w:rFonts w:ascii="Times New Roman" w:hAnsi="Times New Roman" w:eastAsia="Times New Roman"/>
                <w:b w:val="0"/>
                <w:i w:val="0"/>
                <w:color w:val="000000"/>
                <w:sz w:val="21"/>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before="0"/>
              <w:jc w:val="left"/>
            </w:pPr>
            <w:r>
              <w:rPr>
                <w:rFonts w:ascii="Times New Roman" w:hAnsi="Times New Roman" w:eastAsia="Times New Roman"/>
                <w:b w:val="0"/>
                <w:i w:val="0"/>
                <w:color w:val="000000"/>
                <w:sz w:val="21"/>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before="0"/>
              <w:jc w:val="left"/>
            </w:pPr>
            <w:r>
              <w:rPr>
                <w:rFonts w:ascii="Times New Roman" w:hAnsi="Times New Roman" w:eastAsia="Times New Roman"/>
                <w:b w:val="0"/>
                <w:i w:val="0"/>
                <w:color w:val="000000"/>
                <w:sz w:val="21"/>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before="0"/>
              <w:jc w:val="left"/>
            </w:pPr>
            <w:r>
              <w:rPr>
                <w:rFonts w:ascii="Times New Roman" w:hAnsi="Times New Roman" w:eastAsia="Times New Roman"/>
                <w:b w:val="0"/>
                <w:i w:val="0"/>
                <w:color w:val="000000"/>
                <w:sz w:val="21"/>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before="0"/>
              <w:jc w:val="left"/>
            </w:pPr>
            <w:r>
              <w:rPr>
                <w:rFonts w:ascii="Times New Roman" w:hAnsi="Times New Roman" w:eastAsia="Times New Roman"/>
                <w:b w:val="0"/>
                <w:i w:val="0"/>
                <w:color w:val="000000"/>
                <w:sz w:val="21"/>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before="0"/>
              <w:jc w:val="left"/>
            </w:pPr>
            <w:r>
              <w:rPr>
                <w:rFonts w:ascii="Times New Roman" w:hAnsi="Times New Roman" w:eastAsia="Times New Roman"/>
                <w:b w:val="0"/>
                <w:i w:val="0"/>
                <w:color w:val="000000"/>
                <w:sz w:val="21"/>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before="0"/>
              <w:jc w:val="left"/>
            </w:pPr>
            <w:r>
              <w:rPr>
                <w:rFonts w:ascii="Times New Roman" w:hAnsi="Times New Roman" w:eastAsia="Times New Roman"/>
                <w:b w:val="0"/>
                <w:i w:val="0"/>
                <w:color w:val="000000"/>
                <w:sz w:val="21"/>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before="0"/>
              <w:jc w:val="left"/>
            </w:pPr>
            <w:r>
              <w:rPr>
                <w:rFonts w:ascii="Times New Roman" w:hAnsi="Times New Roman" w:eastAsia="Times New Roman"/>
                <w:b w:val="0"/>
                <w:i w:val="0"/>
                <w:color w:val="000000"/>
                <w:sz w:val="21"/>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before="0"/>
              <w:jc w:val="left"/>
            </w:pPr>
            <w:r>
              <w:rPr>
                <w:rFonts w:ascii="Times New Roman" w:hAnsi="Times New Roman" w:eastAsia="Times New Roman"/>
                <w:b w:val="0"/>
                <w:i w:val="0"/>
                <w:color w:val="000000"/>
                <w:sz w:val="21"/>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before="0"/>
              <w:jc w:val="left"/>
            </w:pPr>
            <w:r>
              <w:rPr>
                <w:rFonts w:ascii="Times New Roman" w:hAnsi="Times New Roman" w:eastAsia="Times New Roman"/>
                <w:b w:val="0"/>
                <w:i w:val="0"/>
                <w:color w:val="000000"/>
                <w:sz w:val="21"/>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before="0"/>
              <w:jc w:val="left"/>
            </w:pPr>
            <w:r>
              <w:rPr>
                <w:rFonts w:ascii="Times New Roman" w:hAnsi="Times New Roman" w:eastAsia="Times New Roman"/>
                <w:b w:val="0"/>
                <w:i w:val="0"/>
                <w:color w:val="000000"/>
                <w:sz w:val="21"/>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before="0"/>
              <w:jc w:val="left"/>
            </w:pPr>
            <w:r>
              <w:rPr>
                <w:rFonts w:ascii="Times New Roman" w:hAnsi="Times New Roman" w:eastAsia="Times New Roman"/>
                <w:b w:val="0"/>
                <w:i w:val="0"/>
                <w:color w:val="000000"/>
                <w:sz w:val="21"/>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before="0"/>
              <w:jc w:val="left"/>
            </w:pPr>
            <w:r>
              <w:rPr>
                <w:rFonts w:ascii="Times New Roman" w:hAnsi="Times New Roman" w:eastAsia="Times New Roman"/>
                <w:b w:val="0"/>
                <w:i w:val="0"/>
                <w:color w:val="000000"/>
                <w:sz w:val="21"/>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before="0"/>
              <w:jc w:val="left"/>
            </w:pPr>
            <w:r>
              <w:rPr>
                <w:rFonts w:ascii="Times New Roman" w:hAnsi="Times New Roman" w:eastAsia="Times New Roman"/>
                <w:b w:val="0"/>
                <w:i w:val="0"/>
                <w:color w:val="000000"/>
                <w:sz w:val="21"/>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before="0"/>
              <w:jc w:val="left"/>
            </w:pPr>
            <w:r>
              <w:rPr>
                <w:rFonts w:ascii="Times New Roman" w:hAnsi="Times New Roman" w:eastAsia="Times New Roman"/>
                <w:b w:val="0"/>
                <w:i w:val="0"/>
                <w:color w:val="000000"/>
                <w:sz w:val="21"/>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before="0"/>
              <w:jc w:val="left"/>
            </w:pPr>
            <w:r>
              <w:rPr>
                <w:rFonts w:ascii="Times New Roman" w:hAnsi="Times New Roman" w:eastAsia="Times New Roman"/>
                <w:b w:val="0"/>
                <w:i w:val="0"/>
                <w:color w:val="000000"/>
                <w:sz w:val="21"/>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before="0"/>
              <w:jc w:val="left"/>
            </w:pPr>
            <w:r>
              <w:rPr>
                <w:rFonts w:ascii="Times New Roman" w:hAnsi="Times New Roman" w:eastAsia="Times New Roman"/>
                <w:b w:val="0"/>
                <w:i w:val="0"/>
                <w:color w:val="000000"/>
                <w:sz w:val="21"/>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before="0"/>
              <w:jc w:val="left"/>
            </w:pPr>
            <w:r>
              <w:rPr>
                <w:rFonts w:ascii="Times New Roman" w:hAnsi="Times New Roman" w:eastAsia="Times New Roman"/>
                <w:b w:val="0"/>
                <w:i w:val="0"/>
                <w:color w:val="000000"/>
                <w:sz w:val="21"/>
              </w:rPr>
              <w:t>Factorized-UDCT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before="0"/>
              <w:jc w:val="left"/>
            </w:pPr>
            <w:r>
              <w:rPr>
                <w:rFonts w:ascii="Times New Roman" w:hAnsi="Times New Roman" w:eastAsia="Times New Roman"/>
                <w:b w:val="0"/>
                <w:i w:val="0"/>
                <w:color w:val="000000"/>
                <w:sz w:val="21"/>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before="0"/>
              <w:jc w:val="left"/>
            </w:pPr>
            <w:r>
              <w:rPr>
                <w:rFonts w:ascii="Times New Roman" w:hAnsi="Times New Roman" w:eastAsia="Times New Roman"/>
                <w:b w:val="0"/>
                <w:i w:val="0"/>
                <w:color w:val="000000"/>
                <w:sz w:val="21"/>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before="0"/>
              <w:jc w:val="left"/>
            </w:pPr>
            <w:r>
              <w:rPr>
                <w:rFonts w:ascii="Times New Roman" w:hAnsi="Times New Roman" w:eastAsia="Times New Roman"/>
                <w:b w:val="0"/>
                <w:i w:val="0"/>
                <w:color w:val="000000"/>
                <w:sz w:val="21"/>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before="0"/>
              <w:jc w:val="left"/>
            </w:pPr>
            <w:r>
              <w:rPr>
                <w:rFonts w:ascii="Times New Roman" w:hAnsi="Times New Roman" w:eastAsia="Times New Roman"/>
                <w:b w:val="0"/>
                <w:i w:val="0"/>
                <w:color w:val="000000"/>
                <w:sz w:val="21"/>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before="0"/>
              <w:jc w:val="left"/>
            </w:pPr>
            <w:r>
              <w:rPr>
                <w:rFonts w:ascii="Times New Roman" w:hAnsi="Times New Roman" w:eastAsia="Times New Roman"/>
                <w:b w:val="0"/>
                <w:i w:val="0"/>
                <w:color w:val="000000"/>
                <w:sz w:val="21"/>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before="0"/>
              <w:jc w:val="left"/>
            </w:pPr>
            <w:r>
              <w:rPr>
                <w:rFonts w:ascii="Times New Roman" w:hAnsi="Times New Roman" w:eastAsia="Times New Roman"/>
                <w:b w:val="0"/>
                <w:i w:val="0"/>
                <w:color w:val="000000"/>
                <w:sz w:val="21"/>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before="0"/>
              <w:jc w:val="left"/>
            </w:pPr>
            <w:r>
              <w:rPr>
                <w:rFonts w:ascii="Times New Roman" w:hAnsi="Times New Roman" w:eastAsia="Times New Roman"/>
                <w:b w:val="0"/>
                <w:i w:val="0"/>
                <w:color w:val="000000"/>
                <w:sz w:val="21"/>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before="0"/>
              <w:jc w:val="left"/>
            </w:pPr>
            <w:r>
              <w:rPr>
                <w:rFonts w:ascii="Times New Roman" w:hAnsi="Times New Roman" w:eastAsia="Times New Roman"/>
                <w:b w:val="0"/>
                <w:i w:val="0"/>
                <w:color w:val="000000"/>
                <w:sz w:val="21"/>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before="0"/>
              <w:jc w:val="left"/>
            </w:pPr>
            <w:r>
              <w:rPr>
                <w:rFonts w:ascii="Times New Roman" w:hAnsi="Times New Roman" w:eastAsia="Times New Roman"/>
                <w:b w:val="0"/>
                <w:i w:val="0"/>
                <w:color w:val="000000"/>
                <w:sz w:val="21"/>
              </w:rPr>
              <w:t>Exclude</w:t>
            </w:r>
          </w:p>
        </w:tc>
      </w:tr>
    </w:tbl>
    <w:p w14:paraId="644740EA">
      <w:pPr>
        <w:spacing w:after="0" w:before="0"/>
        <w:jc w:val="center"/>
      </w:pPr>
    </w:p>
    <w:p w14:paraId="0FE0553D">
      <w:pPr>
        <w:pStyle w:val="4"/>
        <w:keepNext/>
        <w:spacing w:before="200" w:after="120" w:line="240" w:lineRule="auto"/>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spacing w:before="0" w:after="100" w:line="276" w:lineRule="auto"/>
        <w:ind w:firstLine="360"/>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spacing w:before="0" w:after="100" w:line="276" w:lineRule="auto"/>
        <w:ind w:firstLine="360"/>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spacing w:before="200" w:after="120" w:line="240" w:lineRule="auto"/>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spacing w:before="0" w:after="100" w:line="276" w:lineRule="auto"/>
        <w:ind w:firstLine="360"/>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spacing w:before="0" w:after="100" w:line="276" w:lineRule="auto"/>
        <w:ind w:firstLine="360"/>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spacing w:before="0" w:after="100" w:line="276" w:lineRule="auto"/>
        <w:ind w:firstLine="360"/>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jc w:val="center"/>
      </w:pPr>
      <w:r>
        <w:br w:type="page"/>
      </w:r>
    </w:p>
    <w:p w14:paraId="6B41BF30">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Next/>
        <w:keepLines/>
        <w:spacing w:before="40" w:after="120" w:line="240" w:lineRule="auto"/>
        <w:jc w:val="both"/>
      </w:pPr>
      <w:r>
        <w:rPr>
          <w:rFonts w:ascii="Times New Roman" w:hAnsi="Times New Roman" w:eastAsia="Times New Roman"/>
          <w:b/>
          <w:i/>
          <w:color w:val="000000"/>
          <w:sz w:val="24"/>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0" w:before="0"/>
        <w:jc w:val="center"/>
      </w:pPr>
    </w:p>
    <w:p w14:paraId="0BA5E862">
      <w:pPr>
        <w:pStyle w:val="4"/>
        <w:keepNext/>
        <w:spacing w:before="200" w:after="120" w:line="240" w:lineRule="auto"/>
        <w:jc w:val="left"/>
      </w:pPr>
      <w:r>
        <w:rPr>
          <w:rFonts w:ascii="Times New Roman" w:hAnsi="Times New Roman" w:eastAsia="Times New Roman"/>
          <w:b/>
          <w:i w:val="0"/>
          <w:color w:val="000000"/>
          <w:sz w:val="24"/>
        </w:rPr>
        <w:t>3.5 Calibrated mBRSET analyses did not establish incremental hypertension information</w:t>
      </w:r>
    </w:p>
    <w:p w14:paraId="01ED7ED3">
      <w:pPr>
        <w:pStyle w:val="18"/>
        <w:keepNext w:val="0"/>
        <w:spacing w:before="0" w:after="100" w:line="276" w:lineRule="auto"/>
        <w:ind w:firstLine="360"/>
        <w:jc w:val="both"/>
      </w:pPr>
      <w:r>
        <w:rPr>
          <w:rFonts w:ascii="Times New Roman" w:hAnsi="Times New Roman" w:eastAsia="Times New Roman"/>
          <w:b w:val="0"/>
          <w:i w:val="0"/>
          <w:color w:val="000000"/>
          <w:sz w:val="24"/>
        </w:rPr>
        <w:t>Among 1,276 mBRSET patients with complete hypertension analysis, 912 were positive. After outer-training cross-fitted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spacing w:before="0" w:after="100" w:line="276" w:lineRule="auto"/>
        <w:ind w:firstLine="360"/>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spacing w:before="200" w:after="120" w:line="240" w:lineRule="auto"/>
        <w:jc w:val="left"/>
      </w:pPr>
      <w:r>
        <w:rPr>
          <w:rFonts w:ascii="Times New Roman" w:hAnsi="Times New Roman" w:eastAsia="Times New Roman"/>
          <w:b/>
          <w:i w:val="0"/>
          <w:color w:val="000000"/>
          <w:sz w:val="24"/>
        </w:rPr>
        <w:t>3.6 Negative controls and transport boundaries</w:t>
      </w:r>
    </w:p>
    <w:p w14:paraId="3EFBFA88">
      <w:pPr>
        <w:pStyle w:val="18"/>
        <w:keepNext w:val="0"/>
        <w:spacing w:before="0" w:after="100" w:line="276" w:lineRule="auto"/>
        <w:ind w:firstLine="360"/>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spacing w:before="0" w:after="100" w:line="276" w:lineRule="auto"/>
        <w:ind w:firstLine="360"/>
        <w:jc w:val="both"/>
      </w:pPr>
      <w:r>
        <w:rPr>
          <w:rFonts w:ascii="Times New Roman" w:hAnsi="Times New Roman" w:eastAsia="Times New Roman"/>
          <w:b w:val="0"/>
          <w:i w:val="0"/>
          <w:color w:val="000000"/>
          <w:sz w:val="24"/>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jc w:val="center"/>
      </w:pPr>
      <w:r>
        <w:br w:type="page"/>
      </w:r>
    </w:p>
    <w:p w14:paraId="03FE0B26">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Next/>
        <w:keepLines/>
        <w:spacing w:before="40" w:after="120" w:line="240" w:lineRule="auto"/>
        <w:jc w:val="both"/>
      </w:pPr>
      <w:r>
        <w:rPr>
          <w:rFonts w:ascii="Times New Roman" w:hAnsi="Times New Roman" w:eastAsia="Times New Roman"/>
          <w:b/>
          <w:i/>
          <w:color w:val="000000"/>
          <w:sz w:val="24"/>
        </w:rPr>
        <w:t>Figure 6. Patient-level results, negative controls, and claim boundary. Panel A shows that substituting the E10A representation with the ICC-gated phenotype core worsened repeated development MAE. Panel B reports calibrated phenotype-core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0" w:before="0"/>
        <w:jc w:val="center"/>
      </w:pPr>
    </w:p>
    <w:p w14:paraId="17CF2212">
      <w:pPr>
        <w:pStyle w:val="4"/>
        <w:keepNext/>
        <w:spacing w:before="200" w:after="120" w:line="240" w:lineRule="auto"/>
        <w:jc w:val="left"/>
      </w:pPr>
      <w:r>
        <w:rPr>
          <w:rFonts w:ascii="Times New Roman" w:hAnsi="Times New Roman" w:eastAsia="Times New Roman"/>
          <w:b/>
          <w:i w:val="0"/>
          <w:color w:val="000000"/>
          <w:sz w:val="24"/>
        </w:rPr>
        <w:t>3.7 Negative experiments defined the stopping rule</w:t>
      </w:r>
    </w:p>
    <w:p w14:paraId="2082E8BC">
      <w:pPr>
        <w:pStyle w:val="18"/>
        <w:keepNext w:val="0"/>
        <w:spacing w:before="0" w:after="100" w:line="276" w:lineRule="auto"/>
        <w:ind w:firstLine="360"/>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outcome-driven feature expansion in the current cohorts.</w:t>
      </w:r>
    </w:p>
    <w:p w14:paraId="2F83772E">
      <w:pPr>
        <w:pStyle w:val="18"/>
        <w:keepNext w:val="0"/>
        <w:spacing w:before="0" w:after="100" w:line="276" w:lineRule="auto"/>
        <w:ind w:firstLine="360"/>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spacing w:before="200" w:after="120" w:line="240" w:lineRule="auto"/>
        <w:jc w:val="left"/>
      </w:pPr>
      <w:r>
        <w:rPr>
          <w:rFonts w:ascii="Times New Roman" w:hAnsi="Times New Roman" w:eastAsia="Times New Roman"/>
          <w:b/>
          <w:i w:val="0"/>
          <w:color w:val="000000"/>
          <w:sz w:val="28"/>
        </w:rPr>
        <w:t>4. Discussion</w:t>
      </w:r>
    </w:p>
    <w:p w14:paraId="5F121B86">
      <w:pPr>
        <w:pStyle w:val="4"/>
        <w:keepNext/>
        <w:spacing w:before="200" w:after="120" w:line="240" w:lineRule="auto"/>
        <w:jc w:val="left"/>
      </w:pPr>
      <w:r>
        <w:rPr>
          <w:rFonts w:ascii="Times New Roman" w:hAnsi="Times New Roman" w:eastAsia="Times New Roman"/>
          <w:b/>
          <w:i w:val="0"/>
          <w:color w:val="000000"/>
          <w:sz w:val="24"/>
        </w:rPr>
        <w:t>4.1 Principal finding: the evidence layers diverged</w:t>
      </w:r>
    </w:p>
    <w:p w14:paraId="66B0EFFF">
      <w:pPr>
        <w:pStyle w:val="18"/>
        <w:keepNext w:val="0"/>
        <w:spacing w:before="0" w:after="100" w:line="276" w:lineRule="auto"/>
        <w:ind w:firstLine="360"/>
        <w:jc w:val="both"/>
      </w:pPr>
      <w:r>
        <w:rPr>
          <w:rFonts w:ascii="Times New Roman" w:hAnsi="Times New Roman" w:eastAsia="Times New Roman"/>
          <w:b w:val="0"/>
          <w:i w:val="0"/>
          <w:color w:val="000000"/>
          <w:sz w:val="24"/>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pStyle w:val="18"/>
        <w:keepNext w:val="0"/>
        <w:spacing w:before="0" w:after="100" w:line="276" w:lineRule="auto"/>
        <w:ind w:firstLine="360"/>
        <w:jc w:val="both"/>
      </w:pPr>
      <w:r>
        <w:rPr>
          <w:rFonts w:ascii="Times New Roman" w:hAnsi="Times New Roman" w:eastAsia="Times New Roman"/>
          <w:b w:val="0"/>
          <w:i w:val="0"/>
          <w:color w:val="000000"/>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pStyle w:val="4"/>
        <w:keepNext/>
        <w:spacing w:before="200" w:after="120" w:line="240" w:lineRule="auto"/>
        <w:jc w:val="left"/>
      </w:pPr>
      <w:r>
        <w:rPr>
          <w:rFonts w:ascii="Times New Roman" w:hAnsi="Times New Roman" w:eastAsia="Times New Roman"/>
          <w:b/>
          <w:i w:val="0"/>
          <w:color w:val="000000"/>
          <w:sz w:val="24"/>
        </w:rPr>
        <w:t>4.2 Algorithmic and methodological contribution</w:t>
      </w:r>
    </w:p>
    <w:p w14:paraId="30956D39">
      <w:pPr>
        <w:pStyle w:val="18"/>
        <w:keepNext w:val="0"/>
        <w:spacing w:before="0" w:after="100" w:line="276" w:lineRule="auto"/>
        <w:ind w:firstLine="360"/>
        <w:jc w:val="both"/>
      </w:pPr>
      <w:r>
        <w:rPr>
          <w:rFonts w:ascii="Times New Roman" w:hAnsi="Times New Roman" w:eastAsia="Times New Roman"/>
          <w:b w:val="0"/>
          <w:i w:val="0"/>
          <w:color w:val="000000"/>
          <w:sz w:val="24"/>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pStyle w:val="18"/>
        <w:keepNext w:val="0"/>
        <w:spacing w:before="0" w:after="100" w:line="276" w:lineRule="auto"/>
        <w:ind w:firstLine="360"/>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spacing w:before="0" w:after="100" w:line="276" w:lineRule="auto"/>
        <w:ind w:firstLine="360"/>
        <w:jc w:val="both"/>
      </w:pPr>
      <w:r>
        <w:rPr>
          <w:rFonts w:ascii="Times New Roman" w:hAnsi="Times New Roman" w:eastAsia="Times New Roman"/>
          <w:b w:val="0"/>
          <w:i w:val="0"/>
          <w:color w:val="000000"/>
          <w:sz w:val="24"/>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pStyle w:val="4"/>
        <w:keepNext/>
        <w:spacing w:before="200" w:after="120" w:line="240" w:lineRule="auto"/>
        <w:jc w:val="left"/>
      </w:pPr>
      <w:r>
        <w:rPr>
          <w:rFonts w:ascii="Times New Roman" w:hAnsi="Times New Roman" w:eastAsia="Times New Roman"/>
          <w:b/>
          <w:i w:val="0"/>
          <w:color w:val="000000"/>
          <w:sz w:val="24"/>
        </w:rPr>
        <w:t>4.3 Clinical interpretation and limits of increment</w:t>
      </w:r>
    </w:p>
    <w:p w14:paraId="099BD538">
      <w:pPr>
        <w:pStyle w:val="18"/>
        <w:keepNext w:val="0"/>
        <w:spacing w:before="0" w:after="100" w:line="276" w:lineRule="auto"/>
        <w:ind w:firstLine="360"/>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spacing w:before="0" w:after="100" w:line="276" w:lineRule="auto"/>
        <w:ind w:firstLine="360"/>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pStyle w:val="18"/>
        <w:keepNext w:val="0"/>
        <w:spacing w:before="0" w:after="100" w:line="276" w:lineRule="auto"/>
        <w:ind w:firstLine="360"/>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spacing w:before="200" w:after="120" w:line="240" w:lineRule="auto"/>
        <w:jc w:val="left"/>
      </w:pPr>
      <w:r>
        <w:rPr>
          <w:rFonts w:ascii="Times New Roman" w:hAnsi="Times New Roman" w:eastAsia="Times New Roman"/>
          <w:b/>
          <w:i w:val="0"/>
          <w:color w:val="000000"/>
          <w:sz w:val="24"/>
        </w:rPr>
        <w:t>4.4 Limitations and confirmatory path</w:t>
      </w:r>
    </w:p>
    <w:p w14:paraId="01D2BF3F">
      <w:pPr>
        <w:pStyle w:val="18"/>
        <w:keepNext w:val="0"/>
        <w:spacing w:before="0" w:after="100" w:line="276" w:lineRule="auto"/>
        <w:ind w:firstLine="360"/>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pStyle w:val="18"/>
        <w:keepNext w:val="0"/>
        <w:spacing w:before="0" w:after="100" w:line="276" w:lineRule="auto"/>
        <w:ind w:firstLine="360"/>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spacing w:before="200" w:after="120" w:line="240" w:lineRule="auto"/>
        <w:jc w:val="left"/>
      </w:pPr>
      <w:r>
        <w:rPr>
          <w:rFonts w:ascii="Times New Roman" w:hAnsi="Times New Roman" w:eastAsia="Times New Roman"/>
          <w:b/>
          <w:i w:val="0"/>
          <w:color w:val="000000"/>
          <w:sz w:val="28"/>
        </w:rPr>
        <w:t>5. Conclusion</w:t>
      </w:r>
    </w:p>
    <w:p w14:paraId="3550C3E2">
      <w:pPr>
        <w:pStyle w:val="18"/>
        <w:keepNext w:val="0"/>
        <w:spacing w:before="0" w:after="100" w:line="276" w:lineRule="auto"/>
        <w:ind w:firstLine="360"/>
        <w:jc w:val="both"/>
      </w:pPr>
      <w:r>
        <w:rPr>
          <w:rFonts w:ascii="Times New Roman" w:hAnsi="Times New Roman" w:eastAsia="Times New Roman"/>
          <w:b w:val="0"/>
          <w:i w:val="0"/>
          <w:color w:val="000000"/>
          <w:sz w:val="24"/>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substitution of the E10A representation with the ICC-gated phenotype core,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pStyle w:val="18"/>
        <w:keepNext/>
        <w:spacing w:before="0" w:after="80" w:line="276" w:lineRule="auto"/>
        <w:jc w:val="both"/>
      </w:pPr>
      <w:r>
        <w:rPr>
          <w:rFonts w:ascii="Times New Roman" w:hAnsi="Times New Roman" w:eastAsia="Times New Roman"/>
          <w:b/>
          <w:i w:val="0"/>
          <w:color w:val="000000"/>
          <w:sz w:val="24"/>
        </w:rPr>
        <w:t>Declarations</w:t>
      </w:r>
    </w:p>
    <w:p w14:paraId="47BC9842">
      <w:pPr>
        <w:pStyle w:val="18"/>
        <w:keepNext/>
        <w:spacing w:before="0" w:after="100" w:line="276" w:lineRule="auto"/>
        <w:jc w:val="both"/>
      </w:pPr>
      <w:r>
        <w:rPr>
          <w:rFonts w:ascii="Times New Roman" w:hAnsi="Times New Roman" w:eastAsia="Times New Roman"/>
          <w:b/>
          <w:i w:val="0"/>
          <w:color w:val="000000"/>
          <w:sz w:val="24"/>
        </w:rPr>
        <w:t>Ethics approval and consent to participate</w:t>
      </w:r>
    </w:p>
    <w:p w14:paraId="094CABFA">
      <w:pPr>
        <w:pStyle w:val="18"/>
        <w:keepNext w:val="0"/>
        <w:spacing w:before="0" w:after="100" w:line="276" w:lineRule="auto"/>
        <w:jc w:val="both"/>
      </w:pPr>
      <w:r>
        <w:rPr>
          <w:rFonts w:ascii="Times New Roman" w:hAnsi="Times New Roman" w:eastAsia="Times New Roman"/>
          <w:b w:val="0"/>
          <w:i/>
          <w:color w:val="000000"/>
          <w:sz w:val="24"/>
        </w:rPr>
        <w:t>[Insert institutional review-board identifiers, consent status, and data-governance statements for the China Fundus–CIMT cohort. Public-data use should follow the original cohort licences.]</w:t>
      </w:r>
    </w:p>
    <w:p w14:paraId="1309008E">
      <w:pPr>
        <w:pStyle w:val="18"/>
        <w:keepNext/>
        <w:spacing w:before="0" w:after="100" w:line="276" w:lineRule="auto"/>
        <w:jc w:val="both"/>
      </w:pPr>
      <w:r>
        <w:rPr>
          <w:rFonts w:ascii="Times New Roman" w:hAnsi="Times New Roman" w:eastAsia="Times New Roman"/>
          <w:b/>
          <w:i w:val="0"/>
          <w:color w:val="000000"/>
          <w:sz w:val="24"/>
        </w:rPr>
        <w:t>Data and code availability</w:t>
      </w:r>
    </w:p>
    <w:p w14:paraId="1320A4C6">
      <w:pPr>
        <w:pStyle w:val="18"/>
        <w:keepNext w:val="0"/>
        <w:spacing w:before="0" w:after="100" w:line="276" w:lineRule="auto"/>
        <w:jc w:val="both"/>
      </w:pPr>
      <w:r>
        <w:rPr>
          <w:rFonts w:ascii="Times New Roman" w:hAnsi="Times New Roman" w:eastAsia="Times New Roman"/>
          <w:b w:val="0"/>
          <w:i w:val="0"/>
          <w:color w:val="000000"/>
          <w:sz w:val="24"/>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pStyle w:val="18"/>
        <w:keepNext/>
        <w:spacing w:before="0" w:after="100" w:line="276" w:lineRule="auto"/>
        <w:jc w:val="both"/>
      </w:pPr>
      <w:r>
        <w:rPr>
          <w:rFonts w:ascii="Times New Roman" w:hAnsi="Times New Roman" w:eastAsia="Times New Roman"/>
          <w:b/>
          <w:i w:val="0"/>
          <w:color w:val="000000"/>
          <w:sz w:val="24"/>
        </w:rPr>
        <w:t>Competing interests</w:t>
      </w:r>
    </w:p>
    <w:p w14:paraId="11D67101">
      <w:pPr>
        <w:pStyle w:val="18"/>
        <w:keepNext w:val="0"/>
        <w:spacing w:before="0" w:after="100" w:line="276" w:lineRule="auto"/>
        <w:jc w:val="both"/>
      </w:pPr>
      <w:r>
        <w:rPr>
          <w:rFonts w:ascii="Times New Roman" w:hAnsi="Times New Roman" w:eastAsia="Times New Roman"/>
          <w:b w:val="0"/>
          <w:i/>
          <w:color w:val="000000"/>
          <w:sz w:val="24"/>
        </w:rPr>
        <w:t>[The authors declare no competing interests / insert disclosures.]</w:t>
      </w:r>
    </w:p>
    <w:p w14:paraId="2A6B5B73">
      <w:pPr>
        <w:pStyle w:val="18"/>
        <w:keepNext/>
        <w:spacing w:before="0" w:after="100" w:line="276" w:lineRule="auto"/>
        <w:jc w:val="both"/>
      </w:pPr>
      <w:r>
        <w:rPr>
          <w:rFonts w:ascii="Times New Roman" w:hAnsi="Times New Roman" w:eastAsia="Times New Roman"/>
          <w:b/>
          <w:i w:val="0"/>
          <w:color w:val="000000"/>
          <w:sz w:val="24"/>
        </w:rPr>
        <w:t>Funding</w:t>
      </w:r>
    </w:p>
    <w:p w14:paraId="4F126B66">
      <w:pPr>
        <w:pStyle w:val="18"/>
        <w:keepNext w:val="0"/>
        <w:spacing w:before="0" w:after="100" w:line="276" w:lineRule="auto"/>
        <w:jc w:val="both"/>
      </w:pPr>
      <w:r>
        <w:rPr>
          <w:rFonts w:ascii="Times New Roman" w:hAnsi="Times New Roman" w:eastAsia="Times New Roman"/>
          <w:b w:val="0"/>
          <w:i/>
          <w:color w:val="000000"/>
          <w:sz w:val="24"/>
        </w:rPr>
        <w:t>[Insert funding sources and grant numbers.]</w:t>
      </w:r>
    </w:p>
    <w:p w14:paraId="6B071F6F">
      <w:pPr>
        <w:pStyle w:val="18"/>
        <w:keepNext/>
        <w:spacing w:before="0" w:after="100" w:line="276" w:lineRule="auto"/>
        <w:jc w:val="both"/>
      </w:pPr>
      <w:r>
        <w:rPr>
          <w:rFonts w:ascii="Times New Roman" w:hAnsi="Times New Roman" w:eastAsia="Times New Roman"/>
          <w:b/>
          <w:i w:val="0"/>
          <w:color w:val="000000"/>
          <w:sz w:val="24"/>
        </w:rPr>
        <w:t>Author contributions</w:t>
      </w:r>
    </w:p>
    <w:p w14:paraId="325001A8">
      <w:pPr>
        <w:pStyle w:val="18"/>
        <w:keepNext w:val="0"/>
        <w:spacing w:before="0" w:after="100" w:line="276" w:lineRule="auto"/>
        <w:jc w:val="both"/>
      </w:pPr>
      <w:r>
        <w:rPr>
          <w:rFonts w:ascii="Times New Roman" w:hAnsi="Times New Roman" w:eastAsia="Times New Roman"/>
          <w:b w:val="0"/>
          <w:i/>
          <w:color w:val="000000"/>
          <w:sz w:val="24"/>
        </w:rPr>
        <w:t>[Insert CRediT author-contribution statement.]</w:t>
      </w:r>
    </w:p>
    <w:p w14:paraId="0C6576CA">
      <w:pPr>
        <w:pStyle w:val="3"/>
        <w:keepNext/>
        <w:spacing w:before="200" w:after="120" w:line="240" w:lineRule="auto"/>
        <w:jc w:val="left"/>
      </w:pPr>
      <w:r>
        <w:rPr>
          <w:rFonts w:ascii="Times New Roman" w:hAnsi="Times New Roman" w:eastAsia="Times New Roman"/>
          <w:b/>
          <w:i w:val="0"/>
          <w:color w:val="000000"/>
          <w:sz w:val="28"/>
        </w:rPr>
        <w:t>References</w:t>
      </w:r>
    </w:p>
    <w:p w14:paraId="7AC97218">
      <w:pPr>
        <w:pStyle w:val="18"/>
        <w:keepNext/>
        <w:spacing w:before="0" w:after="80" w:line="276" w:lineRule="auto"/>
        <w:ind w:left="259" w:hanging="259"/>
        <w:jc w:val="both"/>
      </w:pPr>
      <w:r>
        <w:rPr>
          <w:rFonts w:ascii="Times New Roman" w:hAnsi="Times New Roman" w:eastAsia="Times New Roman"/>
          <w:b w:val="0"/>
          <w:i w:val="0"/>
          <w:color w:val="000000"/>
          <w:sz w:val="24"/>
        </w:rPr>
        <w:t>1. Wong TY, Mitchell P. The eye in hypertension. Lancet. 2007;369:425–435.</w:t>
      </w:r>
    </w:p>
    <w:p w14:paraId="7355D0D3">
      <w:pPr>
        <w:pStyle w:val="18"/>
        <w:keepNext/>
        <w:spacing w:before="0" w:after="80" w:line="276" w:lineRule="auto"/>
        <w:ind w:left="259" w:hanging="259"/>
        <w:jc w:val="both"/>
      </w:pPr>
      <w:r>
        <w:rPr>
          <w:rFonts w:ascii="Times New Roman" w:hAnsi="Times New Roman" w:eastAsia="Times New Roman"/>
          <w:b w:val="0"/>
          <w:i w:val="0"/>
          <w:color w:val="000000"/>
          <w:sz w:val="24"/>
        </w:rPr>
        <w:t>2. Poplin R, Varadarajan AV, Blumer K, et al. Prediction of cardiovascular risk factors from retinal fundus photographs via deep learning. Nature Biomedical Engineering. 2018;2:158–164.</w:t>
      </w:r>
    </w:p>
    <w:p w14:paraId="535A9BE5">
      <w:pPr>
        <w:pStyle w:val="18"/>
        <w:keepNext/>
        <w:spacing w:before="0" w:after="80" w:line="276" w:lineRule="auto"/>
        <w:ind w:left="259" w:hanging="259"/>
        <w:jc w:val="both"/>
      </w:pPr>
      <w:r>
        <w:rPr>
          <w:rFonts w:ascii="Times New Roman" w:hAnsi="Times New Roman" w:eastAsia="Times New Roman"/>
          <w:b w:val="0"/>
          <w:i w:val="0"/>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spacing w:before="0" w:after="80" w:line="276" w:lineRule="auto"/>
        <w:ind w:left="259" w:hanging="259"/>
        <w:jc w:val="both"/>
      </w:pPr>
      <w:r>
        <w:rPr>
          <w:rFonts w:ascii="Times New Roman" w:hAnsi="Times New Roman" w:eastAsia="Times New Roman"/>
          <w:b w:val="0"/>
          <w:i w:val="0"/>
          <w:color w:val="000000"/>
          <w:sz w:val="24"/>
        </w:rPr>
        <w:t>4. Zhou Y, Chia MA, Wagner SK, et al. A foundation model for generalizable disease detection from retinal images. Nature. 2023;622:156–163.</w:t>
      </w:r>
    </w:p>
    <w:p w14:paraId="5102FEEF">
      <w:pPr>
        <w:pStyle w:val="18"/>
        <w:keepNext/>
        <w:spacing w:before="0" w:after="80" w:line="276" w:lineRule="auto"/>
        <w:ind w:left="259" w:hanging="259"/>
        <w:jc w:val="both"/>
      </w:pPr>
      <w:r>
        <w:rPr>
          <w:rFonts w:ascii="Times New Roman" w:hAnsi="Times New Roman" w:eastAsia="Times New Roman"/>
          <w:b w:val="0"/>
          <w:i w:val="0"/>
          <w:color w:val="000000"/>
          <w:sz w:val="24"/>
        </w:rPr>
        <w:t>5. McGraw KO, Wong SP. Forming inferences about some intraclass correlation coefficients. Psychological Methods. 1996;1:30–46.</w:t>
      </w:r>
    </w:p>
    <w:p w14:paraId="15BF5BC9">
      <w:pPr>
        <w:pStyle w:val="18"/>
        <w:keepNext/>
        <w:spacing w:before="0" w:after="80" w:line="276" w:lineRule="auto"/>
        <w:ind w:left="259" w:hanging="259"/>
        <w:jc w:val="both"/>
      </w:pPr>
      <w:r>
        <w:rPr>
          <w:rFonts w:ascii="Times New Roman" w:hAnsi="Times New Roman" w:eastAsia="Times New Roman"/>
          <w:b w:val="0"/>
          <w:i w:val="0"/>
          <w:color w:val="000000"/>
          <w:sz w:val="24"/>
        </w:rPr>
        <w:t>6. Koo TK, Li MY. A guideline of selecting and reporting intraclass correlation coefficients for reliability research. Journal of Chiropractic Medicine. 2016;15:155–163.</w:t>
      </w:r>
    </w:p>
    <w:p w14:paraId="0D78A3EC">
      <w:pPr>
        <w:pStyle w:val="18"/>
        <w:keepNext/>
        <w:spacing w:before="0" w:after="80" w:line="276" w:lineRule="auto"/>
        <w:ind w:left="259" w:hanging="259"/>
        <w:jc w:val="both"/>
      </w:pPr>
      <w:r>
        <w:rPr>
          <w:rFonts w:ascii="Times New Roman" w:hAnsi="Times New Roman" w:eastAsia="Times New Roman"/>
          <w:b w:val="0"/>
          <w:i w:val="0"/>
          <w:color w:val="000000"/>
          <w:sz w:val="24"/>
        </w:rPr>
        <w:t>7. Steyerberg EW. Clinical Prediction Models. 2nd ed. Springer; 2019.</w:t>
      </w:r>
    </w:p>
    <w:p w14:paraId="43D31F39">
      <w:pPr>
        <w:pStyle w:val="18"/>
        <w:keepNext/>
        <w:spacing w:before="0" w:after="80" w:line="276" w:lineRule="auto"/>
        <w:ind w:left="259" w:hanging="259"/>
        <w:jc w:val="both"/>
      </w:pPr>
      <w:r>
        <w:rPr>
          <w:rFonts w:ascii="Times New Roman" w:hAnsi="Times New Roman" w:eastAsia="Times New Roman"/>
          <w:b w:val="0"/>
          <w:i w:val="0"/>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spacing w:before="0" w:after="80" w:line="276" w:lineRule="auto"/>
        <w:ind w:left="259" w:hanging="259"/>
        <w:jc w:val="both"/>
      </w:pPr>
      <w:r>
        <w:rPr>
          <w:rFonts w:ascii="Times New Roman" w:hAnsi="Times New Roman" w:eastAsia="Times New Roman"/>
          <w:b w:val="0"/>
          <w:i w:val="0"/>
          <w:color w:val="000000"/>
          <w:sz w:val="24"/>
        </w:rPr>
        <w:t>9. Efron B, Tibshirani RJ. An Introduction to the Bootstrap. Chapman &amp; Hall/CRC; 1993.</w:t>
      </w:r>
    </w:p>
    <w:p w14:paraId="0CD32A78">
      <w:pPr>
        <w:pStyle w:val="18"/>
        <w:spacing w:after="30" w:line="276" w:lineRule="auto" w:before="0"/>
        <w:ind w:left="259" w:hanging="259"/>
        <w:jc w:val="both"/>
      </w:pPr>
      <w:r>
        <w:rPr>
          <w:rFonts w:ascii="Times New Roman" w:hAnsi="Times New Roman" w:eastAsia="Times New Roman"/>
          <w:b w:val="0"/>
          <w:i w:val="0"/>
          <w:color w:val="000000"/>
          <w:sz w:val="24"/>
        </w:rPr>
        <w:t>10. DeLong ER, DeLong DM, Clarke-Pearson DL. Comparing the areas under two or more correlated receiver operating characteristic curves. Biometrics. 1988;44:837–845.</w:t>
      </w:r>
    </w:p>
    <w:p w14:paraId="174BBB54">
      <w:pPr>
        <w:pStyle w:val="18"/>
        <w:spacing w:after="30" w:line="276" w:lineRule="auto" w:before="0"/>
        <w:ind w:left="259" w:hanging="259"/>
        <w:jc w:val="both"/>
      </w:pPr>
      <w:r>
        <w:rPr>
          <w:rFonts w:ascii="Times New Roman" w:hAnsi="Times New Roman" w:eastAsia="Times New Roman"/>
          <w:b w:val="0"/>
          <w:i w:val="0"/>
          <w:color w:val="000000"/>
          <w:sz w:val="24"/>
        </w:rPr>
        <w:t>11. Harrell FE Jr. Regression Modeling Strategies. 2nd ed. Springer; 2015.</w:t>
      </w:r>
    </w:p>
    <w:p w14:paraId="6CA5327F">
      <w:pPr>
        <w:pStyle w:val="18"/>
        <w:spacing w:after="30" w:line="276" w:lineRule="auto" w:before="0"/>
        <w:ind w:left="259" w:hanging="259"/>
        <w:jc w:val="both"/>
      </w:pPr>
      <w:r>
        <w:rPr>
          <w:rFonts w:ascii="Times New Roman" w:hAnsi="Times New Roman" w:eastAsia="Times New Roman"/>
          <w:b w:val="0"/>
          <w:i w:val="0"/>
          <w:color w:val="000000"/>
          <w:sz w:val="24"/>
        </w:rPr>
        <w:t>12. Riley RD, van der Windt D, Croft P, Moons KGM, editors. Prognosis Research in Healthcare. Oxford University Press; 2019.</w:t>
      </w:r>
    </w:p>
    <w:p w14:paraId="08AFFEC7">
      <w:pPr>
        <w:pStyle w:val="18"/>
        <w:spacing w:after="30" w:line="276" w:lineRule="auto" w:before="0"/>
        <w:ind w:left="259" w:hanging="259"/>
        <w:jc w:val="both"/>
      </w:pPr>
      <w:r>
        <w:rPr>
          <w:rFonts w:ascii="Times New Roman" w:hAnsi="Times New Roman" w:eastAsia="Times New Roman"/>
          <w:b w:val="0"/>
          <w:i w:val="0"/>
          <w:color w:val="000000"/>
          <w:sz w:val="24"/>
        </w:rPr>
        <w:t>13. Jin K, Huang X, Zhou J, et al. FIVES: A Fundus Image Dataset for Artificial Intelligence based Vessel Segmentation. Scientific Data. 2022;9:475. doi:10.1038/s41597-022-01564-3.</w:t>
      </w:r>
    </w:p>
    <w:p w14:paraId="0BF93BE0">
      <w:pPr>
        <w:pStyle w:val="18"/>
        <w:spacing w:after="30" w:line="276" w:lineRule="auto" w:before="0"/>
        <w:ind w:left="259" w:hanging="259"/>
        <w:jc w:val="both"/>
      </w:pPr>
      <w:r>
        <w:rPr>
          <w:rFonts w:ascii="Times New Roman" w:hAnsi="Times New Roman" w:eastAsia="Times New Roman"/>
          <w:b w:val="0"/>
          <w:i w:val="0"/>
          <w:color w:val="000000"/>
          <w:sz w:val="24"/>
        </w:rPr>
        <w:t>14. Vargas Quiros J, Liefers B, van Garderen KA, Vermeulen JP, Eyened Reading Center, Klaver C. Rotterdam artery–vein segmentation (RAV) dataset. arXiv. 2025;arXiv:2512.17322. Dataset doi:10.34894/9OIMWY.</w:t>
      </w:r>
    </w:p>
    <w:p w14:paraId="0FABD628">
      <w:pPr>
        <w:pStyle w:val="18"/>
        <w:spacing w:after="30" w:line="276" w:lineRule="auto" w:before="0"/>
        <w:ind w:left="259" w:hanging="259"/>
        <w:jc w:val="both"/>
      </w:pPr>
      <w:r>
        <w:rPr>
          <w:rFonts w:ascii="Times New Roman" w:hAnsi="Times New Roman" w:eastAsia="Times New Roman"/>
          <w:b w:val="0"/>
          <w:i w:val="0"/>
          <w:color w:val="000000"/>
          <w:sz w:val="24"/>
        </w:rPr>
        <w:t>15. Deng Z, Gao W, Gong Z, et al. A Fundus Image Dataset for AI-based Artery-Vein Vessel Segmentation. Scientific Data. 2025;12. doi:10.1038/s41597-025-05381-2. Dataset doi:10.6084/m9.figshare.27938034.v2.</w:t>
      </w:r>
    </w:p>
    <w:p w14:paraId="79EEC317">
      <w:pPr>
        <w:pStyle w:val="18"/>
        <w:spacing w:after="30" w:line="276" w:lineRule="auto" w:before="0"/>
        <w:ind w:left="259" w:hanging="259"/>
        <w:jc w:val="both"/>
      </w:pPr>
      <w:r>
        <w:rPr>
          <w:rFonts w:ascii="Times New Roman" w:hAnsi="Times New Roman" w:eastAsia="Times New Roman"/>
          <w:b w:val="0"/>
          <w:i w:val="0"/>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spacing w:before="0" w:line="276" w:lineRule="auto"/>
        <w:jc w:val="both"/>
      </w:pPr>
      <w:r>
        <w:rPr>
          <w:rFonts w:ascii="Times New Roman" w:hAnsi="Times New Roman" w:eastAsia="Times New Roman"/>
          <w:b w:val="0"/>
          <w:i w:val="0"/>
          <w:color w:val="000000"/>
          <w:sz w:val="24"/>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603050405020304"/>
    <w:charset w:val="00"/>
    <w:family w:val="auto"/>
    <w:pitch w:val="default"/>
    <w:sig w:usb0="E0002AEF" w:usb1="C0007841"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[Author names]</dc:creator>
  <cp:keywords>retinal vasculature, dual readout, measurement validity, repeatability, CIMT, hypertension</cp:keywords>
  <cp:lastModifiedBy>祁涟柒子衿</cp:lastModifiedBy>
  <dcterms:modified xsi:type="dcterms:W3CDTF">2026-08-12T09:19:28Z</dcterms:modified>
  <dc:subject>RMDB–BiRAP retinal vascular phenotype measurement framework</dc:subject>
  <dc:title>Pixel Accuracy Is Not Biomarker Validity: RMDB–BiRAP for Dual-Readout, Reliability-Gated Retinal Vascular Phenotyping</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