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0" w:after="80" w:line="240" w:lineRule="auto"/>
        <w:jc w:val="left"/>
      </w:pPr>
      <w:r>
        <w:rPr>
          <w:rFonts w:ascii="Times New Roman" w:hAnsi="Times New Roman" w:eastAsia="Times New Roman"/>
          <w:b/>
          <w:i w:val="0"/>
          <w:color w:val="000000"/>
          <w:sz w:val="32"/>
        </w:rPr>
        <w:t>Pixel Accuracy Is Not Biomarker Validity:</w:t>
      </w:r>
      <w:r>
        <w:rPr>
          <w:rFonts w:ascii="Times New Roman" w:hAnsi="Times New Roman" w:eastAsia="Times New Roman"/>
          <w:b/>
          <w:i w:val="0"/>
          <w:color w:val="000000"/>
          <w:sz w:val="32"/>
        </w:rPr>
        <w:br w:type="textWrapping"/>
      </w:r>
      <w:r>
        <w:rPr>
          <w:rFonts w:ascii="Times New Roman" w:hAnsi="Times New Roman" w:eastAsia="Times New Roman"/>
          <w:b/>
          <w:i w:val="0"/>
          <w:color w:val="000000"/>
          <w:sz w:val="32"/>
        </w:rPr>
        <w:t>RMDB–BiRAP for Dual-Readout, Reliability-Gated Retinal Vascular Phenotyping</w:t>
      </w:r>
      <w:bookmarkStart w:id="0" w:name="_GoBack"/>
      <w:bookmarkEnd w:id="0"/>
    </w:p>
    <w:p w14:paraId="4FED592B">
      <w:pPr>
        <w:spacing w:after="80" w:before="0" w:line="240" w:lineRule="auto"/>
        <w:jc w:val="left"/>
      </w:pPr>
      <w:r>
        <w:rPr>
          <w:rFonts w:ascii="Times New Roman" w:hAnsi="Times New Roman" w:eastAsia="Times New Roman"/>
          <w:b w:val="0"/>
          <w:i w:val="0"/>
          <w:color w:val="000000"/>
          <w:sz w:val="32"/>
        </w:rPr>
        <w:t>[Author names]</w:t>
      </w:r>
    </w:p>
    <w:p w14:paraId="7330037B">
      <w:pPr>
        <w:keepNext w:val="0"/>
        <w:spacing w:before="0" w:after="320" w:line="240" w:lineRule="auto"/>
        <w:jc w:val="left"/>
      </w:pPr>
      <w:r>
        <w:rPr>
          <w:rFonts w:ascii="Times New Roman" w:hAnsi="Times New Roman" w:eastAsia="Times New Roman"/>
          <w:b w:val="0"/>
          <w:i w:val="0"/>
          <w:color w:val="000000"/>
          <w:sz w:val="32"/>
        </w:rPr>
        <w:t>[Affiliations]</w:t>
      </w:r>
    </w:p>
    <w:p w14:paraId="539C03FB">
      <w:pPr>
        <w:keepNext w:val="0"/>
        <w:spacing w:before="0" w:after="60" w:line="240" w:lineRule="auto"/>
        <w:jc w:val="left"/>
      </w:pPr>
      <w:r>
        <w:rPr>
          <w:rFonts w:ascii="Times New Roman" w:hAnsi="Times New Roman" w:eastAsia="Times New Roman"/>
          <w:b w:val="0"/>
          <w:i w:val="0"/>
          <w:color w:val="000000"/>
          <w:sz w:val="32"/>
        </w:rPr>
        <w:t>[Corresponding author and email]</w:t>
      </w:r>
    </w:p>
    <w:p w14:paraId="75910CA0">
      <w:pPr>
        <w:spacing w:before="0" w:after="360" w:line="240" w:lineRule="auto"/>
        <w:jc w:val="left"/>
      </w:pPr>
      <w:r>
        <w:rPr>
          <w:rFonts w:ascii="Times New Roman" w:hAnsi="Times New Roman" w:eastAsia="Times New Roman"/>
          <w:b w:val="0"/>
          <w:i/>
          <w:color w:val="505050"/>
          <w:sz w:val="24"/>
        </w:rPr>
        <w:t>Full scientific manuscript  |  Author and governance fields must be completed before submission</w:t>
      </w:r>
    </w:p>
    <w:p w14:paraId="3F9FA12F">
      <w:pPr>
        <w:pStyle w:val="3"/>
        <w:keepNext/>
        <w:spacing w:before="200" w:after="120" w:line="240" w:lineRule="auto"/>
        <w:jc w:val="left"/>
      </w:pPr>
      <w:r>
        <w:rPr>
          <w:rFonts w:ascii="Times New Roman" w:hAnsi="Times New Roman" w:eastAsia="Times New Roman"/>
          <w:b/>
          <w:i w:val="0"/>
          <w:color w:val="000000"/>
          <w:sz w:val="28"/>
        </w:rPr>
        <w:t>Abstract:</w:t>
      </w:r>
    </w:p>
    <w:p w14:paraId="43075211">
      <w:pPr>
        <w:pStyle w:val="18"/>
        <w:keepNext w:val="0"/>
        <w:spacing w:before="0" w:after="160" w:line="276" w:lineRule="auto"/>
        <w:jc w:val="both"/>
      </w:pPr>
      <w:r>
        <w:rPr>
          <w:rFonts w:ascii="Arial" w:hAnsi="Arial"/>
        </w:rPr>
        <w:t>Retinal vascular artificial intelligence is built on an implicit equivalence: accurate artery–vein segmentation is often treated as validation of a digital biomarker. Yet pixel accuracy establishes only where a model drew vessels; it does not show that a derived number survives reacquisition, transports across imaging domains, or adds information beyond routine clinical variables. This untested gap allows a convincing vessel map to yield a phenotype that is nonrepeatable, nontransportable, or clinically redundant. We therefore evaluated retinal vasculature phenotyping as a sequence of separate evidential claims rather than a single performance task.</w:t>
      </w:r>
    </w:p>
    <w:p>
      <w:pPr>
        <w:pStyle w:val="18"/>
        <w:spacing w:before="0" w:line="276" w:lineRule="auto"/>
        <w:jc w:val="both"/>
      </w:pPr>
      <w:r>
        <w:rPr>
          <w:rFonts w:ascii="Arial" w:hAnsi="Arial"/>
        </w:rPr>
        <w:t>We developed RMDB–BiRAP, a measurement-first framework that separates vessel occupancy from artery–vein identity, constructs complementary Mass-UDCT and Factorized-UDCT readouts, and freezes an outcome-blind phenotype core using same-eye repeatability. Nine phenotype candidates were prespecified before outcome access; intraclass correlation determined which candidates could enter patient-grouped nested cross-validation. FIVES, RAV, Fundus-AVSeg, China Fundus–CIMT, and mBRSET were assigned distinct roles in development, locked measurement evaluation, repeatability analysis, and patient-level modelling.</w:t>
      </w:r>
    </w:p>
    <w:p>
      <w:pPr>
        <w:pStyle w:val="18"/>
        <w:spacing w:before="0" w:line="276" w:lineRule="auto"/>
        <w:jc w:val="both"/>
      </w:pPr>
      <w:r>
        <w:rPr>
          <w:rFonts w:ascii="Arial" w:hAnsi="Arial"/>
        </w:rPr>
        <w:t>Frozen VascX identity measurement achieved mean artery/vein Dice 0.8256 on RAV; because RAV also supported residual-corrector development, it was not treated as independent validation of UDCT. In the locked Fundus-AVSeg evaluation, Mass-UDCT increased mean artery/vein Dice from 0.5545 to 0.5635 (paired Δ = 0.0090, 95% CI 0.0079–0.0101), although diabetic retinopathy and low-quality images remained failure domains. Across 2,359 same-eye repeat pairs, four of nine prespecified phenotypes reached ICC(1,1) ≥ 0.60. Direct 104-dimensional fusion worsened CIMT prediction. In calibrated mBRSET hypertension analyses, adding the repeatable core did not improve discrimination or Brier score (ΔAUROC = +0.00188, 95% CI −0.00588 to +0.00942), and permutation controls showed no leakage signal. Pixel accuracy, phenotype repeatability, cross-domain measurement, and clinical increment are therefore distinct claims. RMDB–BiRAP provides an auditable digital biomarker evaluation procedure and four reproducible phenotypes, but independent high-resolution outcome confirmation remains required.</w:t>
      </w:r>
    </w:p>
    <w:p w14:paraId="38EDC644">
      <w:pPr>
        <w:pStyle w:val="18"/>
        <w:keepNext w:val="0"/>
        <w:spacing w:before="0" w:after="100" w:line="276" w:lineRule="auto"/>
        <w:jc w:val="both"/>
      </w:pPr>
      <w:r>
        <w:rPr>
          <w:rFonts w:ascii="Times New Roman" w:hAnsi="Times New Roman" w:eastAsia="Times New Roman"/>
          <w:b/>
          <w:i w:val="0"/>
          <w:color w:val="000000"/>
          <w:sz w:val="24"/>
        </w:rPr>
        <w:t>Keywords:</w:t>
      </w:r>
      <w:r>
        <w:rPr>
          <w:rFonts w:ascii="Times New Roman" w:hAnsi="Times New Roman" w:eastAsia="Times New Roman"/>
          <w:b w:val="0"/>
          <w:i w:val="0"/>
          <w:color w:val="000000"/>
          <w:sz w:val="24"/>
        </w:rPr>
        <w:t xml:space="preserve"> retinal vasculature; digital biomarker; artery–vein segmentation; repeatability; intraclass correlation; CIMT; hypertension; nested cross-validation</w:t>
      </w:r>
    </w:p>
    <w:p w14:paraId="4D08B854">
      <w:pPr>
        <w:pStyle w:val="3"/>
        <w:keepNext/>
        <w:spacing w:before="200" w:after="120" w:line="240" w:lineRule="auto"/>
        <w:jc w:val="left"/>
      </w:pPr>
      <w:r>
        <w:rPr>
          <w:rFonts w:ascii="Times New Roman" w:hAnsi="Times New Roman" w:eastAsia="Times New Roman"/>
          <w:b/>
          <w:i w:val="0"/>
          <w:color w:val="000000"/>
          <w:sz w:val="28"/>
        </w:rPr>
        <w:t>1. Introduction</w:t>
      </w:r>
    </w:p>
    <w:p w14:paraId="55D97AA7">
      <w:pPr>
        <w:pStyle w:val="18"/>
        <w:keepNext w:val="0"/>
        <w:spacing w:before="0" w:after="100" w:line="276" w:lineRule="auto"/>
        <w:ind w:firstLine="360"/>
        <w:jc w:val="both"/>
      </w:pPr>
      <w:r>
        <w:rPr>
          <w:rFonts w:ascii="Times New Roman" w:hAnsi="Times New Roman" w:eastAsia="Times New Roman"/>
          <w:b w:val="0"/>
          <w:i w:val="0"/>
          <w:color w:val="000000"/>
          <w:sz w:val="24"/>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pStyle w:val="18"/>
        <w:keepNext w:val="0"/>
        <w:spacing w:before="0" w:after="100" w:line="276" w:lineRule="auto"/>
        <w:ind w:firstLine="360"/>
        <w:jc w:val="both"/>
      </w:pPr>
      <w:r>
        <w:rPr>
          <w:rFonts w:ascii="Times New Roman" w:hAnsi="Times New Roman" w:eastAsia="Times New Roman"/>
          <w:b w:val="0"/>
          <w:i w:val="0"/>
          <w:color w:val="000000"/>
          <w:sz w:val="24"/>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patient-level phenotype.</w:t>
      </w:r>
    </w:p>
    <w:p w14:paraId="53513D17">
      <w:pPr>
        <w:pStyle w:val="18"/>
        <w:keepNext w:val="0"/>
        <w:spacing w:before="0" w:after="100" w:line="276" w:lineRule="auto"/>
        <w:ind w:firstLine="360"/>
        <w:jc w:val="both"/>
      </w:pPr>
      <w:r>
        <w:rPr>
          <w:rFonts w:ascii="Times New Roman" w:hAnsi="Times New Roman" w:eastAsia="Times New Roman"/>
          <w:b w:val="0"/>
          <w:i w:val="0"/>
          <w:color w:val="000000"/>
          <w:sz w:val="24"/>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pStyle w:val="18"/>
        <w:keepNext w:val="0"/>
        <w:spacing w:before="0" w:after="100" w:line="276" w:lineRule="auto"/>
        <w:ind w:firstLine="360"/>
        <w:jc w:val="both"/>
      </w:pPr>
      <w:r>
        <w:rPr>
          <w:rFonts w:ascii="Arial" w:hAnsi="Arial"/>
        </w:rPr>
        <w:t>We therefore organized the study around three gates that cannot substitute for one another: locked cross-domain measurement validity, outcome-blind same-eye repeatability, and incremental patient-level utility beyond clinical covariates. RMDB–BiRAP separates occupancy from identity, creates complementary Mass-UDCT and Factorized-UDCT readouts, and retains phenotypes by repeated-view reliability before any systemic outcome is used.</w:t>
      </w:r>
    </w:p>
    <w:p w14:paraId="0C30E235">
      <w:pPr>
        <w:pStyle w:val="18"/>
        <w:keepNext w:val="0"/>
        <w:spacing w:before="0" w:after="100" w:line="276" w:lineRule="auto"/>
        <w:ind w:firstLine="360"/>
        <w:jc w:val="both"/>
      </w:pPr>
      <w:r>
        <w:rPr>
          <w:rFonts w:ascii="Arial" w:hAnsi="Arial"/>
        </w:rPr>
        <w:t>The contribution is deliberately falsifiable. We report where the evidence survives—frozen upstream identity transfer to RAV, locked final-stack improvement on Fundus-AVSeg, and four reproducible global phenotypes—and where it stops: direct high-dimensional fusion, uncertainty-by-disagreement, substitution of the E10A representation with the ICC-gated phenotype core, and calibrated mBRSET clinical increment. The framework does not claim that fundus imaging replaces carotid ultrasonography or blood-pressure assessment; it defines a reproducible route for deciding when a retinal measurement has, and has not, earned biomarker status.</w:t>
      </w:r>
    </w:p>
    <w:p w14:paraId="4DE9CEDF">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1159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15968"/>
                    </a:xfrm>
                    <a:prstGeom prst="rect">
                      <a:avLst/>
                    </a:prstGeom>
                  </pic:spPr>
                </pic:pic>
              </a:graphicData>
            </a:graphic>
          </wp:inline>
        </w:drawing>
      </w:r>
    </w:p>
    <w:p w14:paraId="63E02E04">
      <w:pPr>
        <w:keepNext/>
        <w:keepLines/>
        <w:spacing w:before="40" w:after="120" w:line="240" w:lineRule="auto"/>
        <w:jc w:val="both"/>
      </w:pPr>
      <w:r>
        <w:t>Figure 1. Five-cohort study design and evidence hierarchy. Panel A shows real photographs from every data resource and its prespecified role. Panel B separates locked measurement validity, outcome-blind repeatability, and clinical increment into three non-interchangeable gates. RAV serves as an upstream identity audit and corrector-development resource; Fundus-AVSeg provides the locked independent evaluation of the final measurement stack. Segmentation labels never enter outcome models, and the ICC-gated phenotype core is fixed before outcome access. The mBRSET 224-pixel mirror supports external mechanism analysis with internal patient-level cross-validation, not independent high-resolution confirmation.</w:t>
      </w:r>
    </w:p>
    <w:p w14:paraId="6B1B8A75">
      <w:pPr>
        <w:pStyle w:val="3"/>
        <w:keepNext/>
        <w:spacing w:before="200" w:after="120" w:line="240" w:lineRule="auto"/>
        <w:jc w:val="left"/>
      </w:pPr>
      <w:r>
        <w:rPr>
          <w:rFonts w:ascii="Times New Roman" w:hAnsi="Times New Roman" w:eastAsia="Times New Roman"/>
          <w:b/>
          <w:i w:val="0"/>
          <w:color w:val="000000"/>
          <w:sz w:val="28"/>
        </w:rPr>
        <w:t>2. Materials and methods</w:t>
      </w:r>
    </w:p>
    <w:p w14:paraId="3383C4AF">
      <w:pPr>
        <w:pStyle w:val="4"/>
        <w:keepNext/>
        <w:spacing w:before="200" w:after="120" w:line="240" w:lineRule="auto"/>
        <w:jc w:val="left"/>
      </w:pPr>
      <w:r>
        <w:rPr>
          <w:rFonts w:ascii="Times New Roman" w:hAnsi="Times New Roman" w:eastAsia="Times New Roman"/>
          <w:b/>
          <w:i w:val="0"/>
          <w:color w:val="000000"/>
          <w:sz w:val="24"/>
        </w:rPr>
        <w:t>2.1 Study cohorts and evidence roles</w:t>
      </w:r>
    </w:p>
    <w:p w14:paraId="5D68E43B">
      <w:pPr>
        <w:pStyle w:val="18"/>
        <w:keepNext w:val="0"/>
        <w:spacing w:before="0" w:after="100" w:line="276" w:lineRule="auto"/>
        <w:ind w:firstLine="360"/>
        <w:jc w:val="both"/>
      </w:pPr>
      <w:r>
        <w:rPr>
          <w:rFonts w:ascii="Arial" w:hAnsi="Arial"/>
        </w:rPr>
        <w:t>Five data resources had prespecified, non-interchangeable roles (Table 1). FIVES [13] provided occupancy supervision. RAV [14] characterized transfer of the frozen VascX identity backbone and separately supported development of the UDCT residual corrector; it was therefore not an independent validation set for UDCT. Fundus-AVSeg [15] supplied the locked, zero-tuning independent evaluation of the final measurement stack. China Fundus–CIMT supplied paired bilateral fundus photographs and carotid intima–media thickness for development and previously locked internal validation. mBRSET, the 224-pixel BRSET mirror [16], supplied repeated views and systemic annotations for outcome-blind repeatability and exploratory mechanism analysis. VascX [17] provided the frozen identity backbone.</w:t>
      </w:r>
    </w:p>
    <w:p w14:paraId="031B33EF">
      <w:pPr>
        <w:pStyle w:val="18"/>
        <w:keepNext w:val="0"/>
        <w:spacing w:before="0" w:after="100" w:line="276" w:lineRule="auto"/>
        <w:ind w:firstLine="360"/>
        <w:jc w:val="both"/>
      </w:pPr>
      <w:r>
        <w:rPr>
          <w:rFonts w:ascii="Arial" w:hAnsi="Arial"/>
        </w:rPr>
        <w:t>Cohort isolation was treated as part of the method. Pixel labels were never used in patient-level outcome models, and Fundus-AVSeg remained untouched until all final-stack choices were frozen. The 2,603-patient CIMT training split was used for method development; the 200-patient validation split was accessed only after E8 choices were frozen. An access audit identified an early clinical-baseline test artifact; it was not used for RMDB–BiRAP feature development or model selection, but the test split is therefore not described as pristine or unopened. The mBRSET analysis used patient-grouped folds and is described as external mechanism validation because the available 224-pixel mirror does not reproduce the source-resolution confirmation setting.</w:t>
      </w:r>
    </w:p>
    <w:p w14:paraId="41B4DA4F">
      <w:pPr>
        <w:spacing w:before="0" w:after="0"/>
        <w:jc w:val="center"/>
      </w:pPr>
      <w:r>
        <w:br w:type="page"/>
      </w:r>
    </w:p>
    <w:p w14:paraId="490E8B35">
      <w:pPr>
        <w:keepNext/>
        <w:spacing w:before="40" w:after="120" w:line="240" w:lineRule="auto"/>
        <w:jc w:val="both"/>
      </w:pPr>
      <w:r>
        <w:rPr>
          <w:rFonts w:ascii="Times New Roman" w:hAnsi="Times New Roman" w:eastAsia="Times New Roman"/>
          <w:b/>
          <w:i/>
          <w:color w:val="000000"/>
          <w:sz w:val="24"/>
        </w:rPr>
        <w:t>Table 1. Cohorts, labels, and prespecified analytical roles.</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757"/>
        <w:gridCol w:w="2102"/>
        <w:gridCol w:w="2045"/>
        <w:gridCol w:w="1771"/>
      </w:tblGrid>
      <w:tr w14:paraId="20508EC4">
        <w:trPr>
          <w:tblHeader/>
          <w:jc w:val="center"/>
        </w:trPr>
        <w:tc>
          <w:tcPr>
            <w:tcW w:w="1512" w:type="dxa"/>
            <w:shd w:val="clear" w:color="auto" w:fill="48345F"/>
            <w:tcMar>
              <w:top w:w="75" w:type="dxa"/>
              <w:left w:w="85" w:type="dxa"/>
              <w:bottom w:w="75" w:type="dxa"/>
              <w:right w:w="85" w:type="dxa"/>
            </w:tcMar>
            <w:vAlign w:val="center"/>
          </w:tcPr>
          <w:p w14:paraId="1668E5ED">
            <w:pPr>
              <w:spacing w:after="0" w:line="240" w:lineRule="auto" w:before="0"/>
              <w:jc w:val="center"/>
            </w:pPr>
            <w:r>
              <w:rPr>
                <w:rFonts w:ascii="Times New Roman" w:hAnsi="Times New Roman" w:eastAsia="Times New Roman"/>
                <w:b/>
                <w:i w:val="0"/>
                <w:color w:val="000000"/>
                <w:sz w:val="21"/>
              </w:rPr>
              <w:t>Cohort</w:t>
            </w:r>
          </w:p>
        </w:tc>
        <w:tc>
          <w:tcPr>
            <w:tcW w:w="1757" w:type="dxa"/>
            <w:shd w:val="clear" w:color="auto" w:fill="48345F"/>
            <w:tcMar>
              <w:top w:w="75" w:type="dxa"/>
              <w:left w:w="85" w:type="dxa"/>
              <w:bottom w:w="75" w:type="dxa"/>
              <w:right w:w="85" w:type="dxa"/>
            </w:tcMar>
            <w:vAlign w:val="center"/>
          </w:tcPr>
          <w:p w14:paraId="59EF1E86">
            <w:pPr>
              <w:spacing w:after="0" w:line="240" w:lineRule="auto" w:before="0"/>
              <w:jc w:val="center"/>
            </w:pPr>
            <w:r>
              <w:rPr>
                <w:rFonts w:ascii="Times New Roman" w:hAnsi="Times New Roman" w:eastAsia="Times New Roman"/>
                <w:b/>
                <w:i w:val="0"/>
                <w:color w:val="000000"/>
                <w:sz w:val="21"/>
              </w:rPr>
              <w:t>Scale</w:t>
            </w:r>
          </w:p>
        </w:tc>
        <w:tc>
          <w:tcPr>
            <w:tcW w:w="2102" w:type="dxa"/>
            <w:shd w:val="clear" w:color="auto" w:fill="48345F"/>
            <w:tcMar>
              <w:top w:w="75" w:type="dxa"/>
              <w:left w:w="85" w:type="dxa"/>
              <w:bottom w:w="75" w:type="dxa"/>
              <w:right w:w="85" w:type="dxa"/>
            </w:tcMar>
            <w:vAlign w:val="center"/>
          </w:tcPr>
          <w:p w14:paraId="62E76077">
            <w:pPr>
              <w:spacing w:after="0" w:line="240" w:lineRule="auto" w:before="0"/>
              <w:jc w:val="center"/>
            </w:pPr>
            <w:r>
              <w:rPr>
                <w:rFonts w:ascii="Times New Roman" w:hAnsi="Times New Roman" w:eastAsia="Times New Roman"/>
                <w:b/>
                <w:i w:val="0"/>
                <w:color w:val="000000"/>
                <w:sz w:val="21"/>
              </w:rPr>
              <w:t>Available labels</w:t>
            </w:r>
          </w:p>
        </w:tc>
        <w:tc>
          <w:tcPr>
            <w:tcW w:w="2045" w:type="dxa"/>
            <w:shd w:val="clear" w:color="auto" w:fill="48345F"/>
            <w:tcMar>
              <w:top w:w="75" w:type="dxa"/>
              <w:left w:w="85" w:type="dxa"/>
              <w:bottom w:w="75" w:type="dxa"/>
              <w:right w:w="85" w:type="dxa"/>
            </w:tcMar>
            <w:vAlign w:val="center"/>
          </w:tcPr>
          <w:p w14:paraId="1FDFFBC9">
            <w:pPr>
              <w:spacing w:after="0" w:line="240" w:lineRule="auto" w:before="0"/>
              <w:jc w:val="center"/>
            </w:pPr>
            <w:r>
              <w:rPr>
                <w:rFonts w:ascii="Times New Roman" w:hAnsi="Times New Roman" w:eastAsia="Times New Roman"/>
                <w:b/>
                <w:i w:val="0"/>
                <w:color w:val="000000"/>
                <w:sz w:val="21"/>
              </w:rPr>
              <w:t>Prespecified role</w:t>
            </w:r>
          </w:p>
        </w:tc>
        <w:tc>
          <w:tcPr>
            <w:tcW w:w="1728" w:type="dxa"/>
            <w:shd w:val="clear" w:color="auto" w:fill="48345F"/>
            <w:tcMar>
              <w:top w:w="75" w:type="dxa"/>
              <w:left w:w="85" w:type="dxa"/>
              <w:bottom w:w="75" w:type="dxa"/>
              <w:right w:w="85" w:type="dxa"/>
            </w:tcMar>
            <w:vAlign w:val="center"/>
          </w:tcPr>
          <w:p w14:paraId="7C98101F">
            <w:pPr>
              <w:spacing w:after="0" w:line="240" w:lineRule="auto" w:before="0"/>
              <w:jc w:val="center"/>
            </w:pPr>
            <w:r>
              <w:rPr>
                <w:rFonts w:ascii="Times New Roman" w:hAnsi="Times New Roman" w:eastAsia="Times New Roman"/>
                <w:b/>
                <w:i w:val="0"/>
                <w:color w:val="000000"/>
                <w:sz w:val="21"/>
              </w:rPr>
              <w:t>Evidence status</w:t>
            </w:r>
          </w:p>
        </w:tc>
      </w:tr>
      <w:tr w14:paraId="41C000E0">
        <w:trPr>
          <w:cantSplit/>
          <w:jc w:val="center"/>
        </w:trPr>
        <w:tc>
          <w:tcPr>
            <w:tcW w:w="1512" w:type="dxa"/>
            <w:shd w:val="clear" w:color="auto" w:fill="F3EDF9"/>
            <w:tcMar>
              <w:top w:w="75" w:type="dxa"/>
              <w:left w:w="85" w:type="dxa"/>
              <w:bottom w:w="75" w:type="dxa"/>
              <w:right w:w="85" w:type="dxa"/>
            </w:tcMar>
            <w:vAlign w:val="center"/>
          </w:tcPr>
          <w:p w14:paraId="05F07954">
            <w:pPr>
              <w:spacing w:after="0" w:line="240" w:lineRule="auto" w:before="0"/>
              <w:jc w:val="left"/>
            </w:pPr>
            <w:r>
              <w:rPr>
                <w:rFonts w:ascii="Times New Roman" w:hAnsi="Times New Roman" w:eastAsia="Times New Roman"/>
                <w:b w:val="0"/>
                <w:i w:val="0"/>
                <w:color w:val="000000"/>
                <w:sz w:val="21"/>
              </w:rPr>
              <w:t>FIVES</w:t>
            </w:r>
          </w:p>
        </w:tc>
        <w:tc>
          <w:tcPr>
            <w:tcW w:w="1757" w:type="dxa"/>
            <w:shd w:val="clear" w:color="auto" w:fill="F3EDF9"/>
            <w:tcMar>
              <w:top w:w="75" w:type="dxa"/>
              <w:left w:w="85" w:type="dxa"/>
              <w:bottom w:w="75" w:type="dxa"/>
              <w:right w:w="85" w:type="dxa"/>
            </w:tcMar>
            <w:vAlign w:val="center"/>
          </w:tcPr>
          <w:p w14:paraId="690DE60E">
            <w:pPr>
              <w:spacing w:after="0" w:line="240" w:lineRule="auto" w:before="0"/>
              <w:jc w:val="left"/>
            </w:pPr>
            <w:r>
              <w:rPr>
                <w:rFonts w:ascii="Times New Roman" w:hAnsi="Times New Roman" w:eastAsia="Times New Roman"/>
                <w:b w:val="0"/>
                <w:i w:val="0"/>
                <w:color w:val="000000"/>
                <w:sz w:val="21"/>
              </w:rPr>
              <w:t>800 images (600 train/200 test)</w:t>
            </w:r>
          </w:p>
        </w:tc>
        <w:tc>
          <w:tcPr>
            <w:tcW w:w="2102" w:type="dxa"/>
            <w:shd w:val="clear" w:color="auto" w:fill="F3EDF9"/>
            <w:tcMar>
              <w:top w:w="75" w:type="dxa"/>
              <w:left w:w="85" w:type="dxa"/>
              <w:bottom w:w="75" w:type="dxa"/>
              <w:right w:w="85" w:type="dxa"/>
            </w:tcMar>
            <w:vAlign w:val="center"/>
          </w:tcPr>
          <w:p w14:paraId="62326D32">
            <w:pPr>
              <w:spacing w:after="0" w:line="240" w:lineRule="auto" w:before="0"/>
              <w:jc w:val="left"/>
            </w:pPr>
            <w:r>
              <w:rPr>
                <w:rFonts w:ascii="Times New Roman" w:hAnsi="Times New Roman" w:eastAsia="Times New Roman"/>
                <w:b w:val="0"/>
                <w:i w:val="0"/>
                <w:color w:val="000000"/>
                <w:sz w:val="21"/>
              </w:rPr>
              <w:t>Binary vessel mask</w:t>
            </w:r>
          </w:p>
        </w:tc>
        <w:tc>
          <w:tcPr>
            <w:tcW w:w="2045" w:type="dxa"/>
            <w:shd w:val="clear" w:color="auto" w:fill="F3EDF9"/>
            <w:tcMar>
              <w:top w:w="75" w:type="dxa"/>
              <w:left w:w="85" w:type="dxa"/>
              <w:bottom w:w="75" w:type="dxa"/>
              <w:right w:w="85" w:type="dxa"/>
            </w:tcMar>
            <w:vAlign w:val="center"/>
          </w:tcPr>
          <w:p w14:paraId="032B6CD6">
            <w:pPr>
              <w:spacing w:after="0" w:line="240" w:lineRule="auto" w:before="0"/>
              <w:jc w:val="left"/>
            </w:pPr>
            <w:r>
              <w:rPr>
                <w:rFonts w:ascii="Times New Roman" w:hAnsi="Times New Roman" w:eastAsia="Times New Roman"/>
                <w:b w:val="0"/>
                <w:i w:val="0"/>
                <w:color w:val="000000"/>
                <w:sz w:val="21"/>
              </w:rPr>
              <w:t>Occupancy-estimator source</w:t>
            </w:r>
          </w:p>
        </w:tc>
        <w:tc>
          <w:tcPr>
            <w:tcW w:w="1728" w:type="dxa"/>
            <w:shd w:val="clear" w:color="auto" w:fill="F3EDF9"/>
            <w:tcMar>
              <w:top w:w="75" w:type="dxa"/>
              <w:left w:w="85" w:type="dxa"/>
              <w:bottom w:w="75" w:type="dxa"/>
              <w:right w:w="85" w:type="dxa"/>
            </w:tcMar>
            <w:vAlign w:val="center"/>
          </w:tcPr>
          <w:p w14:paraId="6005B40A">
            <w:pPr>
              <w:spacing w:after="0" w:line="240" w:lineRule="auto" w:before="0"/>
              <w:jc w:val="left"/>
            </w:pPr>
            <w:r>
              <w:rPr>
                <w:rFonts w:ascii="Times New Roman" w:hAnsi="Times New Roman" w:eastAsia="Times New Roman"/>
                <w:b w:val="0"/>
                <w:i w:val="0"/>
                <w:color w:val="000000"/>
                <w:sz w:val="21"/>
              </w:rPr>
              <w:t>Training/measurement only</w:t>
            </w:r>
          </w:p>
        </w:tc>
      </w:tr>
      <w:tr w14:paraId="655EB4B7">
        <w:trPr>
          <w:cantSplit/>
          <w:jc w:val="center"/>
        </w:trPr>
        <w:tc>
          <w:tcPr>
            <w:tcW w:w="1512" w:type="dxa"/>
            <w:shd w:val="clear" w:color="auto" w:fill="FFFFFF"/>
            <w:tcMar>
              <w:top w:w="75" w:type="dxa"/>
              <w:left w:w="85" w:type="dxa"/>
              <w:bottom w:w="75" w:type="dxa"/>
              <w:right w:w="85" w:type="dxa"/>
            </w:tcMar>
            <w:vAlign w:val="center"/>
          </w:tcPr>
          <w:p w14:paraId="46960E98">
            <w:pPr>
              <w:spacing w:after="0" w:line="240" w:lineRule="auto" w:before="0"/>
              <w:jc w:val="left"/>
            </w:pPr>
            <w:r>
              <w:rPr>
                <w:rFonts w:ascii="Times New Roman" w:hAnsi="Times New Roman" w:eastAsia="Times New Roman"/>
                <w:b w:val="0"/>
                <w:i w:val="0"/>
                <w:color w:val="000000"/>
                <w:sz w:val="21"/>
              </w:rPr>
              <w:t>RAV</w:t>
            </w:r>
          </w:p>
        </w:tc>
        <w:tc>
          <w:tcPr>
            <w:tcW w:w="1757" w:type="dxa"/>
            <w:shd w:val="clear" w:color="auto" w:fill="FFFFFF"/>
            <w:tcMar>
              <w:top w:w="75" w:type="dxa"/>
              <w:left w:w="85" w:type="dxa"/>
              <w:bottom w:w="75" w:type="dxa"/>
              <w:right w:w="85" w:type="dxa"/>
            </w:tcMar>
            <w:vAlign w:val="center"/>
          </w:tcPr>
          <w:p w14:paraId="3713839B">
            <w:pPr>
              <w:spacing w:after="0" w:line="240" w:lineRule="auto" w:before="0"/>
              <w:jc w:val="left"/>
            </w:pPr>
            <w:r>
              <w:rPr>
                <w:rFonts w:ascii="Times New Roman" w:hAnsi="Times New Roman" w:eastAsia="Times New Roman"/>
                <w:b w:val="0"/>
                <w:i w:val="0"/>
                <w:color w:val="000000"/>
                <w:sz w:val="21"/>
              </w:rPr>
              <w:t>206 images</w:t>
            </w:r>
          </w:p>
        </w:tc>
        <w:tc>
          <w:tcPr>
            <w:tcW w:w="2102" w:type="dxa"/>
            <w:shd w:val="clear" w:color="auto" w:fill="FFFFFF"/>
            <w:tcMar>
              <w:top w:w="75" w:type="dxa"/>
              <w:left w:w="85" w:type="dxa"/>
              <w:bottom w:w="75" w:type="dxa"/>
              <w:right w:w="85" w:type="dxa"/>
            </w:tcMar>
            <w:vAlign w:val="center"/>
          </w:tcPr>
          <w:p w14:paraId="297CAE94">
            <w:pPr>
              <w:spacing w:after="0" w:line="240" w:lineRule="auto" w:before="0"/>
              <w:jc w:val="left"/>
            </w:pPr>
            <w:r>
              <w:rPr>
                <w:rFonts w:ascii="Times New Roman" w:hAnsi="Times New Roman" w:eastAsia="Times New Roman"/>
                <w:b w:val="0"/>
                <w:i w:val="0"/>
                <w:color w:val="000000"/>
                <w:sz w:val="21"/>
              </w:rPr>
              <w:t>Artery and vein masks</w:t>
            </w:r>
          </w:p>
        </w:tc>
        <w:tc>
          <w:tcPr>
            <w:tcW w:w="2045" w:type="dxa"/>
            <w:shd w:val="clear" w:color="auto" w:fill="FFFFFF"/>
            <w:tcMar>
              <w:top w:w="75" w:type="dxa"/>
              <w:left w:w="85" w:type="dxa"/>
              <w:bottom w:w="75" w:type="dxa"/>
              <w:right w:w="85" w:type="dxa"/>
            </w:tcMar>
            <w:vAlign w:val="center"/>
          </w:tcPr>
          <w:p w14:paraId="70A1F754">
            <w:pPr>
              <w:spacing w:after="0" w:line="240" w:lineRule="auto" w:before="0"/>
              <w:jc w:val="left"/>
            </w:pPr>
            <w:r>
              <w:t>Frozen VascX identity audit; separate UDCT corrector development</w:t>
            </w:r>
          </w:p>
        </w:tc>
        <w:tc>
          <w:tcPr>
            <w:tcW w:w="1728" w:type="dxa"/>
            <w:shd w:val="clear" w:color="auto" w:fill="FFFFFF"/>
            <w:tcMar>
              <w:top w:w="75" w:type="dxa"/>
              <w:left w:w="85" w:type="dxa"/>
              <w:bottom w:w="75" w:type="dxa"/>
              <w:right w:w="85" w:type="dxa"/>
            </w:tcMar>
            <w:vAlign w:val="center"/>
          </w:tcPr>
          <w:p w14:paraId="2BC75D3C">
            <w:pPr>
              <w:spacing w:after="0" w:line="240" w:lineRule="auto" w:before="0"/>
              <w:jc w:val="left"/>
            </w:pPr>
            <w:r>
              <w:t>Development/audit; not independent validation</w:t>
            </w:r>
          </w:p>
        </w:tc>
      </w:tr>
      <w:tr w14:paraId="466D84D0">
        <w:trPr>
          <w:cantSplit/>
          <w:jc w:val="center"/>
        </w:trPr>
        <w:tc>
          <w:tcPr>
            <w:tcW w:w="1512" w:type="dxa"/>
            <w:shd w:val="clear" w:color="auto" w:fill="F3EDF9"/>
            <w:tcMar>
              <w:top w:w="75" w:type="dxa"/>
              <w:left w:w="85" w:type="dxa"/>
              <w:bottom w:w="75" w:type="dxa"/>
              <w:right w:w="85" w:type="dxa"/>
            </w:tcMar>
            <w:vAlign w:val="center"/>
          </w:tcPr>
          <w:p w14:paraId="575EBEBD">
            <w:pPr>
              <w:spacing w:after="0" w:line="240" w:lineRule="auto" w:before="0"/>
              <w:jc w:val="left"/>
            </w:pPr>
            <w:r>
              <w:rPr>
                <w:rFonts w:ascii="Times New Roman" w:hAnsi="Times New Roman" w:eastAsia="Times New Roman"/>
                <w:b w:val="0"/>
                <w:i w:val="0"/>
                <w:color w:val="000000"/>
                <w:sz w:val="21"/>
              </w:rPr>
              <w:t>Fundus-AVSeg</w:t>
            </w:r>
          </w:p>
        </w:tc>
        <w:tc>
          <w:tcPr>
            <w:tcW w:w="1757" w:type="dxa"/>
            <w:shd w:val="clear" w:color="auto" w:fill="F3EDF9"/>
            <w:tcMar>
              <w:top w:w="75" w:type="dxa"/>
              <w:left w:w="85" w:type="dxa"/>
              <w:bottom w:w="75" w:type="dxa"/>
              <w:right w:w="85" w:type="dxa"/>
            </w:tcMar>
            <w:vAlign w:val="center"/>
          </w:tcPr>
          <w:p w14:paraId="0CC90B45">
            <w:pPr>
              <w:spacing w:after="0" w:line="240" w:lineRule="auto" w:before="0"/>
              <w:jc w:val="left"/>
            </w:pPr>
            <w:r>
              <w:rPr>
                <w:rFonts w:ascii="Times New Roman" w:hAnsi="Times New Roman" w:eastAsia="Times New Roman"/>
                <w:b w:val="0"/>
                <w:i w:val="0"/>
                <w:color w:val="000000"/>
                <w:sz w:val="21"/>
              </w:rPr>
              <w:t>100 images</w:t>
            </w:r>
          </w:p>
        </w:tc>
        <w:tc>
          <w:tcPr>
            <w:tcW w:w="2102" w:type="dxa"/>
            <w:shd w:val="clear" w:color="auto" w:fill="F3EDF9"/>
            <w:tcMar>
              <w:top w:w="75" w:type="dxa"/>
              <w:left w:w="85" w:type="dxa"/>
              <w:bottom w:w="75" w:type="dxa"/>
              <w:right w:w="85" w:type="dxa"/>
            </w:tcMar>
            <w:vAlign w:val="center"/>
          </w:tcPr>
          <w:p w14:paraId="4F656476">
            <w:pPr>
              <w:spacing w:after="0" w:line="240" w:lineRule="auto" w:before="0"/>
              <w:jc w:val="left"/>
            </w:pPr>
            <w:r>
              <w:rPr>
                <w:rFonts w:ascii="Times New Roman" w:hAnsi="Times New Roman" w:eastAsia="Times New Roman"/>
                <w:b w:val="0"/>
                <w:i w:val="0"/>
                <w:color w:val="000000"/>
                <w:sz w:val="21"/>
              </w:rPr>
              <w:t>Vessel/A/V masks; disease; quality</w:t>
            </w:r>
          </w:p>
        </w:tc>
        <w:tc>
          <w:tcPr>
            <w:tcW w:w="2045" w:type="dxa"/>
            <w:shd w:val="clear" w:color="auto" w:fill="F3EDF9"/>
            <w:tcMar>
              <w:top w:w="75" w:type="dxa"/>
              <w:left w:w="85" w:type="dxa"/>
              <w:bottom w:w="75" w:type="dxa"/>
              <w:right w:w="85" w:type="dxa"/>
            </w:tcMar>
            <w:vAlign w:val="center"/>
          </w:tcPr>
          <w:p w14:paraId="3EBFD142">
            <w:pPr>
              <w:spacing w:after="0" w:line="240" w:lineRule="auto" w:before="0"/>
              <w:jc w:val="left"/>
            </w:pPr>
            <w:r>
              <w:t>Locked zero-tuning final-stack validation</w:t>
            </w:r>
          </w:p>
        </w:tc>
        <w:tc>
          <w:tcPr>
            <w:tcW w:w="1728" w:type="dxa"/>
            <w:shd w:val="clear" w:color="auto" w:fill="F3EDF9"/>
            <w:tcMar>
              <w:top w:w="75" w:type="dxa"/>
              <w:left w:w="85" w:type="dxa"/>
              <w:bottom w:w="75" w:type="dxa"/>
              <w:right w:w="85" w:type="dxa"/>
            </w:tcMar>
            <w:vAlign w:val="center"/>
          </w:tcPr>
          <w:p w14:paraId="1DB6984F">
            <w:pPr>
              <w:spacing w:after="0" w:line="240" w:lineRule="auto" w:before="0"/>
              <w:jc w:val="left"/>
            </w:pPr>
            <w:r>
              <w:t>Independent external measurement</w:t>
            </w:r>
          </w:p>
        </w:tc>
      </w:tr>
      <w:tr w14:paraId="0B1D908D">
        <w:trPr>
          <w:cantSplit/>
          <w:jc w:val="center"/>
        </w:trPr>
        <w:tc>
          <w:tcPr>
            <w:tcW w:w="1512" w:type="dxa"/>
            <w:shd w:val="clear" w:color="auto" w:fill="FFFFFF"/>
            <w:tcMar>
              <w:top w:w="75" w:type="dxa"/>
              <w:left w:w="85" w:type="dxa"/>
              <w:bottom w:w="75" w:type="dxa"/>
              <w:right w:w="85" w:type="dxa"/>
            </w:tcMar>
            <w:vAlign w:val="center"/>
          </w:tcPr>
          <w:p w14:paraId="1050A3AF">
            <w:pPr>
              <w:spacing w:after="0" w:line="240" w:lineRule="auto" w:before="0"/>
              <w:jc w:val="left"/>
            </w:pPr>
            <w:r>
              <w:rPr>
                <w:rFonts w:ascii="Times New Roman" w:hAnsi="Times New Roman" w:eastAsia="Times New Roman"/>
                <w:b w:val="0"/>
                <w:i w:val="0"/>
                <w:color w:val="000000"/>
                <w:sz w:val="21"/>
              </w:rPr>
              <w:t>China Fundus–CIMT</w:t>
            </w:r>
          </w:p>
        </w:tc>
        <w:tc>
          <w:tcPr>
            <w:tcW w:w="1757" w:type="dxa"/>
            <w:shd w:val="clear" w:color="auto" w:fill="FFFFFF"/>
            <w:tcMar>
              <w:top w:w="75" w:type="dxa"/>
              <w:left w:w="85" w:type="dxa"/>
              <w:bottom w:w="75" w:type="dxa"/>
              <w:right w:w="85" w:type="dxa"/>
            </w:tcMar>
            <w:vAlign w:val="center"/>
          </w:tcPr>
          <w:p w14:paraId="091BC330">
            <w:pPr>
              <w:spacing w:after="0" w:line="240" w:lineRule="auto" w:before="0"/>
              <w:jc w:val="left"/>
            </w:pPr>
            <w:r>
              <w:rPr>
                <w:rFonts w:ascii="Times New Roman" w:hAnsi="Times New Roman" w:eastAsia="Times New Roman"/>
                <w:b w:val="0"/>
                <w:i w:val="0"/>
                <w:color w:val="000000"/>
                <w:sz w:val="21"/>
              </w:rPr>
              <w:t>2,603 development; 200 frozen validation; 100 test artifact</w:t>
            </w:r>
          </w:p>
        </w:tc>
        <w:tc>
          <w:tcPr>
            <w:tcW w:w="2102" w:type="dxa"/>
            <w:shd w:val="clear" w:color="auto" w:fill="FFFFFF"/>
            <w:tcMar>
              <w:top w:w="75" w:type="dxa"/>
              <w:left w:w="85" w:type="dxa"/>
              <w:bottom w:w="75" w:type="dxa"/>
              <w:right w:w="85" w:type="dxa"/>
            </w:tcMar>
            <w:vAlign w:val="center"/>
          </w:tcPr>
          <w:p w14:paraId="1F60C367">
            <w:pPr>
              <w:spacing w:after="0" w:line="240" w:lineRule="auto" w:before="0"/>
              <w:jc w:val="left"/>
            </w:pPr>
            <w:r>
              <w:rPr>
                <w:rFonts w:ascii="Times New Roman" w:hAnsi="Times New Roman" w:eastAsia="Times New Roman"/>
                <w:b w:val="0"/>
                <w:i w:val="0"/>
                <w:color w:val="000000"/>
                <w:sz w:val="21"/>
              </w:rPr>
              <w:t>Age, sex, bilateral fundus, CIMT</w:t>
            </w:r>
          </w:p>
        </w:tc>
        <w:tc>
          <w:tcPr>
            <w:tcW w:w="2045" w:type="dxa"/>
            <w:shd w:val="clear" w:color="auto" w:fill="FFFFFF"/>
            <w:tcMar>
              <w:top w:w="75" w:type="dxa"/>
              <w:left w:w="85" w:type="dxa"/>
              <w:bottom w:w="75" w:type="dxa"/>
              <w:right w:w="85" w:type="dxa"/>
            </w:tcMar>
            <w:vAlign w:val="center"/>
          </w:tcPr>
          <w:p w14:paraId="736099C2">
            <w:pPr>
              <w:spacing w:after="0" w:line="240" w:lineRule="auto" w:before="0"/>
              <w:jc w:val="left"/>
            </w:pPr>
            <w:r>
              <w:rPr>
                <w:rFonts w:ascii="Times New Roman" w:hAnsi="Times New Roman" w:eastAsia="Times New Roman"/>
                <w:b w:val="0"/>
                <w:i w:val="0"/>
                <w:color w:val="000000"/>
                <w:sz w:val="21"/>
              </w:rPr>
              <w:t>Normative-deviation mechanism</w:t>
            </w:r>
          </w:p>
        </w:tc>
        <w:tc>
          <w:tcPr>
            <w:tcW w:w="1728" w:type="dxa"/>
            <w:shd w:val="clear" w:color="auto" w:fill="FFFFFF"/>
            <w:tcMar>
              <w:top w:w="75" w:type="dxa"/>
              <w:left w:w="85" w:type="dxa"/>
              <w:bottom w:w="75" w:type="dxa"/>
              <w:right w:w="85" w:type="dxa"/>
            </w:tcMar>
            <w:vAlign w:val="center"/>
          </w:tcPr>
          <w:p w14:paraId="046A8C08">
            <w:pPr>
              <w:spacing w:after="0" w:line="240" w:lineRule="auto" w:before="0"/>
              <w:jc w:val="left"/>
            </w:pPr>
            <w:r>
              <w:rPr>
                <w:rFonts w:ascii="Times New Roman" w:hAnsi="Times New Roman" w:eastAsia="Times New Roman"/>
                <w:b w:val="0"/>
                <w:i w:val="0"/>
                <w:color w:val="000000"/>
                <w:sz w:val="21"/>
              </w:rPr>
              <w:t>Development + frozen validation</w:t>
            </w:r>
          </w:p>
        </w:tc>
      </w:tr>
      <w:tr w14:paraId="7AF1872E">
        <w:trPr>
          <w:cantSplit/>
          <w:jc w:val="center"/>
        </w:trPr>
        <w:tc>
          <w:tcPr>
            <w:tcW w:w="1512" w:type="dxa"/>
            <w:shd w:val="clear" w:color="auto" w:fill="F3EDF9"/>
            <w:tcMar>
              <w:top w:w="75" w:type="dxa"/>
              <w:left w:w="85" w:type="dxa"/>
              <w:bottom w:w="75" w:type="dxa"/>
              <w:right w:w="85" w:type="dxa"/>
            </w:tcMar>
            <w:vAlign w:val="center"/>
          </w:tcPr>
          <w:p w14:paraId="76568457">
            <w:pPr>
              <w:spacing w:after="0" w:line="240" w:lineRule="auto" w:before="0"/>
              <w:jc w:val="left"/>
            </w:pPr>
            <w:r>
              <w:rPr>
                <w:rFonts w:ascii="Times New Roman" w:hAnsi="Times New Roman" w:eastAsia="Times New Roman"/>
                <w:b w:val="0"/>
                <w:i w:val="0"/>
                <w:color w:val="000000"/>
                <w:sz w:val="21"/>
              </w:rPr>
              <w:t>mBRSET 224-pixel mirror</w:t>
            </w:r>
          </w:p>
        </w:tc>
        <w:tc>
          <w:tcPr>
            <w:tcW w:w="1757" w:type="dxa"/>
            <w:shd w:val="clear" w:color="auto" w:fill="F3EDF9"/>
            <w:tcMar>
              <w:top w:w="75" w:type="dxa"/>
              <w:left w:w="85" w:type="dxa"/>
              <w:bottom w:w="75" w:type="dxa"/>
              <w:right w:w="85" w:type="dxa"/>
            </w:tcMar>
            <w:vAlign w:val="center"/>
          </w:tcPr>
          <w:p w14:paraId="0D4A5C6A">
            <w:pPr>
              <w:spacing w:after="0" w:line="240" w:lineRule="auto" w:before="0"/>
              <w:jc w:val="left"/>
            </w:pPr>
            <w:r>
              <w:rPr>
                <w:rFonts w:ascii="Times New Roman" w:hAnsi="Times New Roman" w:eastAsia="Times New Roman"/>
                <w:b w:val="0"/>
                <w:i w:val="0"/>
                <w:color w:val="000000"/>
                <w:sz w:val="21"/>
              </w:rPr>
              <w:t>1,287 patients; 4,884 images; 2,359 same-eye repeat pairs</w:t>
            </w:r>
          </w:p>
        </w:tc>
        <w:tc>
          <w:tcPr>
            <w:tcW w:w="2102" w:type="dxa"/>
            <w:shd w:val="clear" w:color="auto" w:fill="F3EDF9"/>
            <w:tcMar>
              <w:top w:w="75" w:type="dxa"/>
              <w:left w:w="85" w:type="dxa"/>
              <w:bottom w:w="75" w:type="dxa"/>
              <w:right w:w="85" w:type="dxa"/>
            </w:tcMar>
            <w:vAlign w:val="center"/>
          </w:tcPr>
          <w:p w14:paraId="66259272">
            <w:pPr>
              <w:spacing w:after="0" w:line="240" w:lineRule="auto" w:before="0"/>
              <w:jc w:val="left"/>
            </w:pPr>
            <w:r>
              <w:rPr>
                <w:rFonts w:ascii="Times New Roman" w:hAnsi="Times New Roman" w:eastAsia="Times New Roman"/>
                <w:b w:val="0"/>
                <w:i w:val="0"/>
                <w:color w:val="000000"/>
                <w:sz w:val="21"/>
              </w:rPr>
              <w:t>Repeated views, ocular grades, systemic outcomes</w:t>
            </w:r>
          </w:p>
        </w:tc>
        <w:tc>
          <w:tcPr>
            <w:tcW w:w="2045" w:type="dxa"/>
            <w:shd w:val="clear" w:color="auto" w:fill="F3EDF9"/>
            <w:tcMar>
              <w:top w:w="75" w:type="dxa"/>
              <w:left w:w="85" w:type="dxa"/>
              <w:bottom w:w="75" w:type="dxa"/>
              <w:right w:w="85" w:type="dxa"/>
            </w:tcMar>
            <w:vAlign w:val="center"/>
          </w:tcPr>
          <w:p w14:paraId="1435FFBF">
            <w:pPr>
              <w:spacing w:after="0" w:line="240" w:lineRule="auto" w:before="0"/>
              <w:jc w:val="left"/>
            </w:pPr>
            <w:r>
              <w:t>Repeatability and exploratory HTN association</w:t>
            </w:r>
          </w:p>
        </w:tc>
        <w:tc>
          <w:tcPr>
            <w:tcW w:w="1728" w:type="dxa"/>
            <w:shd w:val="clear" w:color="auto" w:fill="F3EDF9"/>
            <w:tcMar>
              <w:top w:w="75" w:type="dxa"/>
              <w:left w:w="85" w:type="dxa"/>
              <w:bottom w:w="75" w:type="dxa"/>
              <w:right w:w="85" w:type="dxa"/>
            </w:tcMar>
            <w:vAlign w:val="center"/>
          </w:tcPr>
          <w:p w14:paraId="2CB2FB50">
            <w:pPr>
              <w:spacing w:after="0" w:line="240" w:lineRule="auto" w:before="0"/>
              <w:jc w:val="left"/>
            </w:pPr>
            <w:r>
              <w:t>Mechanism analysis; internal CV</w:t>
            </w:r>
          </w:p>
        </w:tc>
      </w:tr>
    </w:tbl>
    <w:p w14:paraId="1DEA8449">
      <w:pPr>
        <w:spacing w:after="0" w:before="0"/>
        <w:jc w:val="center"/>
      </w:pPr>
    </w:p>
    <w:p w14:paraId="3D6F0DE8">
      <w:pPr>
        <w:pStyle w:val="4"/>
        <w:keepNext/>
        <w:spacing w:before="200" w:after="120" w:line="240" w:lineRule="auto"/>
        <w:jc w:val="left"/>
      </w:pPr>
      <w:r>
        <w:rPr>
          <w:rFonts w:ascii="Times New Roman" w:hAnsi="Times New Roman" w:eastAsia="Times New Roman"/>
          <w:b/>
          <w:i w:val="0"/>
          <w:color w:val="000000"/>
          <w:sz w:val="24"/>
        </w:rPr>
        <w:t>2.2 Anatomy-aware preprocessing</w:t>
      </w:r>
    </w:p>
    <w:p w14:paraId="7A731FED">
      <w:pPr>
        <w:pStyle w:val="18"/>
        <w:keepNext w:val="0"/>
        <w:spacing w:before="0" w:after="100" w:line="276" w:lineRule="auto"/>
        <w:ind w:firstLine="360"/>
        <w:jc w:val="both"/>
      </w:pPr>
      <w:r>
        <w:rPr>
          <w:rFonts w:ascii="Times New Roman" w:hAnsi="Times New Roman" w:eastAsia="Times New Roman"/>
          <w:b w:val="0"/>
          <w:i w:val="0"/>
          <w:color w:val="000000"/>
          <w:sz w:val="24"/>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pStyle w:val="18"/>
        <w:keepNext w:val="0"/>
        <w:spacing w:before="0" w:after="100" w:line="276" w:lineRule="auto"/>
        <w:ind w:firstLine="360"/>
        <w:jc w:val="both"/>
      </w:pPr>
      <w:r>
        <w:rPr>
          <w:rFonts w:ascii="Times New Roman" w:hAnsi="Times New Roman" w:eastAsia="Times New Roman"/>
          <w:b w:val="0"/>
          <w:i w:val="0"/>
          <w:color w:val="000000"/>
          <w:sz w:val="24"/>
        </w:rPr>
        <w:t>The preprocessing audit required finite outputs, one-to-one manifest matching, and patient/eye integrity. For mBRSET, all 4,884 images completed preprocessing, although 189 images required the documented disc fallback. This fallback frequency was retained as a limitation and motivated a strict-disc-quality sensitivity analysis.</w:t>
      </w:r>
    </w:p>
    <w:p w14:paraId="0D46945B">
      <w:pPr>
        <w:pStyle w:val="4"/>
        <w:keepNext/>
        <w:spacing w:before="200" w:after="120" w:line="240" w:lineRule="auto"/>
        <w:jc w:val="left"/>
      </w:pPr>
      <w:r>
        <w:rPr>
          <w:rFonts w:ascii="Times New Roman" w:hAnsi="Times New Roman" w:eastAsia="Times New Roman"/>
          <w:b/>
          <w:i w:val="0"/>
          <w:color w:val="000000"/>
          <w:sz w:val="24"/>
        </w:rPr>
        <w:t>2.3 RMDB module: dual-readout vascular measurement</w:t>
      </w:r>
    </w:p>
    <w:p>
      <w:pPr>
        <w:pStyle w:val="18"/>
        <w:spacing w:before="0" w:line="276" w:lineRule="auto"/>
        <w:jc w:val="both"/>
      </w:pPr>
      <w:r>
        <w:rPr>
          <w:rFonts w:ascii="Arial" w:hAnsi="Arial"/>
        </w:rPr>
        <w:t>Terminology conventions. RMDB–BiRAP denotes the complete framework; RMDB denotes its dual-readout measurement module and BiRAP its outcome-blind reliability and patient-aggregation module. The two RMDB outputs are the mass-preserving UDCT readout (Mass-UDCT) and the occupancy-gated factorized UDCT readout (Factorized-UDCT). Phenotypes meeting the prespecified ICC(1,1) threshold comprise the ICC-gated phenotype core. These terms are used consistently throughout.</w:t>
      </w:r>
    </w:p>
    <w:p w14:paraId="30769B62">
      <w:pPr>
        <w:pStyle w:val="18"/>
        <w:keepNext w:val="0"/>
        <w:spacing w:before="0" w:after="100" w:line="276" w:lineRule="auto"/>
        <w:ind w:firstLine="360"/>
        <w:jc w:val="both"/>
      </w:pPr>
      <w:r>
        <w:rPr>
          <w:rFonts w:ascii="Times New Roman" w:hAnsi="Times New Roman" w:eastAsia="Times New Roman"/>
          <w:b w:val="0"/>
          <w:i w:val="0"/>
          <w:color w:val="000000"/>
          <w:sz w:val="24"/>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pStyle w:val="18"/>
        <w:keepNext/>
        <w:spacing w:before="0" w:after="40" w:line="276" w:lineRule="auto"/>
        <w:jc w:val="both"/>
      </w:pPr>
      <w:r>
        <w:rPr>
          <w:rFonts w:ascii="Arial" w:hAnsi="Arial"/>
        </w:rPr>
        <w:t>Let I* denote the anatomy-standardized fundus image, u a pixel in the valid retinal domain Ω, z⁽⁰⁾ the frozen four-class VascX logits, H₄ the normalized four-class entropy map, and D(I*) the multiscale Hessian direction field. The UDCT corrector applies two shared-weight residual updates and converts the corrected logits to the Mass-UDCT probability field pᴹ:</w:t>
      </w:r>
    </w:p>
    <w:p w14:paraId="4F71CE73">
      <w:pPr>
        <w:keepLines/>
        <w:tabs>
          <w:tab w:pos="4680" w:val="center"/>
          <w:tab w:pos="9360" w:val="right"/>
        </w:tabs>
        <w:spacing w:before="60" w:after="60" w:line="240" w:lineRule="auto"/>
        <w:jc w:val="center"/>
        <w:rPr>
          <w:sz w:val="20"/>
          <w:szCs w:val="20"/>
        </w:rPr>
      </w:pPr>
      <w:r>
        <w:tab/>
      </w:r>
      <m:oMath>
        <m:box>
          <m:e>
            <m:sSup>
              <m:e>
                <m:r>
                  <m:rPr>
                    <m:sty m:val="i"/>
                  </m:rPr>
                  <m:t>𝐳</m:t>
                </m:r>
              </m:e>
              <m:sup>
                <m:box>
                  <m:e>
                    <m:r>
                      <m:rPr>
                        <m:sty m:val="p"/>
                      </m:rPr>
                      <m:t>(</m:t>
                    </m:r>
                    <m:r>
                      <m:rPr>
                        <m:sty m:val="i"/>
                      </m:rPr>
                      <m:t>t</m:t>
                    </m:r>
                    <m:r>
                      <m:rPr>
                        <m:sty m:val="p"/>
                      </m:rPr>
                      <m:t>+</m:t>
                    </m:r>
                    <m:r>
                      <m:rPr>
                        <m:sty m:val="p"/>
                      </m:rPr>
                      <m:t>1</m:t>
                    </m:r>
                    <m:r>
                      <m:rPr>
                        <m:sty m:val="p"/>
                      </m:rPr>
                      <m:t>)</m:t>
                    </m:r>
                  </m:e>
                </m:box>
              </m:sup>
            </m:sSup>
            <m:r>
              <m:rPr>
                <m:sty m:val="p"/>
              </m:rPr>
              <m:t>(</m:t>
            </m:r>
            <m:r>
              <m:rPr>
                <m:sty m:val="i"/>
              </m:rPr>
              <m:t>u</m:t>
            </m:r>
            <m:r>
              <m:rPr>
                <m:sty m:val="p"/>
              </m:rPr>
              <m:t>)</m:t>
            </m:r>
            <m:r>
              <m:rPr>
                <m:sty m:val="p"/>
              </m:rPr>
              <m:t>=</m:t>
            </m:r>
            <m:sSup>
              <m:e>
                <m:r>
                  <m:rPr>
                    <m:sty m:val="i"/>
                  </m:rPr>
                  <m:t>𝐳</m:t>
                </m:r>
              </m:e>
              <m:sup>
                <m:box>
                  <m:e>
                    <m:r>
                      <m:rPr>
                        <m:sty m:val="p"/>
                      </m:rPr>
                      <m:t>(</m:t>
                    </m:r>
                    <m:r>
                      <m:rPr>
                        <m:sty m:val="i"/>
                      </m:rPr>
                      <m:t>t</m:t>
                    </m:r>
                    <m:r>
                      <m:rPr>
                        <m:sty m:val="p"/>
                      </m:rPr>
                      <m:t>)</m:t>
                    </m:r>
                  </m:e>
                </m:box>
              </m:sup>
            </m:sSup>
            <m:r>
              <m:rPr>
                <m:sty m:val="p"/>
              </m:rPr>
              <m:t>(</m:t>
            </m:r>
            <m:r>
              <m:rPr>
                <m:sty m:val="i"/>
              </m:rPr>
              <m:t>u</m:t>
            </m:r>
            <m:r>
              <m:rPr>
                <m:sty m:val="p"/>
              </m:rPr>
              <m:t>)</m:t>
            </m:r>
            <m:r>
              <m:rPr>
                <m:sty m:val="p"/>
              </m:rPr>
              <m:t>+</m:t>
            </m:r>
            <m:sSub>
              <m:e>
                <m:r>
                  <m:rPr>
                    <m:sty m:val="i"/>
                  </m:rPr>
                  <m:t>g</m:t>
                </m:r>
              </m:e>
              <m:sub>
                <m:box>
                  <m:e>
                    <m:r>
                      <m:rPr>
                        <m:sty m:val="i"/>
                      </m:rPr>
                      <m:t>θ</m:t>
                    </m:r>
                  </m:e>
                </m:box>
              </m:sub>
            </m:sSub>
            <m:box>
              <m:e>
                <m:d>
                  <m:dPr>
                    <m:begChr m:val="("/>
                    <m:endChr m:val=")"/>
                  </m:dPr>
                  <m:e>
                    <m:box>
                      <m:e>
                        <m:sSup>
                          <m:e>
                            <m:r>
                              <m:rPr>
                                <m:sty m:val="i"/>
                              </m:rPr>
                              <m:t>I</m:t>
                            </m:r>
                          </m:e>
                          <m:sup>
                            <m:box>
                              <m:e>
                                <m:r>
                                  <m:rPr>
                                    <m:sty m:val="p"/>
                                  </m:rPr>
                                  <m:t>*</m:t>
                                </m:r>
                              </m:e>
                            </m:box>
                          </m:sup>
                        </m:sSup>
                        <m:r>
                          <m:rPr>
                            <m:sty m:val="p"/>
                          </m:rPr>
                          <m:t>,</m:t>
                        </m:r>
                        <m:sSup>
                          <m:e>
                            <m:r>
                              <m:rPr>
                                <m:sty m:val="i"/>
                              </m:rPr>
                              <m:t>𝐳</m:t>
                            </m:r>
                          </m:e>
                          <m:sup>
                            <m:box>
                              <m:e>
                                <m:r>
                                  <m:rPr>
                                    <m:sty m:val="p"/>
                                  </m:rPr>
                                  <m:t>(</m:t>
                                </m:r>
                                <m:r>
                                  <m:rPr>
                                    <m:sty m:val="p"/>
                                  </m:rPr>
                                  <m:t>0</m:t>
                                </m:r>
                                <m:r>
                                  <m:rPr>
                                    <m:sty m:val="p"/>
                                  </m:rPr>
                                  <m:t>)</m:t>
                                </m:r>
                              </m:e>
                            </m:box>
                          </m:sup>
                        </m:sSup>
                        <m:r>
                          <m:rPr>
                            <m:sty m:val="p"/>
                          </m:rPr>
                          <m:t>,</m:t>
                        </m:r>
                        <m:sSub>
                          <m:e>
                            <m:r>
                              <m:rPr>
                                <m:sty m:val="i"/>
                              </m:rPr>
                              <m:t>H</m:t>
                            </m:r>
                          </m:e>
                          <m:sub>
                            <m:box>
                              <m:e>
                                <m:r>
                                  <m:rPr>
                                    <m:sty m:val="p"/>
                                  </m:rPr>
                                  <m:t>4</m:t>
                                </m:r>
                              </m:e>
                            </m:box>
                          </m:sub>
                        </m:sSub>
                        <m:r>
                          <m:rPr>
                            <m:sty m:val="p"/>
                          </m:rPr>
                          <m:t>(</m:t>
                        </m:r>
                        <m:sSup>
                          <m:e>
                            <m:r>
                              <m:rPr>
                                <m:sty m:val="i"/>
                              </m:rPr>
                              <m:t>𝐩</m:t>
                            </m:r>
                          </m:e>
                          <m:sup>
                            <m:box>
                              <m:e>
                                <m:r>
                                  <m:rPr>
                                    <m:sty m:val="p"/>
                                  </m:rPr>
                                  <m:t>(</m:t>
                                </m:r>
                                <m:r>
                                  <m:rPr>
                                    <m:sty m:val="p"/>
                                  </m:rPr>
                                  <m:t>0</m:t>
                                </m:r>
                                <m:r>
                                  <m:rPr>
                                    <m:sty m:val="p"/>
                                  </m:rPr>
                                  <m:t>)</m:t>
                                </m:r>
                              </m:e>
                            </m:box>
                          </m:sup>
                        </m:sSup>
                        <m:r>
                          <m:rPr>
                            <m:sty m:val="p"/>
                          </m:rPr>
                          <m:t>)</m:t>
                        </m:r>
                        <m:r>
                          <m:rPr>
                            <m:sty m:val="p"/>
                          </m:rPr>
                          <m:t>,</m:t>
                        </m:r>
                        <m:r>
                          <m:rPr>
                            <m:sty m:val="i"/>
                          </m:rPr>
                          <m:t>D</m:t>
                        </m:r>
                        <m:r>
                          <m:rPr>
                            <m:sty m:val="p"/>
                          </m:rPr>
                          <m:t>(</m:t>
                        </m:r>
                        <m:sSup>
                          <m:e>
                            <m:r>
                              <m:rPr>
                                <m:sty m:val="i"/>
                              </m:rPr>
                              <m:t>I</m:t>
                            </m:r>
                          </m:e>
                          <m:sup>
                            <m:box>
                              <m:e>
                                <m:r>
                                  <m:rPr>
                                    <m:sty m:val="p"/>
                                  </m:rPr>
                                  <m:t>*</m:t>
                                </m:r>
                              </m:e>
                            </m:box>
                          </m:sup>
                        </m:sSup>
                        <m:r>
                          <m:rPr>
                            <m:sty m:val="p"/>
                          </m:rPr>
                          <m:t>)</m:t>
                        </m:r>
                        <m:r>
                          <m:rPr>
                            <m:sty m:val="p"/>
                          </m:rPr>
                          <m:t>,</m:t>
                        </m:r>
                        <m:sSup>
                          <m:e>
                            <m:r>
                              <m:rPr>
                                <m:sty m:val="i"/>
                              </m:rPr>
                              <m:t>𝐩</m:t>
                            </m:r>
                          </m:e>
                          <m:sup>
                            <m:box>
                              <m:e>
                                <m:r>
                                  <m:rPr>
                                    <m:sty m:val="p"/>
                                  </m:rPr>
                                  <m:t>(</m:t>
                                </m:r>
                                <m:r>
                                  <m:rPr>
                                    <m:sty m:val="i"/>
                                  </m:rPr>
                                  <m:t>t</m:t>
                                </m:r>
                                <m:r>
                                  <m:rPr>
                                    <m:sty m:val="p"/>
                                  </m:rPr>
                                  <m:t>)</m:t>
                                </m:r>
                              </m:e>
                            </m:box>
                          </m:sup>
                        </m:sSup>
                      </m:e>
                    </m:box>
                  </m:e>
                </m:d>
              </m:e>
            </m:box>
            <m:r>
              <m:rPr>
                <m:sty m:val="p"/>
              </m:rPr>
              <m:t>,</m:t>
            </m:r>
            <m:r>
              <m:t> </m:t>
            </m:r>
            <m:r>
              <m:rPr>
                <m:sty m:val="i"/>
              </m:rPr>
              <m:t>t</m:t>
            </m:r>
            <m:r>
              <m:rPr>
                <m:sty m:val="p"/>
              </m:rPr>
              <m:t>∈</m:t>
            </m:r>
            <m:r>
              <m:rPr>
                <m:sty m:val="p"/>
              </m:rPr>
              <m:t>{</m:t>
            </m:r>
            <m:r>
              <m:rPr>
                <m:sty m:val="p"/>
              </m:rPr>
              <m:t>0</m:t>
            </m:r>
            <m:r>
              <m:rPr>
                <m:sty m:val="p"/>
              </m:rPr>
              <m:t>,</m:t>
            </m:r>
            <m:r>
              <m:rPr>
                <m:sty m:val="p"/>
              </m:rPr>
              <m:t>1</m:t>
            </m:r>
            <m:r>
              <m:rPr>
                <m:sty m:val="p"/>
              </m:rPr>
              <m:t>}</m:t>
            </m:r>
          </m:e>
        </m:box>
      </m:oMath>
      <w:r>
        <w:rPr>
          <w:rFonts w:ascii="Times New Roman" w:hAnsi="Times New Roman"/>
          <w:sz w:val="20"/>
        </w:rPr>
        <w:tab/>
        <w:t>(1a)</w:t>
      </w:r>
    </w:p>
    <w:p>
      <w:pPr>
        <w:keepLines/>
        <w:tabs>
          <w:tab w:pos="4680" w:val="center"/>
          <w:tab w:pos="4680" w:val="center"/>
          <w:tab w:pos="9360" w:val="right"/>
          <w:tab w:pos="9360" w:val="right"/>
        </w:tabs>
        <w:spacing w:before="60" w:after="60" w:line="240" w:lineRule="auto"/>
        <w:jc w:val="center"/>
        <w:rPr>
          <w:sz w:val="20"/>
          <w:szCs w:val="20"/>
        </w:rPr>
      </w:pPr>
      <w:r>
        <w:tab/>
      </w:r>
      <m:oMath>
        <m:box>
          <m:e>
            <m:sSup>
              <m:e>
                <m:r>
                  <m:rPr>
                    <m:sty m:val="i"/>
                  </m:rPr>
                  <m:t>𝐩</m:t>
                </m:r>
              </m:e>
              <m:sup>
                <m:box>
                  <m:e>
                    <m:r>
                      <m:rPr>
                        <m:sty m:val="i"/>
                      </m:rPr>
                      <m:t>M</m:t>
                    </m:r>
                  </m:e>
                </m:box>
              </m:sup>
            </m:sSup>
            <m:r>
              <m:rPr>
                <m:sty m:val="p"/>
              </m:rPr>
              <m:t>(</m:t>
            </m:r>
            <m:r>
              <m:rPr>
                <m:sty m:val="i"/>
              </m:rPr>
              <m:t>u</m:t>
            </m:r>
            <m:r>
              <m:rPr>
                <m:sty m:val="p"/>
              </m:rPr>
              <m:t>)</m:t>
            </m:r>
            <m:r>
              <m:rPr>
                <m:sty m:val="p"/>
              </m:rPr>
              <m:t>=</m:t>
            </m:r>
            <m:r>
              <m:rPr>
                <m:sty m:val="p"/>
              </m:rPr>
              <m:t>softmax</m:t>
            </m:r>
            <m:box>
              <m:e>
                <m:d>
                  <m:dPr>
                    <m:begChr m:val="("/>
                    <m:endChr m:val=")"/>
                  </m:dPr>
                  <m:e>
                    <m:box>
                      <m:e>
                        <m:sSup>
                          <m:e>
                            <m:r>
                              <m:rPr>
                                <m:sty m:val="i"/>
                              </m:rPr>
                              <m:t>𝐳</m:t>
                            </m:r>
                          </m:e>
                          <m:sup>
                            <m:box>
                              <m:e>
                                <m:r>
                                  <m:rPr>
                                    <m:sty m:val="p"/>
                                  </m:rPr>
                                  <m:t>(</m:t>
                                </m:r>
                                <m:r>
                                  <m:rPr>
                                    <m:sty m:val="p"/>
                                  </m:rPr>
                                  <m:t>2</m:t>
                                </m:r>
                                <m:r>
                                  <m:rPr>
                                    <m:sty m:val="p"/>
                                  </m:rPr>
                                  <m:t>)</m:t>
                                </m:r>
                              </m:e>
                            </m:box>
                          </m:sup>
                        </m:sSup>
                        <m:r>
                          <m:rPr>
                            <m:sty m:val="p"/>
                          </m:rPr>
                          <m:t>(</m:t>
                        </m:r>
                        <m:r>
                          <m:rPr>
                            <m:sty m:val="i"/>
                          </m:rPr>
                          <m:t>u</m:t>
                        </m:r>
                        <m:r>
                          <m:rPr>
                            <m:sty m:val="p"/>
                          </m:rPr>
                          <m:t>)</m:t>
                        </m:r>
                      </m:e>
                    </m:box>
                  </m:e>
                </m:d>
              </m:e>
            </m:box>
          </m:e>
        </m:box>
      </m:oMath>
      <w:r>
        <w:rPr>
          <w:rFonts w:ascii="Times New Roman" w:hAnsi="Times New Roman"/>
          <w:sz w:val="20"/>
        </w:rPr>
        <w:tab/>
        <w:t>(1b)</w:t>
      </w:r>
    </w:p>
    <w:p w14:paraId="5B0D501B">
      <w:pPr>
        <w:pStyle w:val="18"/>
        <w:keepNext/>
        <w:spacing w:before="0" w:after="40" w:line="276" w:lineRule="auto"/>
        <w:jc w:val="both"/>
      </w:pPr>
      <w:r>
        <w:rPr>
          <w:rFonts w:ascii="Arial" w:hAnsi="Arial"/>
        </w:rPr>
        <w:t>The refinement objective combined a base loss for pixel classification, overlap, directional continuity, vessel support, and residual restraint with explicit artery–vein and vessel-mass preservation terms:</w:t>
      </w:r>
    </w:p>
    <w:p w14:paraId="683996CA">
      <w:pPr>
        <w:keepLines/>
        <w:tabs>
          <w:tab w:pos="4680" w:val="center"/>
          <w:tab w:pos="9360" w:val="right"/>
        </w:tabs>
        <w:spacing w:before="60" w:after="60" w:line="240" w:lineRule="auto"/>
        <w:jc w:val="center"/>
        <w:rPr>
          <w:sz w:val="20"/>
          <w:szCs w:val="20"/>
        </w:rPr>
      </w:pPr>
      <w:r>
        <w:tab/>
      </w:r>
      <m:oMath>
        <m:box>
          <m:e>
            <m:sSub>
              <m:e>
                <m:r>
                  <m:rPr>
                    <m:sty m:val="i"/>
                  </m:rPr>
                  <m:t>ℒ</m:t>
                </m:r>
              </m:e>
              <m:sub>
                <m:box>
                  <m:e>
                    <m:box>
                      <m:e>
                        <m:r>
                          <m:rPr>
                            <m:sty m:val="p"/>
                          </m:rPr>
                          <m:t>U</m:t>
                        </m:r>
                        <m:r>
                          <m:rPr>
                            <m:sty m:val="p"/>
                          </m:rPr>
                          <m:t>D</m:t>
                        </m:r>
                        <m:r>
                          <m:rPr>
                            <m:sty m:val="p"/>
                          </m:rPr>
                          <m:t>C</m:t>
                        </m:r>
                        <m:r>
                          <m:rPr>
                            <m:sty m:val="p"/>
                          </m:rPr>
                          <m:t>T</m:t>
                        </m:r>
                      </m:e>
                    </m:box>
                  </m:e>
                </m:box>
              </m:sub>
            </m:sSub>
            <m:r>
              <m:rPr>
                <m:sty m:val="p"/>
              </m:rPr>
              <m:t>=</m:t>
            </m:r>
            <m:sSub>
              <m:e>
                <m:r>
                  <m:rPr>
                    <m:sty m:val="i"/>
                  </m:rPr>
                  <m:t>ℒ</m:t>
                </m:r>
              </m:e>
              <m:sub>
                <m:box>
                  <m:e>
                    <m:box>
                      <m:e>
                        <m:r>
                          <m:rPr>
                            <m:sty m:val="p"/>
                          </m:rPr>
                          <m:t>b</m:t>
                        </m:r>
                        <m:r>
                          <m:rPr>
                            <m:sty m:val="p"/>
                          </m:rPr>
                          <m:t>a</m:t>
                        </m:r>
                        <m:r>
                          <m:rPr>
                            <m:sty m:val="p"/>
                          </m:rPr>
                          <m:t>s</m:t>
                        </m:r>
                        <m:r>
                          <m:rPr>
                            <m:sty m:val="p"/>
                          </m:rPr>
                          <m:t>e</m:t>
                        </m:r>
                      </m:e>
                    </m:box>
                  </m:e>
                </m:box>
              </m:sub>
            </m:sSub>
            <m:r>
              <m:rPr>
                <m:sty m:val="p"/>
              </m:rPr>
              <m:t>+</m:t>
            </m:r>
            <m:sSub>
              <m:e>
                <m:r>
                  <m:rPr>
                    <m:sty m:val="i"/>
                  </m:rPr>
                  <m:t>λ</m:t>
                </m:r>
              </m:e>
              <m:sub>
                <m:box>
                  <m:e>
                    <m:box>
                      <m:e>
                        <m:r>
                          <m:rPr>
                            <m:sty m:val="p"/>
                          </m:rPr>
                          <m:t>A</m:t>
                        </m:r>
                        <m:r>
                          <m:rPr>
                            <m:sty m:val="p"/>
                          </m:rPr>
                          <m:t>V</m:t>
                        </m:r>
                      </m:e>
                    </m:box>
                  </m:e>
                </m:box>
              </m:sub>
            </m:sSub>
            <m:sSub>
              <m:e>
                <m:r>
                  <m:rPr>
                    <m:sty m:val="i"/>
                  </m:rPr>
                  <m:t>ℒ</m:t>
                </m:r>
              </m:e>
              <m:sub>
                <m:box>
                  <m:e>
                    <m:box>
                      <m:e>
                        <m:r>
                          <m:rPr>
                            <m:sty m:val="p"/>
                          </m:rPr>
                          <m:t>A</m:t>
                        </m:r>
                        <m:r>
                          <m:rPr>
                            <m:sty m:val="p"/>
                          </m:rPr>
                          <m:t>V</m:t>
                        </m:r>
                      </m:e>
                    </m:box>
                  </m:e>
                </m:box>
              </m:sub>
            </m:sSub>
            <m:r>
              <m:rPr>
                <m:sty m:val="p"/>
              </m:rPr>
              <m:t>+</m:t>
            </m:r>
            <m:sSub>
              <m:e>
                <m:r>
                  <m:rPr>
                    <m:sty m:val="i"/>
                  </m:rPr>
                  <m:t>λ</m:t>
                </m:r>
              </m:e>
              <m:sub>
                <m:box>
                  <m:e>
                    <m:box>
                      <m:e>
                        <m:r>
                          <m:rPr>
                            <m:sty m:val="p"/>
                          </m:rPr>
                          <m:t>m</m:t>
                        </m:r>
                        <m:r>
                          <m:rPr>
                            <m:sty m:val="p"/>
                          </m:rPr>
                          <m:t>a</m:t>
                        </m:r>
                        <m:r>
                          <m:rPr>
                            <m:sty m:val="p"/>
                          </m:rPr>
                          <m:t>s</m:t>
                        </m:r>
                        <m:r>
                          <m:rPr>
                            <m:sty m:val="p"/>
                          </m:rPr>
                          <m:t>s</m:t>
                        </m:r>
                      </m:e>
                    </m:box>
                  </m:e>
                </m:box>
              </m:sub>
            </m:sSub>
            <m:sSub>
              <m:e>
                <m:r>
                  <m:rPr>
                    <m:sty m:val="i"/>
                  </m:rPr>
                  <m:t>ℒ</m:t>
                </m:r>
              </m:e>
              <m:sub>
                <m:box>
                  <m:e>
                    <m:box>
                      <m:e>
                        <m:r>
                          <m:rPr>
                            <m:sty m:val="p"/>
                          </m:rPr>
                          <m:t>m</m:t>
                        </m:r>
                        <m:r>
                          <m:rPr>
                            <m:sty m:val="p"/>
                          </m:rPr>
                          <m:t>a</m:t>
                        </m:r>
                        <m:r>
                          <m:rPr>
                            <m:sty m:val="p"/>
                          </m:rPr>
                          <m:t>s</m:t>
                        </m:r>
                        <m:r>
                          <m:rPr>
                            <m:sty m:val="p"/>
                          </m:rPr>
                          <m:t>s</m:t>
                        </m:r>
                      </m:e>
                    </m:box>
                  </m:e>
                </m:box>
              </m:sub>
            </m:sSub>
          </m:e>
        </m:box>
      </m:oMath>
      <w:r>
        <w:rPr>
          <w:rFonts w:ascii="Times New Roman" w:hAnsi="Times New Roman"/>
          <w:sz w:val="20"/>
        </w:rPr>
        <w:tab/>
        <w:t>(2a)</w:t>
      </w:r>
    </w:p>
    <w:p>
      <w:pPr>
        <w:keepLines/>
        <w:tabs>
          <w:tab w:pos="4680" w:val="center"/>
          <w:tab w:pos="4680" w:val="center"/>
          <w:tab w:pos="9360" w:val="right"/>
          <w:tab w:pos="9360" w:val="right"/>
        </w:tabs>
        <w:spacing w:before="60" w:after="60" w:line="240" w:lineRule="auto"/>
        <w:jc w:val="center"/>
        <w:rPr>
          <w:sz w:val="20"/>
          <w:szCs w:val="20"/>
        </w:rPr>
      </w:pPr>
      <w:r>
        <w:tab/>
      </w:r>
      <m:oMath>
        <m:box>
          <m:e>
            <m:sSub>
              <m:e>
                <m:r>
                  <m:rPr>
                    <m:sty m:val="i"/>
                  </m:rPr>
                  <m:t>ℒ</m:t>
                </m:r>
              </m:e>
              <m:sub>
                <m:box>
                  <m:e>
                    <m:box>
                      <m:e>
                        <m:r>
                          <m:rPr>
                            <m:sty m:val="p"/>
                          </m:rPr>
                          <m:t>b</m:t>
                        </m:r>
                        <m:r>
                          <m:rPr>
                            <m:sty m:val="p"/>
                          </m:rPr>
                          <m:t>a</m:t>
                        </m:r>
                        <m:r>
                          <m:rPr>
                            <m:sty m:val="p"/>
                          </m:rPr>
                          <m:t>s</m:t>
                        </m:r>
                        <m:r>
                          <m:rPr>
                            <m:sty m:val="p"/>
                          </m:rPr>
                          <m:t>e</m:t>
                        </m:r>
                      </m:e>
                    </m:box>
                  </m:e>
                </m:box>
              </m:sub>
            </m:sSub>
            <m:r>
              <m:rPr>
                <m:sty m:val="p"/>
              </m:rPr>
              <m:t>=</m:t>
            </m:r>
            <m:sSub>
              <m:e>
                <m:r>
                  <m:rPr>
                    <m:sty m:val="i"/>
                  </m:rPr>
                  <m:t>ℒ</m:t>
                </m:r>
              </m:e>
              <m:sub>
                <m:box>
                  <m:e>
                    <m:box>
                      <m:e>
                        <m:r>
                          <m:rPr>
                            <m:sty m:val="p"/>
                          </m:rPr>
                          <m:t>C</m:t>
                        </m:r>
                        <m:r>
                          <m:rPr>
                            <m:sty m:val="p"/>
                          </m:rPr>
                          <m:t>E</m:t>
                        </m:r>
                      </m:e>
                    </m:box>
                  </m:e>
                </m:box>
              </m:sub>
            </m:sSub>
            <m:r>
              <m:rPr>
                <m:sty m:val="p"/>
              </m:rPr>
              <m:t>+</m:t>
            </m:r>
            <m:r>
              <m:rPr>
                <m:sty m:val="p"/>
              </m:rPr>
              <m:t>0.5</m:t>
            </m:r>
            <m:sSub>
              <m:e>
                <m:r>
                  <m:rPr>
                    <m:sty m:val="i"/>
                  </m:rPr>
                  <m:t>ℒ</m:t>
                </m:r>
              </m:e>
              <m:sub>
                <m:box>
                  <m:e>
                    <m:box>
                      <m:e>
                        <m:r>
                          <m:rPr>
                            <m:sty m:val="p"/>
                          </m:rPr>
                          <m:t>D</m:t>
                        </m:r>
                        <m:r>
                          <m:rPr>
                            <m:sty m:val="p"/>
                          </m:rPr>
                          <m:t>i</m:t>
                        </m:r>
                        <m:r>
                          <m:rPr>
                            <m:sty m:val="p"/>
                          </m:rPr>
                          <m:t>c</m:t>
                        </m:r>
                        <m:r>
                          <m:rPr>
                            <m:sty m:val="p"/>
                          </m:rPr>
                          <m:t>e</m:t>
                        </m:r>
                      </m:e>
                    </m:box>
                  </m:e>
                </m:box>
              </m:sub>
            </m:sSub>
            <m:r>
              <m:rPr>
                <m:sty m:val="p"/>
              </m:rPr>
              <m:t>+</m:t>
            </m:r>
            <m:r>
              <m:rPr>
                <m:sty m:val="p"/>
              </m:rPr>
              <m:t>0.10</m:t>
            </m:r>
            <m:sSub>
              <m:e>
                <m:r>
                  <m:rPr>
                    <m:sty m:val="i"/>
                  </m:rPr>
                  <m:t>ℒ</m:t>
                </m:r>
              </m:e>
              <m:sub>
                <m:box>
                  <m:e>
                    <m:box>
                      <m:e>
                        <m:r>
                          <m:rPr>
                            <m:sty m:val="p"/>
                          </m:rPr>
                          <m:t>d</m:t>
                        </m:r>
                        <m:r>
                          <m:rPr>
                            <m:sty m:val="p"/>
                          </m:rPr>
                          <m:t>i</m:t>
                        </m:r>
                        <m:r>
                          <m:rPr>
                            <m:sty m:val="p"/>
                          </m:rPr>
                          <m:t>r</m:t>
                        </m:r>
                      </m:e>
                    </m:box>
                  </m:e>
                </m:box>
              </m:sub>
            </m:sSub>
            <m:r>
              <m:rPr>
                <m:sty m:val="p"/>
              </m:rPr>
              <m:t>+</m:t>
            </m:r>
            <m:r>
              <m:rPr>
                <m:sty m:val="p"/>
              </m:rPr>
              <m:t>0.10</m:t>
            </m:r>
            <m:sSub>
              <m:e>
                <m:r>
                  <m:rPr>
                    <m:sty m:val="i"/>
                  </m:rPr>
                  <m:t>ℒ</m:t>
                </m:r>
              </m:e>
              <m:sub>
                <m:box>
                  <m:e>
                    <m:box>
                      <m:e>
                        <m:r>
                          <m:rPr>
                            <m:sty m:val="p"/>
                          </m:rPr>
                          <m:t>v</m:t>
                        </m:r>
                        <m:r>
                          <m:rPr>
                            <m:sty m:val="p"/>
                          </m:rPr>
                          <m:t>e</m:t>
                        </m:r>
                        <m:r>
                          <m:rPr>
                            <m:sty m:val="p"/>
                          </m:rPr>
                          <m:t>s</m:t>
                        </m:r>
                      </m:e>
                    </m:box>
                  </m:e>
                </m:box>
              </m:sub>
            </m:sSub>
            <m:r>
              <m:rPr>
                <m:sty m:val="p"/>
              </m:rPr>
              <m:t>+</m:t>
            </m:r>
            <m:r>
              <m:rPr>
                <m:sty m:val="p"/>
              </m:rPr>
              <m:t>0.01</m:t>
            </m:r>
            <m:sSub>
              <m:e>
                <m:r>
                  <m:rPr>
                    <m:sty m:val="i"/>
                  </m:rPr>
                  <m:t>ℒ</m:t>
                </m:r>
              </m:e>
              <m:sub>
                <m:box>
                  <m:e>
                    <m:box>
                      <m:e>
                        <m:r>
                          <m:rPr>
                            <m:sty m:val="p"/>
                          </m:rPr>
                          <m:t>r</m:t>
                        </m:r>
                        <m:r>
                          <m:rPr>
                            <m:sty m:val="p"/>
                          </m:rPr>
                          <m:t>e</m:t>
                        </m:r>
                        <m:r>
                          <m:rPr>
                            <m:sty m:val="p"/>
                          </m:rPr>
                          <m:t>s</m:t>
                        </m:r>
                      </m:e>
                    </m:box>
                  </m:e>
                </m:box>
              </m:sub>
            </m:sSub>
          </m:e>
        </m:box>
      </m:oMath>
      <w:r>
        <w:rPr>
          <w:rFonts w:ascii="Times New Roman" w:hAnsi="Times New Roman"/>
          <w:sz w:val="20"/>
        </w:rPr>
        <w:tab/>
        <w:t>(2b)</w:t>
      </w:r>
    </w:p>
    <w:p w14:paraId="3DCAB820">
      <w:pPr>
        <w:pStyle w:val="18"/>
        <w:keepNext w:val="0"/>
        <w:spacing w:before="0" w:after="100" w:line="276" w:lineRule="auto"/>
        <w:ind w:firstLine="360"/>
        <w:jc w:val="both"/>
      </w:pPr>
      <w:r>
        <w:rPr>
          <w:rFonts w:ascii="Arial" w:hAnsi="Arial"/>
        </w:rPr>
        <w:t>RMDB produced two complementary readouts. Mass-UDCT retained calibrated joint four-class probability mass, preserving weak but potentially real vascular evidence. Factorized-UDCT multiplied a vessel-occupancy estimate by conditional identity probabilities, producing an occupancy-gated geometry representation. The factorization therefore makes missing vessel support distinguishable from artery–vein identity error instead of hiding both inside one class prediction.</w:t>
      </w:r>
    </w:p>
    <w:p w14:paraId="68DE8F7F">
      <w:pPr>
        <w:pStyle w:val="18"/>
        <w:keepNext/>
        <w:spacing w:before="0" w:after="40" w:line="276" w:lineRule="auto"/>
        <w:jc w:val="both"/>
      </w:pPr>
      <w:r>
        <w:rPr>
          <w:rFonts w:ascii="Arial" w:hAnsi="Arial"/>
        </w:rPr>
        <w:t>Factorized-UDCT combined fixed FIVES occupancy oF with identity-derived vessel support. A scalar confidence gate c(I*), derived from the mean base identity entropy, interpolated between the two support estimates; τ = 0.525 was fixed before the locked Fundus-AVSeg evaluation:</w:t>
      </w:r>
    </w:p>
    <w:p w14:paraId="01D27B5B">
      <w:pPr>
        <w:keepLines/>
        <w:tabs>
          <w:tab w:pos="4680" w:val="center"/>
          <w:tab w:pos="9360" w:val="right"/>
        </w:tabs>
        <w:spacing w:before="60" w:after="60" w:line="240" w:lineRule="auto"/>
        <w:jc w:val="center"/>
        <w:rPr>
          <w:sz w:val="20"/>
          <w:szCs w:val="20"/>
        </w:rPr>
      </w:pPr>
      <w:r>
        <w:tab/>
      </w:r>
      <m:oMath>
        <m:box>
          <m:e>
            <m:r>
              <m:rPr>
                <m:sty m:val="i"/>
              </m:rPr>
              <m:t>c</m:t>
            </m:r>
            <m:r>
              <m:rPr>
                <m:sty m:val="p"/>
              </m:rPr>
              <m:t>(</m:t>
            </m:r>
            <m:sSup>
              <m:e>
                <m:r>
                  <m:rPr>
                    <m:sty m:val="i"/>
                  </m:rPr>
                  <m:t>I</m:t>
                </m:r>
              </m:e>
              <m:sup>
                <m:box>
                  <m:e>
                    <m:r>
                      <m:rPr>
                        <m:sty m:val="p"/>
                      </m:rPr>
                      <m:t>*</m:t>
                    </m:r>
                  </m:e>
                </m:box>
              </m:sup>
            </m:sSup>
            <m:r>
              <m:rPr>
                <m:sty m:val="p"/>
              </m:rPr>
              <m:t>)</m:t>
            </m:r>
            <m:r>
              <m:rPr>
                <m:sty m:val="p"/>
              </m:rPr>
              <m:t>=</m:t>
            </m:r>
            <m:r>
              <m:rPr>
                <m:sty m:val="p"/>
              </m:rPr>
              <m:t>sigmoid</m:t>
            </m:r>
            <m:box>
              <m:e>
                <m:d>
                  <m:dPr>
                    <m:begChr m:val="("/>
                    <m:endChr m:val=")"/>
                  </m:dPr>
                  <m:e>
                    <m:box>
                      <m:e>
                        <m:f>
                          <m:num>
                            <m:box>
                              <m:e>
                                <m:r>
                                  <m:rPr>
                                    <m:sty m:val="p"/>
                                  </m:rPr>
                                  <m:t>1</m:t>
                                </m:r>
                                <m:r>
                                  <m:rPr>
                                    <m:sty m:val="p"/>
                                  </m:rPr>
                                  <m:t>−</m:t>
                                </m:r>
                                <m:sSub>
                                  <m:e>
                                    <m:limUpp>
                                      <m:e>
                                        <m:box>
                                          <m:e>
                                            <m:r>
                                              <m:rPr>
                                                <m:sty m:val="i"/>
                                              </m:rPr>
                                              <m:t>H</m:t>
                                            </m:r>
                                          </m:e>
                                        </m:box>
                                      </m:e>
                                      <m:lim>
                                        <m:r>
                                          <m:rPr>
                                            <m:sty m:val="p"/>
                                          </m:rPr>
                                          <m:t>―</m:t>
                                        </m:r>
                                      </m:lim>
                                    </m:limUpp>
                                  </m:e>
                                  <m:sub>
                                    <m:box>
                                      <m:e>
                                        <m:r>
                                          <m:rPr>
                                            <m:sty m:val="p"/>
                                          </m:rPr>
                                          <m:t>4</m:t>
                                        </m:r>
                                      </m:e>
                                    </m:box>
                                  </m:sub>
                                </m:sSub>
                                <m:r>
                                  <m:rPr>
                                    <m:sty m:val="p"/>
                                  </m:rPr>
                                  <m:t>(</m:t>
                                </m:r>
                                <m:sSup>
                                  <m:e>
                                    <m:r>
                                      <m:rPr>
                                        <m:sty m:val="i"/>
                                      </m:rPr>
                                      <m:t>𝐩</m:t>
                                    </m:r>
                                  </m:e>
                                  <m:sup>
                                    <m:box>
                                      <m:e>
                                        <m:r>
                                          <m:rPr>
                                            <m:sty m:val="p"/>
                                          </m:rPr>
                                          <m:t>(</m:t>
                                        </m:r>
                                        <m:r>
                                          <m:rPr>
                                            <m:sty m:val="p"/>
                                          </m:rPr>
                                          <m:t>0</m:t>
                                        </m:r>
                                        <m:r>
                                          <m:rPr>
                                            <m:sty m:val="p"/>
                                          </m:rPr>
                                          <m:t>)</m:t>
                                        </m:r>
                                      </m:e>
                                    </m:box>
                                  </m:sup>
                                </m:sSup>
                                <m:r>
                                  <m:rPr>
                                    <m:sty m:val="p"/>
                                  </m:rPr>
                                  <m:t>)</m:t>
                                </m:r>
                                <m:r>
                                  <m:rPr>
                                    <m:sty m:val="p"/>
                                  </m:rPr>
                                  <m:t>−</m:t>
                                </m:r>
                                <m:r>
                                  <m:rPr>
                                    <m:sty m:val="p"/>
                                  </m:rPr>
                                  <m:t>0.35</m:t>
                                </m:r>
                              </m:e>
                            </m:box>
                          </m:num>
                          <m:den>
                            <m:box>
                              <m:e>
                                <m:r>
                                  <m:rPr>
                                    <m:sty m:val="p"/>
                                  </m:rPr>
                                  <m:t>0.20</m:t>
                                </m:r>
                              </m:e>
                            </m:box>
                          </m:den>
                        </m:f>
                      </m:e>
                    </m:box>
                  </m:e>
                </m:d>
              </m:e>
            </m:box>
          </m:e>
        </m:box>
      </m:oMath>
      <w:r>
        <w:rPr>
          <w:rFonts w:ascii="Times New Roman" w:hAnsi="Times New Roman"/>
          <w:sz w:val="20"/>
        </w:rPr>
        <w:tab/>
        <w:t>(3a)</w:t>
      </w:r>
    </w:p>
    <w:p>
      <w:pPr>
        <w:keepLines/>
        <w:tabs>
          <w:tab w:pos="4680" w:val="center"/>
          <w:tab w:pos="4680" w:val="center"/>
          <w:tab w:pos="9360" w:val="right"/>
          <w:tab w:pos="9360" w:val="right"/>
        </w:tabs>
        <w:spacing w:before="60" w:after="60" w:line="240" w:lineRule="auto"/>
        <w:jc w:val="center"/>
        <w:rPr>
          <w:sz w:val="20"/>
          <w:szCs w:val="20"/>
        </w:rPr>
      </w:pPr>
      <w:r>
        <w:tab/>
      </w:r>
      <m:oMath>
        <m:box>
          <m:e>
            <m:acc>
              <m:accPr>
                <m:chr m:val="̃"/>
              </m:accPr>
              <m:e>
                <m:box>
                  <m:e>
                    <m:r>
                      <m:rPr>
                        <m:sty m:val="i"/>
                      </m:rPr>
                      <m:t>o</m:t>
                    </m:r>
                  </m:e>
                </m:box>
              </m:e>
            </m:acc>
            <m:r>
              <m:rPr>
                <m:sty m:val="p"/>
              </m:rPr>
              <m:t>(</m:t>
            </m:r>
            <m:r>
              <m:rPr>
                <m:sty m:val="i"/>
              </m:rPr>
              <m:t>u</m:t>
            </m:r>
            <m:r>
              <m:rPr>
                <m:sty m:val="p"/>
              </m:rPr>
              <m:t>)</m:t>
            </m:r>
            <m:r>
              <m:rPr>
                <m:sty m:val="p"/>
              </m:rPr>
              <m:t>=</m:t>
            </m:r>
            <m:r>
              <m:rPr>
                <m:sty m:val="i"/>
              </m:rPr>
              <m:t>c</m:t>
            </m:r>
            <m:r>
              <m:rPr>
                <m:sty m:val="p"/>
              </m:rPr>
              <m:t>(</m:t>
            </m:r>
            <m:sSup>
              <m:e>
                <m:r>
                  <m:rPr>
                    <m:sty m:val="i"/>
                  </m:rPr>
                  <m:t>I</m:t>
                </m:r>
              </m:e>
              <m:sup>
                <m:box>
                  <m:e>
                    <m:r>
                      <m:rPr>
                        <m:sty m:val="p"/>
                      </m:rPr>
                      <m:t>*</m:t>
                    </m:r>
                  </m:e>
                </m:box>
              </m:sup>
            </m:sSup>
            <m:r>
              <m:rPr>
                <m:sty m:val="p"/>
              </m:rPr>
              <m:t>)</m:t>
            </m:r>
            <m:box>
              <m:e>
                <m:d>
                  <m:dPr>
                    <m:begChr m:val="["/>
                    <m:endChr m:val="]"/>
                  </m:dPr>
                  <m:e>
                    <m:box>
                      <m:e>
                        <m:r>
                          <m:rPr>
                            <m:sty m:val="p"/>
                          </m:rPr>
                          <m:t>1</m:t>
                        </m:r>
                        <m:r>
                          <m:rPr>
                            <m:sty m:val="p"/>
                          </m:rPr>
                          <m:t>−</m:t>
                        </m:r>
                        <m:sSubSup>
                          <m:e>
                            <m:r>
                              <m:rPr>
                                <m:sty m:val="i"/>
                              </m:rPr>
                              <m:t>p</m:t>
                            </m:r>
                          </m:e>
                          <m:sub>
                            <m:box>
                              <m:e>
                                <m:r>
                                  <m:rPr>
                                    <m:sty m:val="p"/>
                                  </m:rPr>
                                  <m:t>0</m:t>
                                </m:r>
                              </m:e>
                            </m:box>
                          </m:sub>
                          <m:sup>
                            <m:box>
                              <m:e>
                                <m:r>
                                  <m:rPr>
                                    <m:sty m:val="p"/>
                                  </m:rPr>
                                  <m:t>(</m:t>
                                </m:r>
                                <m:r>
                                  <m:rPr>
                                    <m:sty m:val="p"/>
                                  </m:rPr>
                                  <m:t>0</m:t>
                                </m:r>
                                <m:r>
                                  <m:rPr>
                                    <m:sty m:val="p"/>
                                  </m:rPr>
                                  <m:t>)</m:t>
                                </m:r>
                              </m:e>
                            </m:box>
                          </m:sup>
                        </m:sSubSup>
                        <m:r>
                          <m:rPr>
                            <m:sty m:val="p"/>
                          </m:rPr>
                          <m:t>(</m:t>
                        </m:r>
                        <m:r>
                          <m:rPr>
                            <m:sty m:val="i"/>
                          </m:rPr>
                          <m:t>u</m:t>
                        </m:r>
                        <m:r>
                          <m:rPr>
                            <m:sty m:val="p"/>
                          </m:rPr>
                          <m:t>)</m:t>
                        </m:r>
                      </m:e>
                    </m:box>
                  </m:e>
                </m:d>
              </m:e>
            </m:box>
            <m:r>
              <m:rPr>
                <m:sty m:val="p"/>
              </m:rPr>
              <m:t>+</m:t>
            </m:r>
            <m:box>
              <m:e>
                <m:d>
                  <m:dPr>
                    <m:begChr m:val="["/>
                    <m:endChr m:val="]"/>
                  </m:dPr>
                  <m:e>
                    <m:box>
                      <m:e>
                        <m:r>
                          <m:rPr>
                            <m:sty m:val="p"/>
                          </m:rPr>
                          <m:t>1</m:t>
                        </m:r>
                        <m:r>
                          <m:rPr>
                            <m:sty m:val="p"/>
                          </m:rPr>
                          <m:t>−</m:t>
                        </m:r>
                        <m:r>
                          <m:rPr>
                            <m:sty m:val="i"/>
                          </m:rPr>
                          <m:t>c</m:t>
                        </m:r>
                        <m:r>
                          <m:rPr>
                            <m:sty m:val="p"/>
                          </m:rPr>
                          <m:t>(</m:t>
                        </m:r>
                        <m:sSup>
                          <m:e>
                            <m:r>
                              <m:rPr>
                                <m:sty m:val="i"/>
                              </m:rPr>
                              <m:t>I</m:t>
                            </m:r>
                          </m:e>
                          <m:sup>
                            <m:box>
                              <m:e>
                                <m:r>
                                  <m:rPr>
                                    <m:sty m:val="p"/>
                                  </m:rPr>
                                  <m:t>*</m:t>
                                </m:r>
                              </m:e>
                            </m:box>
                          </m:sup>
                        </m:sSup>
                        <m:r>
                          <m:rPr>
                            <m:sty m:val="p"/>
                          </m:rPr>
                          <m:t>)</m:t>
                        </m:r>
                      </m:e>
                    </m:box>
                  </m:e>
                </m:d>
              </m:e>
            </m:box>
            <m:sSub>
              <m:e>
                <m:r>
                  <m:rPr>
                    <m:sty m:val="i"/>
                  </m:rPr>
                  <m:t>o</m:t>
                </m:r>
              </m:e>
              <m:sub>
                <m:box>
                  <m:e>
                    <m:r>
                      <m:rPr>
                        <m:sty m:val="i"/>
                      </m:rPr>
                      <m:t>F</m:t>
                    </m:r>
                  </m:e>
                </m:box>
              </m:sub>
            </m:sSub>
            <m:r>
              <m:rPr>
                <m:sty m:val="p"/>
              </m:rPr>
              <m:t>(</m:t>
            </m:r>
            <m:r>
              <m:rPr>
                <m:sty m:val="i"/>
              </m:rPr>
              <m:t>u</m:t>
            </m:r>
            <m:r>
              <m:rPr>
                <m:sty m:val="p"/>
              </m:rPr>
              <m:t>)</m:t>
            </m:r>
          </m:e>
        </m:box>
      </m:oMath>
      <w:r>
        <w:rPr>
          <w:rFonts w:ascii="Times New Roman" w:hAnsi="Times New Roman"/>
          <w:sz w:val="20"/>
        </w:rPr>
        <w:tab/>
        <w:t>(3b)</w:t>
      </w:r>
    </w:p>
    <w:p>
      <w:pPr>
        <w:keepLines/>
        <w:tabs>
          <w:tab w:pos="4680" w:val="center"/>
          <w:tab w:pos="4680" w:val="center"/>
          <w:tab w:pos="4680" w:val="center"/>
          <w:tab w:pos="9360" w:val="right"/>
          <w:tab w:pos="9360" w:val="right"/>
          <w:tab w:pos="9360" w:val="right"/>
        </w:tabs>
        <w:spacing w:before="60" w:after="60" w:line="240" w:lineRule="auto"/>
        <w:jc w:val="center"/>
        <w:rPr>
          <w:sz w:val="20"/>
          <w:szCs w:val="20"/>
        </w:rPr>
      </w:pPr>
      <w:r>
        <w:tab/>
      </w:r>
      <m:oMath>
        <m:box>
          <m:e>
            <m:sSubSup>
              <m:e>
                <m:r>
                  <m:rPr>
                    <m:sty m:val="i"/>
                  </m:rPr>
                  <m:t>p</m:t>
                </m:r>
              </m:e>
              <m:sub>
                <m:box>
                  <m:e>
                    <m:r>
                      <m:rPr>
                        <m:sty m:val="i"/>
                      </m:rPr>
                      <m:t>k</m:t>
                    </m:r>
                  </m:e>
                </m:box>
              </m:sub>
              <m:sup>
                <m:box>
                  <m:e>
                    <m:r>
                      <m:rPr>
                        <m:sty m:val="i"/>
                      </m:rPr>
                      <m:t>F</m:t>
                    </m:r>
                  </m:e>
                </m:box>
              </m:sup>
            </m:sSubSup>
            <m:r>
              <m:rPr>
                <m:sty m:val="p"/>
              </m:rPr>
              <m:t>(</m:t>
            </m:r>
            <m:r>
              <m:rPr>
                <m:sty m:val="i"/>
              </m:rPr>
              <m:t>u</m:t>
            </m:r>
            <m:r>
              <m:rPr>
                <m:sty m:val="p"/>
              </m:rPr>
              <m:t>)</m:t>
            </m:r>
            <m:r>
              <m:rPr>
                <m:sty m:val="p"/>
              </m:rPr>
              <m:t>=</m:t>
            </m:r>
            <m:sSub>
              <m:e>
                <m:box>
                  <m:e>
                    <m:r>
                      <m:rPr>
                        <m:sty m:val="b"/>
                      </m:rPr>
                      <m:t>1</m:t>
                    </m:r>
                  </m:e>
                </m:box>
              </m:e>
              <m:sub>
                <m:box>
                  <m:e>
                    <m:acc>
                      <m:accPr>
                        <m:chr m:val="̃"/>
                      </m:accPr>
                      <m:e>
                        <m:box>
                          <m:e>
                            <m:r>
                              <m:rPr>
                                <m:sty m:val="i"/>
                              </m:rPr>
                              <m:t>o</m:t>
                            </m:r>
                          </m:e>
                        </m:box>
                      </m:e>
                    </m:acc>
                    <m:r>
                      <m:rPr>
                        <m:sty m:val="p"/>
                      </m:rPr>
                      <m:t>(</m:t>
                    </m:r>
                    <m:r>
                      <m:rPr>
                        <m:sty m:val="i"/>
                      </m:rPr>
                      <m:t>u</m:t>
                    </m:r>
                    <m:r>
                      <m:rPr>
                        <m:sty m:val="p"/>
                      </m:rPr>
                      <m:t>)</m:t>
                    </m:r>
                    <m:r>
                      <m:rPr>
                        <m:sty m:val="p"/>
                      </m:rPr>
                      <m:t>≥</m:t>
                    </m:r>
                    <m:r>
                      <m:rPr>
                        <m:sty m:val="i"/>
                      </m:rPr>
                      <m:t>τ</m:t>
                    </m:r>
                  </m:e>
                </m:box>
              </m:sub>
            </m:sSub>
            <m:r>
              <m:t> </m:t>
            </m:r>
            <m:acc>
              <m:accPr>
                <m:chr m:val="̃"/>
              </m:accPr>
              <m:e>
                <m:box>
                  <m:e>
                    <m:r>
                      <m:rPr>
                        <m:sty m:val="i"/>
                      </m:rPr>
                      <m:t>o</m:t>
                    </m:r>
                  </m:e>
                </m:box>
              </m:e>
            </m:acc>
            <m:r>
              <m:rPr>
                <m:sty m:val="p"/>
              </m:rPr>
              <m:t>(</m:t>
            </m:r>
            <m:r>
              <m:rPr>
                <m:sty m:val="i"/>
              </m:rPr>
              <m:t>u</m:t>
            </m:r>
            <m:r>
              <m:rPr>
                <m:sty m:val="p"/>
              </m:rPr>
              <m:t>)</m:t>
            </m:r>
            <m:r>
              <m:t> </m:t>
            </m:r>
            <m:f>
              <m:num>
                <m:box>
                  <m:e>
                    <m:sSubSup>
                      <m:e>
                        <m:r>
                          <m:rPr>
                            <m:sty m:val="i"/>
                          </m:rPr>
                          <m:t>p</m:t>
                        </m:r>
                      </m:e>
                      <m:sub>
                        <m:box>
                          <m:e>
                            <m:r>
                              <m:rPr>
                                <m:sty m:val="i"/>
                              </m:rPr>
                              <m:t>k</m:t>
                            </m:r>
                          </m:e>
                        </m:box>
                      </m:sub>
                      <m:sup>
                        <m:box>
                          <m:e>
                            <m:r>
                              <m:rPr>
                                <m:sty m:val="i"/>
                              </m:rPr>
                              <m:t>M</m:t>
                            </m:r>
                          </m:e>
                        </m:box>
                      </m:sup>
                    </m:sSubSup>
                    <m:r>
                      <m:rPr>
                        <m:sty m:val="p"/>
                      </m:rPr>
                      <m:t>(</m:t>
                    </m:r>
                    <m:r>
                      <m:rPr>
                        <m:sty m:val="i"/>
                      </m:rPr>
                      <m:t>u</m:t>
                    </m:r>
                    <m:r>
                      <m:rPr>
                        <m:sty m:val="p"/>
                      </m:rPr>
                      <m:t>)</m:t>
                    </m:r>
                  </m:e>
                </m:box>
              </m:num>
              <m:den>
                <m:box>
                  <m:e>
                    <m:sSubSup>
                      <m:e>
                        <m:r>
                          <m:rPr>
                            <m:sty m:val="i"/>
                          </m:rPr>
                          <m:t>p</m:t>
                        </m:r>
                      </m:e>
                      <m:sub>
                        <m:box>
                          <m:e>
                            <m:r>
                              <m:rPr>
                                <m:sty m:val="i"/>
                              </m:rPr>
                              <m:t>A</m:t>
                            </m:r>
                          </m:e>
                        </m:box>
                      </m:sub>
                      <m:sup>
                        <m:box>
                          <m:e>
                            <m:r>
                              <m:rPr>
                                <m:sty m:val="i"/>
                              </m:rPr>
                              <m:t>M</m:t>
                            </m:r>
                          </m:e>
                        </m:box>
                      </m:sup>
                    </m:sSubSup>
                    <m:r>
                      <m:rPr>
                        <m:sty m:val="p"/>
                      </m:rPr>
                      <m:t>(</m:t>
                    </m:r>
                    <m:r>
                      <m:rPr>
                        <m:sty m:val="i"/>
                      </m:rPr>
                      <m:t>u</m:t>
                    </m:r>
                    <m:r>
                      <m:rPr>
                        <m:sty m:val="p"/>
                      </m:rPr>
                      <m:t>)</m:t>
                    </m:r>
                    <m:r>
                      <m:rPr>
                        <m:sty m:val="p"/>
                      </m:rPr>
                      <m:t>+</m:t>
                    </m:r>
                    <m:sSubSup>
                      <m:e>
                        <m:r>
                          <m:rPr>
                            <m:sty m:val="i"/>
                          </m:rPr>
                          <m:t>p</m:t>
                        </m:r>
                      </m:e>
                      <m:sub>
                        <m:box>
                          <m:e>
                            <m:r>
                              <m:rPr>
                                <m:sty m:val="i"/>
                              </m:rPr>
                              <m:t>V</m:t>
                            </m:r>
                          </m:e>
                        </m:box>
                      </m:sub>
                      <m:sup>
                        <m:box>
                          <m:e>
                            <m:r>
                              <m:rPr>
                                <m:sty m:val="i"/>
                              </m:rPr>
                              <m:t>M</m:t>
                            </m:r>
                          </m:e>
                        </m:box>
                      </m:sup>
                    </m:sSubSup>
                    <m:r>
                      <m:rPr>
                        <m:sty m:val="p"/>
                      </m:rPr>
                      <m:t>(</m:t>
                    </m:r>
                    <m:r>
                      <m:rPr>
                        <m:sty m:val="i"/>
                      </m:rPr>
                      <m:t>u</m:t>
                    </m:r>
                    <m:r>
                      <m:rPr>
                        <m:sty m:val="p"/>
                      </m:rPr>
                      <m:t>)</m:t>
                    </m:r>
                    <m:r>
                      <m:rPr>
                        <m:sty m:val="p"/>
                      </m:rPr>
                      <m:t>+</m:t>
                    </m:r>
                    <m:sSubSup>
                      <m:e>
                        <m:r>
                          <m:rPr>
                            <m:sty m:val="i"/>
                          </m:rPr>
                          <m:t>p</m:t>
                        </m:r>
                      </m:e>
                      <m:sub>
                        <m:box>
                          <m:e>
                            <m:r>
                              <m:rPr>
                                <m:sty m:val="i"/>
                              </m:rPr>
                              <m:t>C</m:t>
                            </m:r>
                          </m:e>
                        </m:box>
                      </m:sub>
                      <m:sup>
                        <m:box>
                          <m:e>
                            <m:r>
                              <m:rPr>
                                <m:sty m:val="i"/>
                              </m:rPr>
                              <m:t>M</m:t>
                            </m:r>
                          </m:e>
                        </m:box>
                      </m:sup>
                    </m:sSubSup>
                    <m:r>
                      <m:rPr>
                        <m:sty m:val="p"/>
                      </m:rPr>
                      <m:t>(</m:t>
                    </m:r>
                    <m:r>
                      <m:rPr>
                        <m:sty m:val="i"/>
                      </m:rPr>
                      <m:t>u</m:t>
                    </m:r>
                    <m:r>
                      <m:rPr>
                        <m:sty m:val="p"/>
                      </m:rPr>
                      <m:t>)</m:t>
                    </m:r>
                  </m:e>
                </m:box>
              </m:den>
            </m:f>
            <m:r>
              <m:rPr>
                <m:sty m:val="p"/>
              </m:rPr>
              <m:t>,</m:t>
            </m:r>
            <m:r>
              <m:t> </m:t>
            </m:r>
            <m:r>
              <m:rPr>
                <m:sty m:val="i"/>
              </m:rPr>
              <m:t>k</m:t>
            </m:r>
            <m:r>
              <m:rPr>
                <m:sty m:val="p"/>
              </m:rPr>
              <m:t>∈</m:t>
            </m:r>
            <m:r>
              <m:rPr>
                <m:sty m:val="p"/>
              </m:rPr>
              <m:t>{</m:t>
            </m:r>
            <m:r>
              <m:rPr>
                <m:sty m:val="i"/>
              </m:rPr>
              <m:t>A</m:t>
            </m:r>
            <m:r>
              <m:rPr>
                <m:sty m:val="p"/>
              </m:rPr>
              <m:t>,</m:t>
            </m:r>
            <m:r>
              <m:rPr>
                <m:sty m:val="i"/>
              </m:rPr>
              <m:t>V</m:t>
            </m:r>
            <m:r>
              <m:rPr>
                <m:sty m:val="p"/>
              </m:rPr>
              <m:t>,</m:t>
            </m:r>
            <m:r>
              <m:rPr>
                <m:sty m:val="i"/>
              </m:rPr>
              <m:t>C</m:t>
            </m:r>
            <m:r>
              <m:rPr>
                <m:sty m:val="p"/>
              </m:rPr>
              <m:t>}</m:t>
            </m:r>
          </m:e>
        </m:box>
      </m:oMath>
      <w:r>
        <w:rPr>
          <w:rFonts w:ascii="Times New Roman" w:hAnsi="Times New Roman"/>
          <w:sz w:val="20"/>
        </w:rPr>
        <w:tab/>
        <w:t>(3c)</w:t>
      </w:r>
    </w:p>
    <w:p w14:paraId="2C1A3D41">
      <w:pPr>
        <w:pStyle w:val="18"/>
        <w:keepNext w:val="0"/>
        <w:spacing w:before="0" w:after="100" w:line="276" w:lineRule="auto"/>
        <w:ind w:firstLine="360"/>
        <w:jc w:val="both"/>
      </w:pPr>
      <w:r>
        <w:rPr>
          <w:rFonts w:ascii="Arial" w:hAnsi="Arial"/>
        </w:rPr>
        <w:t>The corrected Mass-UDCT field contains separate background, artery, vein, and crossing or uncertain probabilities; Factorized-UDCT retains the same vascular identities after the occupancy gate. Eye-level candidates included soft vessel mass fraction, Mass-UDCT and Factorized-UDCT skeleton-length densities, branch density, artery–vein log ratios, entropy, and cross-readout disagreement. Disagreement was retained as a measurement comparison, not assumed to be a calibrated uncertainty score.</w:t>
      </w:r>
    </w:p>
    <w:p w14:paraId="7C74147A">
      <w:pPr>
        <w:pStyle w:val="18"/>
        <w:keepNext/>
        <w:spacing w:before="0" w:after="40" w:line="276" w:lineRule="auto"/>
        <w:jc w:val="both"/>
      </w:pPr>
      <w:r>
        <w:rPr>
          <w:rFonts w:ascii="Arial" w:hAnsi="Arial"/>
        </w:rPr>
        <w:t>The two readouts generated interpretable continuous operators over Ω. Indexing the |Ω| valid pixels by u = 1,…,|Ω|, we defined vessel support, artery–vein balance, and cross-readout support disagreement as follows. VM and VF denote the thresholded Mass-UDCT and Factorized-UDCT vessel support sets, respectively:</w:t>
      </w:r>
    </w:p>
    <w:p w14:paraId="3A569E86">
      <w:pPr>
        <w:keepLines/>
        <w:tabs>
          <w:tab w:pos="4680" w:val="center"/>
          <w:tab w:pos="9360" w:val="right"/>
        </w:tabs>
        <w:spacing w:before="60" w:after="60" w:line="240" w:lineRule="auto"/>
        <w:jc w:val="center"/>
        <w:rPr>
          <w:sz w:val="20"/>
          <w:szCs w:val="20"/>
        </w:rPr>
      </w:pPr>
      <w:r>
        <w:tab/>
      </w:r>
      <m:oMath>
        <m:box>
          <m:e>
            <m:sSub>
              <m:e>
                <m:r>
                  <m:rPr>
                    <m:sty m:val="i"/>
                  </m:rPr>
                  <m:t>ϕ</m:t>
                </m:r>
              </m:e>
              <m:sub>
                <m:box>
                  <m:e>
                    <m:box>
                      <m:e>
                        <m:r>
                          <m:rPr>
                            <m:sty m:val="p"/>
                          </m:rPr>
                          <m:t>m</m:t>
                        </m:r>
                        <m:r>
                          <m:rPr>
                            <m:sty m:val="p"/>
                          </m:rPr>
                          <m:t>a</m:t>
                        </m:r>
                        <m:r>
                          <m:rPr>
                            <m:sty m:val="p"/>
                          </m:rPr>
                          <m:t>s</m:t>
                        </m:r>
                        <m:r>
                          <m:rPr>
                            <m:sty m:val="p"/>
                          </m:rPr>
                          <m:t>s</m:t>
                        </m:r>
                      </m:e>
                    </m:box>
                  </m:e>
                </m:box>
              </m:sub>
            </m:sSub>
            <m:r>
              <m:rPr>
                <m:sty m:val="p"/>
              </m:rPr>
              <m:t>=</m:t>
            </m:r>
            <m:f>
              <m:num>
                <m:box>
                  <m:e>
                    <m:r>
                      <m:rPr>
                        <m:sty m:val="p"/>
                      </m:rPr>
                      <m:t>1</m:t>
                    </m:r>
                  </m:e>
                </m:box>
              </m:num>
              <m:den>
                <m:box>
                  <m:e>
                    <m:r>
                      <m:rPr>
                        <m:sty m:val="p"/>
                      </m:rPr>
                      <m:t>|</m:t>
                    </m:r>
                    <m:r>
                      <m:rPr>
                        <m:sty m:val="i"/>
                      </m:rPr>
                      <m:t>Ω</m:t>
                    </m:r>
                    <m:r>
                      <m:rPr>
                        <m:sty m:val="p"/>
                      </m:rPr>
                      <m:t>|</m:t>
                    </m:r>
                  </m:e>
                </m:box>
              </m:den>
            </m:f>
            <m:nary>
              <m:naryPr>
                <m:chr m:val="∑"/>
                <m:limLoc m:val="undOvr"/>
              </m:naryPr>
              <m:sub>
                <m:box>
                  <m:e>
                    <m:r>
                      <m:rPr>
                        <m:sty m:val="i"/>
                      </m:rPr>
                      <m:t>u</m:t>
                    </m:r>
                    <m:r>
                      <m:rPr>
                        <m:sty m:val="p"/>
                      </m:rPr>
                      <m:t>=</m:t>
                    </m:r>
                    <m:r>
                      <m:rPr>
                        <m:sty m:val="p"/>
                      </m:rPr>
                      <m:t>1</m:t>
                    </m:r>
                  </m:e>
                </m:box>
              </m:sub>
              <m:sup>
                <m:box>
                  <m:e>
                    <m:r>
                      <m:rPr>
                        <m:sty m:val="p"/>
                      </m:rPr>
                      <m:t>|</m:t>
                    </m:r>
                    <m:r>
                      <m:rPr>
                        <m:sty m:val="i"/>
                      </m:rPr>
                      <m:t>Ω</m:t>
                    </m:r>
                    <m:r>
                      <m:rPr>
                        <m:sty m:val="p"/>
                      </m:rPr>
                      <m:t>|</m:t>
                    </m:r>
                  </m:e>
                </m:box>
              </m:sup>
              <m:e>
                <m:box>
                  <m:e>
                    <m:d>
                      <m:dPr>
                        <m:begChr m:val="["/>
                        <m:endChr m:val="]"/>
                      </m:dPr>
                      <m:e>
                        <m:box>
                          <m:e>
                            <m:r>
                              <m:rPr>
                                <m:sty m:val="p"/>
                              </m:rPr>
                              <m:t>1</m:t>
                            </m:r>
                            <m:r>
                              <m:rPr>
                                <m:sty m:val="p"/>
                              </m:rPr>
                              <m:t>−</m:t>
                            </m:r>
                            <m:sSubSup>
                              <m:e>
                                <m:r>
                                  <m:rPr>
                                    <m:sty m:val="i"/>
                                  </m:rPr>
                                  <m:t>p</m:t>
                                </m:r>
                              </m:e>
                              <m:sub>
                                <m:box>
                                  <m:e>
                                    <m:r>
                                      <m:rPr>
                                        <m:sty m:val="p"/>
                                      </m:rPr>
                                      <m:t>0</m:t>
                                    </m:r>
                                  </m:e>
                                </m:box>
                              </m:sub>
                              <m:sup>
                                <m:box>
                                  <m:e>
                                    <m:r>
                                      <m:rPr>
                                        <m:sty m:val="i"/>
                                      </m:rPr>
                                      <m:t>M</m:t>
                                    </m:r>
                                  </m:e>
                                </m:box>
                              </m:sup>
                            </m:sSubSup>
                            <m:r>
                              <m:rPr>
                                <m:sty m:val="p"/>
                              </m:rPr>
                              <m:t>(</m:t>
                            </m:r>
                            <m:r>
                              <m:rPr>
                                <m:sty m:val="i"/>
                              </m:rPr>
                              <m:t>u</m:t>
                            </m:r>
                            <m:r>
                              <m:rPr>
                                <m:sty m:val="p"/>
                              </m:rPr>
                              <m:t>)</m:t>
                            </m:r>
                          </m:e>
                        </m:box>
                      </m:e>
                    </m:d>
                  </m:e>
                </m:box>
              </m:e>
            </m:nary>
          </m:e>
        </m:box>
      </m:oMath>
      <w:r>
        <w:rPr>
          <w:rFonts w:ascii="Times New Roman" w:hAnsi="Times New Roman"/>
          <w:sz w:val="20"/>
        </w:rPr>
        <w:tab/>
        <w:t>(4a)</w:t>
      </w:r>
    </w:p>
    <w:p>
      <w:pPr>
        <w:keepLines/>
        <w:tabs>
          <w:tab w:pos="4680" w:val="center"/>
          <w:tab w:pos="4680" w:val="center"/>
          <w:tab w:pos="9360" w:val="right"/>
          <w:tab w:pos="9360" w:val="right"/>
        </w:tabs>
        <w:spacing w:before="60" w:after="60" w:line="240" w:lineRule="auto"/>
        <w:jc w:val="center"/>
        <w:rPr>
          <w:sz w:val="20"/>
          <w:szCs w:val="20"/>
        </w:rPr>
      </w:pPr>
      <w:r>
        <w:tab/>
      </w:r>
      <m:oMath>
        <m:box>
          <m:e>
            <m:sSub>
              <m:e>
                <m:r>
                  <m:rPr>
                    <m:sty m:val="i"/>
                  </m:rPr>
                  <m:t>ϕ</m:t>
                </m:r>
              </m:e>
              <m:sub>
                <m:box>
                  <m:e>
                    <m:box>
                      <m:e>
                        <m:r>
                          <m:rPr>
                            <m:sty m:val="p"/>
                          </m:rPr>
                          <m:t>A</m:t>
                        </m:r>
                        <m:r>
                          <m:rPr>
                            <m:sty m:val="p"/>
                          </m:rPr>
                          <m:t>V</m:t>
                        </m:r>
                      </m:e>
                    </m:box>
                  </m:e>
                </m:box>
              </m:sub>
            </m:sSub>
            <m:r>
              <m:rPr>
                <m:sty m:val="p"/>
              </m:rPr>
              <m:t>=</m:t>
            </m:r>
            <m:r>
              <m:rPr>
                <m:sty m:val="p"/>
              </m:rPr>
              <m:t>log</m:t>
            </m:r>
            <m:box>
              <m:e>
                <m:d>
                  <m:dPr>
                    <m:begChr m:val="("/>
                    <m:endChr m:val=")"/>
                  </m:dPr>
                  <m:e>
                    <m:box>
                      <m:e>
                        <m:f>
                          <m:num>
                            <m:box>
                              <m:e>
                                <m:nary>
                                  <m:naryPr>
                                    <m:chr m:val="∑"/>
                                    <m:limLoc m:val="undOvr"/>
                                  </m:naryPr>
                                  <m:sub>
                                    <m:box>
                                      <m:e>
                                        <m:r>
                                          <m:rPr>
                                            <m:sty m:val="i"/>
                                          </m:rPr>
                                          <m:t>u</m:t>
                                        </m:r>
                                        <m:r>
                                          <m:rPr>
                                            <m:sty m:val="p"/>
                                          </m:rPr>
                                          <m:t>=</m:t>
                                        </m:r>
                                        <m:r>
                                          <m:rPr>
                                            <m:sty m:val="p"/>
                                          </m:rPr>
                                          <m:t>1</m:t>
                                        </m:r>
                                      </m:e>
                                    </m:box>
                                  </m:sub>
                                  <m:sup>
                                    <m:box>
                                      <m:e>
                                        <m:r>
                                          <m:rPr>
                                            <m:sty m:val="p"/>
                                          </m:rPr>
                                          <m:t>|</m:t>
                                        </m:r>
                                        <m:r>
                                          <m:rPr>
                                            <m:sty m:val="i"/>
                                          </m:rPr>
                                          <m:t>Ω</m:t>
                                        </m:r>
                                        <m:r>
                                          <m:rPr>
                                            <m:sty m:val="p"/>
                                          </m:rPr>
                                          <m:t>|</m:t>
                                        </m:r>
                                      </m:e>
                                    </m:box>
                                  </m:sup>
                                  <m:e>
                                    <m:box>
                                      <m:e>
                                        <m:d>
                                          <m:dPr>
                                            <m:begChr m:val="["/>
                                            <m:endChr m:val="]"/>
                                          </m:dPr>
                                          <m:e>
                                            <m:box>
                                              <m:e>
                                                <m:sSubSup>
                                                  <m:e>
                                                    <m:r>
                                                      <m:rPr>
                                                        <m:sty m:val="i"/>
                                                      </m:rPr>
                                                      <m:t>p</m:t>
                                                    </m:r>
                                                  </m:e>
                                                  <m:sub>
                                                    <m:box>
                                                      <m:e>
                                                        <m:r>
                                                          <m:rPr>
                                                            <m:sty m:val="i"/>
                                                          </m:rPr>
                                                          <m:t>A</m:t>
                                                        </m:r>
                                                      </m:e>
                                                    </m:box>
                                                  </m:sub>
                                                  <m:sup>
                                                    <m:box>
                                                      <m:e>
                                                        <m:r>
                                                          <m:rPr>
                                                            <m:sty m:val="i"/>
                                                          </m:rPr>
                                                          <m:t>M</m:t>
                                                        </m:r>
                                                      </m:e>
                                                    </m:box>
                                                  </m:sup>
                                                </m:sSubSup>
                                                <m:r>
                                                  <m:rPr>
                                                    <m:sty m:val="p"/>
                                                  </m:rPr>
                                                  <m:t>(</m:t>
                                                </m:r>
                                                <m:r>
                                                  <m:rPr>
                                                    <m:sty m:val="i"/>
                                                  </m:rPr>
                                                  <m:t>u</m:t>
                                                </m:r>
                                                <m:r>
                                                  <m:rPr>
                                                    <m:sty m:val="p"/>
                                                  </m:rPr>
                                                  <m:t>)</m:t>
                                                </m:r>
                                                <m:r>
                                                  <m:rPr>
                                                    <m:sty m:val="p"/>
                                                  </m:rPr>
                                                  <m:t>+</m:t>
                                                </m:r>
                                                <m:sSubSup>
                                                  <m:e>
                                                    <m:r>
                                                      <m:rPr>
                                                        <m:sty m:val="i"/>
                                                      </m:rPr>
                                                      <m:t>p</m:t>
                                                    </m:r>
                                                  </m:e>
                                                  <m:sub>
                                                    <m:box>
                                                      <m:e>
                                                        <m:r>
                                                          <m:rPr>
                                                            <m:sty m:val="i"/>
                                                          </m:rPr>
                                                          <m:t>C</m:t>
                                                        </m:r>
                                                      </m:e>
                                                    </m:box>
                                                  </m:sub>
                                                  <m:sup>
                                                    <m:box>
                                                      <m:e>
                                                        <m:r>
                                                          <m:rPr>
                                                            <m:sty m:val="i"/>
                                                          </m:rPr>
                                                          <m:t>M</m:t>
                                                        </m:r>
                                                      </m:e>
                                                    </m:box>
                                                  </m:sup>
                                                </m:sSubSup>
                                                <m:r>
                                                  <m:rPr>
                                                    <m:sty m:val="p"/>
                                                  </m:rPr>
                                                  <m:t>(</m:t>
                                                </m:r>
                                                <m:r>
                                                  <m:rPr>
                                                    <m:sty m:val="i"/>
                                                  </m:rPr>
                                                  <m:t>u</m:t>
                                                </m:r>
                                                <m:r>
                                                  <m:rPr>
                                                    <m:sty m:val="p"/>
                                                  </m:rPr>
                                                  <m:t>)</m:t>
                                                </m:r>
                                              </m:e>
                                            </m:box>
                                          </m:e>
                                        </m:d>
                                      </m:e>
                                    </m:box>
                                    <m:r>
                                      <m:rPr>
                                        <m:sty m:val="p"/>
                                      </m:rPr>
                                      <m:t>+</m:t>
                                    </m:r>
                                    <m:r>
                                      <m:rPr>
                                        <m:sty m:val="p"/>
                                      </m:rPr>
                                      <m:t>1</m:t>
                                    </m:r>
                                  </m:e>
                                </m:nary>
                              </m:e>
                            </m:box>
                          </m:num>
                          <m:den>
                            <m:box>
                              <m:e>
                                <m:nary>
                                  <m:naryPr>
                                    <m:chr m:val="∑"/>
                                    <m:limLoc m:val="undOvr"/>
                                  </m:naryPr>
                                  <m:sub>
                                    <m:box>
                                      <m:e>
                                        <m:r>
                                          <m:rPr>
                                            <m:sty m:val="i"/>
                                          </m:rPr>
                                          <m:t>u</m:t>
                                        </m:r>
                                        <m:r>
                                          <m:rPr>
                                            <m:sty m:val="p"/>
                                          </m:rPr>
                                          <m:t>=</m:t>
                                        </m:r>
                                        <m:r>
                                          <m:rPr>
                                            <m:sty m:val="p"/>
                                          </m:rPr>
                                          <m:t>1</m:t>
                                        </m:r>
                                      </m:e>
                                    </m:box>
                                  </m:sub>
                                  <m:sup>
                                    <m:box>
                                      <m:e>
                                        <m:r>
                                          <m:rPr>
                                            <m:sty m:val="p"/>
                                          </m:rPr>
                                          <m:t>|</m:t>
                                        </m:r>
                                        <m:r>
                                          <m:rPr>
                                            <m:sty m:val="i"/>
                                          </m:rPr>
                                          <m:t>Ω</m:t>
                                        </m:r>
                                        <m:r>
                                          <m:rPr>
                                            <m:sty m:val="p"/>
                                          </m:rPr>
                                          <m:t>|</m:t>
                                        </m:r>
                                      </m:e>
                                    </m:box>
                                  </m:sup>
                                  <m:e>
                                    <m:box>
                                      <m:e>
                                        <m:d>
                                          <m:dPr>
                                            <m:begChr m:val="["/>
                                            <m:endChr m:val="]"/>
                                          </m:dPr>
                                          <m:e>
                                            <m:box>
                                              <m:e>
                                                <m:sSubSup>
                                                  <m:e>
                                                    <m:r>
                                                      <m:rPr>
                                                        <m:sty m:val="i"/>
                                                      </m:rPr>
                                                      <m:t>p</m:t>
                                                    </m:r>
                                                  </m:e>
                                                  <m:sub>
                                                    <m:box>
                                                      <m:e>
                                                        <m:r>
                                                          <m:rPr>
                                                            <m:sty m:val="i"/>
                                                          </m:rPr>
                                                          <m:t>V</m:t>
                                                        </m:r>
                                                      </m:e>
                                                    </m:box>
                                                  </m:sub>
                                                  <m:sup>
                                                    <m:box>
                                                      <m:e>
                                                        <m:r>
                                                          <m:rPr>
                                                            <m:sty m:val="i"/>
                                                          </m:rPr>
                                                          <m:t>M</m:t>
                                                        </m:r>
                                                      </m:e>
                                                    </m:box>
                                                  </m:sup>
                                                </m:sSubSup>
                                                <m:r>
                                                  <m:rPr>
                                                    <m:sty m:val="p"/>
                                                  </m:rPr>
                                                  <m:t>(</m:t>
                                                </m:r>
                                                <m:r>
                                                  <m:rPr>
                                                    <m:sty m:val="i"/>
                                                  </m:rPr>
                                                  <m:t>u</m:t>
                                                </m:r>
                                                <m:r>
                                                  <m:rPr>
                                                    <m:sty m:val="p"/>
                                                  </m:rPr>
                                                  <m:t>)</m:t>
                                                </m:r>
                                                <m:r>
                                                  <m:rPr>
                                                    <m:sty m:val="p"/>
                                                  </m:rPr>
                                                  <m:t>+</m:t>
                                                </m:r>
                                                <m:sSubSup>
                                                  <m:e>
                                                    <m:r>
                                                      <m:rPr>
                                                        <m:sty m:val="i"/>
                                                      </m:rPr>
                                                      <m:t>p</m:t>
                                                    </m:r>
                                                  </m:e>
                                                  <m:sub>
                                                    <m:box>
                                                      <m:e>
                                                        <m:r>
                                                          <m:rPr>
                                                            <m:sty m:val="i"/>
                                                          </m:rPr>
                                                          <m:t>C</m:t>
                                                        </m:r>
                                                      </m:e>
                                                    </m:box>
                                                  </m:sub>
                                                  <m:sup>
                                                    <m:box>
                                                      <m:e>
                                                        <m:r>
                                                          <m:rPr>
                                                            <m:sty m:val="i"/>
                                                          </m:rPr>
                                                          <m:t>M</m:t>
                                                        </m:r>
                                                      </m:e>
                                                    </m:box>
                                                  </m:sup>
                                                </m:sSubSup>
                                                <m:r>
                                                  <m:rPr>
                                                    <m:sty m:val="p"/>
                                                  </m:rPr>
                                                  <m:t>(</m:t>
                                                </m:r>
                                                <m:r>
                                                  <m:rPr>
                                                    <m:sty m:val="i"/>
                                                  </m:rPr>
                                                  <m:t>u</m:t>
                                                </m:r>
                                                <m:r>
                                                  <m:rPr>
                                                    <m:sty m:val="p"/>
                                                  </m:rPr>
                                                  <m:t>)</m:t>
                                                </m:r>
                                              </m:e>
                                            </m:box>
                                          </m:e>
                                        </m:d>
                                      </m:e>
                                    </m:box>
                                    <m:r>
                                      <m:rPr>
                                        <m:sty m:val="p"/>
                                      </m:rPr>
                                      <m:t>+</m:t>
                                    </m:r>
                                    <m:r>
                                      <m:rPr>
                                        <m:sty m:val="p"/>
                                      </m:rPr>
                                      <m:t>1</m:t>
                                    </m:r>
                                  </m:e>
                                </m:nary>
                              </m:e>
                            </m:box>
                          </m:den>
                        </m:f>
                      </m:e>
                    </m:box>
                  </m:e>
                </m:d>
              </m:e>
            </m:box>
          </m:e>
        </m:box>
      </m:oMath>
      <w:r>
        <w:rPr>
          <w:rFonts w:ascii="Times New Roman" w:hAnsi="Times New Roman"/>
          <w:sz w:val="20"/>
        </w:rPr>
        <w:tab/>
        <w:t>(4b)</w:t>
      </w:r>
    </w:p>
    <w:p>
      <w:pPr>
        <w:keepLines/>
        <w:tabs>
          <w:tab w:pos="4680" w:val="center"/>
          <w:tab w:pos="4680" w:val="center"/>
          <w:tab w:pos="4680" w:val="center"/>
          <w:tab w:pos="9360" w:val="right"/>
          <w:tab w:pos="9360" w:val="right"/>
          <w:tab w:pos="9360" w:val="right"/>
        </w:tabs>
        <w:spacing w:before="60" w:after="60" w:line="240" w:lineRule="auto"/>
        <w:jc w:val="center"/>
        <w:rPr>
          <w:sz w:val="20"/>
          <w:szCs w:val="20"/>
        </w:rPr>
      </w:pPr>
      <w:r>
        <w:tab/>
      </w:r>
      <m:oMath>
        <m:box>
          <m:e>
            <m:sSub>
              <m:e>
                <m:r>
                  <m:rPr>
                    <m:sty m:val="i"/>
                  </m:rPr>
                  <m:t>ϕ</m:t>
                </m:r>
              </m:e>
              <m:sub>
                <m:box>
                  <m:e>
                    <m:box>
                      <m:e>
                        <m:r>
                          <m:rPr>
                            <m:sty m:val="p"/>
                          </m:rPr>
                          <m:t>d</m:t>
                        </m:r>
                        <m:r>
                          <m:rPr>
                            <m:sty m:val="p"/>
                          </m:rPr>
                          <m:t>i</m:t>
                        </m:r>
                        <m:r>
                          <m:rPr>
                            <m:sty m:val="p"/>
                          </m:rPr>
                          <m:t>s</m:t>
                        </m:r>
                      </m:e>
                    </m:box>
                  </m:e>
                </m:box>
              </m:sub>
            </m:sSub>
            <m:r>
              <m:rPr>
                <m:sty m:val="p"/>
              </m:rPr>
              <m:t>=</m:t>
            </m:r>
            <m:f>
              <m:num>
                <m:box>
                  <m:e>
                    <m:r>
                      <m:rPr>
                        <m:sty m:val="p"/>
                      </m:rPr>
                      <m:t>|</m:t>
                    </m:r>
                    <m:sSub>
                      <m:e>
                        <m:r>
                          <m:rPr>
                            <m:sty m:val="i"/>
                          </m:rPr>
                          <m:t>V</m:t>
                        </m:r>
                      </m:e>
                      <m:sub>
                        <m:box>
                          <m:e>
                            <m:r>
                              <m:rPr>
                                <m:sty m:val="i"/>
                              </m:rPr>
                              <m:t>M</m:t>
                            </m:r>
                          </m:e>
                        </m:box>
                      </m:sub>
                    </m:sSub>
                    <m:r>
                      <m:t> </m:t>
                    </m:r>
                    <m:r>
                      <m:rPr>
                        <m:sty m:val="i"/>
                      </m:rPr>
                      <m:t>△</m:t>
                    </m:r>
                    <m:r>
                      <m:t> </m:t>
                    </m:r>
                    <m:sSub>
                      <m:e>
                        <m:r>
                          <m:rPr>
                            <m:sty m:val="i"/>
                          </m:rPr>
                          <m:t>V</m:t>
                        </m:r>
                      </m:e>
                      <m:sub>
                        <m:box>
                          <m:e>
                            <m:r>
                              <m:rPr>
                                <m:sty m:val="i"/>
                              </m:rPr>
                              <m:t>F</m:t>
                            </m:r>
                          </m:e>
                        </m:box>
                      </m:sub>
                    </m:sSub>
                    <m:r>
                      <m:rPr>
                        <m:sty m:val="p"/>
                      </m:rPr>
                      <m:t>|</m:t>
                    </m:r>
                  </m:e>
                </m:box>
              </m:num>
              <m:den>
                <m:box>
                  <m:e>
                    <m:r>
                      <m:rPr>
                        <m:sty m:val="p"/>
                      </m:rPr>
                      <m:t>|</m:t>
                    </m:r>
                    <m:sSub>
                      <m:e>
                        <m:r>
                          <m:rPr>
                            <m:sty m:val="i"/>
                          </m:rPr>
                          <m:t>V</m:t>
                        </m:r>
                      </m:e>
                      <m:sub>
                        <m:box>
                          <m:e>
                            <m:r>
                              <m:rPr>
                                <m:sty m:val="i"/>
                              </m:rPr>
                              <m:t>M</m:t>
                            </m:r>
                          </m:e>
                        </m:box>
                      </m:sub>
                    </m:sSub>
                    <m:r>
                      <m:t> </m:t>
                    </m:r>
                    <m:r>
                      <m:rPr>
                        <m:sty m:val="p"/>
                      </m:rPr>
                      <m:t>∪</m:t>
                    </m:r>
                    <m:r>
                      <m:t> </m:t>
                    </m:r>
                    <m:sSub>
                      <m:e>
                        <m:r>
                          <m:rPr>
                            <m:sty m:val="i"/>
                          </m:rPr>
                          <m:t>V</m:t>
                        </m:r>
                      </m:e>
                      <m:sub>
                        <m:box>
                          <m:e>
                            <m:r>
                              <m:rPr>
                                <m:sty m:val="i"/>
                              </m:rPr>
                              <m:t>F</m:t>
                            </m:r>
                          </m:e>
                        </m:box>
                      </m:sub>
                    </m:sSub>
                    <m:r>
                      <m:rPr>
                        <m:sty m:val="p"/>
                      </m:rPr>
                      <m:t>|</m:t>
                    </m:r>
                  </m:e>
                </m:box>
              </m:den>
            </m:f>
          </m:e>
        </m:box>
      </m:oMath>
      <w:r>
        <w:rPr>
          <w:rFonts w:ascii="Times New Roman" w:hAnsi="Times New Roman"/>
          <w:sz w:val="20"/>
        </w:rPr>
        <w:tab/>
        <w:t>(4c)</w:t>
      </w:r>
    </w:p>
    <w:p w14:paraId="7E368FB7">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387090"/>
            <wp:effectExtent l="0" t="0" r="1016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387601"/>
                    </a:xfrm>
                    <a:prstGeom prst="rect">
                      <a:avLst/>
                    </a:prstGeom>
                  </pic:spPr>
                </pic:pic>
              </a:graphicData>
            </a:graphic>
          </wp:inline>
        </w:drawing>
      </w:r>
    </w:p>
    <w:p w14:paraId="330961B0">
      <w:pPr>
        <w:keepNext/>
        <w:keepLines/>
        <w:spacing w:before="40" w:after="120" w:line="240" w:lineRule="auto"/>
        <w:jc w:val="both"/>
      </w:pPr>
      <w:r>
        <w:rPr>
          <w:rFonts w:ascii="Times New Roman" w:hAnsi="Times New Roman" w:eastAsia="Times New Roman"/>
          <w:b/>
          <w:i/>
          <w:color w:val="000000"/>
          <w:sz w:val="24"/>
        </w:rPr>
        <w:t>Figure 2. RMDB–BiRAP dual-readout measurement and phenotype construction. Panel A uses a real CIMT development eye different from the cohort examples in Figure 1 and shows anatomy standardization, the disc–fovea frame, enhanced anatomy, and the two-step UDCT residual corrector. Panel B separates frozen occupancy and vascular-identity readouts, constructs complementary Mass-UDCT and Factorized-UDCT maps, derives interpretable phenotype operators and cross-readout disagreement, applies the outcome-blind BiRAP ICC gate, and only then forms the ICC-gated patient phenotype vector for nested cross-validation.</w:t>
      </w:r>
    </w:p>
    <w:p w14:paraId="75145ECB">
      <w:pPr>
        <w:pStyle w:val="4"/>
        <w:keepNext/>
        <w:spacing w:before="200" w:after="120" w:line="240" w:lineRule="auto"/>
        <w:jc w:val="left"/>
      </w:pPr>
      <w:r>
        <w:rPr>
          <w:rFonts w:ascii="Times New Roman" w:hAnsi="Times New Roman" w:eastAsia="Times New Roman"/>
          <w:b/>
          <w:i w:val="0"/>
          <w:color w:val="000000"/>
          <w:sz w:val="24"/>
        </w:rPr>
        <w:t>2.4 BiRAP module: outcome-blind reliability and patient aggregation</w:t>
      </w:r>
    </w:p>
    <w:p w14:paraId="0A2C0CCC">
      <w:pPr>
        <w:pStyle w:val="18"/>
        <w:keepNext w:val="0"/>
        <w:spacing w:before="0" w:after="100" w:line="276" w:lineRule="auto"/>
        <w:ind w:firstLine="360"/>
        <w:jc w:val="both"/>
      </w:pPr>
      <w:r>
        <w:rPr>
          <w:rFonts w:ascii="Arial" w:hAnsi="Arial"/>
        </w:rPr>
        <w:t>For each patient, repeated photographs were first aggregated within eye so that image count could not act as an outcome surrogate. Each retained eye-level phenotype was then summarized by the bilateral mean and absolute inter-eye difference when both eyes were available.</w:t>
      </w:r>
    </w:p>
    <w:p w14:paraId="1915789C">
      <w:pPr>
        <w:pStyle w:val="18"/>
        <w:keepNext w:val="0"/>
        <w:spacing w:before="0" w:after="100" w:line="276" w:lineRule="auto"/>
        <w:ind w:firstLine="360"/>
        <w:jc w:val="both"/>
      </w:pPr>
      <w:r>
        <w:rPr>
          <w:rFonts w:ascii="Times New Roman" w:hAnsi="Times New Roman" w:eastAsia="Times New Roman"/>
          <w:b w:val="0"/>
          <w:i w:val="0"/>
          <w:color w:val="000000"/>
          <w:sz w:val="24"/>
        </w:rPr>
        <w:t>Reliability was evaluated using 2,359 same-eye repeat pairs in mBRSET. Nine global phenotypes were specified before disease-outcome analysis. ICC(1,1) with bootstrap 95% confidence intervals was calculated from the paired views. The retention threshold was fixed at ICC(1,1) ≥ 0.60. Outcome labels and systemic covariates were not used in this selection step. The four retained phenotypes formed the ICC-gated phenotype core.</w:t>
      </w:r>
    </w:p>
    <w:p w14:paraId="60C571B5">
      <w:pPr>
        <w:pStyle w:val="18"/>
        <w:keepNext/>
        <w:spacing w:before="0" w:after="40" w:line="276" w:lineRule="auto"/>
        <w:jc w:val="both"/>
      </w:pPr>
      <w:r>
        <w:rPr>
          <w:rFonts w:ascii="Arial" w:hAnsi="Arial"/>
        </w:rPr>
        <w:t>Reliability was a label-blind retention rule rather than a performance metric. For candidate phenotype j, a binary retention indicator was fixed before systemic outcome analysis. The patient vector then contained the bilateral mean and absolute inter-eye difference only for retained candidates:</w:t>
      </w:r>
    </w:p>
    <w:p w14:paraId="6C8ABDE9">
      <w:pPr>
        <w:keepLines/>
        <w:tabs>
          <w:tab w:pos="4680" w:val="center"/>
          <w:tab w:pos="9360" w:val="right"/>
        </w:tabs>
        <w:spacing w:before="60" w:after="60" w:line="240" w:lineRule="auto"/>
        <w:jc w:val="center"/>
        <w:rPr>
          <w:sz w:val="20"/>
          <w:szCs w:val="20"/>
        </w:rPr>
      </w:pPr>
      <w:r>
        <w:tab/>
      </w:r>
      <m:oMath>
        <m:box>
          <m:e>
            <m:sSub>
              <m:e>
                <m:r>
                  <m:rPr>
                    <m:sty m:val="i"/>
                  </m:rPr>
                  <m:t>r</m:t>
                </m:r>
              </m:e>
              <m:sub>
                <m:box>
                  <m:e>
                    <m:r>
                      <m:rPr>
                        <m:sty m:val="i"/>
                      </m:rPr>
                      <m:t>j</m:t>
                    </m:r>
                  </m:e>
                </m:box>
              </m:sub>
            </m:sSub>
            <m:r>
              <m:rPr>
                <m:sty m:val="p"/>
              </m:rPr>
              <m:t>=</m:t>
            </m:r>
            <m:r>
              <m:rPr>
                <m:sty m:val="p"/>
              </m:rPr>
              <m:t>I</m:t>
            </m:r>
            <m:box>
              <m:e>
                <m:d>
                  <m:dPr>
                    <m:begChr m:val="("/>
                    <m:endChr m:val=")"/>
                  </m:dPr>
                  <m:e>
                    <m:box>
                      <m:e>
                        <m:sSub>
                          <m:e>
                            <m:r>
                              <m:rPr>
                                <m:sty m:val="p"/>
                              </m:rPr>
                              <m:t>ICC</m:t>
                            </m:r>
                          </m:e>
                          <m:sub>
                            <m:box>
                              <m:e>
                                <m:r>
                                  <m:rPr>
                                    <m:sty m:val="i"/>
                                  </m:rPr>
                                  <m:t>j</m:t>
                                </m:r>
                              </m:e>
                            </m:box>
                          </m:sub>
                        </m:sSub>
                        <m:r>
                          <m:rPr>
                            <m:sty m:val="p"/>
                          </m:rPr>
                          <m:t>(</m:t>
                        </m:r>
                        <m:r>
                          <m:rPr>
                            <m:sty m:val="p"/>
                          </m:rPr>
                          <m:t>1</m:t>
                        </m:r>
                        <m:r>
                          <m:rPr>
                            <m:sty m:val="p"/>
                          </m:rPr>
                          <m:t>,</m:t>
                        </m:r>
                        <m:r>
                          <m:rPr>
                            <m:sty m:val="p"/>
                          </m:rPr>
                          <m:t>1</m:t>
                        </m:r>
                        <m:r>
                          <m:rPr>
                            <m:sty m:val="p"/>
                          </m:rPr>
                          <m:t>)</m:t>
                        </m:r>
                        <m:r>
                          <m:rPr>
                            <m:sty m:val="p"/>
                          </m:rPr>
                          <m:t>≥</m:t>
                        </m:r>
                        <m:r>
                          <m:rPr>
                            <m:sty m:val="p"/>
                          </m:rPr>
                          <m:t>0.60</m:t>
                        </m:r>
                      </m:e>
                    </m:box>
                  </m:e>
                </m:d>
              </m:e>
            </m:box>
          </m:e>
        </m:box>
      </m:oMath>
      <w:r>
        <w:rPr>
          <w:rFonts w:ascii="Times New Roman" w:hAnsi="Times New Roman"/>
          <w:sz w:val="20"/>
        </w:rPr>
        <w:tab/>
        <w:t>(5a)</w:t>
      </w:r>
    </w:p>
    <w:p>
      <w:pPr>
        <w:keepLines/>
        <w:tabs>
          <w:tab w:pos="4680" w:val="center"/>
          <w:tab w:pos="4680" w:val="center"/>
          <w:tab w:pos="9360" w:val="right"/>
          <w:tab w:pos="9360" w:val="right"/>
        </w:tabs>
        <w:spacing w:before="60" w:after="60" w:line="240" w:lineRule="auto"/>
        <w:jc w:val="center"/>
        <w:rPr>
          <w:sz w:val="20"/>
          <w:szCs w:val="20"/>
        </w:rPr>
      </w:pPr>
      <w:r>
        <w:tab/>
      </w:r>
      <m:oMath>
        <m:box>
          <m:e>
            <m:sSub>
              <m:e>
                <m:box>
                  <m:e>
                    <m:r>
                      <m:rPr>
                        <m:sty m:val="bi"/>
                      </m:rPr>
                      <m:t>Φ</m:t>
                    </m:r>
                  </m:e>
                </m:box>
              </m:e>
              <m:sub>
                <m:box>
                  <m:e>
                    <m:r>
                      <m:rPr>
                        <m:sty m:val="i"/>
                      </m:rPr>
                      <m:t>i</m:t>
                    </m:r>
                  </m:e>
                </m:box>
              </m:sub>
            </m:sSub>
            <m:r>
              <m:rPr>
                <m:sty m:val="p"/>
              </m:rPr>
              <m:t>=</m:t>
            </m:r>
            <m:box>
              <m:e>
                <m:d>
                  <m:dPr>
                    <m:begChr m:val="{"/>
                    <m:endChr m:val="}"/>
                  </m:dPr>
                  <m:e>
                    <m:box>
                      <m:e>
                        <m:r>
                          <m:rPr>
                            <m:sty m:val="p"/>
                          </m:rPr>
                          <m:t>(</m:t>
                        </m:r>
                        <m:sSub>
                          <m:e>
                            <m:acc>
                              <m:accPr>
                                <m:chr m:val="¯"/>
                              </m:accPr>
                              <m:e>
                                <m:box>
                                  <m:e>
                                    <m:r>
                                      <m:rPr>
                                        <m:sty m:val="i"/>
                                      </m:rPr>
                                      <m:t>ϕ</m:t>
                                    </m:r>
                                  </m:e>
                                </m:box>
                              </m:e>
                            </m:acc>
                          </m:e>
                          <m:sub>
                            <m:box>
                              <m:e>
                                <m:r>
                                  <m:rPr>
                                    <m:sty m:val="i"/>
                                  </m:rPr>
                                  <m:t>i</m:t>
                                </m:r>
                                <m:r>
                                  <m:rPr>
                                    <m:sty m:val="i"/>
                                  </m:rPr>
                                  <m:t>j</m:t>
                                </m:r>
                              </m:e>
                            </m:box>
                          </m:sub>
                        </m:sSub>
                        <m:r>
                          <m:rPr>
                            <m:sty m:val="p"/>
                          </m:rPr>
                          <m:t>,</m:t>
                        </m:r>
                        <m:r>
                          <m:rPr>
                            <m:sty m:val="i"/>
                          </m:rPr>
                          <m:t>Δ</m:t>
                        </m:r>
                        <m:sSub>
                          <m:e>
                            <m:r>
                              <m:rPr>
                                <m:sty m:val="i"/>
                              </m:rPr>
                              <m:t>ϕ</m:t>
                            </m:r>
                          </m:e>
                          <m:sub>
                            <m:box>
                              <m:e>
                                <m:r>
                                  <m:rPr>
                                    <m:sty m:val="i"/>
                                  </m:rPr>
                                  <m:t>i</m:t>
                                </m:r>
                                <m:r>
                                  <m:rPr>
                                    <m:sty m:val="i"/>
                                  </m:rPr>
                                  <m:t>j</m:t>
                                </m:r>
                              </m:e>
                            </m:box>
                          </m:sub>
                        </m:sSub>
                        <m:r>
                          <m:rPr>
                            <m:sty m:val="p"/>
                          </m:rPr>
                          <m:t>)</m:t>
                        </m:r>
                        <m:r>
                          <m:rPr>
                            <m:sty m:val="p"/>
                          </m:rPr>
                          <m:t>∣</m:t>
                        </m:r>
                        <m:sSub>
                          <m:e>
                            <m:r>
                              <m:rPr>
                                <m:sty m:val="i"/>
                              </m:rPr>
                              <m:t>r</m:t>
                            </m:r>
                          </m:e>
                          <m:sub>
                            <m:box>
                              <m:e>
                                <m:r>
                                  <m:rPr>
                                    <m:sty m:val="i"/>
                                  </m:rPr>
                                  <m:t>j</m:t>
                                </m:r>
                              </m:e>
                            </m:box>
                          </m:sub>
                        </m:sSub>
                        <m:r>
                          <m:rPr>
                            <m:sty m:val="p"/>
                          </m:rPr>
                          <m:t>=</m:t>
                        </m:r>
                        <m:r>
                          <m:rPr>
                            <m:sty m:val="p"/>
                          </m:rPr>
                          <m:t>1</m:t>
                        </m:r>
                      </m:e>
                    </m:box>
                  </m:e>
                </m:d>
              </m:e>
            </m:box>
          </m:e>
        </m:box>
      </m:oMath>
      <w:r>
        <w:rPr>
          <w:rFonts w:ascii="Times New Roman" w:hAnsi="Times New Roman"/>
          <w:sz w:val="20"/>
        </w:rPr>
        <w:tab/>
        <w:t>(5b)</w:t>
      </w:r>
    </w:p>
    <w:p w14:paraId="36373BEC">
      <w:pPr>
        <w:pStyle w:val="18"/>
        <w:keepNext/>
        <w:pBdr>
          <w:left w:val="single" w:color="70519A" w:sz="16" w:space="7"/>
        </w:pBdr>
        <w:shd w:val="clear" w:fill="E9DFF3"/>
        <w:spacing w:before="0" w:after="40" w:line="276" w:lineRule="auto"/>
        <w:jc w:val="both"/>
      </w:pPr>
      <w:r>
        <w:rPr>
          <w:rFonts w:ascii="Times New Roman" w:hAnsi="Times New Roman" w:eastAsia="Times New Roman"/>
          <w:b/>
          <w:i w:val="0"/>
          <w:color w:val="000000"/>
          <w:sz w:val="24"/>
        </w:rPr>
        <w:t>Algorithm 1. RMDB–BiRAP phenotype construction and evidence gating</w:t>
      </w:r>
    </w:p>
    <w:p w14:paraId="41C54AED">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Input. Standardized left/right fundus photographs; frozen VascX logits; frozen FIVES occupancy estimator; optic-disc metadata.</w:t>
      </w:r>
    </w:p>
    <w:p w14:paraId="6E6554FE">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Output. A patient-level ICC-gated phenotype vector and an evidence status that is independent of outcome-driven feature selection.</w:t>
      </w:r>
    </w:p>
    <w:p w14:paraId="12E38810">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1  Standardize anatomy. Normalize the field of view; locate the disc; construct Zone B only when disc quality control passes.</w:t>
      </w:r>
    </w:p>
    <w:p w14:paraId="541C559C">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2  Refine vascular identity. Apply the two-step UDCT residual corrector to the frozen four-class identity logits.</w:t>
      </w:r>
    </w:p>
    <w:p w14:paraId="70E41FBB">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3  Construct complementary readouts. Retain the mass-preserving four-class probabilities and form the occupancy-gated factorized identity map (Factorized-UDCT) using the fixed gate and threshold.</w:t>
      </w:r>
    </w:p>
    <w:p w14:paraId="6AFBB9D1">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4  Extract eye-level candidates. Measure vessel mass, skeleton density, branch density, A/V balance, entropy, and cross-readout disagreement globally and, when available, within Zone B.</w:t>
      </w:r>
    </w:p>
    <w:p w14:paraId="44176145">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5  Estimate label-blind reliability. Compute ICC(1,1) from same-eye repeated views without systemic outcomes or clinical covariates.</w:t>
      </w:r>
    </w:p>
    <w:p w14:paraId="57E3BB60">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6  Apply the reliability gate. Retain phenotype j only when its ICC(1,1) is ≥ 0.60; preserve excluded candidates as transparent negative results.</w:t>
      </w:r>
    </w:p>
    <w:p w14:paraId="716E10E6">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7  Aggregate at patient level. For each retained phenotype, compute the bilateral mean and absolute inter-eye difference after within-eye repeat aggregation.</w:t>
      </w:r>
    </w:p>
    <w:p w14:paraId="48C80AE4">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8  Test incremental utility. Within patient-grouped nested cross-validation, compare clinical-only and clinical-plus-retinal models using paired patient-level bootstrap intervals.</w:t>
      </w:r>
    </w:p>
    <w:p w14:paraId="4C6E4862">
      <w:pPr>
        <w:pStyle w:val="18"/>
        <w:keepNext w:val="0"/>
        <w:keepLines/>
        <w:pBdr>
          <w:left w:val="single" w:color="70519A" w:sz="16" w:space="7"/>
        </w:pBdr>
        <w:shd w:val="clear" w:fill="F3EDF9"/>
        <w:spacing w:before="0" w:after="120" w:line="276" w:lineRule="auto"/>
        <w:ind w:left="187" w:right="115"/>
        <w:jc w:val="both"/>
      </w:pPr>
      <w:r>
        <w:rPr>
          <w:rFonts w:ascii="Arial" w:hAnsi="Arial"/>
        </w:rPr>
        <w:t>Stopping rule. A clinical digital biomarker claim is permitted only when locked measurement validity, outcome-blind repeatability, and patient-level clinical increment each pass its prespecified gate. Passing one gate cannot compensate for failing another.</w:t>
      </w:r>
    </w:p>
    <w:p w14:paraId="03C96D02">
      <w:pPr>
        <w:pStyle w:val="4"/>
        <w:keepNext/>
        <w:spacing w:before="200" w:after="120" w:line="240" w:lineRule="auto"/>
        <w:jc w:val="left"/>
      </w:pPr>
      <w:r>
        <w:rPr>
          <w:rFonts w:ascii="Times New Roman" w:hAnsi="Times New Roman" w:eastAsia="Times New Roman"/>
          <w:b/>
          <w:i w:val="0"/>
          <w:color w:val="000000"/>
          <w:sz w:val="24"/>
        </w:rPr>
        <w:t>2.5 Cross-domain measurement evaluation</w:t>
      </w:r>
    </w:p>
    <w:p w14:paraId="7E239D8D">
      <w:pPr>
        <w:pStyle w:val="18"/>
        <w:keepNext w:val="0"/>
        <w:spacing w:before="0" w:after="100" w:line="276" w:lineRule="auto"/>
        <w:ind w:firstLine="360"/>
        <w:jc w:val="both"/>
      </w:pPr>
      <w:r>
        <w:rPr>
          <w:rFonts w:ascii="Arial" w:hAnsi="Arial"/>
        </w:rPr>
        <w:t>On RAV, artery Dice, vein Dice, mean artery/vein Dice, type accuracy on reference vessel pixels, and artery/vein ratio error characterized the frozen upstream VascX identity system. Because RAV also supported separate UDCT corrector development, these results were not interpreted as independent validation of UDCT. Final-stack validation was locked to Fundus-AVSeg: frozen VascX, Mass-UDCT, and Factorized-UDCT were evaluated without training, early stopping, calibration, or threshold selection on its images. Paired bootstrap confidence intervals were calculated at image level.</w:t>
      </w:r>
    </w:p>
    <w:p w14:paraId="26A05EE8">
      <w:pPr>
        <w:pStyle w:val="18"/>
        <w:keepNext w:val="0"/>
        <w:spacing w:before="0" w:after="100" w:line="276" w:lineRule="auto"/>
        <w:ind w:firstLine="360"/>
        <w:jc w:val="both"/>
      </w:pPr>
      <w:r>
        <w:rPr>
          <w:rFonts w:ascii="Arial" w:hAnsi="Arial"/>
        </w:rPr>
        <w:t>Disease and image-quality strata were used to identify failure domains rather than to retune the locked models. This distinction preserves the independent status of the Fundus-AVSeg evaluation while exposing where the measurement system degrades.</w:t>
      </w:r>
    </w:p>
    <w:p w14:paraId="69574EC3">
      <w:pPr>
        <w:pStyle w:val="4"/>
        <w:keepNext/>
        <w:spacing w:before="200" w:after="120" w:line="240" w:lineRule="auto"/>
        <w:jc w:val="left"/>
      </w:pPr>
      <w:r>
        <w:rPr>
          <w:rFonts w:ascii="Times New Roman" w:hAnsi="Times New Roman" w:eastAsia="Times New Roman"/>
          <w:b/>
          <w:i w:val="0"/>
          <w:color w:val="000000"/>
          <w:sz w:val="24"/>
        </w:rPr>
        <w:t>2.6 Patient-level modelling, normative deviation, and evidence gating</w:t>
      </w:r>
    </w:p>
    <w:p w14:paraId="57F18970">
      <w:pPr>
        <w:pStyle w:val="18"/>
        <w:keepNext w:val="0"/>
        <w:spacing w:before="0" w:after="100" w:line="276" w:lineRule="auto"/>
        <w:ind w:firstLine="360"/>
        <w:jc w:val="both"/>
      </w:pPr>
      <w:r>
        <w:rPr>
          <w:rFonts w:ascii="Times New Roman" w:hAnsi="Times New Roman" w:eastAsia="Times New Roman"/>
          <w:b w:val="0"/>
          <w:i w:val="0"/>
          <w:color w:val="000000"/>
          <w:sz w:val="24"/>
        </w:rPr>
        <w:t>The direct CIMT experiments used five outer patient folds with three-fold inner tuning and 5,000 paired patient-level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pStyle w:val="18"/>
        <w:keepNext w:val="0"/>
        <w:spacing w:before="0" w:after="100" w:line="276" w:lineRule="auto"/>
        <w:ind w:firstLine="360"/>
        <w:jc w:val="both"/>
      </w:pPr>
      <w:r>
        <w:rPr>
          <w:rFonts w:ascii="Arial" w:hAnsi="Arial"/>
        </w:rPr>
        <w:t>Because direct fusion primarily recapitulated age, E7 estimated an age- and sex-conditional normative CIMT mean and scale within each outer-training fold. Out-of-fold standardized deviation was then predicted from compact vascular phenotypes. E8 additionally removed the age and sex expectation from every phenotype inside the outer-training fold and repeated outer cross-fitting across five fixed seeds. The selected E8-B regression model and E8-D classification model were frozen before one-shot E9 validation.</w:t>
      </w:r>
    </w:p>
    <w:p w14:paraId="563BF434">
      <w:pPr>
        <w:pStyle w:val="18"/>
        <w:keepNext/>
        <w:spacing w:before="0" w:after="40" w:line="276" w:lineRule="auto"/>
        <w:jc w:val="both"/>
      </w:pPr>
      <w:r>
        <w:rPr>
          <w:rFonts w:ascii="Arial" w:hAnsi="Arial"/>
        </w:rPr>
        <w:t>For patient i in outer fold k, the conditional CIMT mean, conditional CIMT scale, and expected value of each retinal phenotype were estimated only from the corresponding outer-training data. The fold-specific retinal model predicted orthogonalized conditional deviation, after which CIMT was reconstructed on its original scale:</w:t>
      </w:r>
    </w:p>
    <w:p w14:paraId="198EF2BF">
      <w:pPr>
        <w:keepLines/>
        <w:tabs>
          <w:tab w:pos="4680" w:val="center"/>
          <w:tab w:pos="9360" w:val="right"/>
        </w:tabs>
        <w:spacing w:before="60" w:after="60" w:line="240" w:lineRule="auto"/>
        <w:jc w:val="center"/>
        <w:rPr>
          <w:sz w:val="20"/>
          <w:szCs w:val="20"/>
        </w:rPr>
      </w:pPr>
      <w:r>
        <w:tab/>
      </w:r>
      <m:oMath>
        <m:box>
          <m:e>
            <m:sSubSup>
              <m:e>
                <m:r>
                  <m:rPr>
                    <m:sty m:val="i"/>
                  </m:rPr>
                  <m:t>z</m:t>
                </m:r>
              </m:e>
              <m:sub>
                <m:box>
                  <m:e>
                    <m:r>
                      <m:rPr>
                        <m:sty m:val="i"/>
                      </m:rPr>
                      <m:t>i</m:t>
                    </m:r>
                  </m:e>
                </m:box>
              </m:sub>
              <m:sup>
                <m:box>
                  <m:e>
                    <m:box>
                      <m:e>
                        <m:r>
                          <m:rPr>
                            <m:sty m:val="p"/>
                          </m:rPr>
                          <m:t>C</m:t>
                        </m:r>
                        <m:r>
                          <m:rPr>
                            <m:sty m:val="p"/>
                          </m:rPr>
                          <m:t>I</m:t>
                        </m:r>
                        <m:r>
                          <m:rPr>
                            <m:sty m:val="p"/>
                          </m:rPr>
                          <m:t>M</m:t>
                        </m:r>
                        <m:r>
                          <m:rPr>
                            <m:sty m:val="p"/>
                          </m:rPr>
                          <m:t>T</m:t>
                        </m:r>
                      </m:e>
                    </m:box>
                  </m:e>
                </m:box>
              </m:sup>
            </m:sSubSup>
            <m:r>
              <m:rPr>
                <m:sty m:val="p"/>
              </m:rPr>
              <m:t>=</m:t>
            </m:r>
            <m:f>
              <m:num>
                <m:box>
                  <m:e>
                    <m:sSub>
                      <m:e>
                        <m:r>
                          <m:rPr>
                            <m:sty m:val="i"/>
                          </m:rPr>
                          <m:t>y</m:t>
                        </m:r>
                      </m:e>
                      <m:sub>
                        <m:box>
                          <m:e>
                            <m:r>
                              <m:rPr>
                                <m:sty m:val="i"/>
                              </m:rPr>
                              <m:t>i</m:t>
                            </m:r>
                          </m:e>
                        </m:box>
                      </m:sub>
                    </m:sSub>
                    <m:r>
                      <m:rPr>
                        <m:sty m:val="p"/>
                      </m:rPr>
                      <m:t>−</m:t>
                    </m:r>
                    <m:sSub>
                      <m:e>
                        <m:acc>
                          <m:accPr>
                            <m:chr m:val="ˆ"/>
                          </m:accPr>
                          <m:e>
                            <m:box>
                              <m:e>
                                <m:r>
                                  <m:rPr>
                                    <m:sty m:val="i"/>
                                  </m:rPr>
                                  <m:t>μ</m:t>
                                </m:r>
                              </m:e>
                            </m:box>
                          </m:e>
                        </m:acc>
                      </m:e>
                      <m:sub>
                        <m:box>
                          <m:e>
                            <m:r>
                              <m:rPr>
                                <m:sty m:val="p"/>
                              </m:rPr>
                              <m:t>−</m:t>
                            </m:r>
                            <m:r>
                              <m:rPr>
                                <m:sty m:val="i"/>
                              </m:rPr>
                              <m:t>k</m:t>
                            </m:r>
                          </m:e>
                        </m:box>
                      </m:sub>
                    </m:sSub>
                    <m:r>
                      <m:rPr>
                        <m:sty m:val="p"/>
                      </m:rPr>
                      <m:t>(</m:t>
                    </m:r>
                    <m:sSub>
                      <m:e>
                        <m:r>
                          <m:rPr>
                            <m:sty m:val="i"/>
                          </m:rPr>
                          <m:t>a</m:t>
                        </m:r>
                      </m:e>
                      <m:sub>
                        <m:box>
                          <m:e>
                            <m:r>
                              <m:rPr>
                                <m:sty m:val="i"/>
                              </m:rPr>
                              <m:t>i</m:t>
                            </m:r>
                          </m:e>
                        </m:box>
                      </m:sub>
                    </m:sSub>
                    <m:r>
                      <m:rPr>
                        <m:sty m:val="p"/>
                      </m:rPr>
                      <m:t>,</m:t>
                    </m:r>
                    <m:sSub>
                      <m:e>
                        <m:r>
                          <m:rPr>
                            <m:sty m:val="i"/>
                          </m:rPr>
                          <m:t>s</m:t>
                        </m:r>
                      </m:e>
                      <m:sub>
                        <m:box>
                          <m:e>
                            <m:r>
                              <m:rPr>
                                <m:sty m:val="i"/>
                              </m:rPr>
                              <m:t>i</m:t>
                            </m:r>
                          </m:e>
                        </m:box>
                      </m:sub>
                    </m:sSub>
                    <m:r>
                      <m:rPr>
                        <m:sty m:val="p"/>
                      </m:rPr>
                      <m:t>)</m:t>
                    </m:r>
                  </m:e>
                </m:box>
              </m:num>
              <m:den>
                <m:box>
                  <m:e>
                    <m:sSub>
                      <m:e>
                        <m:acc>
                          <m:accPr>
                            <m:chr m:val="ˆ"/>
                          </m:accPr>
                          <m:e>
                            <m:box>
                              <m:e>
                                <m:r>
                                  <m:rPr>
                                    <m:sty m:val="i"/>
                                  </m:rPr>
                                  <m:t>σ</m:t>
                                </m:r>
                              </m:e>
                            </m:box>
                          </m:e>
                        </m:acc>
                      </m:e>
                      <m:sub>
                        <m:box>
                          <m:e>
                            <m:r>
                              <m:rPr>
                                <m:sty m:val="p"/>
                              </m:rPr>
                              <m:t>−</m:t>
                            </m:r>
                            <m:r>
                              <m:rPr>
                                <m:sty m:val="i"/>
                              </m:rPr>
                              <m:t>k</m:t>
                            </m:r>
                          </m:e>
                        </m:box>
                      </m:sub>
                    </m:sSub>
                    <m:r>
                      <m:rPr>
                        <m:sty m:val="p"/>
                      </m:rPr>
                      <m:t>(</m:t>
                    </m:r>
                    <m:sSub>
                      <m:e>
                        <m:r>
                          <m:rPr>
                            <m:sty m:val="i"/>
                          </m:rPr>
                          <m:t>a</m:t>
                        </m:r>
                      </m:e>
                      <m:sub>
                        <m:box>
                          <m:e>
                            <m:r>
                              <m:rPr>
                                <m:sty m:val="i"/>
                              </m:rPr>
                              <m:t>i</m:t>
                            </m:r>
                          </m:e>
                        </m:box>
                      </m:sub>
                    </m:sSub>
                    <m:r>
                      <m:rPr>
                        <m:sty m:val="p"/>
                      </m:rPr>
                      <m:t>,</m:t>
                    </m:r>
                    <m:sSub>
                      <m:e>
                        <m:r>
                          <m:rPr>
                            <m:sty m:val="i"/>
                          </m:rPr>
                          <m:t>s</m:t>
                        </m:r>
                      </m:e>
                      <m:sub>
                        <m:box>
                          <m:e>
                            <m:r>
                              <m:rPr>
                                <m:sty m:val="i"/>
                              </m:rPr>
                              <m:t>i</m:t>
                            </m:r>
                          </m:e>
                        </m:box>
                      </m:sub>
                    </m:sSub>
                    <m:r>
                      <m:rPr>
                        <m:sty m:val="p"/>
                      </m:rPr>
                      <m:t>)</m:t>
                    </m:r>
                  </m:e>
                </m:box>
              </m:den>
            </m:f>
          </m:e>
        </m:box>
      </m:oMath>
      <w:r>
        <w:rPr>
          <w:rFonts w:ascii="Times New Roman" w:hAnsi="Times New Roman"/>
          <w:sz w:val="20"/>
        </w:rPr>
        <w:tab/>
        <w:t>(6a)</w:t>
      </w:r>
    </w:p>
    <w:p>
      <w:pPr>
        <w:keepLines/>
        <w:tabs>
          <w:tab w:pos="4680" w:val="center"/>
          <w:tab w:pos="4680" w:val="center"/>
          <w:tab w:pos="9360" w:val="right"/>
          <w:tab w:pos="9360" w:val="right"/>
        </w:tabs>
        <w:spacing w:before="60" w:after="60" w:line="240" w:lineRule="auto"/>
        <w:jc w:val="center"/>
        <w:rPr>
          <w:sz w:val="20"/>
          <w:szCs w:val="20"/>
        </w:rPr>
      </w:pPr>
      <w:r>
        <w:tab/>
      </w:r>
      <m:oMath>
        <m:box>
          <m:e>
            <m:sSubSup>
              <m:e>
                <m:r>
                  <m:rPr>
                    <m:sty m:val="i"/>
                  </m:rPr>
                  <m:t>ϕ</m:t>
                </m:r>
              </m:e>
              <m:sub>
                <m:box>
                  <m:e>
                    <m:r>
                      <m:rPr>
                        <m:sty m:val="i"/>
                      </m:rPr>
                      <m:t>i</m:t>
                    </m:r>
                    <m:r>
                      <m:rPr>
                        <m:sty m:val="i"/>
                      </m:rPr>
                      <m:t>j</m:t>
                    </m:r>
                  </m:e>
                </m:box>
              </m:sub>
              <m:sup>
                <m:box>
                  <m:e>
                    <m:r>
                      <m:rPr>
                        <m:sty m:val="i"/>
                      </m:rPr>
                      <m:t>⟂</m:t>
                    </m:r>
                  </m:e>
                </m:box>
              </m:sup>
            </m:sSubSup>
            <m:r>
              <m:rPr>
                <m:sty m:val="p"/>
              </m:rPr>
              <m:t>=</m:t>
            </m:r>
            <m:sSub>
              <m:e>
                <m:r>
                  <m:rPr>
                    <m:sty m:val="i"/>
                  </m:rPr>
                  <m:t>ϕ</m:t>
                </m:r>
              </m:e>
              <m:sub>
                <m:box>
                  <m:e>
                    <m:r>
                      <m:rPr>
                        <m:sty m:val="i"/>
                      </m:rPr>
                      <m:t>i</m:t>
                    </m:r>
                    <m:r>
                      <m:rPr>
                        <m:sty m:val="i"/>
                      </m:rPr>
                      <m:t>j</m:t>
                    </m:r>
                  </m:e>
                </m:box>
              </m:sub>
            </m:sSub>
            <m:r>
              <m:rPr>
                <m:sty m:val="p"/>
              </m:rPr>
              <m:t>−</m:t>
            </m:r>
            <m:sSub>
              <m:e>
                <m:acc>
                  <m:accPr>
                    <m:chr m:val="ˆ"/>
                  </m:accPr>
                  <m:e>
                    <m:box>
                      <m:e>
                        <m:r>
                          <m:rPr>
                            <m:sty m:val="i"/>
                          </m:rPr>
                          <m:t>m</m:t>
                        </m:r>
                      </m:e>
                    </m:box>
                  </m:e>
                </m:acc>
              </m:e>
              <m:sub>
                <m:box>
                  <m:e>
                    <m:r>
                      <m:rPr>
                        <m:sty m:val="i"/>
                      </m:rPr>
                      <m:t>j</m:t>
                    </m:r>
                    <m:r>
                      <m:rPr>
                        <m:sty m:val="p"/>
                      </m:rPr>
                      <m:t>,</m:t>
                    </m:r>
                    <m:r>
                      <m:rPr>
                        <m:sty m:val="p"/>
                      </m:rPr>
                      <m:t>−</m:t>
                    </m:r>
                    <m:r>
                      <m:rPr>
                        <m:sty m:val="i"/>
                      </m:rPr>
                      <m:t>k</m:t>
                    </m:r>
                  </m:e>
                </m:box>
              </m:sub>
            </m:sSub>
            <m:r>
              <m:rPr>
                <m:sty m:val="p"/>
              </m:rPr>
              <m:t>(</m:t>
            </m:r>
            <m:sSub>
              <m:e>
                <m:r>
                  <m:rPr>
                    <m:sty m:val="i"/>
                  </m:rPr>
                  <m:t>a</m:t>
                </m:r>
              </m:e>
              <m:sub>
                <m:box>
                  <m:e>
                    <m:r>
                      <m:rPr>
                        <m:sty m:val="i"/>
                      </m:rPr>
                      <m:t>i</m:t>
                    </m:r>
                  </m:e>
                </m:box>
              </m:sub>
            </m:sSub>
            <m:r>
              <m:rPr>
                <m:sty m:val="p"/>
              </m:rPr>
              <m:t>,</m:t>
            </m:r>
            <m:sSub>
              <m:e>
                <m:r>
                  <m:rPr>
                    <m:sty m:val="i"/>
                  </m:rPr>
                  <m:t>s</m:t>
                </m:r>
              </m:e>
              <m:sub>
                <m:box>
                  <m:e>
                    <m:r>
                      <m:rPr>
                        <m:sty m:val="i"/>
                      </m:rPr>
                      <m:t>i</m:t>
                    </m:r>
                  </m:e>
                </m:box>
              </m:sub>
            </m:sSub>
            <m:r>
              <m:rPr>
                <m:sty m:val="p"/>
              </m:rPr>
              <m:t>)</m:t>
            </m:r>
          </m:e>
        </m:box>
      </m:oMath>
      <w:r>
        <w:rPr>
          <w:rFonts w:ascii="Times New Roman" w:hAnsi="Times New Roman"/>
          <w:sz w:val="20"/>
        </w:rPr>
        <w:tab/>
        <w:t>(6b)</w:t>
      </w:r>
    </w:p>
    <w:p>
      <w:pPr>
        <w:keepLines/>
        <w:tabs>
          <w:tab w:pos="4680" w:val="center"/>
          <w:tab w:pos="4680" w:val="center"/>
          <w:tab w:pos="4680" w:val="center"/>
          <w:tab w:pos="9360" w:val="right"/>
          <w:tab w:pos="9360" w:val="right"/>
          <w:tab w:pos="9360" w:val="right"/>
        </w:tabs>
        <w:spacing w:before="60" w:after="60" w:line="240" w:lineRule="auto"/>
        <w:jc w:val="center"/>
        <w:rPr>
          <w:sz w:val="20"/>
          <w:szCs w:val="20"/>
        </w:rPr>
      </w:pPr>
      <w:r>
        <w:tab/>
      </w:r>
      <m:oMath>
        <m:box>
          <m:e>
            <m:sSub>
              <m:e>
                <m:acc>
                  <m:accPr>
                    <m:chr m:val="ˆ"/>
                  </m:accPr>
                  <m:e>
                    <m:box>
                      <m:e>
                        <m:r>
                          <m:rPr>
                            <m:sty m:val="i"/>
                          </m:rPr>
                          <m:t>y</m:t>
                        </m:r>
                      </m:e>
                    </m:box>
                  </m:e>
                </m:acc>
              </m:e>
              <m:sub>
                <m:box>
                  <m:e>
                    <m:r>
                      <m:rPr>
                        <m:sty m:val="i"/>
                      </m:rPr>
                      <m:t>i</m:t>
                    </m:r>
                  </m:e>
                </m:box>
              </m:sub>
            </m:sSub>
            <m:r>
              <m:rPr>
                <m:sty m:val="p"/>
              </m:rPr>
              <m:t>=</m:t>
            </m:r>
            <m:sSub>
              <m:e>
                <m:acc>
                  <m:accPr>
                    <m:chr m:val="ˆ"/>
                  </m:accPr>
                  <m:e>
                    <m:box>
                      <m:e>
                        <m:r>
                          <m:rPr>
                            <m:sty m:val="i"/>
                          </m:rPr>
                          <m:t>μ</m:t>
                        </m:r>
                      </m:e>
                    </m:box>
                  </m:e>
                </m:acc>
              </m:e>
              <m:sub>
                <m:box>
                  <m:e>
                    <m:r>
                      <m:rPr>
                        <m:sty m:val="p"/>
                      </m:rPr>
                      <m:t>−</m:t>
                    </m:r>
                    <m:r>
                      <m:rPr>
                        <m:sty m:val="i"/>
                      </m:rPr>
                      <m:t>k</m:t>
                    </m:r>
                  </m:e>
                </m:box>
              </m:sub>
            </m:sSub>
            <m:r>
              <m:rPr>
                <m:sty m:val="p"/>
              </m:rPr>
              <m:t>(</m:t>
            </m:r>
            <m:sSub>
              <m:e>
                <m:r>
                  <m:rPr>
                    <m:sty m:val="i"/>
                  </m:rPr>
                  <m:t>a</m:t>
                </m:r>
              </m:e>
              <m:sub>
                <m:box>
                  <m:e>
                    <m:r>
                      <m:rPr>
                        <m:sty m:val="i"/>
                      </m:rPr>
                      <m:t>i</m:t>
                    </m:r>
                  </m:e>
                </m:box>
              </m:sub>
            </m:sSub>
            <m:r>
              <m:rPr>
                <m:sty m:val="p"/>
              </m:rPr>
              <m:t>,</m:t>
            </m:r>
            <m:sSub>
              <m:e>
                <m:r>
                  <m:rPr>
                    <m:sty m:val="i"/>
                  </m:rPr>
                  <m:t>s</m:t>
                </m:r>
              </m:e>
              <m:sub>
                <m:box>
                  <m:e>
                    <m:r>
                      <m:rPr>
                        <m:sty m:val="i"/>
                      </m:rPr>
                      <m:t>i</m:t>
                    </m:r>
                  </m:e>
                </m:box>
              </m:sub>
            </m:sSub>
            <m:r>
              <m:rPr>
                <m:sty m:val="p"/>
              </m:rPr>
              <m:t>)</m:t>
            </m:r>
            <m:r>
              <m:rPr>
                <m:sty m:val="p"/>
              </m:rPr>
              <m:t>+</m:t>
            </m:r>
            <m:sSub>
              <m:e>
                <m:acc>
                  <m:accPr>
                    <m:chr m:val="ˆ"/>
                  </m:accPr>
                  <m:e>
                    <m:box>
                      <m:e>
                        <m:r>
                          <m:rPr>
                            <m:sty m:val="i"/>
                          </m:rPr>
                          <m:t>σ</m:t>
                        </m:r>
                      </m:e>
                    </m:box>
                  </m:e>
                </m:acc>
              </m:e>
              <m:sub>
                <m:box>
                  <m:e>
                    <m:r>
                      <m:rPr>
                        <m:sty m:val="p"/>
                      </m:rPr>
                      <m:t>−</m:t>
                    </m:r>
                    <m:r>
                      <m:rPr>
                        <m:sty m:val="i"/>
                      </m:rPr>
                      <m:t>k</m:t>
                    </m:r>
                  </m:e>
                </m:box>
              </m:sub>
            </m:sSub>
            <m:r>
              <m:rPr>
                <m:sty m:val="p"/>
              </m:rPr>
              <m:t>(</m:t>
            </m:r>
            <m:sSub>
              <m:e>
                <m:r>
                  <m:rPr>
                    <m:sty m:val="i"/>
                  </m:rPr>
                  <m:t>a</m:t>
                </m:r>
              </m:e>
              <m:sub>
                <m:box>
                  <m:e>
                    <m:r>
                      <m:rPr>
                        <m:sty m:val="i"/>
                      </m:rPr>
                      <m:t>i</m:t>
                    </m:r>
                  </m:e>
                </m:box>
              </m:sub>
            </m:sSub>
            <m:r>
              <m:rPr>
                <m:sty m:val="p"/>
              </m:rPr>
              <m:t>,</m:t>
            </m:r>
            <m:sSub>
              <m:e>
                <m:r>
                  <m:rPr>
                    <m:sty m:val="i"/>
                  </m:rPr>
                  <m:t>s</m:t>
                </m:r>
              </m:e>
              <m:sub>
                <m:box>
                  <m:e>
                    <m:r>
                      <m:rPr>
                        <m:sty m:val="i"/>
                      </m:rPr>
                      <m:t>i</m:t>
                    </m:r>
                  </m:e>
                </m:box>
              </m:sub>
            </m:sSub>
            <m:r>
              <m:rPr>
                <m:sty m:val="p"/>
              </m:rPr>
              <m:t>)</m:t>
            </m:r>
            <m:r>
              <m:t> </m:t>
            </m:r>
            <m:sSub>
              <m:e>
                <m:r>
                  <m:rPr>
                    <m:sty m:val="i"/>
                  </m:rPr>
                  <m:t>h</m:t>
                </m:r>
              </m:e>
              <m:sub>
                <m:box>
                  <m:e>
                    <m:r>
                      <m:rPr>
                        <m:sty m:val="p"/>
                      </m:rPr>
                      <m:t>−</m:t>
                    </m:r>
                    <m:r>
                      <m:rPr>
                        <m:sty m:val="i"/>
                      </m:rPr>
                      <m:t>k</m:t>
                    </m:r>
                  </m:e>
                </m:box>
              </m:sub>
            </m:sSub>
            <m:r>
              <m:rPr>
                <m:sty m:val="p"/>
              </m:rPr>
              <m:t>(</m:t>
            </m:r>
            <m:sSubSup>
              <m:e>
                <m:box>
                  <m:e>
                    <m:r>
                      <m:rPr>
                        <m:sty m:val="bi"/>
                      </m:rPr>
                      <m:t>ϕ</m:t>
                    </m:r>
                  </m:e>
                </m:box>
              </m:e>
              <m:sub>
                <m:box>
                  <m:e>
                    <m:r>
                      <m:rPr>
                        <m:sty m:val="i"/>
                      </m:rPr>
                      <m:t>i</m:t>
                    </m:r>
                  </m:e>
                </m:box>
              </m:sub>
              <m:sup>
                <m:box>
                  <m:e>
                    <m:r>
                      <m:rPr>
                        <m:sty m:val="i"/>
                      </m:rPr>
                      <m:t>⟂</m:t>
                    </m:r>
                  </m:e>
                </m:box>
              </m:sup>
            </m:sSubSup>
            <m:r>
              <m:rPr>
                <m:sty m:val="p"/>
              </m:rPr>
              <m:t>)</m:t>
            </m:r>
          </m:e>
        </m:box>
      </m:oMath>
      <w:r>
        <w:rPr>
          <w:rFonts w:ascii="Times New Roman" w:hAnsi="Times New Roman"/>
          <w:sz w:val="20"/>
        </w:rPr>
        <w:tab/>
        <w:t>(6c)</w:t>
      </w:r>
    </w:p>
    <w:p w14:paraId="57F6AB84">
      <w:pPr>
        <w:pStyle w:val="18"/>
        <w:keepNext w:val="0"/>
        <w:spacing w:before="0" w:after="100" w:line="276" w:lineRule="auto"/>
        <w:ind w:firstLine="360"/>
        <w:jc w:val="both"/>
      </w:pPr>
      <w:r>
        <w:rPr>
          <w:rFonts w:ascii="Times New Roman" w:hAnsi="Times New Roman" w:eastAsia="Times New Roman"/>
          <w:b w:val="0"/>
          <w:i w:val="0"/>
          <w:color w:val="000000"/>
          <w:sz w:val="24"/>
        </w:rPr>
        <w:t>For mBRSET hypertension, the clinical baseline contained age, sex, and diabetes duration. The phenotype-core–augmented model added the ICC-gated phenotype core to the clinical baseline. Patient-grouped nested cross-validation produced out-of-fold probabilities. A transparently labelled secondary calibration rerun used outer-training cross-fitted Platt calibration and paired bootstrap comparisons; it was designed to determine whether any probability improvement was specific to the vascular core rather than to calibration itself.</w:t>
      </w:r>
    </w:p>
    <w:p w14:paraId="16C52242">
      <w:pPr>
        <w:pStyle w:val="4"/>
        <w:keepNext/>
        <w:spacing w:before="200" w:after="120" w:line="240" w:lineRule="auto"/>
        <w:jc w:val="left"/>
      </w:pPr>
      <w:r>
        <w:rPr>
          <w:rFonts w:ascii="Times New Roman" w:hAnsi="Times New Roman" w:eastAsia="Times New Roman"/>
          <w:b/>
          <w:i w:val="0"/>
          <w:color w:val="000000"/>
          <w:sz w:val="24"/>
        </w:rPr>
        <w:t>2.7 Reporting hierarchy</w:t>
      </w:r>
    </w:p>
    <w:p w14:paraId="21B21BE1">
      <w:pPr>
        <w:pStyle w:val="18"/>
        <w:keepNext w:val="0"/>
        <w:spacing w:before="0" w:after="100" w:line="276" w:lineRule="auto"/>
        <w:ind w:firstLine="360"/>
        <w:jc w:val="both"/>
      </w:pPr>
      <w:r>
        <w:rPr>
          <w:rFonts w:ascii="Arial" w:hAnsi="Arial"/>
        </w:rPr>
        <w:t>Evidence was classified as supported, exploratory, or not supported. Frozen upstream identity transfer, locked final-stack measurement validity, and outcome-blind repeatability were reported as separate claims. Patient-level signals remained exploratory unless reproduced in an independent, appropriately resolved outcome cohort. A favourable point estimate with a confidence interval crossing the null was not called confirmation. New analyses used only the CIMT training split; no fixed CIMT test was read.</w:t>
      </w:r>
    </w:p>
    <w:p w14:paraId="3442865A">
      <w:pPr>
        <w:pStyle w:val="3"/>
        <w:keepNext/>
        <w:spacing w:before="200" w:after="120" w:line="240" w:lineRule="auto"/>
        <w:jc w:val="left"/>
      </w:pPr>
      <w:r>
        <w:rPr>
          <w:rFonts w:ascii="Times New Roman" w:hAnsi="Times New Roman" w:eastAsia="Times New Roman"/>
          <w:b/>
          <w:i w:val="0"/>
          <w:color w:val="000000"/>
          <w:sz w:val="28"/>
        </w:rPr>
        <w:t>3. Results</w:t>
      </w:r>
    </w:p>
    <w:p w14:paraId="3309F225">
      <w:pPr>
        <w:pStyle w:val="4"/>
        <w:keepNext/>
        <w:spacing w:before="200" w:after="120" w:line="240" w:lineRule="auto"/>
        <w:jc w:val="left"/>
      </w:pPr>
      <w:r>
        <w:rPr>
          <w:rFonts w:ascii="Times New Roman" w:hAnsi="Times New Roman" w:eastAsia="Times New Roman"/>
          <w:b/>
          <w:i w:val="0"/>
          <w:color w:val="000000"/>
          <w:sz w:val="24"/>
        </w:rPr>
        <w:t>3.1 Cross-domain measurement validity was heterogeneous</w:t>
      </w:r>
    </w:p>
    <w:p w14:paraId="7783EE23">
      <w:pPr>
        <w:pStyle w:val="18"/>
        <w:keepNext w:val="0"/>
        <w:spacing w:before="0" w:after="100" w:line="276" w:lineRule="auto"/>
        <w:ind w:firstLine="360"/>
        <w:jc w:val="both"/>
      </w:pPr>
      <w:r>
        <w:rPr>
          <w:rFonts w:ascii="Arial" w:hAnsi="Arial"/>
        </w:rPr>
        <w:t>All 206 RAV images were evaluated. Mean artery Dice was 0.8119, mean vein Dice was 0.8393, mean artery/vein Dice was 0.8256, and type accuracy on reference vessel pixels was 0.8105. No global artery–vein identity swaps were observed. These values characterize transfer of the frozen upstream VascX identity representation to RAV; because RAV also supported residual-corrector development, they are not independent validation of UDCT.</w:t>
      </w:r>
    </w:p>
    <w:p w14:paraId="246E0BDE">
      <w:pPr>
        <w:pStyle w:val="18"/>
        <w:keepNext w:val="0"/>
        <w:spacing w:before="0" w:after="100" w:line="276" w:lineRule="auto"/>
        <w:ind w:firstLine="360"/>
        <w:jc w:val="both"/>
      </w:pPr>
      <w:r>
        <w:rPr>
          <w:rFonts w:ascii="Times New Roman" w:hAnsi="Times New Roman" w:eastAsia="Times New Roman"/>
          <w:b w:val="0"/>
          <w:i w:val="0"/>
          <w:color w:val="000000"/>
          <w:sz w:val="24"/>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pStyle w:val="18"/>
        <w:keepNext w:val="0"/>
        <w:spacing w:before="0" w:after="100" w:line="276" w:lineRule="auto"/>
        <w:ind w:firstLine="360"/>
        <w:jc w:val="both"/>
      </w:pPr>
      <w:r>
        <w:rPr>
          <w:rFonts w:ascii="Times New Roman" w:hAnsi="Times New Roman" w:eastAsia="Times New Roman"/>
          <w:b w:val="0"/>
          <w:i w:val="0"/>
          <w:color w:val="000000"/>
          <w:sz w:val="24"/>
        </w:rPr>
        <w:t>Absolute external performance remained moderate and strongly heterogeneous. For the Mass-UDCT readout, mean artery/vein Dice was 0.5743 in normal images, 0.5844 in AMD, 0.5808 in glaucoma, and 0.5037 in diabetic retinopathy. High-quality images achieved 0.5783 versus 0.4914 in low-quality images. Figure 3 pairs real external images and masks with the prespecified disease and image-quality failure domains.</w:t>
      </w:r>
    </w:p>
    <w:p w14:paraId="68F1762E">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0867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086986"/>
                    </a:xfrm>
                    <a:prstGeom prst="rect">
                      <a:avLst/>
                    </a:prstGeom>
                  </pic:spPr>
                </pic:pic>
              </a:graphicData>
            </a:graphic>
          </wp:inline>
        </w:drawing>
      </w:r>
    </w:p>
    <w:p w14:paraId="3C5232CE">
      <w:pPr>
        <w:keepNext/>
        <w:keepLines/>
        <w:spacing w:before="40" w:after="120" w:line="240" w:lineRule="auto"/>
        <w:jc w:val="both"/>
      </w:pPr>
      <w:r>
        <w:rPr>
          <w:rFonts w:ascii="Times New Roman" w:hAnsi="Times New Roman" w:eastAsia="Times New Roman"/>
          <w:b/>
          <w:i/>
          <w:color w:val="000000"/>
          <w:sz w:val="24"/>
        </w:rPr>
        <w:t>Figure 3. Cross-domain measurement validity and failure domains. Panel A shows real RAV and Fundus-AVSeg photographs together with the locked reference and dual-readout outputs for a low-quality glaucoma example. Panel B compares exact Fundus-AVSeg metrics. Panels C–D show disease- and acquisition-quality strata for the Mass-UDCT readout. The paired gain transferred across all 100 images, but absolute performance remained moderate and degraded most in diabetic retinopathy and low-quality photographs.</w:t>
      </w:r>
    </w:p>
    <w:p w14:paraId="178159CD">
      <w:pPr>
        <w:keepNext/>
        <w:spacing w:before="40" w:after="120" w:line="240" w:lineRule="auto"/>
        <w:jc w:val="both"/>
      </w:pPr>
      <w:r>
        <w:rPr>
          <w:rFonts w:ascii="Times New Roman" w:hAnsi="Times New Roman" w:eastAsia="Times New Roman"/>
          <w:b/>
          <w:i/>
          <w:color w:val="000000"/>
          <w:sz w:val="24"/>
        </w:rPr>
        <w:t>Table 2. External measurement performance. Lower is better only for A/V ratio log error.</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7"/>
        <w:gridCol w:w="1440"/>
        <w:gridCol w:w="1051"/>
        <w:gridCol w:w="1051"/>
        <w:gridCol w:w="1008"/>
        <w:gridCol w:w="1181"/>
        <w:gridCol w:w="1123"/>
        <w:gridCol w:w="1224"/>
      </w:tblGrid>
      <w:tr w14:paraId="478A8751">
        <w:trPr>
          <w:tblHeader/>
          <w:jc w:val="center"/>
        </w:trPr>
        <w:tc>
          <w:tcPr>
            <w:tcW w:w="1267" w:type="dxa"/>
            <w:shd w:val="clear" w:color="auto" w:fill="48345F"/>
            <w:tcMar>
              <w:top w:w="75" w:type="dxa"/>
              <w:left w:w="85" w:type="dxa"/>
              <w:bottom w:w="75" w:type="dxa"/>
              <w:right w:w="85" w:type="dxa"/>
            </w:tcMar>
            <w:vAlign w:val="center"/>
          </w:tcPr>
          <w:p w14:paraId="2BCCB7FA">
            <w:pPr>
              <w:spacing w:after="0" w:line="240" w:lineRule="auto" w:before="0"/>
              <w:jc w:val="center"/>
            </w:pPr>
            <w:r>
              <w:rPr>
                <w:rFonts w:ascii="Times New Roman" w:hAnsi="Times New Roman" w:eastAsia="Times New Roman"/>
                <w:b/>
                <w:i w:val="0"/>
                <w:color w:val="000000"/>
                <w:sz w:val="21"/>
              </w:rPr>
              <w:t>Cohort</w:t>
            </w:r>
          </w:p>
        </w:tc>
        <w:tc>
          <w:tcPr>
            <w:tcW w:w="1440" w:type="dxa"/>
            <w:shd w:val="clear" w:color="auto" w:fill="48345F"/>
            <w:tcMar>
              <w:top w:w="75" w:type="dxa"/>
              <w:left w:w="85" w:type="dxa"/>
              <w:bottom w:w="75" w:type="dxa"/>
              <w:right w:w="85" w:type="dxa"/>
            </w:tcMar>
            <w:vAlign w:val="center"/>
          </w:tcPr>
          <w:p w14:paraId="2B32D46E">
            <w:pPr>
              <w:spacing w:after="0" w:line="240" w:lineRule="auto" w:before="0"/>
              <w:jc w:val="center"/>
            </w:pPr>
            <w:r>
              <w:rPr>
                <w:rFonts w:ascii="Times New Roman" w:hAnsi="Times New Roman" w:eastAsia="Times New Roman"/>
                <w:b/>
                <w:i w:val="0"/>
                <w:color w:val="000000"/>
                <w:sz w:val="21"/>
              </w:rPr>
              <w:t>Readout</w:t>
            </w:r>
          </w:p>
        </w:tc>
        <w:tc>
          <w:tcPr>
            <w:tcW w:w="1051" w:type="dxa"/>
            <w:shd w:val="clear" w:color="auto" w:fill="48345F"/>
            <w:tcMar>
              <w:top w:w="75" w:type="dxa"/>
              <w:left w:w="85" w:type="dxa"/>
              <w:bottom w:w="75" w:type="dxa"/>
              <w:right w:w="85" w:type="dxa"/>
            </w:tcMar>
            <w:vAlign w:val="center"/>
          </w:tcPr>
          <w:p w14:paraId="531EBCB0">
            <w:pPr>
              <w:spacing w:after="0" w:line="240" w:lineRule="auto" w:before="0"/>
              <w:jc w:val="center"/>
            </w:pPr>
            <w:r>
              <w:rPr>
                <w:rFonts w:ascii="Times New Roman" w:hAnsi="Times New Roman" w:eastAsia="Times New Roman"/>
                <w:b/>
                <w:i w:val="0"/>
                <w:color w:val="000000"/>
                <w:sz w:val="21"/>
              </w:rPr>
              <w:t>Vessel Dice</w:t>
            </w:r>
          </w:p>
        </w:tc>
        <w:tc>
          <w:tcPr>
            <w:tcW w:w="1051" w:type="dxa"/>
            <w:shd w:val="clear" w:color="auto" w:fill="48345F"/>
            <w:tcMar>
              <w:top w:w="75" w:type="dxa"/>
              <w:left w:w="85" w:type="dxa"/>
              <w:bottom w:w="75" w:type="dxa"/>
              <w:right w:w="85" w:type="dxa"/>
            </w:tcMar>
            <w:vAlign w:val="center"/>
          </w:tcPr>
          <w:p w14:paraId="505AD61E">
            <w:pPr>
              <w:spacing w:after="0" w:line="240" w:lineRule="auto" w:before="0"/>
              <w:jc w:val="center"/>
            </w:pPr>
            <w:r>
              <w:rPr>
                <w:rFonts w:ascii="Times New Roman" w:hAnsi="Times New Roman" w:eastAsia="Times New Roman"/>
                <w:b/>
                <w:i w:val="0"/>
                <w:color w:val="000000"/>
                <w:sz w:val="21"/>
              </w:rPr>
              <w:t>Artery Dice</w:t>
            </w:r>
          </w:p>
        </w:tc>
        <w:tc>
          <w:tcPr>
            <w:tcW w:w="1008" w:type="dxa"/>
            <w:shd w:val="clear" w:color="auto" w:fill="48345F"/>
            <w:tcMar>
              <w:top w:w="75" w:type="dxa"/>
              <w:left w:w="85" w:type="dxa"/>
              <w:bottom w:w="75" w:type="dxa"/>
              <w:right w:w="85" w:type="dxa"/>
            </w:tcMar>
            <w:vAlign w:val="center"/>
          </w:tcPr>
          <w:p w14:paraId="7FD8E1E3">
            <w:pPr>
              <w:spacing w:after="0" w:line="240" w:lineRule="auto" w:before="0"/>
              <w:jc w:val="center"/>
            </w:pPr>
            <w:r>
              <w:rPr>
                <w:rFonts w:ascii="Times New Roman" w:hAnsi="Times New Roman" w:eastAsia="Times New Roman"/>
                <w:b/>
                <w:i w:val="0"/>
                <w:color w:val="000000"/>
                <w:sz w:val="21"/>
              </w:rPr>
              <w:t>Vein Dice</w:t>
            </w:r>
          </w:p>
        </w:tc>
        <w:tc>
          <w:tcPr>
            <w:tcW w:w="1181" w:type="dxa"/>
            <w:shd w:val="clear" w:color="auto" w:fill="48345F"/>
            <w:tcMar>
              <w:top w:w="75" w:type="dxa"/>
              <w:left w:w="85" w:type="dxa"/>
              <w:bottom w:w="75" w:type="dxa"/>
              <w:right w:w="85" w:type="dxa"/>
            </w:tcMar>
            <w:vAlign w:val="center"/>
          </w:tcPr>
          <w:p w14:paraId="58582E2C">
            <w:pPr>
              <w:spacing w:after="0" w:line="240" w:lineRule="auto" w:before="0"/>
              <w:jc w:val="center"/>
            </w:pPr>
            <w:r>
              <w:rPr>
                <w:rFonts w:ascii="Times New Roman" w:hAnsi="Times New Roman" w:eastAsia="Times New Roman"/>
                <w:b/>
                <w:i w:val="0"/>
                <w:color w:val="000000"/>
                <w:sz w:val="21"/>
              </w:rPr>
              <w:t>Mean A/V Dice</w:t>
            </w:r>
          </w:p>
        </w:tc>
        <w:tc>
          <w:tcPr>
            <w:tcW w:w="1123" w:type="dxa"/>
            <w:shd w:val="clear" w:color="auto" w:fill="48345F"/>
            <w:tcMar>
              <w:top w:w="75" w:type="dxa"/>
              <w:left w:w="85" w:type="dxa"/>
              <w:bottom w:w="75" w:type="dxa"/>
              <w:right w:w="85" w:type="dxa"/>
            </w:tcMar>
            <w:vAlign w:val="center"/>
          </w:tcPr>
          <w:p w14:paraId="3488F0C7">
            <w:pPr>
              <w:spacing w:after="0" w:line="240" w:lineRule="auto" w:before="0"/>
              <w:jc w:val="center"/>
            </w:pPr>
            <w:r>
              <w:rPr>
                <w:rFonts w:ascii="Times New Roman" w:hAnsi="Times New Roman" w:eastAsia="Times New Roman"/>
                <w:b/>
                <w:i w:val="0"/>
                <w:color w:val="000000"/>
                <w:sz w:val="21"/>
              </w:rPr>
              <w:t>Type accuracy</w:t>
            </w:r>
          </w:p>
        </w:tc>
        <w:tc>
          <w:tcPr>
            <w:tcW w:w="1224" w:type="dxa"/>
            <w:shd w:val="clear" w:color="auto" w:fill="48345F"/>
            <w:tcMar>
              <w:top w:w="75" w:type="dxa"/>
              <w:left w:w="85" w:type="dxa"/>
              <w:bottom w:w="75" w:type="dxa"/>
              <w:right w:w="85" w:type="dxa"/>
            </w:tcMar>
            <w:vAlign w:val="center"/>
          </w:tcPr>
          <w:p w14:paraId="4C8E7532">
            <w:pPr>
              <w:spacing w:after="0" w:line="240" w:lineRule="auto" w:before="0"/>
              <w:jc w:val="center"/>
            </w:pPr>
            <w:r>
              <w:rPr>
                <w:rFonts w:ascii="Times New Roman" w:hAnsi="Times New Roman" w:eastAsia="Times New Roman"/>
                <w:b/>
                <w:i w:val="0"/>
                <w:color w:val="000000"/>
                <w:sz w:val="21"/>
              </w:rPr>
              <w:t>A/V ratio error</w:t>
            </w:r>
          </w:p>
        </w:tc>
      </w:tr>
      <w:tr w14:paraId="7EFC6277">
        <w:trPr>
          <w:cantSplit/>
          <w:jc w:val="center"/>
        </w:trPr>
        <w:tc>
          <w:tcPr>
            <w:tcW w:w="1267" w:type="dxa"/>
            <w:shd w:val="clear" w:color="auto" w:fill="F3EDF9"/>
            <w:tcMar>
              <w:top w:w="75" w:type="dxa"/>
              <w:left w:w="85" w:type="dxa"/>
              <w:bottom w:w="75" w:type="dxa"/>
              <w:right w:w="85" w:type="dxa"/>
            </w:tcMar>
            <w:vAlign w:val="center"/>
          </w:tcPr>
          <w:p w14:paraId="50090188">
            <w:pPr>
              <w:spacing w:after="0" w:line="240" w:lineRule="auto" w:before="0"/>
              <w:jc w:val="left"/>
            </w:pPr>
            <w:r>
              <w:rPr>
                <w:rFonts w:ascii="Times New Roman" w:hAnsi="Times New Roman" w:eastAsia="Times New Roman"/>
                <w:b w:val="0"/>
                <w:i w:val="0"/>
                <w:color w:val="000000"/>
                <w:sz w:val="21"/>
              </w:rPr>
              <w:t>RAV</w:t>
            </w:r>
          </w:p>
        </w:tc>
        <w:tc>
          <w:tcPr>
            <w:tcW w:w="1440" w:type="dxa"/>
            <w:shd w:val="clear" w:color="auto" w:fill="F3EDF9"/>
            <w:tcMar>
              <w:top w:w="75" w:type="dxa"/>
              <w:left w:w="85" w:type="dxa"/>
              <w:bottom w:w="75" w:type="dxa"/>
              <w:right w:w="85" w:type="dxa"/>
            </w:tcMar>
            <w:vAlign w:val="center"/>
          </w:tcPr>
          <w:p w14:paraId="0BBAA9AE">
            <w:pPr>
              <w:spacing w:after="0" w:line="240" w:lineRule="auto" w:before="0"/>
              <w:jc w:val="left"/>
            </w:pPr>
            <w:r>
              <w:rPr>
                <w:rFonts w:ascii="Times New Roman" w:hAnsi="Times New Roman" w:eastAsia="Times New Roman"/>
                <w:b w:val="0"/>
                <w:i w:val="0"/>
                <w:color w:val="000000"/>
                <w:sz w:val="21"/>
              </w:rPr>
              <w:t>VascX</w:t>
            </w:r>
          </w:p>
        </w:tc>
        <w:tc>
          <w:tcPr>
            <w:tcW w:w="1051" w:type="dxa"/>
            <w:shd w:val="clear" w:color="auto" w:fill="F3EDF9"/>
            <w:tcMar>
              <w:top w:w="75" w:type="dxa"/>
              <w:left w:w="85" w:type="dxa"/>
              <w:bottom w:w="75" w:type="dxa"/>
              <w:right w:w="85" w:type="dxa"/>
            </w:tcMar>
            <w:vAlign w:val="center"/>
          </w:tcPr>
          <w:p w14:paraId="7EDA0A2B">
            <w:pPr>
              <w:spacing w:after="0" w:line="240" w:lineRule="auto" w:before="0"/>
              <w:jc w:val="left"/>
            </w:pPr>
            <w:r>
              <w:rPr>
                <w:rFonts w:ascii="Times New Roman" w:hAnsi="Times New Roman" w:eastAsia="Times New Roman"/>
                <w:b w:val="0"/>
                <w:i w:val="0"/>
                <w:color w:val="000000"/>
                <w:sz w:val="21"/>
              </w:rPr>
              <w:t>—</w:t>
            </w:r>
          </w:p>
        </w:tc>
        <w:tc>
          <w:tcPr>
            <w:tcW w:w="1051" w:type="dxa"/>
            <w:shd w:val="clear" w:color="auto" w:fill="F3EDF9"/>
            <w:tcMar>
              <w:top w:w="75" w:type="dxa"/>
              <w:left w:w="85" w:type="dxa"/>
              <w:bottom w:w="75" w:type="dxa"/>
              <w:right w:w="85" w:type="dxa"/>
            </w:tcMar>
            <w:vAlign w:val="center"/>
          </w:tcPr>
          <w:p w14:paraId="02DCC868">
            <w:pPr>
              <w:spacing w:after="0" w:line="240" w:lineRule="auto" w:before="0"/>
              <w:jc w:val="left"/>
            </w:pPr>
            <w:r>
              <w:rPr>
                <w:rFonts w:ascii="Times New Roman" w:hAnsi="Times New Roman" w:eastAsia="Times New Roman"/>
                <w:b w:val="0"/>
                <w:i w:val="0"/>
                <w:color w:val="000000"/>
                <w:sz w:val="21"/>
              </w:rPr>
              <w:t>0.8119</w:t>
            </w:r>
          </w:p>
        </w:tc>
        <w:tc>
          <w:tcPr>
            <w:tcW w:w="1008" w:type="dxa"/>
            <w:shd w:val="clear" w:color="auto" w:fill="F3EDF9"/>
            <w:tcMar>
              <w:top w:w="75" w:type="dxa"/>
              <w:left w:w="85" w:type="dxa"/>
              <w:bottom w:w="75" w:type="dxa"/>
              <w:right w:w="85" w:type="dxa"/>
            </w:tcMar>
            <w:vAlign w:val="center"/>
          </w:tcPr>
          <w:p w14:paraId="519AB7E0">
            <w:pPr>
              <w:spacing w:after="0" w:line="240" w:lineRule="auto" w:before="0"/>
              <w:jc w:val="left"/>
            </w:pPr>
            <w:r>
              <w:rPr>
                <w:rFonts w:ascii="Times New Roman" w:hAnsi="Times New Roman" w:eastAsia="Times New Roman"/>
                <w:b w:val="0"/>
                <w:i w:val="0"/>
                <w:color w:val="000000"/>
                <w:sz w:val="21"/>
              </w:rPr>
              <w:t>0.8393</w:t>
            </w:r>
          </w:p>
        </w:tc>
        <w:tc>
          <w:tcPr>
            <w:tcW w:w="1181" w:type="dxa"/>
            <w:shd w:val="clear" w:color="auto" w:fill="F3EDF9"/>
            <w:tcMar>
              <w:top w:w="75" w:type="dxa"/>
              <w:left w:w="85" w:type="dxa"/>
              <w:bottom w:w="75" w:type="dxa"/>
              <w:right w:w="85" w:type="dxa"/>
            </w:tcMar>
            <w:vAlign w:val="center"/>
          </w:tcPr>
          <w:p w14:paraId="6FC64B42">
            <w:pPr>
              <w:spacing w:after="0" w:line="240" w:lineRule="auto" w:before="0"/>
              <w:jc w:val="left"/>
            </w:pPr>
            <w:r>
              <w:rPr>
                <w:rFonts w:ascii="Times New Roman" w:hAnsi="Times New Roman" w:eastAsia="Times New Roman"/>
                <w:b w:val="0"/>
                <w:i w:val="0"/>
                <w:color w:val="000000"/>
                <w:sz w:val="21"/>
              </w:rPr>
              <w:t>0.8256</w:t>
            </w:r>
          </w:p>
        </w:tc>
        <w:tc>
          <w:tcPr>
            <w:tcW w:w="1123" w:type="dxa"/>
            <w:shd w:val="clear" w:color="auto" w:fill="F3EDF9"/>
            <w:tcMar>
              <w:top w:w="75" w:type="dxa"/>
              <w:left w:w="85" w:type="dxa"/>
              <w:bottom w:w="75" w:type="dxa"/>
              <w:right w:w="85" w:type="dxa"/>
            </w:tcMar>
            <w:vAlign w:val="center"/>
          </w:tcPr>
          <w:p w14:paraId="1CB5D073">
            <w:pPr>
              <w:spacing w:after="0" w:line="240" w:lineRule="auto" w:before="0"/>
              <w:jc w:val="left"/>
            </w:pPr>
            <w:r>
              <w:rPr>
                <w:rFonts w:ascii="Times New Roman" w:hAnsi="Times New Roman" w:eastAsia="Times New Roman"/>
                <w:b w:val="0"/>
                <w:i w:val="0"/>
                <w:color w:val="000000"/>
                <w:sz w:val="21"/>
              </w:rPr>
              <w:t>0.8105</w:t>
            </w:r>
          </w:p>
        </w:tc>
        <w:tc>
          <w:tcPr>
            <w:tcW w:w="1224" w:type="dxa"/>
            <w:shd w:val="clear" w:color="auto" w:fill="F3EDF9"/>
            <w:tcMar>
              <w:top w:w="75" w:type="dxa"/>
              <w:left w:w="85" w:type="dxa"/>
              <w:bottom w:w="75" w:type="dxa"/>
              <w:right w:w="85" w:type="dxa"/>
            </w:tcMar>
            <w:vAlign w:val="center"/>
          </w:tcPr>
          <w:p w14:paraId="53440341">
            <w:pPr>
              <w:spacing w:after="0" w:line="240" w:lineRule="auto" w:before="0"/>
              <w:jc w:val="left"/>
            </w:pPr>
            <w:r>
              <w:rPr>
                <w:rFonts w:ascii="Times New Roman" w:hAnsi="Times New Roman" w:eastAsia="Times New Roman"/>
                <w:b w:val="0"/>
                <w:i w:val="0"/>
                <w:color w:val="000000"/>
                <w:sz w:val="21"/>
              </w:rPr>
              <w:t>0.0716</w:t>
            </w:r>
          </w:p>
        </w:tc>
      </w:tr>
      <w:tr w14:paraId="4AF52A6F">
        <w:trPr>
          <w:cantSplit/>
          <w:jc w:val="center"/>
        </w:trPr>
        <w:tc>
          <w:tcPr>
            <w:tcW w:w="1267" w:type="dxa"/>
            <w:shd w:val="clear" w:color="auto" w:fill="FFFFFF"/>
            <w:tcMar>
              <w:top w:w="75" w:type="dxa"/>
              <w:left w:w="85" w:type="dxa"/>
              <w:bottom w:w="75" w:type="dxa"/>
              <w:right w:w="85" w:type="dxa"/>
            </w:tcMar>
            <w:vAlign w:val="center"/>
          </w:tcPr>
          <w:p w14:paraId="4B0B2C13">
            <w:pPr>
              <w:spacing w:after="0" w:line="240" w:lineRule="auto" w:before="0"/>
              <w:jc w:val="left"/>
            </w:pPr>
            <w:r>
              <w:rPr>
                <w:rFonts w:ascii="Times New Roman" w:hAnsi="Times New Roman" w:eastAsia="Times New Roman"/>
                <w:b w:val="0"/>
                <w:i w:val="0"/>
                <w:color w:val="000000"/>
                <w:sz w:val="21"/>
              </w:rPr>
              <w:t>Fundus-AVSeg</w:t>
            </w:r>
          </w:p>
        </w:tc>
        <w:tc>
          <w:tcPr>
            <w:tcW w:w="1440" w:type="dxa"/>
            <w:shd w:val="clear" w:color="auto" w:fill="FFFFFF"/>
            <w:tcMar>
              <w:top w:w="75" w:type="dxa"/>
              <w:left w:w="85" w:type="dxa"/>
              <w:bottom w:w="75" w:type="dxa"/>
              <w:right w:w="85" w:type="dxa"/>
            </w:tcMar>
            <w:vAlign w:val="center"/>
          </w:tcPr>
          <w:p w14:paraId="1655CC1C">
            <w:pPr>
              <w:spacing w:after="0" w:line="240" w:lineRule="auto" w:before="0"/>
              <w:jc w:val="left"/>
            </w:pPr>
            <w:r>
              <w:rPr>
                <w:rFonts w:ascii="Times New Roman" w:hAnsi="Times New Roman" w:eastAsia="Times New Roman"/>
                <w:b w:val="0"/>
                <w:i w:val="0"/>
                <w:color w:val="000000"/>
                <w:sz w:val="21"/>
              </w:rPr>
              <w:t>VascX</w:t>
            </w:r>
          </w:p>
        </w:tc>
        <w:tc>
          <w:tcPr>
            <w:tcW w:w="1051" w:type="dxa"/>
            <w:shd w:val="clear" w:color="auto" w:fill="FFFFFF"/>
            <w:tcMar>
              <w:top w:w="75" w:type="dxa"/>
              <w:left w:w="85" w:type="dxa"/>
              <w:bottom w:w="75" w:type="dxa"/>
              <w:right w:w="85" w:type="dxa"/>
            </w:tcMar>
            <w:vAlign w:val="center"/>
          </w:tcPr>
          <w:p w14:paraId="43D525F5">
            <w:pPr>
              <w:spacing w:after="0" w:line="240" w:lineRule="auto" w:before="0"/>
              <w:jc w:val="left"/>
            </w:pPr>
            <w:r>
              <w:rPr>
                <w:rFonts w:ascii="Times New Roman" w:hAnsi="Times New Roman" w:eastAsia="Times New Roman"/>
                <w:b w:val="0"/>
                <w:i w:val="0"/>
                <w:color w:val="000000"/>
                <w:sz w:val="21"/>
              </w:rPr>
              <w:t>0.5898</w:t>
            </w:r>
          </w:p>
        </w:tc>
        <w:tc>
          <w:tcPr>
            <w:tcW w:w="1051" w:type="dxa"/>
            <w:shd w:val="clear" w:color="auto" w:fill="FFFFFF"/>
            <w:tcMar>
              <w:top w:w="75" w:type="dxa"/>
              <w:left w:w="85" w:type="dxa"/>
              <w:bottom w:w="75" w:type="dxa"/>
              <w:right w:w="85" w:type="dxa"/>
            </w:tcMar>
            <w:vAlign w:val="center"/>
          </w:tcPr>
          <w:p w14:paraId="43A614C4">
            <w:pPr>
              <w:spacing w:after="0" w:line="240" w:lineRule="auto" w:before="0"/>
              <w:jc w:val="left"/>
            </w:pPr>
            <w:r>
              <w:rPr>
                <w:rFonts w:ascii="Times New Roman" w:hAnsi="Times New Roman" w:eastAsia="Times New Roman"/>
                <w:b w:val="0"/>
                <w:i w:val="0"/>
                <w:color w:val="000000"/>
                <w:sz w:val="21"/>
              </w:rPr>
              <w:t>0.5461</w:t>
            </w:r>
          </w:p>
        </w:tc>
        <w:tc>
          <w:tcPr>
            <w:tcW w:w="1008" w:type="dxa"/>
            <w:shd w:val="clear" w:color="auto" w:fill="FFFFFF"/>
            <w:tcMar>
              <w:top w:w="75" w:type="dxa"/>
              <w:left w:w="85" w:type="dxa"/>
              <w:bottom w:w="75" w:type="dxa"/>
              <w:right w:w="85" w:type="dxa"/>
            </w:tcMar>
            <w:vAlign w:val="center"/>
          </w:tcPr>
          <w:p w14:paraId="508EA6DC">
            <w:pPr>
              <w:spacing w:after="0" w:line="240" w:lineRule="auto" w:before="0"/>
              <w:jc w:val="left"/>
            </w:pPr>
            <w:r>
              <w:rPr>
                <w:rFonts w:ascii="Times New Roman" w:hAnsi="Times New Roman" w:eastAsia="Times New Roman"/>
                <w:b w:val="0"/>
                <w:i w:val="0"/>
                <w:color w:val="000000"/>
                <w:sz w:val="21"/>
              </w:rPr>
              <w:t>0.5629</w:t>
            </w:r>
          </w:p>
        </w:tc>
        <w:tc>
          <w:tcPr>
            <w:tcW w:w="1181" w:type="dxa"/>
            <w:shd w:val="clear" w:color="auto" w:fill="FFFFFF"/>
            <w:tcMar>
              <w:top w:w="75" w:type="dxa"/>
              <w:left w:w="85" w:type="dxa"/>
              <w:bottom w:w="75" w:type="dxa"/>
              <w:right w:w="85" w:type="dxa"/>
            </w:tcMar>
            <w:vAlign w:val="center"/>
          </w:tcPr>
          <w:p w14:paraId="77D51564">
            <w:pPr>
              <w:spacing w:after="0" w:line="240" w:lineRule="auto" w:before="0"/>
              <w:jc w:val="left"/>
            </w:pPr>
            <w:r>
              <w:rPr>
                <w:rFonts w:ascii="Times New Roman" w:hAnsi="Times New Roman" w:eastAsia="Times New Roman"/>
                <w:b w:val="0"/>
                <w:i w:val="0"/>
                <w:color w:val="000000"/>
                <w:sz w:val="21"/>
              </w:rPr>
              <w:t>0.5545</w:t>
            </w:r>
          </w:p>
        </w:tc>
        <w:tc>
          <w:tcPr>
            <w:tcW w:w="1123" w:type="dxa"/>
            <w:shd w:val="clear" w:color="auto" w:fill="FFFFFF"/>
            <w:tcMar>
              <w:top w:w="75" w:type="dxa"/>
              <w:left w:w="85" w:type="dxa"/>
              <w:bottom w:w="75" w:type="dxa"/>
              <w:right w:w="85" w:type="dxa"/>
            </w:tcMar>
            <w:vAlign w:val="center"/>
          </w:tcPr>
          <w:p w14:paraId="7C6B54AF">
            <w:pPr>
              <w:spacing w:after="0" w:line="240" w:lineRule="auto" w:before="0"/>
              <w:jc w:val="left"/>
            </w:pPr>
            <w:r>
              <w:rPr>
                <w:rFonts w:ascii="Times New Roman" w:hAnsi="Times New Roman" w:eastAsia="Times New Roman"/>
                <w:b w:val="0"/>
                <w:i w:val="0"/>
                <w:color w:val="000000"/>
                <w:sz w:val="21"/>
              </w:rPr>
              <w:t>0.5057</w:t>
            </w:r>
          </w:p>
        </w:tc>
        <w:tc>
          <w:tcPr>
            <w:tcW w:w="1224" w:type="dxa"/>
            <w:shd w:val="clear" w:color="auto" w:fill="FFFFFF"/>
            <w:tcMar>
              <w:top w:w="75" w:type="dxa"/>
              <w:left w:w="85" w:type="dxa"/>
              <w:bottom w:w="75" w:type="dxa"/>
              <w:right w:w="85" w:type="dxa"/>
            </w:tcMar>
            <w:vAlign w:val="center"/>
          </w:tcPr>
          <w:p w14:paraId="5CACFC47">
            <w:pPr>
              <w:spacing w:after="0" w:line="240" w:lineRule="auto" w:before="0"/>
              <w:jc w:val="left"/>
            </w:pPr>
            <w:r>
              <w:rPr>
                <w:rFonts w:ascii="Times New Roman" w:hAnsi="Times New Roman" w:eastAsia="Times New Roman"/>
                <w:b w:val="0"/>
                <w:i w:val="0"/>
                <w:color w:val="000000"/>
                <w:sz w:val="21"/>
              </w:rPr>
              <w:t>0.0713</w:t>
            </w:r>
          </w:p>
        </w:tc>
      </w:tr>
      <w:tr w14:paraId="3852E5AF">
        <w:trPr>
          <w:cantSplit/>
          <w:jc w:val="center"/>
        </w:trPr>
        <w:tc>
          <w:tcPr>
            <w:tcW w:w="1267" w:type="dxa"/>
            <w:shd w:val="clear" w:color="auto" w:fill="F3EDF9"/>
            <w:tcMar>
              <w:top w:w="75" w:type="dxa"/>
              <w:left w:w="85" w:type="dxa"/>
              <w:bottom w:w="75" w:type="dxa"/>
              <w:right w:w="85" w:type="dxa"/>
            </w:tcMar>
            <w:vAlign w:val="center"/>
          </w:tcPr>
          <w:p w14:paraId="0BE75983">
            <w:pPr>
              <w:spacing w:after="0" w:line="240" w:lineRule="auto" w:before="0"/>
              <w:jc w:val="left"/>
            </w:pPr>
            <w:r>
              <w:rPr>
                <w:rFonts w:ascii="Times New Roman" w:hAnsi="Times New Roman" w:eastAsia="Times New Roman"/>
                <w:b w:val="0"/>
                <w:i w:val="0"/>
                <w:color w:val="000000"/>
                <w:sz w:val="21"/>
              </w:rPr>
              <w:t>Fundus-AVSeg</w:t>
            </w:r>
          </w:p>
        </w:tc>
        <w:tc>
          <w:tcPr>
            <w:tcW w:w="1440" w:type="dxa"/>
            <w:shd w:val="clear" w:color="auto" w:fill="F3EDF9"/>
            <w:tcMar>
              <w:top w:w="75" w:type="dxa"/>
              <w:left w:w="85" w:type="dxa"/>
              <w:bottom w:w="75" w:type="dxa"/>
              <w:right w:w="85" w:type="dxa"/>
            </w:tcMar>
            <w:vAlign w:val="center"/>
          </w:tcPr>
          <w:p w14:paraId="613A3ECC">
            <w:pPr>
              <w:spacing w:after="0" w:line="240" w:lineRule="auto" w:before="0"/>
              <w:jc w:val="left"/>
            </w:pPr>
            <w:r>
              <w:rPr>
                <w:rFonts w:ascii="Times New Roman" w:hAnsi="Times New Roman" w:eastAsia="Times New Roman"/>
                <w:b w:val="0"/>
                <w:i w:val="0"/>
                <w:color w:val="000000"/>
                <w:sz w:val="21"/>
              </w:rPr>
              <w:t>Mass-UDCT</w:t>
            </w:r>
          </w:p>
        </w:tc>
        <w:tc>
          <w:tcPr>
            <w:tcW w:w="1051" w:type="dxa"/>
            <w:shd w:val="clear" w:color="auto" w:fill="F3EDF9"/>
            <w:tcMar>
              <w:top w:w="75" w:type="dxa"/>
              <w:left w:w="85" w:type="dxa"/>
              <w:bottom w:w="75" w:type="dxa"/>
              <w:right w:w="85" w:type="dxa"/>
            </w:tcMar>
            <w:vAlign w:val="center"/>
          </w:tcPr>
          <w:p w14:paraId="756ACF2D">
            <w:pPr>
              <w:spacing w:after="0" w:line="240" w:lineRule="auto" w:before="0"/>
              <w:jc w:val="left"/>
            </w:pPr>
            <w:r>
              <w:rPr>
                <w:rFonts w:ascii="Times New Roman" w:hAnsi="Times New Roman" w:eastAsia="Times New Roman"/>
                <w:b w:val="0"/>
                <w:i w:val="0"/>
                <w:color w:val="000000"/>
                <w:sz w:val="21"/>
              </w:rPr>
              <w:t>0.6019</w:t>
            </w:r>
          </w:p>
        </w:tc>
        <w:tc>
          <w:tcPr>
            <w:tcW w:w="1051" w:type="dxa"/>
            <w:shd w:val="clear" w:color="auto" w:fill="F3EDF9"/>
            <w:tcMar>
              <w:top w:w="75" w:type="dxa"/>
              <w:left w:w="85" w:type="dxa"/>
              <w:bottom w:w="75" w:type="dxa"/>
              <w:right w:w="85" w:type="dxa"/>
            </w:tcMar>
            <w:vAlign w:val="center"/>
          </w:tcPr>
          <w:p w14:paraId="604AE8F4">
            <w:pPr>
              <w:spacing w:after="0" w:line="240" w:lineRule="auto" w:before="0"/>
              <w:jc w:val="left"/>
            </w:pPr>
            <w:r>
              <w:rPr>
                <w:rFonts w:ascii="Times New Roman" w:hAnsi="Times New Roman" w:eastAsia="Times New Roman"/>
                <w:b w:val="0"/>
                <w:i w:val="0"/>
                <w:color w:val="000000"/>
                <w:sz w:val="21"/>
              </w:rPr>
              <w:t>0.5553</w:t>
            </w:r>
          </w:p>
        </w:tc>
        <w:tc>
          <w:tcPr>
            <w:tcW w:w="1008" w:type="dxa"/>
            <w:shd w:val="clear" w:color="auto" w:fill="F3EDF9"/>
            <w:tcMar>
              <w:top w:w="75" w:type="dxa"/>
              <w:left w:w="85" w:type="dxa"/>
              <w:bottom w:w="75" w:type="dxa"/>
              <w:right w:w="85" w:type="dxa"/>
            </w:tcMar>
            <w:vAlign w:val="center"/>
          </w:tcPr>
          <w:p w14:paraId="50F24DFE">
            <w:pPr>
              <w:spacing w:after="0" w:line="240" w:lineRule="auto" w:before="0"/>
              <w:jc w:val="left"/>
            </w:pPr>
            <w:r>
              <w:rPr>
                <w:rFonts w:ascii="Times New Roman" w:hAnsi="Times New Roman" w:eastAsia="Times New Roman"/>
                <w:b w:val="0"/>
                <w:i w:val="0"/>
                <w:color w:val="000000"/>
                <w:sz w:val="21"/>
              </w:rPr>
              <w:t>0.5716</w:t>
            </w:r>
          </w:p>
        </w:tc>
        <w:tc>
          <w:tcPr>
            <w:tcW w:w="1181" w:type="dxa"/>
            <w:shd w:val="clear" w:color="auto" w:fill="F3EDF9"/>
            <w:tcMar>
              <w:top w:w="75" w:type="dxa"/>
              <w:left w:w="85" w:type="dxa"/>
              <w:bottom w:w="75" w:type="dxa"/>
              <w:right w:w="85" w:type="dxa"/>
            </w:tcMar>
            <w:vAlign w:val="center"/>
          </w:tcPr>
          <w:p w14:paraId="02C02CBB">
            <w:pPr>
              <w:spacing w:after="0" w:line="240" w:lineRule="auto" w:before="0"/>
              <w:jc w:val="left"/>
            </w:pPr>
            <w:r>
              <w:rPr>
                <w:rFonts w:ascii="Times New Roman" w:hAnsi="Times New Roman" w:eastAsia="Times New Roman"/>
                <w:b w:val="0"/>
                <w:i w:val="0"/>
                <w:color w:val="000000"/>
                <w:sz w:val="21"/>
              </w:rPr>
              <w:t>0.5635</w:t>
            </w:r>
          </w:p>
        </w:tc>
        <w:tc>
          <w:tcPr>
            <w:tcW w:w="1123" w:type="dxa"/>
            <w:shd w:val="clear" w:color="auto" w:fill="F3EDF9"/>
            <w:tcMar>
              <w:top w:w="75" w:type="dxa"/>
              <w:left w:w="85" w:type="dxa"/>
              <w:bottom w:w="75" w:type="dxa"/>
              <w:right w:w="85" w:type="dxa"/>
            </w:tcMar>
            <w:vAlign w:val="center"/>
          </w:tcPr>
          <w:p w14:paraId="39CC694F">
            <w:pPr>
              <w:spacing w:after="0" w:line="240" w:lineRule="auto" w:before="0"/>
              <w:jc w:val="left"/>
            </w:pPr>
            <w:r>
              <w:rPr>
                <w:rFonts w:ascii="Times New Roman" w:hAnsi="Times New Roman" w:eastAsia="Times New Roman"/>
                <w:b w:val="0"/>
                <w:i w:val="0"/>
                <w:color w:val="000000"/>
                <w:sz w:val="21"/>
              </w:rPr>
              <w:t>0.5328</w:t>
            </w:r>
          </w:p>
        </w:tc>
        <w:tc>
          <w:tcPr>
            <w:tcW w:w="1224" w:type="dxa"/>
            <w:shd w:val="clear" w:color="auto" w:fill="F3EDF9"/>
            <w:tcMar>
              <w:top w:w="75" w:type="dxa"/>
              <w:left w:w="85" w:type="dxa"/>
              <w:bottom w:w="75" w:type="dxa"/>
              <w:right w:w="85" w:type="dxa"/>
            </w:tcMar>
            <w:vAlign w:val="center"/>
          </w:tcPr>
          <w:p w14:paraId="604FFA58">
            <w:pPr>
              <w:spacing w:after="0" w:line="240" w:lineRule="auto" w:before="0"/>
              <w:jc w:val="left"/>
            </w:pPr>
            <w:r>
              <w:rPr>
                <w:rFonts w:ascii="Times New Roman" w:hAnsi="Times New Roman" w:eastAsia="Times New Roman"/>
                <w:b w:val="0"/>
                <w:i w:val="0"/>
                <w:color w:val="000000"/>
                <w:sz w:val="21"/>
              </w:rPr>
              <w:t>0.0706</w:t>
            </w:r>
          </w:p>
        </w:tc>
      </w:tr>
      <w:tr w14:paraId="517F305B">
        <w:trPr>
          <w:cantSplit/>
          <w:jc w:val="center"/>
        </w:trPr>
        <w:tc>
          <w:tcPr>
            <w:tcW w:w="1267" w:type="dxa"/>
            <w:shd w:val="clear" w:color="auto" w:fill="FFFFFF"/>
            <w:tcMar>
              <w:top w:w="75" w:type="dxa"/>
              <w:left w:w="85" w:type="dxa"/>
              <w:bottom w:w="75" w:type="dxa"/>
              <w:right w:w="85" w:type="dxa"/>
            </w:tcMar>
            <w:vAlign w:val="center"/>
          </w:tcPr>
          <w:p w14:paraId="14CAE6DE">
            <w:pPr>
              <w:spacing w:after="0" w:line="240" w:lineRule="auto" w:before="0"/>
              <w:jc w:val="left"/>
            </w:pPr>
            <w:r>
              <w:rPr>
                <w:rFonts w:ascii="Times New Roman" w:hAnsi="Times New Roman" w:eastAsia="Times New Roman"/>
                <w:b w:val="0"/>
                <w:i w:val="0"/>
                <w:color w:val="000000"/>
                <w:sz w:val="21"/>
              </w:rPr>
              <w:t>Fundus-AVSeg</w:t>
            </w:r>
          </w:p>
        </w:tc>
        <w:tc>
          <w:tcPr>
            <w:tcW w:w="1440" w:type="dxa"/>
            <w:shd w:val="clear" w:color="auto" w:fill="FFFFFF"/>
            <w:tcMar>
              <w:top w:w="75" w:type="dxa"/>
              <w:left w:w="85" w:type="dxa"/>
              <w:bottom w:w="75" w:type="dxa"/>
              <w:right w:w="85" w:type="dxa"/>
            </w:tcMar>
            <w:vAlign w:val="center"/>
          </w:tcPr>
          <w:p w14:paraId="33048597">
            <w:pPr>
              <w:spacing w:after="0" w:line="240" w:lineRule="auto" w:before="0"/>
              <w:jc w:val="left"/>
            </w:pPr>
            <w:r>
              <w:rPr>
                <w:rFonts w:ascii="Times New Roman" w:hAnsi="Times New Roman" w:eastAsia="Times New Roman"/>
                <w:b w:val="0"/>
                <w:i w:val="0"/>
                <w:color w:val="000000"/>
                <w:sz w:val="21"/>
              </w:rPr>
              <w:t>Factorized-UDCT</w:t>
            </w:r>
          </w:p>
        </w:tc>
        <w:tc>
          <w:tcPr>
            <w:tcW w:w="1051" w:type="dxa"/>
            <w:shd w:val="clear" w:color="auto" w:fill="FFFFFF"/>
            <w:tcMar>
              <w:top w:w="75" w:type="dxa"/>
              <w:left w:w="85" w:type="dxa"/>
              <w:bottom w:w="75" w:type="dxa"/>
              <w:right w:w="85" w:type="dxa"/>
            </w:tcMar>
            <w:vAlign w:val="center"/>
          </w:tcPr>
          <w:p w14:paraId="43FC03F7">
            <w:pPr>
              <w:spacing w:after="0" w:line="240" w:lineRule="auto" w:before="0"/>
              <w:jc w:val="left"/>
            </w:pPr>
            <w:r>
              <w:rPr>
                <w:rFonts w:ascii="Times New Roman" w:hAnsi="Times New Roman" w:eastAsia="Times New Roman"/>
                <w:b w:val="0"/>
                <w:i w:val="0"/>
                <w:color w:val="000000"/>
                <w:sz w:val="21"/>
              </w:rPr>
              <w:t>0.5929</w:t>
            </w:r>
          </w:p>
        </w:tc>
        <w:tc>
          <w:tcPr>
            <w:tcW w:w="1051" w:type="dxa"/>
            <w:shd w:val="clear" w:color="auto" w:fill="FFFFFF"/>
            <w:tcMar>
              <w:top w:w="75" w:type="dxa"/>
              <w:left w:w="85" w:type="dxa"/>
              <w:bottom w:w="75" w:type="dxa"/>
              <w:right w:w="85" w:type="dxa"/>
            </w:tcMar>
            <w:vAlign w:val="center"/>
          </w:tcPr>
          <w:p w14:paraId="6CCA18CD">
            <w:pPr>
              <w:spacing w:after="0" w:line="240" w:lineRule="auto" w:before="0"/>
              <w:jc w:val="left"/>
            </w:pPr>
            <w:r>
              <w:rPr>
                <w:rFonts w:ascii="Times New Roman" w:hAnsi="Times New Roman" w:eastAsia="Times New Roman"/>
                <w:b w:val="0"/>
                <w:i w:val="0"/>
                <w:color w:val="000000"/>
                <w:sz w:val="21"/>
              </w:rPr>
              <w:t>0.5479</w:t>
            </w:r>
          </w:p>
        </w:tc>
        <w:tc>
          <w:tcPr>
            <w:tcW w:w="1008" w:type="dxa"/>
            <w:shd w:val="clear" w:color="auto" w:fill="FFFFFF"/>
            <w:tcMar>
              <w:top w:w="75" w:type="dxa"/>
              <w:left w:w="85" w:type="dxa"/>
              <w:bottom w:w="75" w:type="dxa"/>
              <w:right w:w="85" w:type="dxa"/>
            </w:tcMar>
            <w:vAlign w:val="center"/>
          </w:tcPr>
          <w:p w14:paraId="654563CE">
            <w:pPr>
              <w:spacing w:after="0" w:line="240" w:lineRule="auto" w:before="0"/>
              <w:jc w:val="left"/>
            </w:pPr>
            <w:r>
              <w:rPr>
                <w:rFonts w:ascii="Times New Roman" w:hAnsi="Times New Roman" w:eastAsia="Times New Roman"/>
                <w:b w:val="0"/>
                <w:i w:val="0"/>
                <w:color w:val="000000"/>
                <w:sz w:val="21"/>
              </w:rPr>
              <w:t>0.5640</w:t>
            </w:r>
          </w:p>
        </w:tc>
        <w:tc>
          <w:tcPr>
            <w:tcW w:w="1181" w:type="dxa"/>
            <w:shd w:val="clear" w:color="auto" w:fill="FFFFFF"/>
            <w:tcMar>
              <w:top w:w="75" w:type="dxa"/>
              <w:left w:w="85" w:type="dxa"/>
              <w:bottom w:w="75" w:type="dxa"/>
              <w:right w:w="85" w:type="dxa"/>
            </w:tcMar>
            <w:vAlign w:val="center"/>
          </w:tcPr>
          <w:p w14:paraId="7567E9C4">
            <w:pPr>
              <w:spacing w:after="0" w:line="240" w:lineRule="auto" w:before="0"/>
              <w:jc w:val="left"/>
            </w:pPr>
            <w:r>
              <w:rPr>
                <w:rFonts w:ascii="Times New Roman" w:hAnsi="Times New Roman" w:eastAsia="Times New Roman"/>
                <w:b w:val="0"/>
                <w:i w:val="0"/>
                <w:color w:val="000000"/>
                <w:sz w:val="21"/>
              </w:rPr>
              <w:t>0.5560</w:t>
            </w:r>
          </w:p>
        </w:tc>
        <w:tc>
          <w:tcPr>
            <w:tcW w:w="1123" w:type="dxa"/>
            <w:shd w:val="clear" w:color="auto" w:fill="FFFFFF"/>
            <w:tcMar>
              <w:top w:w="75" w:type="dxa"/>
              <w:left w:w="85" w:type="dxa"/>
              <w:bottom w:w="75" w:type="dxa"/>
              <w:right w:w="85" w:type="dxa"/>
            </w:tcMar>
            <w:vAlign w:val="center"/>
          </w:tcPr>
          <w:p w14:paraId="01C101B9">
            <w:pPr>
              <w:spacing w:after="0" w:line="240" w:lineRule="auto" w:before="0"/>
              <w:jc w:val="left"/>
            </w:pPr>
            <w:r>
              <w:rPr>
                <w:rFonts w:ascii="Times New Roman" w:hAnsi="Times New Roman" w:eastAsia="Times New Roman"/>
                <w:b w:val="0"/>
                <w:i w:val="0"/>
                <w:color w:val="000000"/>
                <w:sz w:val="21"/>
              </w:rPr>
              <w:t>0.5059</w:t>
            </w:r>
          </w:p>
        </w:tc>
        <w:tc>
          <w:tcPr>
            <w:tcW w:w="1224" w:type="dxa"/>
            <w:shd w:val="clear" w:color="auto" w:fill="FFFFFF"/>
            <w:tcMar>
              <w:top w:w="75" w:type="dxa"/>
              <w:left w:w="85" w:type="dxa"/>
              <w:bottom w:w="75" w:type="dxa"/>
              <w:right w:w="85" w:type="dxa"/>
            </w:tcMar>
            <w:vAlign w:val="center"/>
          </w:tcPr>
          <w:p w14:paraId="5190DAE6">
            <w:pPr>
              <w:spacing w:after="0" w:line="240" w:lineRule="auto" w:before="0"/>
              <w:jc w:val="left"/>
            </w:pPr>
            <w:r>
              <w:rPr>
                <w:rFonts w:ascii="Times New Roman" w:hAnsi="Times New Roman" w:eastAsia="Times New Roman"/>
                <w:b w:val="0"/>
                <w:i w:val="0"/>
                <w:color w:val="000000"/>
                <w:sz w:val="21"/>
              </w:rPr>
              <w:t>0.0689</w:t>
            </w:r>
          </w:p>
        </w:tc>
      </w:tr>
    </w:tbl>
    <w:p w14:paraId="36A0F564">
      <w:pPr>
        <w:spacing w:after="0" w:before="0"/>
        <w:jc w:val="center"/>
      </w:pPr>
    </w:p>
    <w:p w14:paraId="5FEBE969">
      <w:pPr>
        <w:pStyle w:val="4"/>
        <w:keepNext/>
        <w:spacing w:before="200" w:after="120" w:line="240" w:lineRule="auto"/>
        <w:jc w:val="left"/>
      </w:pPr>
      <w:r>
        <w:rPr>
          <w:rFonts w:ascii="Times New Roman" w:hAnsi="Times New Roman" w:eastAsia="Times New Roman"/>
          <w:b/>
          <w:i w:val="0"/>
          <w:color w:val="000000"/>
          <w:sz w:val="24"/>
        </w:rPr>
        <w:t>3.2 Outcome-blind repeatability selected four phenotypes</w:t>
      </w:r>
    </w:p>
    <w:p w14:paraId="032EF8F5">
      <w:pPr>
        <w:pStyle w:val="18"/>
        <w:keepNext w:val="0"/>
        <w:spacing w:before="0" w:after="100" w:line="276" w:lineRule="auto"/>
        <w:ind w:firstLine="360"/>
        <w:jc w:val="both"/>
      </w:pPr>
      <w:r>
        <w:rPr>
          <w:rFonts w:ascii="Times New Roman" w:hAnsi="Times New Roman" w:eastAsia="Times New Roman"/>
          <w:b w:val="0"/>
          <w:i w:val="0"/>
          <w:color w:val="000000"/>
          <w:sz w:val="24"/>
        </w:rPr>
        <w:t>Four of nine prespecified global phenotypes exceeded the ICC(1,1) ≥ 0.60 threshold. Occupancy disagreement showed the highest reliability (ICC 0.811, 95% CI 0.791–0.829), followed by Factorized-UDCT skeleton density (0.772, 0.752–0.789), Mass-UDCT skeleton density (0.688, 0.665–0.710), and soft vessel mass fraction (0.676, 0.653–0.699).</w:t>
      </w:r>
    </w:p>
    <w:p w14:paraId="0F29074C">
      <w:pPr>
        <w:pStyle w:val="18"/>
        <w:keepNext w:val="0"/>
        <w:spacing w:before="0" w:after="100" w:line="276" w:lineRule="auto"/>
        <w:ind w:firstLine="360"/>
        <w:jc w:val="both"/>
      </w:pPr>
      <w:r>
        <w:rPr>
          <w:rFonts w:ascii="Times New Roman" w:hAnsi="Times New Roman" w:eastAsia="Times New Roman"/>
          <w:b w:val="0"/>
          <w:i w:val="0"/>
          <w:color w:val="000000"/>
          <w:sz w:val="24"/>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054985"/>
            <wp:effectExtent l="0" t="0" r="1016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055089"/>
                    </a:xfrm>
                    <a:prstGeom prst="rect">
                      <a:avLst/>
                    </a:prstGeom>
                  </pic:spPr>
                </pic:pic>
              </a:graphicData>
            </a:graphic>
          </wp:inline>
        </w:drawing>
      </w:r>
    </w:p>
    <w:p w14:paraId="7DCA7E3D">
      <w:pPr>
        <w:keepNext/>
        <w:keepLines/>
        <w:spacing w:before="40" w:after="120" w:line="240" w:lineRule="auto"/>
        <w:jc w:val="both"/>
      </w:pPr>
      <w:r>
        <w:rPr>
          <w:rFonts w:ascii="Times New Roman" w:hAnsi="Times New Roman" w:eastAsia="Times New Roman"/>
          <w:b/>
          <w:i/>
          <w:color w:val="000000"/>
          <w:sz w:val="24"/>
        </w:rPr>
        <w:t>Figure 4. Outcome-blind repeatability gate. Panel A shows a real same-eye repeated-view pair from mBRSET. Panel B reports ICC(1,1) and bootstrap 95% confidence intervals for all nine prespecified global phenotypes. The dashed line marks the fixed ICC=0.60 threshold. Four phenotypes were retained before any hypertension label was used.</w:t>
      </w:r>
    </w:p>
    <w:p w14:paraId="4613057F">
      <w:pPr>
        <w:keepNext/>
        <w:spacing w:before="40" w:after="120" w:line="240" w:lineRule="auto"/>
        <w:jc w:val="both"/>
      </w:pPr>
      <w:r>
        <w:rPr>
          <w:rFonts w:ascii="Times New Roman" w:hAnsi="Times New Roman" w:eastAsia="Times New Roman"/>
          <w:b/>
          <w:i/>
          <w:color w:val="000000"/>
          <w:sz w:val="24"/>
        </w:rPr>
        <w:t>Table 3. Label-blind repeated-view reliability and phenotype retention.</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664"/>
        <w:gridCol w:w="1037"/>
        <w:gridCol w:w="1325"/>
        <w:gridCol w:w="1037"/>
      </w:tblGrid>
      <w:tr w14:paraId="18AE6D5F">
        <w:trPr>
          <w:tblHeader/>
          <w:jc w:val="center"/>
        </w:trPr>
        <w:tc>
          <w:tcPr>
            <w:tcW w:w="1944" w:type="dxa"/>
            <w:shd w:val="clear" w:color="auto" w:fill="48345F"/>
            <w:tcMar>
              <w:top w:w="75" w:type="dxa"/>
              <w:left w:w="85" w:type="dxa"/>
              <w:bottom w:w="75" w:type="dxa"/>
              <w:right w:w="85" w:type="dxa"/>
            </w:tcMar>
            <w:vAlign w:val="center"/>
          </w:tcPr>
          <w:p w14:paraId="0AA18102">
            <w:pPr>
              <w:spacing w:after="0" w:line="240" w:lineRule="auto" w:before="0"/>
              <w:jc w:val="center"/>
            </w:pPr>
            <w:r>
              <w:rPr>
                <w:rFonts w:ascii="Times New Roman" w:hAnsi="Times New Roman" w:eastAsia="Times New Roman"/>
                <w:b/>
                <w:i w:val="0"/>
                <w:color w:val="000000"/>
                <w:sz w:val="21"/>
              </w:rPr>
              <w:t>Phenotype</w:t>
            </w:r>
          </w:p>
        </w:tc>
        <w:tc>
          <w:tcPr>
            <w:tcW w:w="2664" w:type="dxa"/>
            <w:shd w:val="clear" w:color="auto" w:fill="48345F"/>
            <w:tcMar>
              <w:top w:w="75" w:type="dxa"/>
              <w:left w:w="85" w:type="dxa"/>
              <w:bottom w:w="75" w:type="dxa"/>
              <w:right w:w="85" w:type="dxa"/>
            </w:tcMar>
            <w:vAlign w:val="center"/>
          </w:tcPr>
          <w:p w14:paraId="324C7677">
            <w:pPr>
              <w:spacing w:after="0" w:line="240" w:lineRule="auto" w:before="0"/>
              <w:jc w:val="center"/>
            </w:pPr>
            <w:r>
              <w:rPr>
                <w:rFonts w:ascii="Times New Roman" w:hAnsi="Times New Roman" w:eastAsia="Times New Roman"/>
                <w:b/>
                <w:i w:val="0"/>
                <w:color w:val="000000"/>
                <w:sz w:val="21"/>
              </w:rPr>
              <w:t>Measurement interpretation</w:t>
            </w:r>
          </w:p>
        </w:tc>
        <w:tc>
          <w:tcPr>
            <w:tcW w:w="1037" w:type="dxa"/>
            <w:shd w:val="clear" w:color="auto" w:fill="48345F"/>
            <w:tcMar>
              <w:top w:w="75" w:type="dxa"/>
              <w:left w:w="85" w:type="dxa"/>
              <w:bottom w:w="75" w:type="dxa"/>
              <w:right w:w="85" w:type="dxa"/>
            </w:tcMar>
            <w:vAlign w:val="center"/>
          </w:tcPr>
          <w:p w14:paraId="4D8588CB">
            <w:pPr>
              <w:spacing w:after="0" w:line="240" w:lineRule="auto" w:before="0"/>
              <w:jc w:val="center"/>
            </w:pPr>
            <w:r>
              <w:rPr>
                <w:rFonts w:ascii="Times New Roman" w:hAnsi="Times New Roman" w:eastAsia="Times New Roman"/>
                <w:b/>
                <w:i w:val="0"/>
                <w:color w:val="000000"/>
                <w:sz w:val="21"/>
              </w:rPr>
              <w:t>ICC(1,1)</w:t>
            </w:r>
          </w:p>
        </w:tc>
        <w:tc>
          <w:tcPr>
            <w:tcW w:w="1325" w:type="dxa"/>
            <w:shd w:val="clear" w:color="auto" w:fill="48345F"/>
            <w:tcMar>
              <w:top w:w="75" w:type="dxa"/>
              <w:left w:w="85" w:type="dxa"/>
              <w:bottom w:w="75" w:type="dxa"/>
              <w:right w:w="85" w:type="dxa"/>
            </w:tcMar>
            <w:vAlign w:val="center"/>
          </w:tcPr>
          <w:p w14:paraId="42C43757">
            <w:pPr>
              <w:spacing w:after="0" w:line="240" w:lineRule="auto" w:before="0"/>
              <w:jc w:val="center"/>
            </w:pPr>
            <w:r>
              <w:rPr>
                <w:rFonts w:ascii="Times New Roman" w:hAnsi="Times New Roman" w:eastAsia="Times New Roman"/>
                <w:b/>
                <w:i w:val="0"/>
                <w:color w:val="000000"/>
                <w:sz w:val="21"/>
              </w:rPr>
              <w:t>95% CI</w:t>
            </w:r>
          </w:p>
        </w:tc>
        <w:tc>
          <w:tcPr>
            <w:tcW w:w="1037" w:type="dxa"/>
            <w:shd w:val="clear" w:color="auto" w:fill="48345F"/>
            <w:tcMar>
              <w:top w:w="75" w:type="dxa"/>
              <w:left w:w="85" w:type="dxa"/>
              <w:bottom w:w="75" w:type="dxa"/>
              <w:right w:w="85" w:type="dxa"/>
            </w:tcMar>
            <w:vAlign w:val="center"/>
          </w:tcPr>
          <w:p w14:paraId="64137757">
            <w:pPr>
              <w:spacing w:after="0" w:line="240" w:lineRule="auto" w:before="0"/>
              <w:jc w:val="center"/>
            </w:pPr>
            <w:r>
              <w:rPr>
                <w:rFonts w:ascii="Times New Roman" w:hAnsi="Times New Roman" w:eastAsia="Times New Roman"/>
                <w:b/>
                <w:i w:val="0"/>
                <w:color w:val="000000"/>
                <w:sz w:val="21"/>
              </w:rPr>
              <w:t>Decision</w:t>
            </w:r>
          </w:p>
        </w:tc>
      </w:tr>
      <w:tr w14:paraId="57F49207">
        <w:trPr>
          <w:cantSplit/>
          <w:jc w:val="center"/>
        </w:trPr>
        <w:tc>
          <w:tcPr>
            <w:tcW w:w="1944" w:type="dxa"/>
            <w:shd w:val="clear" w:color="auto" w:fill="F3EDF9"/>
            <w:tcMar>
              <w:top w:w="75" w:type="dxa"/>
              <w:left w:w="85" w:type="dxa"/>
              <w:bottom w:w="75" w:type="dxa"/>
              <w:right w:w="85" w:type="dxa"/>
            </w:tcMar>
            <w:vAlign w:val="center"/>
          </w:tcPr>
          <w:p w14:paraId="69DEC748">
            <w:pPr>
              <w:spacing w:after="0" w:line="240" w:lineRule="auto" w:before="0"/>
              <w:jc w:val="left"/>
            </w:pPr>
            <w:r>
              <w:rPr>
                <w:rFonts w:ascii="Times New Roman" w:hAnsi="Times New Roman" w:eastAsia="Times New Roman"/>
                <w:b w:val="0"/>
                <w:i w:val="0"/>
                <w:color w:val="000000"/>
                <w:sz w:val="21"/>
              </w:rPr>
              <w:t>Occupancy disagreement</w:t>
            </w:r>
          </w:p>
        </w:tc>
        <w:tc>
          <w:tcPr>
            <w:tcW w:w="2664" w:type="dxa"/>
            <w:shd w:val="clear" w:color="auto" w:fill="F3EDF9"/>
            <w:tcMar>
              <w:top w:w="75" w:type="dxa"/>
              <w:left w:w="85" w:type="dxa"/>
              <w:bottom w:w="75" w:type="dxa"/>
              <w:right w:w="85" w:type="dxa"/>
            </w:tcMar>
            <w:vAlign w:val="center"/>
          </w:tcPr>
          <w:p w14:paraId="3D051726">
            <w:pPr>
              <w:spacing w:after="0" w:line="240" w:lineRule="auto" w:before="0"/>
              <w:jc w:val="left"/>
            </w:pPr>
            <w:r>
              <w:rPr>
                <w:rFonts w:ascii="Times New Roman" w:hAnsi="Times New Roman" w:eastAsia="Times New Roman"/>
                <w:b w:val="0"/>
                <w:i w:val="0"/>
                <w:color w:val="000000"/>
                <w:sz w:val="21"/>
              </w:rPr>
              <w:t>Existence-readout mismatch</w:t>
            </w:r>
          </w:p>
        </w:tc>
        <w:tc>
          <w:tcPr>
            <w:tcW w:w="1037" w:type="dxa"/>
            <w:shd w:val="clear" w:color="auto" w:fill="F3EDF9"/>
            <w:tcMar>
              <w:top w:w="75" w:type="dxa"/>
              <w:left w:w="85" w:type="dxa"/>
              <w:bottom w:w="75" w:type="dxa"/>
              <w:right w:w="85" w:type="dxa"/>
            </w:tcMar>
            <w:vAlign w:val="center"/>
          </w:tcPr>
          <w:p w14:paraId="4E6D656B">
            <w:pPr>
              <w:spacing w:after="0" w:line="240" w:lineRule="auto" w:before="0"/>
              <w:jc w:val="left"/>
            </w:pPr>
            <w:r>
              <w:rPr>
                <w:rFonts w:ascii="Times New Roman" w:hAnsi="Times New Roman" w:eastAsia="Times New Roman"/>
                <w:b w:val="0"/>
                <w:i w:val="0"/>
                <w:color w:val="000000"/>
                <w:sz w:val="21"/>
              </w:rPr>
              <w:t>0.811</w:t>
            </w:r>
          </w:p>
        </w:tc>
        <w:tc>
          <w:tcPr>
            <w:tcW w:w="1325" w:type="dxa"/>
            <w:shd w:val="clear" w:color="auto" w:fill="F3EDF9"/>
            <w:tcMar>
              <w:top w:w="75" w:type="dxa"/>
              <w:left w:w="85" w:type="dxa"/>
              <w:bottom w:w="75" w:type="dxa"/>
              <w:right w:w="85" w:type="dxa"/>
            </w:tcMar>
            <w:vAlign w:val="center"/>
          </w:tcPr>
          <w:p w14:paraId="26F57A1B">
            <w:pPr>
              <w:spacing w:after="0" w:line="240" w:lineRule="auto" w:before="0"/>
              <w:jc w:val="left"/>
            </w:pPr>
            <w:r>
              <w:rPr>
                <w:rFonts w:ascii="Times New Roman" w:hAnsi="Times New Roman" w:eastAsia="Times New Roman"/>
                <w:b w:val="0"/>
                <w:i w:val="0"/>
                <w:color w:val="000000"/>
                <w:sz w:val="21"/>
              </w:rPr>
              <w:t>0.791–0.829</w:t>
            </w:r>
          </w:p>
        </w:tc>
        <w:tc>
          <w:tcPr>
            <w:tcW w:w="1037" w:type="dxa"/>
            <w:shd w:val="clear" w:color="auto" w:fill="F3EDF9"/>
            <w:tcMar>
              <w:top w:w="75" w:type="dxa"/>
              <w:left w:w="85" w:type="dxa"/>
              <w:bottom w:w="75" w:type="dxa"/>
              <w:right w:w="85" w:type="dxa"/>
            </w:tcMar>
            <w:vAlign w:val="center"/>
          </w:tcPr>
          <w:p w14:paraId="39E584F7">
            <w:pPr>
              <w:spacing w:after="0" w:line="240" w:lineRule="auto" w:before="0"/>
              <w:jc w:val="left"/>
            </w:pPr>
            <w:r>
              <w:rPr>
                <w:rFonts w:ascii="Times New Roman" w:hAnsi="Times New Roman" w:eastAsia="Times New Roman"/>
                <w:b w:val="0"/>
                <w:i w:val="0"/>
                <w:color w:val="000000"/>
                <w:sz w:val="21"/>
              </w:rPr>
              <w:t>Retain</w:t>
            </w:r>
          </w:p>
        </w:tc>
      </w:tr>
      <w:tr w14:paraId="45FF03A6">
        <w:trPr>
          <w:cantSplit/>
          <w:jc w:val="center"/>
        </w:trPr>
        <w:tc>
          <w:tcPr>
            <w:tcW w:w="1944" w:type="dxa"/>
            <w:shd w:val="clear" w:color="auto" w:fill="FFFFFF"/>
            <w:tcMar>
              <w:top w:w="75" w:type="dxa"/>
              <w:left w:w="85" w:type="dxa"/>
              <w:bottom w:w="75" w:type="dxa"/>
              <w:right w:w="85" w:type="dxa"/>
            </w:tcMar>
            <w:vAlign w:val="center"/>
          </w:tcPr>
          <w:p w14:paraId="316B7442">
            <w:pPr>
              <w:spacing w:after="0" w:line="240" w:lineRule="auto" w:before="0"/>
              <w:jc w:val="left"/>
            </w:pPr>
            <w:r>
              <w:rPr>
                <w:rFonts w:ascii="Times New Roman" w:hAnsi="Times New Roman" w:eastAsia="Times New Roman"/>
                <w:b w:val="0"/>
                <w:i w:val="0"/>
                <w:color w:val="000000"/>
                <w:sz w:val="21"/>
              </w:rPr>
              <w:t>Factorized-UDCT skeleton density</w:t>
            </w:r>
          </w:p>
        </w:tc>
        <w:tc>
          <w:tcPr>
            <w:tcW w:w="2664" w:type="dxa"/>
            <w:shd w:val="clear" w:color="auto" w:fill="FFFFFF"/>
            <w:tcMar>
              <w:top w:w="75" w:type="dxa"/>
              <w:left w:w="85" w:type="dxa"/>
              <w:bottom w:w="75" w:type="dxa"/>
              <w:right w:w="85" w:type="dxa"/>
            </w:tcMar>
            <w:vAlign w:val="center"/>
          </w:tcPr>
          <w:p w14:paraId="41F9CFD3">
            <w:pPr>
              <w:spacing w:after="0" w:line="240" w:lineRule="auto" w:before="0"/>
              <w:jc w:val="left"/>
            </w:pPr>
            <w:r>
              <w:rPr>
                <w:rFonts w:ascii="Times New Roman" w:hAnsi="Times New Roman" w:eastAsia="Times New Roman"/>
                <w:b w:val="0"/>
                <w:i w:val="0"/>
                <w:color w:val="000000"/>
                <w:sz w:val="21"/>
              </w:rPr>
              <w:t>Occupancy-gated geometry</w:t>
            </w:r>
          </w:p>
        </w:tc>
        <w:tc>
          <w:tcPr>
            <w:tcW w:w="1037" w:type="dxa"/>
            <w:shd w:val="clear" w:color="auto" w:fill="FFFFFF"/>
            <w:tcMar>
              <w:top w:w="75" w:type="dxa"/>
              <w:left w:w="85" w:type="dxa"/>
              <w:bottom w:w="75" w:type="dxa"/>
              <w:right w:w="85" w:type="dxa"/>
            </w:tcMar>
            <w:vAlign w:val="center"/>
          </w:tcPr>
          <w:p w14:paraId="0429AFBA">
            <w:pPr>
              <w:spacing w:after="0" w:line="240" w:lineRule="auto" w:before="0"/>
              <w:jc w:val="left"/>
            </w:pPr>
            <w:r>
              <w:rPr>
                <w:rFonts w:ascii="Times New Roman" w:hAnsi="Times New Roman" w:eastAsia="Times New Roman"/>
                <w:b w:val="0"/>
                <w:i w:val="0"/>
                <w:color w:val="000000"/>
                <w:sz w:val="21"/>
              </w:rPr>
              <w:t>0.772</w:t>
            </w:r>
          </w:p>
        </w:tc>
        <w:tc>
          <w:tcPr>
            <w:tcW w:w="1325" w:type="dxa"/>
            <w:shd w:val="clear" w:color="auto" w:fill="FFFFFF"/>
            <w:tcMar>
              <w:top w:w="75" w:type="dxa"/>
              <w:left w:w="85" w:type="dxa"/>
              <w:bottom w:w="75" w:type="dxa"/>
              <w:right w:w="85" w:type="dxa"/>
            </w:tcMar>
            <w:vAlign w:val="center"/>
          </w:tcPr>
          <w:p w14:paraId="776FDCCA">
            <w:pPr>
              <w:spacing w:after="0" w:line="240" w:lineRule="auto" w:before="0"/>
              <w:jc w:val="left"/>
            </w:pPr>
            <w:r>
              <w:rPr>
                <w:rFonts w:ascii="Times New Roman" w:hAnsi="Times New Roman" w:eastAsia="Times New Roman"/>
                <w:b w:val="0"/>
                <w:i w:val="0"/>
                <w:color w:val="000000"/>
                <w:sz w:val="21"/>
              </w:rPr>
              <w:t>0.752–0.789</w:t>
            </w:r>
          </w:p>
        </w:tc>
        <w:tc>
          <w:tcPr>
            <w:tcW w:w="1037" w:type="dxa"/>
            <w:shd w:val="clear" w:color="auto" w:fill="FFFFFF"/>
            <w:tcMar>
              <w:top w:w="75" w:type="dxa"/>
              <w:left w:w="85" w:type="dxa"/>
              <w:bottom w:w="75" w:type="dxa"/>
              <w:right w:w="85" w:type="dxa"/>
            </w:tcMar>
            <w:vAlign w:val="center"/>
          </w:tcPr>
          <w:p w14:paraId="73CCAEFC">
            <w:pPr>
              <w:spacing w:after="0" w:line="240" w:lineRule="auto" w:before="0"/>
              <w:jc w:val="left"/>
            </w:pPr>
            <w:r>
              <w:rPr>
                <w:rFonts w:ascii="Times New Roman" w:hAnsi="Times New Roman" w:eastAsia="Times New Roman"/>
                <w:b w:val="0"/>
                <w:i w:val="0"/>
                <w:color w:val="000000"/>
                <w:sz w:val="21"/>
              </w:rPr>
              <w:t>Retain</w:t>
            </w:r>
          </w:p>
        </w:tc>
      </w:tr>
      <w:tr w14:paraId="329E0D1A">
        <w:trPr>
          <w:cantSplit/>
          <w:jc w:val="center"/>
        </w:trPr>
        <w:tc>
          <w:tcPr>
            <w:tcW w:w="1944" w:type="dxa"/>
            <w:shd w:val="clear" w:color="auto" w:fill="F3EDF9"/>
            <w:tcMar>
              <w:top w:w="75" w:type="dxa"/>
              <w:left w:w="85" w:type="dxa"/>
              <w:bottom w:w="75" w:type="dxa"/>
              <w:right w:w="85" w:type="dxa"/>
            </w:tcMar>
            <w:vAlign w:val="center"/>
          </w:tcPr>
          <w:p w14:paraId="75F1D887">
            <w:pPr>
              <w:spacing w:after="0" w:line="240" w:lineRule="auto" w:before="0"/>
              <w:jc w:val="left"/>
            </w:pPr>
            <w:r>
              <w:rPr>
                <w:rFonts w:ascii="Times New Roman" w:hAnsi="Times New Roman" w:eastAsia="Times New Roman"/>
                <w:b w:val="0"/>
                <w:i w:val="0"/>
                <w:color w:val="000000"/>
                <w:sz w:val="21"/>
              </w:rPr>
              <w:t>Mass-UDCT skeleton density</w:t>
            </w:r>
          </w:p>
        </w:tc>
        <w:tc>
          <w:tcPr>
            <w:tcW w:w="2664" w:type="dxa"/>
            <w:shd w:val="clear" w:color="auto" w:fill="F3EDF9"/>
            <w:tcMar>
              <w:top w:w="75" w:type="dxa"/>
              <w:left w:w="85" w:type="dxa"/>
              <w:bottom w:w="75" w:type="dxa"/>
              <w:right w:w="85" w:type="dxa"/>
            </w:tcMar>
            <w:vAlign w:val="center"/>
          </w:tcPr>
          <w:p w14:paraId="2E04B7CB">
            <w:pPr>
              <w:spacing w:after="0" w:line="240" w:lineRule="auto" w:before="0"/>
              <w:jc w:val="left"/>
            </w:pPr>
            <w:r>
              <w:rPr>
                <w:rFonts w:ascii="Times New Roman" w:hAnsi="Times New Roman" w:eastAsia="Times New Roman"/>
                <w:b w:val="0"/>
                <w:i w:val="0"/>
                <w:color w:val="000000"/>
                <w:sz w:val="21"/>
              </w:rPr>
              <w:t>Mass-preserving geometry</w:t>
            </w:r>
          </w:p>
        </w:tc>
        <w:tc>
          <w:tcPr>
            <w:tcW w:w="1037" w:type="dxa"/>
            <w:shd w:val="clear" w:color="auto" w:fill="F3EDF9"/>
            <w:tcMar>
              <w:top w:w="75" w:type="dxa"/>
              <w:left w:w="85" w:type="dxa"/>
              <w:bottom w:w="75" w:type="dxa"/>
              <w:right w:w="85" w:type="dxa"/>
            </w:tcMar>
            <w:vAlign w:val="center"/>
          </w:tcPr>
          <w:p w14:paraId="7BD1DCF3">
            <w:pPr>
              <w:spacing w:after="0" w:line="240" w:lineRule="auto" w:before="0"/>
              <w:jc w:val="left"/>
            </w:pPr>
            <w:r>
              <w:rPr>
                <w:rFonts w:ascii="Times New Roman" w:hAnsi="Times New Roman" w:eastAsia="Times New Roman"/>
                <w:b w:val="0"/>
                <w:i w:val="0"/>
                <w:color w:val="000000"/>
                <w:sz w:val="21"/>
              </w:rPr>
              <w:t>0.688</w:t>
            </w:r>
          </w:p>
        </w:tc>
        <w:tc>
          <w:tcPr>
            <w:tcW w:w="1325" w:type="dxa"/>
            <w:shd w:val="clear" w:color="auto" w:fill="F3EDF9"/>
            <w:tcMar>
              <w:top w:w="75" w:type="dxa"/>
              <w:left w:w="85" w:type="dxa"/>
              <w:bottom w:w="75" w:type="dxa"/>
              <w:right w:w="85" w:type="dxa"/>
            </w:tcMar>
            <w:vAlign w:val="center"/>
          </w:tcPr>
          <w:p w14:paraId="3F3082C1">
            <w:pPr>
              <w:spacing w:after="0" w:line="240" w:lineRule="auto" w:before="0"/>
              <w:jc w:val="left"/>
            </w:pPr>
            <w:r>
              <w:rPr>
                <w:rFonts w:ascii="Times New Roman" w:hAnsi="Times New Roman" w:eastAsia="Times New Roman"/>
                <w:b w:val="0"/>
                <w:i w:val="0"/>
                <w:color w:val="000000"/>
                <w:sz w:val="21"/>
              </w:rPr>
              <w:t>0.665–0.710</w:t>
            </w:r>
          </w:p>
        </w:tc>
        <w:tc>
          <w:tcPr>
            <w:tcW w:w="1037" w:type="dxa"/>
            <w:shd w:val="clear" w:color="auto" w:fill="F3EDF9"/>
            <w:tcMar>
              <w:top w:w="75" w:type="dxa"/>
              <w:left w:w="85" w:type="dxa"/>
              <w:bottom w:w="75" w:type="dxa"/>
              <w:right w:w="85" w:type="dxa"/>
            </w:tcMar>
            <w:vAlign w:val="center"/>
          </w:tcPr>
          <w:p w14:paraId="5DFF1334">
            <w:pPr>
              <w:spacing w:after="0" w:line="240" w:lineRule="auto" w:before="0"/>
              <w:jc w:val="left"/>
            </w:pPr>
            <w:r>
              <w:rPr>
                <w:rFonts w:ascii="Times New Roman" w:hAnsi="Times New Roman" w:eastAsia="Times New Roman"/>
                <w:b w:val="0"/>
                <w:i w:val="0"/>
                <w:color w:val="000000"/>
                <w:sz w:val="21"/>
              </w:rPr>
              <w:t>Retain</w:t>
            </w:r>
          </w:p>
        </w:tc>
      </w:tr>
      <w:tr w14:paraId="5CA7D245">
        <w:trPr>
          <w:cantSplit/>
          <w:jc w:val="center"/>
        </w:trPr>
        <w:tc>
          <w:tcPr>
            <w:tcW w:w="1944" w:type="dxa"/>
            <w:shd w:val="clear" w:color="auto" w:fill="FFFFFF"/>
            <w:tcMar>
              <w:top w:w="75" w:type="dxa"/>
              <w:left w:w="85" w:type="dxa"/>
              <w:bottom w:w="75" w:type="dxa"/>
              <w:right w:w="85" w:type="dxa"/>
            </w:tcMar>
            <w:vAlign w:val="center"/>
          </w:tcPr>
          <w:p w14:paraId="2C0127F4">
            <w:pPr>
              <w:spacing w:after="0" w:line="240" w:lineRule="auto" w:before="0"/>
              <w:jc w:val="left"/>
            </w:pPr>
            <w:r>
              <w:rPr>
                <w:rFonts w:ascii="Times New Roman" w:hAnsi="Times New Roman" w:eastAsia="Times New Roman"/>
                <w:b w:val="0"/>
                <w:i w:val="0"/>
                <w:color w:val="000000"/>
                <w:sz w:val="21"/>
              </w:rPr>
              <w:t>Soft vessel mass fraction</w:t>
            </w:r>
          </w:p>
        </w:tc>
        <w:tc>
          <w:tcPr>
            <w:tcW w:w="2664" w:type="dxa"/>
            <w:shd w:val="clear" w:color="auto" w:fill="FFFFFF"/>
            <w:tcMar>
              <w:top w:w="75" w:type="dxa"/>
              <w:left w:w="85" w:type="dxa"/>
              <w:bottom w:w="75" w:type="dxa"/>
              <w:right w:w="85" w:type="dxa"/>
            </w:tcMar>
            <w:vAlign w:val="center"/>
          </w:tcPr>
          <w:p w14:paraId="3FCF1419">
            <w:pPr>
              <w:spacing w:after="0" w:line="240" w:lineRule="auto" w:before="0"/>
              <w:jc w:val="left"/>
            </w:pPr>
            <w:r>
              <w:rPr>
                <w:rFonts w:ascii="Times New Roman" w:hAnsi="Times New Roman" w:eastAsia="Times New Roman"/>
                <w:b w:val="0"/>
                <w:i w:val="0"/>
                <w:color w:val="000000"/>
                <w:sz w:val="21"/>
              </w:rPr>
              <w:t>Continuous vessel support</w:t>
            </w:r>
          </w:p>
        </w:tc>
        <w:tc>
          <w:tcPr>
            <w:tcW w:w="1037" w:type="dxa"/>
            <w:shd w:val="clear" w:color="auto" w:fill="FFFFFF"/>
            <w:tcMar>
              <w:top w:w="75" w:type="dxa"/>
              <w:left w:w="85" w:type="dxa"/>
              <w:bottom w:w="75" w:type="dxa"/>
              <w:right w:w="85" w:type="dxa"/>
            </w:tcMar>
            <w:vAlign w:val="center"/>
          </w:tcPr>
          <w:p w14:paraId="0DDA92D9">
            <w:pPr>
              <w:spacing w:after="0" w:line="240" w:lineRule="auto" w:before="0"/>
              <w:jc w:val="left"/>
            </w:pPr>
            <w:r>
              <w:rPr>
                <w:rFonts w:ascii="Times New Roman" w:hAnsi="Times New Roman" w:eastAsia="Times New Roman"/>
                <w:b w:val="0"/>
                <w:i w:val="0"/>
                <w:color w:val="000000"/>
                <w:sz w:val="21"/>
              </w:rPr>
              <w:t>0.676</w:t>
            </w:r>
          </w:p>
        </w:tc>
        <w:tc>
          <w:tcPr>
            <w:tcW w:w="1325" w:type="dxa"/>
            <w:shd w:val="clear" w:color="auto" w:fill="FFFFFF"/>
            <w:tcMar>
              <w:top w:w="75" w:type="dxa"/>
              <w:left w:w="85" w:type="dxa"/>
              <w:bottom w:w="75" w:type="dxa"/>
              <w:right w:w="85" w:type="dxa"/>
            </w:tcMar>
            <w:vAlign w:val="center"/>
          </w:tcPr>
          <w:p w14:paraId="0C2203E5">
            <w:pPr>
              <w:spacing w:after="0" w:line="240" w:lineRule="auto" w:before="0"/>
              <w:jc w:val="left"/>
            </w:pPr>
            <w:r>
              <w:rPr>
                <w:rFonts w:ascii="Times New Roman" w:hAnsi="Times New Roman" w:eastAsia="Times New Roman"/>
                <w:b w:val="0"/>
                <w:i w:val="0"/>
                <w:color w:val="000000"/>
                <w:sz w:val="21"/>
              </w:rPr>
              <w:t>0.653–0.699</w:t>
            </w:r>
          </w:p>
        </w:tc>
        <w:tc>
          <w:tcPr>
            <w:tcW w:w="1037" w:type="dxa"/>
            <w:shd w:val="clear" w:color="auto" w:fill="FFFFFF"/>
            <w:tcMar>
              <w:top w:w="75" w:type="dxa"/>
              <w:left w:w="85" w:type="dxa"/>
              <w:bottom w:w="75" w:type="dxa"/>
              <w:right w:w="85" w:type="dxa"/>
            </w:tcMar>
            <w:vAlign w:val="center"/>
          </w:tcPr>
          <w:p w14:paraId="5323E5C0">
            <w:pPr>
              <w:spacing w:after="0" w:line="240" w:lineRule="auto" w:before="0"/>
              <w:jc w:val="left"/>
            </w:pPr>
            <w:r>
              <w:rPr>
                <w:rFonts w:ascii="Times New Roman" w:hAnsi="Times New Roman" w:eastAsia="Times New Roman"/>
                <w:b w:val="0"/>
                <w:i w:val="0"/>
                <w:color w:val="000000"/>
                <w:sz w:val="21"/>
              </w:rPr>
              <w:t>Retain</w:t>
            </w:r>
          </w:p>
        </w:tc>
      </w:tr>
      <w:tr w14:paraId="79270D8E">
        <w:trPr>
          <w:cantSplit/>
          <w:jc w:val="center"/>
        </w:trPr>
        <w:tc>
          <w:tcPr>
            <w:tcW w:w="1944" w:type="dxa"/>
            <w:shd w:val="clear" w:color="auto" w:fill="F3EDF9"/>
            <w:tcMar>
              <w:top w:w="75" w:type="dxa"/>
              <w:left w:w="85" w:type="dxa"/>
              <w:bottom w:w="75" w:type="dxa"/>
              <w:right w:w="85" w:type="dxa"/>
            </w:tcMar>
            <w:vAlign w:val="center"/>
          </w:tcPr>
          <w:p w14:paraId="1371A8A2">
            <w:pPr>
              <w:spacing w:after="0" w:line="240" w:lineRule="auto" w:before="0"/>
              <w:jc w:val="left"/>
            </w:pPr>
            <w:r>
              <w:rPr>
                <w:rFonts w:ascii="Times New Roman" w:hAnsi="Times New Roman" w:eastAsia="Times New Roman"/>
                <w:b w:val="0"/>
                <w:i w:val="0"/>
                <w:color w:val="000000"/>
                <w:sz w:val="21"/>
              </w:rPr>
              <w:t>Identity entropy</w:t>
            </w:r>
          </w:p>
        </w:tc>
        <w:tc>
          <w:tcPr>
            <w:tcW w:w="2664" w:type="dxa"/>
            <w:shd w:val="clear" w:color="auto" w:fill="F3EDF9"/>
            <w:tcMar>
              <w:top w:w="75" w:type="dxa"/>
              <w:left w:w="85" w:type="dxa"/>
              <w:bottom w:w="75" w:type="dxa"/>
              <w:right w:w="85" w:type="dxa"/>
            </w:tcMar>
            <w:vAlign w:val="center"/>
          </w:tcPr>
          <w:p w14:paraId="4BD0E8F5">
            <w:pPr>
              <w:spacing w:after="0" w:line="240" w:lineRule="auto" w:before="0"/>
              <w:jc w:val="left"/>
            </w:pPr>
            <w:r>
              <w:rPr>
                <w:rFonts w:ascii="Times New Roman" w:hAnsi="Times New Roman" w:eastAsia="Times New Roman"/>
                <w:b w:val="0"/>
                <w:i w:val="0"/>
                <w:color w:val="000000"/>
                <w:sz w:val="21"/>
              </w:rPr>
              <w:t>Identity ambiguity</w:t>
            </w:r>
          </w:p>
        </w:tc>
        <w:tc>
          <w:tcPr>
            <w:tcW w:w="1037" w:type="dxa"/>
            <w:shd w:val="clear" w:color="auto" w:fill="F3EDF9"/>
            <w:tcMar>
              <w:top w:w="75" w:type="dxa"/>
              <w:left w:w="85" w:type="dxa"/>
              <w:bottom w:w="75" w:type="dxa"/>
              <w:right w:w="85" w:type="dxa"/>
            </w:tcMar>
            <w:vAlign w:val="center"/>
          </w:tcPr>
          <w:p w14:paraId="0EE45B30">
            <w:pPr>
              <w:spacing w:after="0" w:line="240" w:lineRule="auto" w:before="0"/>
              <w:jc w:val="left"/>
            </w:pPr>
            <w:r>
              <w:rPr>
                <w:rFonts w:ascii="Times New Roman" w:hAnsi="Times New Roman" w:eastAsia="Times New Roman"/>
                <w:b w:val="0"/>
                <w:i w:val="0"/>
                <w:color w:val="000000"/>
                <w:sz w:val="21"/>
              </w:rPr>
              <w:t>0.503</w:t>
            </w:r>
          </w:p>
        </w:tc>
        <w:tc>
          <w:tcPr>
            <w:tcW w:w="1325" w:type="dxa"/>
            <w:shd w:val="clear" w:color="auto" w:fill="F3EDF9"/>
            <w:tcMar>
              <w:top w:w="75" w:type="dxa"/>
              <w:left w:w="85" w:type="dxa"/>
              <w:bottom w:w="75" w:type="dxa"/>
              <w:right w:w="85" w:type="dxa"/>
            </w:tcMar>
            <w:vAlign w:val="center"/>
          </w:tcPr>
          <w:p w14:paraId="76868828">
            <w:pPr>
              <w:spacing w:after="0" w:line="240" w:lineRule="auto" w:before="0"/>
              <w:jc w:val="left"/>
            </w:pPr>
            <w:r>
              <w:rPr>
                <w:rFonts w:ascii="Times New Roman" w:hAnsi="Times New Roman" w:eastAsia="Times New Roman"/>
                <w:b w:val="0"/>
                <w:i w:val="0"/>
                <w:color w:val="000000"/>
                <w:sz w:val="21"/>
              </w:rPr>
              <w:t>0.473–0.534</w:t>
            </w:r>
          </w:p>
        </w:tc>
        <w:tc>
          <w:tcPr>
            <w:tcW w:w="1037" w:type="dxa"/>
            <w:shd w:val="clear" w:color="auto" w:fill="F3EDF9"/>
            <w:tcMar>
              <w:top w:w="75" w:type="dxa"/>
              <w:left w:w="85" w:type="dxa"/>
              <w:bottom w:w="75" w:type="dxa"/>
              <w:right w:w="85" w:type="dxa"/>
            </w:tcMar>
            <w:vAlign w:val="center"/>
          </w:tcPr>
          <w:p w14:paraId="01FDB4E1">
            <w:pPr>
              <w:spacing w:after="0" w:line="240" w:lineRule="auto" w:before="0"/>
              <w:jc w:val="left"/>
            </w:pPr>
            <w:r>
              <w:rPr>
                <w:rFonts w:ascii="Times New Roman" w:hAnsi="Times New Roman" w:eastAsia="Times New Roman"/>
                <w:b w:val="0"/>
                <w:i w:val="0"/>
                <w:color w:val="000000"/>
                <w:sz w:val="21"/>
              </w:rPr>
              <w:t>Exclude</w:t>
            </w:r>
          </w:p>
        </w:tc>
      </w:tr>
      <w:tr w14:paraId="0F10059B">
        <w:trPr>
          <w:cantSplit/>
          <w:jc w:val="center"/>
        </w:trPr>
        <w:tc>
          <w:tcPr>
            <w:tcW w:w="1944" w:type="dxa"/>
            <w:shd w:val="clear" w:color="auto" w:fill="FFFFFF"/>
            <w:tcMar>
              <w:top w:w="75" w:type="dxa"/>
              <w:left w:w="85" w:type="dxa"/>
              <w:bottom w:w="75" w:type="dxa"/>
              <w:right w:w="85" w:type="dxa"/>
            </w:tcMar>
            <w:vAlign w:val="center"/>
          </w:tcPr>
          <w:p w14:paraId="48164D68">
            <w:pPr>
              <w:spacing w:after="0" w:line="240" w:lineRule="auto" w:before="0"/>
              <w:jc w:val="left"/>
            </w:pPr>
            <w:r>
              <w:rPr>
                <w:rFonts w:ascii="Times New Roman" w:hAnsi="Times New Roman" w:eastAsia="Times New Roman"/>
                <w:b w:val="0"/>
                <w:i w:val="0"/>
                <w:color w:val="000000"/>
                <w:sz w:val="21"/>
              </w:rPr>
              <w:t>Mass branch density</w:t>
            </w:r>
          </w:p>
        </w:tc>
        <w:tc>
          <w:tcPr>
            <w:tcW w:w="2664" w:type="dxa"/>
            <w:shd w:val="clear" w:color="auto" w:fill="FFFFFF"/>
            <w:tcMar>
              <w:top w:w="75" w:type="dxa"/>
              <w:left w:w="85" w:type="dxa"/>
              <w:bottom w:w="75" w:type="dxa"/>
              <w:right w:w="85" w:type="dxa"/>
            </w:tcMar>
            <w:vAlign w:val="center"/>
          </w:tcPr>
          <w:p w14:paraId="228DD79C">
            <w:pPr>
              <w:spacing w:after="0" w:line="240" w:lineRule="auto" w:before="0"/>
              <w:jc w:val="left"/>
            </w:pPr>
            <w:r>
              <w:rPr>
                <w:rFonts w:ascii="Times New Roman" w:hAnsi="Times New Roman" w:eastAsia="Times New Roman"/>
                <w:b w:val="0"/>
                <w:i w:val="0"/>
                <w:color w:val="000000"/>
                <w:sz w:val="21"/>
              </w:rPr>
              <w:t>Topological complexity</w:t>
            </w:r>
          </w:p>
        </w:tc>
        <w:tc>
          <w:tcPr>
            <w:tcW w:w="1037" w:type="dxa"/>
            <w:shd w:val="clear" w:color="auto" w:fill="FFFFFF"/>
            <w:tcMar>
              <w:top w:w="75" w:type="dxa"/>
              <w:left w:w="85" w:type="dxa"/>
              <w:bottom w:w="75" w:type="dxa"/>
              <w:right w:w="85" w:type="dxa"/>
            </w:tcMar>
            <w:vAlign w:val="center"/>
          </w:tcPr>
          <w:p w14:paraId="48CA12A5">
            <w:pPr>
              <w:spacing w:after="0" w:line="240" w:lineRule="auto" w:before="0"/>
              <w:jc w:val="left"/>
            </w:pPr>
            <w:r>
              <w:rPr>
                <w:rFonts w:ascii="Times New Roman" w:hAnsi="Times New Roman" w:eastAsia="Times New Roman"/>
                <w:b w:val="0"/>
                <w:i w:val="0"/>
                <w:color w:val="000000"/>
                <w:sz w:val="21"/>
              </w:rPr>
              <w:t>0.484</w:t>
            </w:r>
          </w:p>
        </w:tc>
        <w:tc>
          <w:tcPr>
            <w:tcW w:w="1325" w:type="dxa"/>
            <w:shd w:val="clear" w:color="auto" w:fill="FFFFFF"/>
            <w:tcMar>
              <w:top w:w="75" w:type="dxa"/>
              <w:left w:w="85" w:type="dxa"/>
              <w:bottom w:w="75" w:type="dxa"/>
              <w:right w:w="85" w:type="dxa"/>
            </w:tcMar>
            <w:vAlign w:val="center"/>
          </w:tcPr>
          <w:p w14:paraId="3F9DB914">
            <w:pPr>
              <w:spacing w:after="0" w:line="240" w:lineRule="auto" w:before="0"/>
              <w:jc w:val="left"/>
            </w:pPr>
            <w:r>
              <w:rPr>
                <w:rFonts w:ascii="Times New Roman" w:hAnsi="Times New Roman" w:eastAsia="Times New Roman"/>
                <w:b w:val="0"/>
                <w:i w:val="0"/>
                <w:color w:val="000000"/>
                <w:sz w:val="21"/>
              </w:rPr>
              <w:t>0.452–0.514</w:t>
            </w:r>
          </w:p>
        </w:tc>
        <w:tc>
          <w:tcPr>
            <w:tcW w:w="1037" w:type="dxa"/>
            <w:shd w:val="clear" w:color="auto" w:fill="FFFFFF"/>
            <w:tcMar>
              <w:top w:w="75" w:type="dxa"/>
              <w:left w:w="85" w:type="dxa"/>
              <w:bottom w:w="75" w:type="dxa"/>
              <w:right w:w="85" w:type="dxa"/>
            </w:tcMar>
            <w:vAlign w:val="center"/>
          </w:tcPr>
          <w:p w14:paraId="3A137234">
            <w:pPr>
              <w:spacing w:after="0" w:line="240" w:lineRule="auto" w:before="0"/>
              <w:jc w:val="left"/>
            </w:pPr>
            <w:r>
              <w:rPr>
                <w:rFonts w:ascii="Times New Roman" w:hAnsi="Times New Roman" w:eastAsia="Times New Roman"/>
                <w:b w:val="0"/>
                <w:i w:val="0"/>
                <w:color w:val="000000"/>
                <w:sz w:val="21"/>
              </w:rPr>
              <w:t>Exclude</w:t>
            </w:r>
          </w:p>
        </w:tc>
      </w:tr>
      <w:tr w14:paraId="3C61598E">
        <w:trPr>
          <w:cantSplit/>
          <w:jc w:val="center"/>
        </w:trPr>
        <w:tc>
          <w:tcPr>
            <w:tcW w:w="1944" w:type="dxa"/>
            <w:shd w:val="clear" w:color="auto" w:fill="F3EDF9"/>
            <w:tcMar>
              <w:top w:w="75" w:type="dxa"/>
              <w:left w:w="85" w:type="dxa"/>
              <w:bottom w:w="75" w:type="dxa"/>
              <w:right w:w="85" w:type="dxa"/>
            </w:tcMar>
            <w:vAlign w:val="center"/>
          </w:tcPr>
          <w:p w14:paraId="491EAB20">
            <w:pPr>
              <w:spacing w:after="0" w:line="240" w:lineRule="auto" w:before="0"/>
              <w:jc w:val="left"/>
            </w:pPr>
            <w:r>
              <w:rPr>
                <w:rFonts w:ascii="Times New Roman" w:hAnsi="Times New Roman" w:eastAsia="Times New Roman"/>
                <w:b w:val="0"/>
                <w:i w:val="0"/>
                <w:color w:val="000000"/>
                <w:sz w:val="21"/>
              </w:rPr>
              <w:t>Soft A/V log-mass ratio</w:t>
            </w:r>
          </w:p>
        </w:tc>
        <w:tc>
          <w:tcPr>
            <w:tcW w:w="2664" w:type="dxa"/>
            <w:shd w:val="clear" w:color="auto" w:fill="F3EDF9"/>
            <w:tcMar>
              <w:top w:w="75" w:type="dxa"/>
              <w:left w:w="85" w:type="dxa"/>
              <w:bottom w:w="75" w:type="dxa"/>
              <w:right w:w="85" w:type="dxa"/>
            </w:tcMar>
            <w:vAlign w:val="center"/>
          </w:tcPr>
          <w:p w14:paraId="546CE290">
            <w:pPr>
              <w:spacing w:after="0" w:line="240" w:lineRule="auto" w:before="0"/>
              <w:jc w:val="left"/>
            </w:pPr>
            <w:r>
              <w:rPr>
                <w:rFonts w:ascii="Times New Roman" w:hAnsi="Times New Roman" w:eastAsia="Times New Roman"/>
                <w:b w:val="0"/>
                <w:i w:val="0"/>
                <w:color w:val="000000"/>
                <w:sz w:val="21"/>
              </w:rPr>
              <w:t>Soft identity balance</w:t>
            </w:r>
          </w:p>
        </w:tc>
        <w:tc>
          <w:tcPr>
            <w:tcW w:w="1037" w:type="dxa"/>
            <w:shd w:val="clear" w:color="auto" w:fill="F3EDF9"/>
            <w:tcMar>
              <w:top w:w="75" w:type="dxa"/>
              <w:left w:w="85" w:type="dxa"/>
              <w:bottom w:w="75" w:type="dxa"/>
              <w:right w:w="85" w:type="dxa"/>
            </w:tcMar>
            <w:vAlign w:val="center"/>
          </w:tcPr>
          <w:p w14:paraId="2B9B0A51">
            <w:pPr>
              <w:spacing w:after="0" w:line="240" w:lineRule="auto" w:before="0"/>
              <w:jc w:val="left"/>
            </w:pPr>
            <w:r>
              <w:rPr>
                <w:rFonts w:ascii="Times New Roman" w:hAnsi="Times New Roman" w:eastAsia="Times New Roman"/>
                <w:b w:val="0"/>
                <w:i w:val="0"/>
                <w:color w:val="000000"/>
                <w:sz w:val="21"/>
              </w:rPr>
              <w:t>0.384</w:t>
            </w:r>
          </w:p>
        </w:tc>
        <w:tc>
          <w:tcPr>
            <w:tcW w:w="1325" w:type="dxa"/>
            <w:shd w:val="clear" w:color="auto" w:fill="F3EDF9"/>
            <w:tcMar>
              <w:top w:w="75" w:type="dxa"/>
              <w:left w:w="85" w:type="dxa"/>
              <w:bottom w:w="75" w:type="dxa"/>
              <w:right w:w="85" w:type="dxa"/>
            </w:tcMar>
            <w:vAlign w:val="center"/>
          </w:tcPr>
          <w:p w14:paraId="5C897E8D">
            <w:pPr>
              <w:spacing w:after="0" w:line="240" w:lineRule="auto" w:before="0"/>
              <w:jc w:val="left"/>
            </w:pPr>
            <w:r>
              <w:rPr>
                <w:rFonts w:ascii="Times New Roman" w:hAnsi="Times New Roman" w:eastAsia="Times New Roman"/>
                <w:b w:val="0"/>
                <w:i w:val="0"/>
                <w:color w:val="000000"/>
                <w:sz w:val="21"/>
              </w:rPr>
              <w:t>0.346–0.420</w:t>
            </w:r>
          </w:p>
        </w:tc>
        <w:tc>
          <w:tcPr>
            <w:tcW w:w="1037" w:type="dxa"/>
            <w:shd w:val="clear" w:color="auto" w:fill="F3EDF9"/>
            <w:tcMar>
              <w:top w:w="75" w:type="dxa"/>
              <w:left w:w="85" w:type="dxa"/>
              <w:bottom w:w="75" w:type="dxa"/>
              <w:right w:w="85" w:type="dxa"/>
            </w:tcMar>
            <w:vAlign w:val="center"/>
          </w:tcPr>
          <w:p w14:paraId="21E708B3">
            <w:pPr>
              <w:spacing w:after="0" w:line="240" w:lineRule="auto" w:before="0"/>
              <w:jc w:val="left"/>
            </w:pPr>
            <w:r>
              <w:rPr>
                <w:rFonts w:ascii="Times New Roman" w:hAnsi="Times New Roman" w:eastAsia="Times New Roman"/>
                <w:b w:val="0"/>
                <w:i w:val="0"/>
                <w:color w:val="000000"/>
                <w:sz w:val="21"/>
              </w:rPr>
              <w:t>Exclude</w:t>
            </w:r>
          </w:p>
        </w:tc>
      </w:tr>
      <w:tr w14:paraId="206EBF14">
        <w:trPr>
          <w:cantSplit/>
          <w:jc w:val="center"/>
        </w:trPr>
        <w:tc>
          <w:tcPr>
            <w:tcW w:w="1944" w:type="dxa"/>
            <w:shd w:val="clear" w:color="auto" w:fill="FFFFFF"/>
            <w:tcMar>
              <w:top w:w="75" w:type="dxa"/>
              <w:left w:w="85" w:type="dxa"/>
              <w:bottom w:w="75" w:type="dxa"/>
              <w:right w:w="85" w:type="dxa"/>
            </w:tcMar>
            <w:vAlign w:val="center"/>
          </w:tcPr>
          <w:p w14:paraId="1F071412">
            <w:pPr>
              <w:spacing w:after="0" w:line="240" w:lineRule="auto" w:before="0"/>
              <w:jc w:val="left"/>
            </w:pPr>
            <w:r>
              <w:rPr>
                <w:rFonts w:ascii="Times New Roman" w:hAnsi="Times New Roman" w:eastAsia="Times New Roman"/>
                <w:b w:val="0"/>
                <w:i w:val="0"/>
                <w:color w:val="000000"/>
                <w:sz w:val="21"/>
              </w:rPr>
              <w:t>Factorized-UDCT A/V log-area ratio</w:t>
            </w:r>
          </w:p>
        </w:tc>
        <w:tc>
          <w:tcPr>
            <w:tcW w:w="2664" w:type="dxa"/>
            <w:shd w:val="clear" w:color="auto" w:fill="FFFFFF"/>
            <w:tcMar>
              <w:top w:w="75" w:type="dxa"/>
              <w:left w:w="85" w:type="dxa"/>
              <w:bottom w:w="75" w:type="dxa"/>
              <w:right w:w="85" w:type="dxa"/>
            </w:tcMar>
            <w:vAlign w:val="center"/>
          </w:tcPr>
          <w:p w14:paraId="5394418D">
            <w:pPr>
              <w:spacing w:after="0" w:line="240" w:lineRule="auto" w:before="0"/>
              <w:jc w:val="left"/>
            </w:pPr>
            <w:r>
              <w:rPr>
                <w:rFonts w:ascii="Times New Roman" w:hAnsi="Times New Roman" w:eastAsia="Times New Roman"/>
                <w:b w:val="0"/>
                <w:i w:val="0"/>
                <w:color w:val="000000"/>
                <w:sz w:val="21"/>
              </w:rPr>
              <w:t>Gated identity balance</w:t>
            </w:r>
          </w:p>
        </w:tc>
        <w:tc>
          <w:tcPr>
            <w:tcW w:w="1037" w:type="dxa"/>
            <w:shd w:val="clear" w:color="auto" w:fill="FFFFFF"/>
            <w:tcMar>
              <w:top w:w="75" w:type="dxa"/>
              <w:left w:w="85" w:type="dxa"/>
              <w:bottom w:w="75" w:type="dxa"/>
              <w:right w:w="85" w:type="dxa"/>
            </w:tcMar>
            <w:vAlign w:val="center"/>
          </w:tcPr>
          <w:p w14:paraId="4B18BA4E">
            <w:pPr>
              <w:spacing w:after="0" w:line="240" w:lineRule="auto" w:before="0"/>
              <w:jc w:val="left"/>
            </w:pPr>
            <w:r>
              <w:rPr>
                <w:rFonts w:ascii="Times New Roman" w:hAnsi="Times New Roman" w:eastAsia="Times New Roman"/>
                <w:b w:val="0"/>
                <w:i w:val="0"/>
                <w:color w:val="000000"/>
                <w:sz w:val="21"/>
              </w:rPr>
              <w:t>0.360</w:t>
            </w:r>
          </w:p>
        </w:tc>
        <w:tc>
          <w:tcPr>
            <w:tcW w:w="1325" w:type="dxa"/>
            <w:shd w:val="clear" w:color="auto" w:fill="FFFFFF"/>
            <w:tcMar>
              <w:top w:w="75" w:type="dxa"/>
              <w:left w:w="85" w:type="dxa"/>
              <w:bottom w:w="75" w:type="dxa"/>
              <w:right w:w="85" w:type="dxa"/>
            </w:tcMar>
            <w:vAlign w:val="center"/>
          </w:tcPr>
          <w:p w14:paraId="750D721D">
            <w:pPr>
              <w:spacing w:after="0" w:line="240" w:lineRule="auto" w:before="0"/>
              <w:jc w:val="left"/>
            </w:pPr>
            <w:r>
              <w:rPr>
                <w:rFonts w:ascii="Times New Roman" w:hAnsi="Times New Roman" w:eastAsia="Times New Roman"/>
                <w:b w:val="0"/>
                <w:i w:val="0"/>
                <w:color w:val="000000"/>
                <w:sz w:val="21"/>
              </w:rPr>
              <w:t>0.311–0.406</w:t>
            </w:r>
          </w:p>
        </w:tc>
        <w:tc>
          <w:tcPr>
            <w:tcW w:w="1037" w:type="dxa"/>
            <w:shd w:val="clear" w:color="auto" w:fill="FFFFFF"/>
            <w:tcMar>
              <w:top w:w="75" w:type="dxa"/>
              <w:left w:w="85" w:type="dxa"/>
              <w:bottom w:w="75" w:type="dxa"/>
              <w:right w:w="85" w:type="dxa"/>
            </w:tcMar>
            <w:vAlign w:val="center"/>
          </w:tcPr>
          <w:p w14:paraId="1C623032">
            <w:pPr>
              <w:spacing w:after="0" w:line="240" w:lineRule="auto" w:before="0"/>
              <w:jc w:val="left"/>
            </w:pPr>
            <w:r>
              <w:rPr>
                <w:rFonts w:ascii="Times New Roman" w:hAnsi="Times New Roman" w:eastAsia="Times New Roman"/>
                <w:b w:val="0"/>
                <w:i w:val="0"/>
                <w:color w:val="000000"/>
                <w:sz w:val="21"/>
              </w:rPr>
              <w:t>Exclude</w:t>
            </w:r>
          </w:p>
        </w:tc>
      </w:tr>
      <w:tr w14:paraId="594F3F80">
        <w:trPr>
          <w:cantSplit/>
          <w:jc w:val="center"/>
        </w:trPr>
        <w:tc>
          <w:tcPr>
            <w:tcW w:w="1944" w:type="dxa"/>
            <w:shd w:val="clear" w:color="auto" w:fill="F3EDF9"/>
            <w:tcMar>
              <w:top w:w="75" w:type="dxa"/>
              <w:left w:w="85" w:type="dxa"/>
              <w:bottom w:w="75" w:type="dxa"/>
              <w:right w:w="85" w:type="dxa"/>
            </w:tcMar>
            <w:vAlign w:val="center"/>
          </w:tcPr>
          <w:p w14:paraId="701F7D69">
            <w:pPr>
              <w:spacing w:after="0" w:line="240" w:lineRule="auto" w:before="0"/>
              <w:jc w:val="left"/>
            </w:pPr>
            <w:r>
              <w:rPr>
                <w:rFonts w:ascii="Times New Roman" w:hAnsi="Times New Roman" w:eastAsia="Times New Roman"/>
                <w:b w:val="0"/>
                <w:i w:val="0"/>
                <w:color w:val="000000"/>
                <w:sz w:val="21"/>
              </w:rPr>
              <w:t>Base-to-mass disagreement</w:t>
            </w:r>
          </w:p>
        </w:tc>
        <w:tc>
          <w:tcPr>
            <w:tcW w:w="2664" w:type="dxa"/>
            <w:shd w:val="clear" w:color="auto" w:fill="F3EDF9"/>
            <w:tcMar>
              <w:top w:w="75" w:type="dxa"/>
              <w:left w:w="85" w:type="dxa"/>
              <w:bottom w:w="75" w:type="dxa"/>
              <w:right w:w="85" w:type="dxa"/>
            </w:tcMar>
            <w:vAlign w:val="center"/>
          </w:tcPr>
          <w:p w14:paraId="1FE7401F">
            <w:pPr>
              <w:spacing w:after="0" w:line="240" w:lineRule="auto" w:before="0"/>
              <w:jc w:val="left"/>
            </w:pPr>
            <w:r>
              <w:rPr>
                <w:rFonts w:ascii="Times New Roman" w:hAnsi="Times New Roman" w:eastAsia="Times New Roman"/>
                <w:b w:val="0"/>
                <w:i w:val="0"/>
                <w:color w:val="000000"/>
                <w:sz w:val="21"/>
              </w:rPr>
              <w:t>Identity-head mismatch</w:t>
            </w:r>
          </w:p>
        </w:tc>
        <w:tc>
          <w:tcPr>
            <w:tcW w:w="1037" w:type="dxa"/>
            <w:shd w:val="clear" w:color="auto" w:fill="F3EDF9"/>
            <w:tcMar>
              <w:top w:w="75" w:type="dxa"/>
              <w:left w:w="85" w:type="dxa"/>
              <w:bottom w:w="75" w:type="dxa"/>
              <w:right w:w="85" w:type="dxa"/>
            </w:tcMar>
            <w:vAlign w:val="center"/>
          </w:tcPr>
          <w:p w14:paraId="4652923C">
            <w:pPr>
              <w:spacing w:after="0" w:line="240" w:lineRule="auto" w:before="0"/>
              <w:jc w:val="left"/>
            </w:pPr>
            <w:r>
              <w:rPr>
                <w:rFonts w:ascii="Times New Roman" w:hAnsi="Times New Roman" w:eastAsia="Times New Roman"/>
                <w:b w:val="0"/>
                <w:i w:val="0"/>
                <w:color w:val="000000"/>
                <w:sz w:val="21"/>
              </w:rPr>
              <w:t>0.282</w:t>
            </w:r>
          </w:p>
        </w:tc>
        <w:tc>
          <w:tcPr>
            <w:tcW w:w="1325" w:type="dxa"/>
            <w:shd w:val="clear" w:color="auto" w:fill="F3EDF9"/>
            <w:tcMar>
              <w:top w:w="75" w:type="dxa"/>
              <w:left w:w="85" w:type="dxa"/>
              <w:bottom w:w="75" w:type="dxa"/>
              <w:right w:w="85" w:type="dxa"/>
            </w:tcMar>
            <w:vAlign w:val="center"/>
          </w:tcPr>
          <w:p w14:paraId="5C16ADC2">
            <w:pPr>
              <w:spacing w:after="0" w:line="240" w:lineRule="auto" w:before="0"/>
              <w:jc w:val="left"/>
            </w:pPr>
            <w:r>
              <w:rPr>
                <w:rFonts w:ascii="Times New Roman" w:hAnsi="Times New Roman" w:eastAsia="Times New Roman"/>
                <w:b w:val="0"/>
                <w:i w:val="0"/>
                <w:color w:val="000000"/>
                <w:sz w:val="21"/>
              </w:rPr>
              <w:t>0.237–0.328</w:t>
            </w:r>
          </w:p>
        </w:tc>
        <w:tc>
          <w:tcPr>
            <w:tcW w:w="1037" w:type="dxa"/>
            <w:shd w:val="clear" w:color="auto" w:fill="F3EDF9"/>
            <w:tcMar>
              <w:top w:w="75" w:type="dxa"/>
              <w:left w:w="85" w:type="dxa"/>
              <w:bottom w:w="75" w:type="dxa"/>
              <w:right w:w="85" w:type="dxa"/>
            </w:tcMar>
            <w:vAlign w:val="center"/>
          </w:tcPr>
          <w:p w14:paraId="598234FA">
            <w:pPr>
              <w:spacing w:after="0" w:line="240" w:lineRule="auto" w:before="0"/>
              <w:jc w:val="left"/>
            </w:pPr>
            <w:r>
              <w:rPr>
                <w:rFonts w:ascii="Times New Roman" w:hAnsi="Times New Roman" w:eastAsia="Times New Roman"/>
                <w:b w:val="0"/>
                <w:i w:val="0"/>
                <w:color w:val="000000"/>
                <w:sz w:val="21"/>
              </w:rPr>
              <w:t>Exclude</w:t>
            </w:r>
          </w:p>
        </w:tc>
      </w:tr>
    </w:tbl>
    <w:p w14:paraId="644740EA">
      <w:pPr>
        <w:spacing w:after="0" w:before="0"/>
        <w:jc w:val="center"/>
      </w:pPr>
    </w:p>
    <w:p w14:paraId="0FE0553D">
      <w:pPr>
        <w:pStyle w:val="4"/>
        <w:keepNext/>
        <w:spacing w:before="200" w:after="120" w:line="240" w:lineRule="auto"/>
        <w:jc w:val="left"/>
      </w:pPr>
      <w:r>
        <w:rPr>
          <w:rFonts w:ascii="Times New Roman" w:hAnsi="Times New Roman" w:eastAsia="Times New Roman"/>
          <w:b/>
          <w:i w:val="0"/>
          <w:color w:val="000000"/>
          <w:sz w:val="24"/>
        </w:rPr>
        <w:t>3.3 High-dimensional dual-readout fusion failed to add CIMT value</w:t>
      </w:r>
    </w:p>
    <w:p w14:paraId="0952E4FE">
      <w:pPr>
        <w:pStyle w:val="18"/>
        <w:keepNext w:val="0"/>
        <w:spacing w:before="0" w:after="100" w:line="276" w:lineRule="auto"/>
        <w:ind w:firstLine="360"/>
        <w:jc w:val="both"/>
      </w:pPr>
      <w:r>
        <w:rPr>
          <w:rFonts w:ascii="Times New Roman" w:hAnsi="Times New Roman" w:eastAsia="Times New Roman"/>
          <w:b w:val="0"/>
          <w:i w:val="0"/>
          <w:color w:val="000000"/>
          <w:sz w:val="24"/>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pStyle w:val="18"/>
        <w:keepNext w:val="0"/>
        <w:spacing w:before="0" w:after="100" w:line="276" w:lineRule="auto"/>
        <w:ind w:firstLine="360"/>
        <w:jc w:val="both"/>
      </w:pPr>
      <w:r>
        <w:rPr>
          <w:rFonts w:ascii="Times New Roman" w:hAnsi="Times New Roman" w:eastAsia="Times New Roman"/>
          <w:b w:val="0"/>
          <w:i w:val="0"/>
          <w:color w:val="000000"/>
          <w:sz w:val="24"/>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pStyle w:val="4"/>
        <w:keepNext/>
        <w:spacing w:before="200" w:after="120" w:line="240" w:lineRule="auto"/>
        <w:jc w:val="left"/>
      </w:pPr>
      <w:r>
        <w:rPr>
          <w:rFonts w:ascii="Times New Roman" w:hAnsi="Times New Roman" w:eastAsia="Times New Roman"/>
          <w:b/>
          <w:i w:val="0"/>
          <w:color w:val="000000"/>
          <w:sz w:val="24"/>
        </w:rPr>
        <w:t>3.4 Conditional normative deviation revealed a small development signal</w:t>
      </w:r>
    </w:p>
    <w:p w14:paraId="339D835C">
      <w:pPr>
        <w:pStyle w:val="18"/>
        <w:keepNext w:val="0"/>
        <w:spacing w:before="0" w:after="100" w:line="276" w:lineRule="auto"/>
        <w:ind w:firstLine="360"/>
        <w:jc w:val="both"/>
      </w:pPr>
      <w:r>
        <w:rPr>
          <w:rFonts w:ascii="Times New Roman" w:hAnsi="Times New Roman" w:eastAsia="Times New Roman"/>
          <w:b w:val="0"/>
          <w:i w:val="0"/>
          <w:color w:val="000000"/>
          <w:sz w:val="24"/>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pStyle w:val="18"/>
        <w:keepNext w:val="0"/>
        <w:spacing w:before="0" w:after="100" w:line="276" w:lineRule="auto"/>
        <w:ind w:firstLine="360"/>
        <w:jc w:val="both"/>
      </w:pPr>
      <w:r>
        <w:rPr>
          <w:rFonts w:ascii="Times New Roman" w:hAnsi="Times New Roman" w:eastAsia="Times New Roman"/>
          <w:b w:val="0"/>
          <w:i w:val="0"/>
          <w:color w:val="000000"/>
          <w:sz w:val="24"/>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pStyle w:val="18"/>
        <w:keepNext w:val="0"/>
        <w:spacing w:before="0" w:after="100" w:line="276" w:lineRule="auto"/>
        <w:ind w:firstLine="360"/>
        <w:jc w:val="both"/>
      </w:pPr>
      <w:r>
        <w:rPr>
          <w:rFonts w:ascii="Times New Roman" w:hAnsi="Times New Roman" w:eastAsia="Times New Roman"/>
          <w:b w:val="0"/>
          <w:i w:val="0"/>
          <w:color w:val="000000"/>
          <w:sz w:val="24"/>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pPr>
        <w:spacing w:before="0" w:after="0"/>
        <w:jc w:val="center"/>
      </w:pPr>
      <w:r>
        <w:br w:type="page"/>
      </w:r>
    </w:p>
    <w:p w14:paraId="6B41BF30">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26847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685315"/>
                    </a:xfrm>
                    <a:prstGeom prst="rect">
                      <a:avLst/>
                    </a:prstGeom>
                  </pic:spPr>
                </pic:pic>
              </a:graphicData>
            </a:graphic>
          </wp:inline>
        </w:drawing>
      </w:r>
    </w:p>
    <w:p w14:paraId="636FA762">
      <w:pPr>
        <w:keepNext/>
        <w:keepLines/>
        <w:spacing w:before="40" w:after="120" w:line="240" w:lineRule="auto"/>
        <w:jc w:val="both"/>
      </w:pPr>
      <w:r>
        <w:rPr>
          <w:rFonts w:ascii="Times New Roman" w:hAnsi="Times New Roman" w:eastAsia="Times New Roman"/>
          <w:b/>
          <w:i/>
          <w:color w:val="000000"/>
          <w:sz w:val="24"/>
        </w:rPr>
        <w:t>Figure 5. CIMT clinical-increment experiments. Panel A reports paired MAE differences for direct fusion, conditional normative deviation, double orthogonalization, and frozen validation; negative values favour the retinal model. Panel B shows fold-level MAE differences for the 25 repeated outer folds, of which 24 favoured double orthogonalization. Panel C compares patient-level absolute errors in the one-shot frozen validation. The direction was preserved, but the paired interval crossed zero and the accelerated-deviation classifier remained uncertain.</w:t>
      </w:r>
    </w:p>
    <w:p w14:paraId="55262C16">
      <w:pPr>
        <w:spacing w:after="0" w:before="0"/>
        <w:jc w:val="center"/>
      </w:pPr>
    </w:p>
    <w:p w14:paraId="0BA5E862">
      <w:pPr>
        <w:pStyle w:val="4"/>
        <w:keepNext/>
        <w:spacing w:before="200" w:after="120" w:line="240" w:lineRule="auto"/>
        <w:jc w:val="left"/>
      </w:pPr>
      <w:r>
        <w:rPr>
          <w:rFonts w:ascii="Times New Roman" w:hAnsi="Times New Roman" w:eastAsia="Times New Roman"/>
          <w:b/>
          <w:i w:val="0"/>
          <w:color w:val="000000"/>
          <w:sz w:val="24"/>
        </w:rPr>
        <w:t>3.5 Calibrated mBRSET analyses did not establish incremental hypertension information</w:t>
      </w:r>
    </w:p>
    <w:p w14:paraId="01ED7ED3">
      <w:pPr>
        <w:pStyle w:val="18"/>
        <w:keepNext w:val="0"/>
        <w:spacing w:before="0" w:after="100" w:line="276" w:lineRule="auto"/>
        <w:ind w:firstLine="360"/>
        <w:jc w:val="both"/>
      </w:pPr>
      <w:r>
        <w:rPr>
          <w:rFonts w:ascii="Times New Roman" w:hAnsi="Times New Roman" w:eastAsia="Times New Roman"/>
          <w:b w:val="0"/>
          <w:i w:val="0"/>
          <w:color w:val="000000"/>
          <w:sz w:val="24"/>
        </w:rPr>
        <w:t>Among 1,276 mBRSET patients with complete hypertension analysis, 912 were positive. After outer-training cross-fitted Platt calibration, the clinical model (age, sex, diabetes duration) had AUROC 0.6651 and Brier score 0.1887; adding the ICC-gated phenotype core yielded AUROC 0.6669 and Brier score 0.1892. The paired differences were +0.00188 in AUROC (95% CI −0.00588 to +0.00942) and +0.00050 in Brier score (95% CI −0.00064 to +0.00165). Thus, neither discrimination nor probability error showed a reliable phenotype-core increment.</w:t>
      </w:r>
    </w:p>
    <w:p w14:paraId="41602660">
      <w:pPr>
        <w:pStyle w:val="18"/>
        <w:keepNext w:val="0"/>
        <w:spacing w:before="0" w:after="100" w:line="276" w:lineRule="auto"/>
        <w:ind w:firstLine="360"/>
        <w:jc w:val="both"/>
      </w:pPr>
      <w:r>
        <w:rPr>
          <w:rFonts w:ascii="Times New Roman" w:hAnsi="Times New Roman" w:eastAsia="Times New Roman"/>
          <w:b w:val="0"/>
          <w:i w:val="0"/>
          <w:color w:val="000000"/>
          <w:sz w:val="24"/>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pStyle w:val="4"/>
        <w:keepNext/>
        <w:spacing w:before="200" w:after="120" w:line="240" w:lineRule="auto"/>
        <w:jc w:val="left"/>
      </w:pPr>
      <w:r>
        <w:rPr>
          <w:rFonts w:ascii="Times New Roman" w:hAnsi="Times New Roman" w:eastAsia="Times New Roman"/>
          <w:b/>
          <w:i w:val="0"/>
          <w:color w:val="000000"/>
          <w:sz w:val="24"/>
        </w:rPr>
        <w:t>3.6 Negative controls and transport boundaries</w:t>
      </w:r>
    </w:p>
    <w:p w14:paraId="3EFBFA88">
      <w:pPr>
        <w:pStyle w:val="18"/>
        <w:keepNext w:val="0"/>
        <w:spacing w:before="0" w:after="100" w:line="276" w:lineRule="auto"/>
        <w:ind w:firstLine="360"/>
        <w:jc w:val="both"/>
      </w:pPr>
      <w:r>
        <w:rPr>
          <w:rFonts w:ascii="Times New Roman" w:hAnsi="Times New Roman" w:eastAsia="Times New Roman"/>
          <w:b w:val="0"/>
          <w:i w:val="0"/>
          <w:color w:val="000000"/>
          <w:sz w:val="24"/>
        </w:rPr>
        <w:t>A 200-permutation patient-label negative control reran the nested workflow in 1,276 patients. Observed AUROC was 0.6648 for the clinical model and 0.6663 for the phenotype-core–augmented model, exceeding their corresponding null distributions (one-sided empirical p=0.005); outer-fold patient overlap was zero. This supports implementation integrity and argues against patient leakage, but it does not establish a phenotype-core clinical increment.</w:t>
      </w:r>
    </w:p>
    <w:p w14:paraId="6DA7D434">
      <w:pPr>
        <w:pStyle w:val="18"/>
        <w:keepNext w:val="0"/>
        <w:spacing w:before="0" w:after="100" w:line="276" w:lineRule="auto"/>
        <w:ind w:firstLine="360"/>
        <w:jc w:val="both"/>
      </w:pPr>
      <w:r>
        <w:rPr>
          <w:rFonts w:ascii="Times New Roman" w:hAnsi="Times New Roman" w:eastAsia="Times New Roman"/>
          <w:b w:val="0"/>
          <w:i w:val="0"/>
          <w:color w:val="000000"/>
          <w:sz w:val="24"/>
        </w:rPr>
        <w:t>A label-blind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pPr>
        <w:spacing w:before="0" w:after="0"/>
        <w:jc w:val="center"/>
      </w:pPr>
      <w:r>
        <w:br w:type="page"/>
      </w:r>
    </w:p>
    <w:p w14:paraId="03FE0B26">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529330"/>
            <wp:effectExtent l="0" t="0" r="1016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529799"/>
                    </a:xfrm>
                    <a:prstGeom prst="rect">
                      <a:avLst/>
                    </a:prstGeom>
                  </pic:spPr>
                </pic:pic>
              </a:graphicData>
            </a:graphic>
          </wp:inline>
        </w:drawing>
      </w:r>
    </w:p>
    <w:p w14:paraId="1433CE07">
      <w:pPr>
        <w:keepNext/>
        <w:keepLines/>
        <w:spacing w:before="40" w:after="120" w:line="240" w:lineRule="auto"/>
        <w:jc w:val="both"/>
      </w:pPr>
      <w:r>
        <w:rPr>
          <w:rFonts w:ascii="Times New Roman" w:hAnsi="Times New Roman" w:eastAsia="Times New Roman"/>
          <w:b/>
          <w:i/>
          <w:color w:val="000000"/>
          <w:sz w:val="24"/>
        </w:rPr>
        <w:t>Figure 6. Patient-level results, negative controls, and claim boundary. Panel A shows that substituting the E10A representation with the ICC-gated phenotype core worsened repeated development MAE. Panel B reports calibrated phenotype-core increments over the clinical model in mBRSET overall and sensitivity analyses; all paired 95% confidence intervals cross zero. Panel C is a 200-permutation, patient-level negative control with zero outer-fold patient overlap. Panel D separates supported measurement evidence from exploratory association and the missing independent high-resolution outcome confirmation.</w:t>
      </w:r>
    </w:p>
    <w:p w14:paraId="34203D94">
      <w:pPr>
        <w:spacing w:after="0" w:before="0"/>
        <w:jc w:val="center"/>
      </w:pPr>
    </w:p>
    <w:p w14:paraId="17CF2212">
      <w:pPr>
        <w:pStyle w:val="4"/>
        <w:keepNext/>
        <w:spacing w:before="200" w:after="120" w:line="240" w:lineRule="auto"/>
        <w:jc w:val="left"/>
      </w:pPr>
      <w:r>
        <w:rPr>
          <w:rFonts w:ascii="Times New Roman" w:hAnsi="Times New Roman" w:eastAsia="Times New Roman"/>
          <w:b/>
          <w:i w:val="0"/>
          <w:color w:val="000000"/>
          <w:sz w:val="24"/>
        </w:rPr>
        <w:t>3.7 Negative experiments defined the stopping rule</w:t>
      </w:r>
    </w:p>
    <w:p w14:paraId="2082E8BC">
      <w:pPr>
        <w:pStyle w:val="18"/>
        <w:keepNext w:val="0"/>
        <w:spacing w:before="0" w:after="100" w:line="276" w:lineRule="auto"/>
        <w:ind w:firstLine="360"/>
        <w:jc w:val="both"/>
      </w:pPr>
      <w:r>
        <w:rPr>
          <w:rFonts w:ascii="Times New Roman" w:hAnsi="Times New Roman" w:eastAsia="Times New Roman"/>
          <w:b w:val="0"/>
          <w:i w:val="0"/>
          <w:color w:val="000000"/>
          <w:sz w:val="24"/>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phenotype core worsened MAE. These results show that a reliable measurement is necessary but not sufficient for prediction, and they rule out outcome-driven feature expansion in the current cohorts.</w:t>
      </w:r>
    </w:p>
    <w:p w14:paraId="2F83772E">
      <w:pPr>
        <w:pStyle w:val="18"/>
        <w:keepNext w:val="0"/>
        <w:spacing w:before="0" w:after="100" w:line="276" w:lineRule="auto"/>
        <w:ind w:firstLine="360"/>
        <w:jc w:val="both"/>
      </w:pPr>
      <w:r>
        <w:rPr>
          <w:rFonts w:ascii="Times New Roman" w:hAnsi="Times New Roman" w:eastAsia="Times New Roman"/>
          <w:b w:val="0"/>
          <w:i w:val="0"/>
          <w:color w:val="000000"/>
          <w:sz w:val="24"/>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pStyle w:val="3"/>
        <w:keepNext/>
        <w:spacing w:before="200" w:after="120" w:line="240" w:lineRule="auto"/>
        <w:jc w:val="left"/>
      </w:pPr>
      <w:r>
        <w:rPr>
          <w:rFonts w:ascii="Times New Roman" w:hAnsi="Times New Roman" w:eastAsia="Times New Roman"/>
          <w:b/>
          <w:i w:val="0"/>
          <w:color w:val="000000"/>
          <w:sz w:val="28"/>
        </w:rPr>
        <w:t>4. Discussion</w:t>
      </w:r>
    </w:p>
    <w:p w14:paraId="5F121B86">
      <w:pPr>
        <w:pStyle w:val="4"/>
        <w:keepNext/>
        <w:spacing w:before="200" w:after="120" w:line="240" w:lineRule="auto"/>
        <w:jc w:val="left"/>
      </w:pPr>
      <w:r>
        <w:rPr>
          <w:rFonts w:ascii="Times New Roman" w:hAnsi="Times New Roman" w:eastAsia="Times New Roman"/>
          <w:b/>
          <w:i w:val="0"/>
          <w:color w:val="000000"/>
          <w:sz w:val="24"/>
        </w:rPr>
        <w:t>4.1 Principal finding: the evidence layers diverged</w:t>
      </w:r>
    </w:p>
    <w:p w14:paraId="66B0EFFF">
      <w:pPr>
        <w:pStyle w:val="18"/>
        <w:keepNext w:val="0"/>
        <w:spacing w:before="0" w:after="100" w:line="276" w:lineRule="auto"/>
        <w:ind w:firstLine="360"/>
        <w:jc w:val="both"/>
      </w:pPr>
      <w:r>
        <w:rPr>
          <w:rFonts w:ascii="Arial" w:hAnsi="Arial"/>
        </w:rPr>
        <w:t>The central result is a separation, not a leaderboard win. Frozen upstream identity transferred to RAV, the locked Mass-UDCT stack improved final measurement on Fundus-AVSeg, and four global phenotypes were reproducible across repeated photographs. These successes did not translate into robust clinical increment: direct high-dimensional fusion worsened CIMT performance, the conditional-deviation signal was small, and calibrated mBRSET phenotype-core increments crossed the null overall and in sensitivity analyses. Measurement validity, repeatability, and clinical increment were empirically distinct.</w:t>
      </w:r>
    </w:p>
    <w:p w14:paraId="640CF3B4">
      <w:pPr>
        <w:pStyle w:val="18"/>
        <w:keepNext w:val="0"/>
        <w:spacing w:before="0" w:after="100" w:line="276" w:lineRule="auto"/>
        <w:ind w:firstLine="360"/>
        <w:jc w:val="both"/>
      </w:pPr>
      <w:r>
        <w:rPr>
          <w:rFonts w:ascii="Arial" w:hAnsi="Arial"/>
        </w:rPr>
        <w:t>This divergence exposes the evidential gap hidden by many retrospective retinal models. A biomarker claim requires every link in sequence: a valid measurement under domain shift, a stable patient attribute under reacquisition, and a clinically meaningful increment estimated at the patient level. None of these links is implied by another.</w:t>
      </w:r>
    </w:p>
    <w:p w14:paraId="31587034">
      <w:pPr>
        <w:pStyle w:val="4"/>
        <w:keepNext/>
        <w:spacing w:before="200" w:after="120" w:line="240" w:lineRule="auto"/>
        <w:jc w:val="left"/>
      </w:pPr>
      <w:r>
        <w:rPr>
          <w:rFonts w:ascii="Times New Roman" w:hAnsi="Times New Roman" w:eastAsia="Times New Roman"/>
          <w:b/>
          <w:i w:val="0"/>
          <w:color w:val="000000"/>
          <w:sz w:val="24"/>
        </w:rPr>
        <w:t>4.2 Algorithmic and methodological contribution</w:t>
      </w:r>
    </w:p>
    <w:p w14:paraId="30956D39">
      <w:pPr>
        <w:pStyle w:val="18"/>
        <w:keepNext w:val="0"/>
        <w:spacing w:before="0" w:after="100" w:line="276" w:lineRule="auto"/>
        <w:ind w:firstLine="360"/>
        <w:jc w:val="both"/>
      </w:pPr>
      <w:r>
        <w:rPr>
          <w:rFonts w:ascii="Arial" w:hAnsi="Arial"/>
        </w:rPr>
        <w:t>The dual-readout decomposition is the main algorithmic contribution. Occupancy asks whether vascular support is present; identity asks which vascular class is supported. Mass preservation and occupancy-gated factorization implement two explicit measurement operators rather than hiding their trade-off inside a single network output. In the locked Fundus-AVSeg evaluation, Mass-UDCT improved overlap and type accuracy, whereas Factorized-UDCT minimized artery/vein ratio error. Cross-readout disagreement was highly repeatable, but the negative uncertainty experiment prevented it from being promoted to calibrated uncertainty.</w:t>
      </w:r>
    </w:p>
    <w:p w14:paraId="0FF33FA1">
      <w:pPr>
        <w:pStyle w:val="18"/>
        <w:keepNext w:val="0"/>
        <w:spacing w:before="0" w:after="100" w:line="276" w:lineRule="auto"/>
        <w:ind w:firstLine="360"/>
        <w:jc w:val="both"/>
      </w:pPr>
      <w:r>
        <w:rPr>
          <w:rFonts w:ascii="Times New Roman" w:hAnsi="Times New Roman" w:eastAsia="Times New Roman"/>
          <w:b w:val="0"/>
          <w:i w:val="0"/>
          <w:color w:val="000000"/>
          <w:sz w:val="24"/>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pStyle w:val="18"/>
        <w:keepNext w:val="0"/>
        <w:spacing w:before="0" w:after="100" w:line="276" w:lineRule="auto"/>
        <w:ind w:firstLine="360"/>
        <w:jc w:val="both"/>
      </w:pPr>
      <w:r>
        <w:rPr>
          <w:rFonts w:ascii="Arial" w:hAnsi="Arial"/>
        </w:rPr>
        <w:t>The third contribution is the cohort-role firewall. RAV characterized frozen upstream identity and supported corrector development, Fundus-AVSeg independently evaluated the locked final stack, repeated images defined reliability, and systemic outcomes were accessed only after phenotype definition. This design makes dataset provenance, leakage prevention, and negative results parts of the method rather than retrospective caveats.</w:t>
      </w:r>
    </w:p>
    <w:p w14:paraId="73D43A33">
      <w:pPr>
        <w:pStyle w:val="4"/>
        <w:keepNext/>
        <w:spacing w:before="200" w:after="120" w:line="240" w:lineRule="auto"/>
        <w:jc w:val="left"/>
      </w:pPr>
      <w:r>
        <w:rPr>
          <w:rFonts w:ascii="Times New Roman" w:hAnsi="Times New Roman" w:eastAsia="Times New Roman"/>
          <w:b/>
          <w:i w:val="0"/>
          <w:color w:val="000000"/>
          <w:sz w:val="24"/>
        </w:rPr>
        <w:t>4.3 Clinical interpretation and limits of increment</w:t>
      </w:r>
    </w:p>
    <w:p w14:paraId="099BD538">
      <w:pPr>
        <w:pStyle w:val="18"/>
        <w:keepNext w:val="0"/>
        <w:spacing w:before="0" w:after="100" w:line="276" w:lineRule="auto"/>
        <w:ind w:firstLine="360"/>
        <w:jc w:val="both"/>
      </w:pPr>
      <w:r>
        <w:rPr>
          <w:rFonts w:ascii="Times New Roman" w:hAnsi="Times New Roman" w:eastAsia="Times New Roman"/>
          <w:b w:val="0"/>
          <w:i w:val="0"/>
          <w:color w:val="000000"/>
          <w:sz w:val="24"/>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pStyle w:val="18"/>
        <w:keepNext w:val="0"/>
        <w:spacing w:before="0" w:after="100" w:line="276" w:lineRule="auto"/>
        <w:ind w:firstLine="360"/>
        <w:jc w:val="both"/>
      </w:pPr>
      <w:r>
        <w:rPr>
          <w:rFonts w:ascii="Times New Roman" w:hAnsi="Times New Roman" w:eastAsia="Times New Roman"/>
          <w:b w:val="0"/>
          <w:i w:val="0"/>
          <w:color w:val="000000"/>
          <w:sz w:val="24"/>
        </w:rPr>
        <w:t>The mBRSET analysis is now bounded more tightly. Cross-fitted Platt calibration reduced probability error for both the clinical and phenotype-core–augmented models, but the ICC-gated phenotype core did not contribute a separable improvement in AUROC, AUPRC, Brier score, or log loss. The patient-level permutation control supports pipeline integrity, not a clinical association claim. Accordingly, mBRSET contributes external mechanism and repeatability evidence only.</w:t>
      </w:r>
    </w:p>
    <w:p w14:paraId="5435C62B">
      <w:pPr>
        <w:pStyle w:val="18"/>
        <w:keepNext w:val="0"/>
        <w:spacing w:before="0" w:after="100" w:line="276" w:lineRule="auto"/>
        <w:ind w:firstLine="360"/>
        <w:jc w:val="both"/>
      </w:pPr>
      <w:r>
        <w:rPr>
          <w:rFonts w:ascii="Times New Roman" w:hAnsi="Times New Roman" w:eastAsia="Times New Roman"/>
          <w:b w:val="0"/>
          <w:i w:val="0"/>
          <w:color w:val="000000"/>
          <w:sz w:val="24"/>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pStyle w:val="4"/>
        <w:keepNext/>
        <w:spacing w:before="200" w:after="120" w:line="240" w:lineRule="auto"/>
        <w:jc w:val="left"/>
      </w:pPr>
      <w:r>
        <w:rPr>
          <w:rFonts w:ascii="Times New Roman" w:hAnsi="Times New Roman" w:eastAsia="Times New Roman"/>
          <w:b/>
          <w:i w:val="0"/>
          <w:color w:val="000000"/>
          <w:sz w:val="24"/>
        </w:rPr>
        <w:t>4.4 Limitations and confirmatory path</w:t>
      </w:r>
    </w:p>
    <w:p w14:paraId="01D2BF3F">
      <w:pPr>
        <w:pStyle w:val="18"/>
        <w:keepNext w:val="0"/>
        <w:spacing w:before="0" w:after="100" w:line="276" w:lineRule="auto"/>
        <w:ind w:firstLine="360"/>
        <w:jc w:val="both"/>
      </w:pPr>
      <w:r>
        <w:rPr>
          <w:rFonts w:ascii="Times New Roman" w:hAnsi="Times New Roman" w:eastAsia="Times New Roman"/>
          <w:b w:val="0"/>
          <w:i w:val="0"/>
          <w:color w:val="000000"/>
          <w:sz w:val="24"/>
        </w:rPr>
        <w:t>The cohorts differed in resolution, pathology prevalence, imaging hardware, and covariate availability. Disc localization required fallback in 189 mBRSET images. Repeatability arose from naturally repeated rather than prospectively standardized acquisitions. The mBRSET mirror was limited to 224 pixels and used internal patient-level cross-validation. The previously accessed CIMT validation cohort was small and directionally informative but cannot be reused for model selection; no fixed test data were read in the new analyses. Critically, no unused high-resolution external cohort with linked systemic outcome is currently available locally, so independent clinical confirmation remains absent.</w:t>
      </w:r>
    </w:p>
    <w:p w14:paraId="66F12E3E">
      <w:pPr>
        <w:pStyle w:val="18"/>
        <w:keepNext w:val="0"/>
        <w:spacing w:before="0" w:after="100" w:line="276" w:lineRule="auto"/>
        <w:ind w:firstLine="360"/>
        <w:jc w:val="both"/>
      </w:pPr>
      <w:r>
        <w:rPr>
          <w:rFonts w:ascii="Times New Roman" w:hAnsi="Times New Roman" w:eastAsia="Times New Roman"/>
          <w:b w:val="0"/>
          <w:i w:val="0"/>
          <w:color w:val="000000"/>
          <w:sz w:val="24"/>
        </w:rPr>
        <w:t>A definitive study should freeze preprocessing, both readouts, the ICC-gated phenotype core, quality exclusions, and clinical baselines before accessing a new high-resolution cohort. Primary discrimination and calibration criteria should be prespecified, with paired patient-level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pStyle w:val="3"/>
        <w:keepNext/>
        <w:spacing w:before="200" w:after="120" w:line="240" w:lineRule="auto"/>
        <w:jc w:val="left"/>
      </w:pPr>
      <w:r>
        <w:rPr>
          <w:rFonts w:ascii="Times New Roman" w:hAnsi="Times New Roman" w:eastAsia="Times New Roman"/>
          <w:b/>
          <w:i w:val="0"/>
          <w:color w:val="000000"/>
          <w:sz w:val="28"/>
        </w:rPr>
        <w:t>5. Conclusion</w:t>
      </w:r>
    </w:p>
    <w:p w14:paraId="3550C3E2">
      <w:pPr>
        <w:pStyle w:val="18"/>
        <w:keepNext w:val="0"/>
        <w:spacing w:before="0" w:after="100" w:line="276" w:lineRule="auto"/>
        <w:ind w:firstLine="360"/>
        <w:jc w:val="both"/>
      </w:pPr>
      <w:r>
        <w:rPr>
          <w:rFonts w:ascii="Arial" w:hAnsi="Arial"/>
        </w:rPr>
        <w:t>A retinal vascular feature should not be called a digital biomarker merely because its pixels can be segmented, its value can be repeated, or it is associated with an outcome. Across five resources, RMDB–BiRAP established frozen upstream identity transfer, locked final-stack measurement improvement, and four reproducible global phenotypes. Direct high-dimensional fusion, head-disagreement uncertainty, replacement of the E10A representation by the ICC-gated core, and calibrated mBRSET increment did not support a clinical claim. The contribution is an auditable route from measurable pixels to reproducible phenotypes, together with a transparent stopping rule until frozen confirmation in an independent high-resolution outcome cohort becomes possible.</w:t>
      </w:r>
    </w:p>
    <w:p w14:paraId="2D7F1692">
      <w:pPr>
        <w:pStyle w:val="18"/>
        <w:keepNext/>
        <w:spacing w:before="0" w:after="80" w:line="276" w:lineRule="auto"/>
        <w:jc w:val="both"/>
      </w:pPr>
      <w:r>
        <w:rPr>
          <w:rFonts w:ascii="Times New Roman" w:hAnsi="Times New Roman" w:eastAsia="Times New Roman"/>
          <w:b/>
          <w:i w:val="0"/>
          <w:color w:val="000000"/>
          <w:sz w:val="24"/>
        </w:rPr>
        <w:t>Declarations</w:t>
      </w:r>
    </w:p>
    <w:p w14:paraId="47BC9842">
      <w:pPr>
        <w:pStyle w:val="18"/>
        <w:keepNext/>
        <w:spacing w:before="0" w:after="100" w:line="276" w:lineRule="auto"/>
        <w:jc w:val="both"/>
      </w:pPr>
      <w:r>
        <w:rPr>
          <w:rFonts w:ascii="Times New Roman" w:hAnsi="Times New Roman" w:eastAsia="Times New Roman"/>
          <w:b/>
          <w:i w:val="0"/>
          <w:color w:val="000000"/>
          <w:sz w:val="24"/>
        </w:rPr>
        <w:t>Ethics approval and consent to participate</w:t>
      </w:r>
    </w:p>
    <w:p w14:paraId="094CABFA">
      <w:pPr>
        <w:pStyle w:val="18"/>
        <w:keepNext w:val="0"/>
        <w:spacing w:before="0" w:after="100" w:line="276" w:lineRule="auto"/>
        <w:jc w:val="both"/>
      </w:pPr>
      <w:r>
        <w:rPr>
          <w:rFonts w:ascii="Times New Roman" w:hAnsi="Times New Roman" w:eastAsia="Times New Roman"/>
          <w:b w:val="0"/>
          <w:i/>
          <w:color w:val="000000"/>
          <w:sz w:val="24"/>
        </w:rPr>
        <w:t>[Insert institutional review-board identifiers, consent status, and data-governance statements for the China Fundus–CIMT cohort. Public-data use should follow the original cohort licences.]</w:t>
      </w:r>
    </w:p>
    <w:p w14:paraId="1309008E">
      <w:pPr>
        <w:pStyle w:val="18"/>
        <w:keepNext/>
        <w:spacing w:before="0" w:after="100" w:line="276" w:lineRule="auto"/>
        <w:jc w:val="both"/>
      </w:pPr>
      <w:r>
        <w:rPr>
          <w:rFonts w:ascii="Times New Roman" w:hAnsi="Times New Roman" w:eastAsia="Times New Roman"/>
          <w:b/>
          <w:i w:val="0"/>
          <w:color w:val="000000"/>
          <w:sz w:val="24"/>
        </w:rPr>
        <w:t>Data and code availability</w:t>
      </w:r>
    </w:p>
    <w:p w14:paraId="1320A4C6">
      <w:pPr>
        <w:pStyle w:val="18"/>
        <w:keepNext w:val="0"/>
        <w:spacing w:before="0" w:after="100" w:line="276" w:lineRule="auto"/>
        <w:jc w:val="both"/>
      </w:pPr>
      <w:r>
        <w:rPr>
          <w:rFonts w:ascii="Times New Roman" w:hAnsi="Times New Roman" w:eastAsia="Times New Roman"/>
          <w:b w:val="0"/>
          <w:i w:val="0"/>
          <w:color w:val="000000"/>
          <w:sz w:val="24"/>
        </w:rPr>
        <w:t>Public cohort access should be cited through the original FIVES, RAV, Fundus-AVSeg, and mBRSET repositories. Analysis code, frozen manifests, feature dictionaries, fold assignments, and aggregate result files should be archived at submission. Patient-level China Fundus–CIMT data availability is subject to the governing ethics approval.</w:t>
      </w:r>
    </w:p>
    <w:p w14:paraId="4184EF31">
      <w:pPr>
        <w:pStyle w:val="18"/>
        <w:keepNext/>
        <w:spacing w:before="0" w:after="100" w:line="276" w:lineRule="auto"/>
        <w:jc w:val="both"/>
      </w:pPr>
      <w:r>
        <w:rPr>
          <w:rFonts w:ascii="Times New Roman" w:hAnsi="Times New Roman" w:eastAsia="Times New Roman"/>
          <w:b/>
          <w:i w:val="0"/>
          <w:color w:val="000000"/>
          <w:sz w:val="24"/>
        </w:rPr>
        <w:t>Competing interests</w:t>
      </w:r>
    </w:p>
    <w:p w14:paraId="11D67101">
      <w:pPr>
        <w:pStyle w:val="18"/>
        <w:keepNext w:val="0"/>
        <w:spacing w:before="0" w:after="100" w:line="276" w:lineRule="auto"/>
        <w:jc w:val="both"/>
      </w:pPr>
      <w:r>
        <w:rPr>
          <w:rFonts w:ascii="Times New Roman" w:hAnsi="Times New Roman" w:eastAsia="Times New Roman"/>
          <w:b w:val="0"/>
          <w:i/>
          <w:color w:val="000000"/>
          <w:sz w:val="24"/>
        </w:rPr>
        <w:t>[The authors declare no competing interests / insert disclosures.]</w:t>
      </w:r>
    </w:p>
    <w:p w14:paraId="2A6B5B73">
      <w:pPr>
        <w:pStyle w:val="18"/>
        <w:keepNext/>
        <w:spacing w:before="0" w:after="100" w:line="276" w:lineRule="auto"/>
        <w:jc w:val="both"/>
      </w:pPr>
      <w:r>
        <w:rPr>
          <w:rFonts w:ascii="Times New Roman" w:hAnsi="Times New Roman" w:eastAsia="Times New Roman"/>
          <w:b/>
          <w:i w:val="0"/>
          <w:color w:val="000000"/>
          <w:sz w:val="24"/>
        </w:rPr>
        <w:t>Funding</w:t>
      </w:r>
    </w:p>
    <w:p w14:paraId="4F126B66">
      <w:pPr>
        <w:pStyle w:val="18"/>
        <w:keepNext w:val="0"/>
        <w:spacing w:before="0" w:after="100" w:line="276" w:lineRule="auto"/>
        <w:jc w:val="both"/>
      </w:pPr>
      <w:r>
        <w:rPr>
          <w:rFonts w:ascii="Times New Roman" w:hAnsi="Times New Roman" w:eastAsia="Times New Roman"/>
          <w:b w:val="0"/>
          <w:i/>
          <w:color w:val="000000"/>
          <w:sz w:val="24"/>
        </w:rPr>
        <w:t>[Insert funding sources and grant numbers.]</w:t>
      </w:r>
    </w:p>
    <w:p w14:paraId="6B071F6F">
      <w:pPr>
        <w:pStyle w:val="18"/>
        <w:keepNext/>
        <w:spacing w:before="0" w:after="100" w:line="276" w:lineRule="auto"/>
        <w:jc w:val="both"/>
      </w:pPr>
      <w:r>
        <w:rPr>
          <w:rFonts w:ascii="Times New Roman" w:hAnsi="Times New Roman" w:eastAsia="Times New Roman"/>
          <w:b/>
          <w:i w:val="0"/>
          <w:color w:val="000000"/>
          <w:sz w:val="24"/>
        </w:rPr>
        <w:t>Author contributions</w:t>
      </w:r>
    </w:p>
    <w:p w14:paraId="325001A8">
      <w:pPr>
        <w:pStyle w:val="18"/>
        <w:keepNext w:val="0"/>
        <w:spacing w:before="0" w:after="100" w:line="276" w:lineRule="auto"/>
        <w:jc w:val="both"/>
      </w:pPr>
      <w:r>
        <w:rPr>
          <w:rFonts w:ascii="Times New Roman" w:hAnsi="Times New Roman" w:eastAsia="Times New Roman"/>
          <w:b w:val="0"/>
          <w:i/>
          <w:color w:val="000000"/>
          <w:sz w:val="24"/>
        </w:rPr>
        <w:t>[Insert CRediT author-contribution statement.]</w:t>
      </w:r>
    </w:p>
    <w:p w14:paraId="0C6576CA">
      <w:pPr>
        <w:pStyle w:val="3"/>
        <w:keepNext/>
        <w:spacing w:before="200" w:after="120" w:line="240" w:lineRule="auto"/>
        <w:jc w:val="left"/>
      </w:pPr>
      <w:r>
        <w:rPr>
          <w:rFonts w:ascii="Times New Roman" w:hAnsi="Times New Roman" w:eastAsia="Times New Roman"/>
          <w:b/>
          <w:i w:val="0"/>
          <w:color w:val="000000"/>
          <w:sz w:val="28"/>
        </w:rPr>
        <w:t>References</w:t>
      </w:r>
    </w:p>
    <w:p w14:paraId="7AC97218">
      <w:pPr>
        <w:pStyle w:val="18"/>
        <w:keepNext/>
        <w:spacing w:before="0" w:after="80" w:line="276" w:lineRule="auto"/>
        <w:ind w:left="259" w:hanging="259"/>
        <w:jc w:val="both"/>
      </w:pPr>
      <w:r>
        <w:rPr>
          <w:rFonts w:ascii="Times New Roman" w:hAnsi="Times New Roman" w:eastAsia="Times New Roman"/>
          <w:b w:val="0"/>
          <w:i w:val="0"/>
          <w:color w:val="000000"/>
          <w:sz w:val="24"/>
        </w:rPr>
        <w:t>1. Wong TY, Mitchell P. The eye in hypertension. Lancet. 2007;369:425–435.</w:t>
      </w:r>
    </w:p>
    <w:p w14:paraId="7355D0D3">
      <w:pPr>
        <w:pStyle w:val="18"/>
        <w:keepNext/>
        <w:spacing w:before="0" w:after="80" w:line="276" w:lineRule="auto"/>
        <w:ind w:left="259" w:hanging="259"/>
        <w:jc w:val="both"/>
      </w:pPr>
      <w:r>
        <w:rPr>
          <w:rFonts w:ascii="Times New Roman" w:hAnsi="Times New Roman" w:eastAsia="Times New Roman"/>
          <w:b w:val="0"/>
          <w:i w:val="0"/>
          <w:color w:val="000000"/>
          <w:sz w:val="24"/>
        </w:rPr>
        <w:t>2. Poplin R, Varadarajan AV, Blumer K, et al. Prediction of cardiovascular risk factors from retinal fundus photographs via deep learning. Nature Biomedical Engineering. 2018;2:158–164.</w:t>
      </w:r>
    </w:p>
    <w:p w14:paraId="535A9BE5">
      <w:pPr>
        <w:pStyle w:val="18"/>
        <w:keepNext/>
        <w:spacing w:before="0" w:after="80" w:line="276" w:lineRule="auto"/>
        <w:ind w:left="259" w:hanging="259"/>
        <w:jc w:val="both"/>
      </w:pPr>
      <w:r>
        <w:rPr>
          <w:rFonts w:ascii="Times New Roman" w:hAnsi="Times New Roman" w:eastAsia="Times New Roman"/>
          <w:b w:val="0"/>
          <w:i w:val="0"/>
          <w:color w:val="000000"/>
          <w:sz w:val="24"/>
        </w:rPr>
        <w:t>3. Ting DSW, Cheung CYL, Lim G, et al. Development and validation of a deep learning system for diabetic retinopathy and related eye diseases using retinal images from multiethnic populations with diabetes. JAMA. 2017;318:2211–2223.</w:t>
      </w:r>
    </w:p>
    <w:p w14:paraId="4EECF535">
      <w:pPr>
        <w:pStyle w:val="18"/>
        <w:keepNext/>
        <w:spacing w:before="0" w:after="80" w:line="276" w:lineRule="auto"/>
        <w:ind w:left="259" w:hanging="259"/>
        <w:jc w:val="both"/>
      </w:pPr>
      <w:r>
        <w:rPr>
          <w:rFonts w:ascii="Times New Roman" w:hAnsi="Times New Roman" w:eastAsia="Times New Roman"/>
          <w:b w:val="0"/>
          <w:i w:val="0"/>
          <w:color w:val="000000"/>
          <w:sz w:val="24"/>
        </w:rPr>
        <w:t>4. Zhou Y, Chia MA, Wagner SK, et al. A foundation model for generalizable disease detection from retinal images. Nature. 2023;622:156–163.</w:t>
      </w:r>
    </w:p>
    <w:p w14:paraId="5102FEEF">
      <w:pPr>
        <w:pStyle w:val="18"/>
        <w:keepNext/>
        <w:spacing w:before="0" w:after="80" w:line="276" w:lineRule="auto"/>
        <w:ind w:left="259" w:hanging="259"/>
        <w:jc w:val="both"/>
      </w:pPr>
      <w:r>
        <w:rPr>
          <w:rFonts w:ascii="Times New Roman" w:hAnsi="Times New Roman" w:eastAsia="Times New Roman"/>
          <w:b w:val="0"/>
          <w:i w:val="0"/>
          <w:color w:val="000000"/>
          <w:sz w:val="24"/>
        </w:rPr>
        <w:t>5. McGraw KO, Wong SP. Forming inferences about some intraclass correlation coefficients. Psychological Methods. 1996;1:30–46.</w:t>
      </w:r>
    </w:p>
    <w:p w14:paraId="15BF5BC9">
      <w:pPr>
        <w:pStyle w:val="18"/>
        <w:keepNext/>
        <w:spacing w:before="0" w:after="80" w:line="276" w:lineRule="auto"/>
        <w:ind w:left="259" w:hanging="259"/>
        <w:jc w:val="both"/>
      </w:pPr>
      <w:r>
        <w:rPr>
          <w:rFonts w:ascii="Times New Roman" w:hAnsi="Times New Roman" w:eastAsia="Times New Roman"/>
          <w:b w:val="0"/>
          <w:i w:val="0"/>
          <w:color w:val="000000"/>
          <w:sz w:val="24"/>
        </w:rPr>
        <w:t>6. Koo TK, Li MY. A guideline of selecting and reporting intraclass correlation coefficients for reliability research. Journal of Chiropractic Medicine. 2016;15:155–163.</w:t>
      </w:r>
    </w:p>
    <w:p w14:paraId="0D78A3EC">
      <w:pPr>
        <w:pStyle w:val="18"/>
        <w:keepNext/>
        <w:spacing w:before="0" w:after="80" w:line="276" w:lineRule="auto"/>
        <w:ind w:left="259" w:hanging="259"/>
        <w:jc w:val="both"/>
      </w:pPr>
      <w:r>
        <w:rPr>
          <w:rFonts w:ascii="Times New Roman" w:hAnsi="Times New Roman" w:eastAsia="Times New Roman"/>
          <w:b w:val="0"/>
          <w:i w:val="0"/>
          <w:color w:val="000000"/>
          <w:sz w:val="24"/>
        </w:rPr>
        <w:t>7. Steyerberg EW. Clinical Prediction Models. 2nd ed. Springer; 2019.</w:t>
      </w:r>
    </w:p>
    <w:p w14:paraId="43D31F39">
      <w:pPr>
        <w:pStyle w:val="18"/>
        <w:keepNext/>
        <w:spacing w:before="0" w:after="80" w:line="276" w:lineRule="auto"/>
        <w:ind w:left="259" w:hanging="259"/>
        <w:jc w:val="both"/>
      </w:pPr>
      <w:r>
        <w:rPr>
          <w:rFonts w:ascii="Times New Roman" w:hAnsi="Times New Roman" w:eastAsia="Times New Roman"/>
          <w:b w:val="0"/>
          <w:i w:val="0"/>
          <w:color w:val="000000"/>
          <w:sz w:val="24"/>
        </w:rPr>
        <w:t>8. Collins GS, Reitsma JB, Altman DG, Moons KGM. Transparent reporting of a multivariable prediction model for individual prognosis or diagnosis (TRIPOD). Annals of Internal Medicine. 2015;162:55–63.</w:t>
      </w:r>
    </w:p>
    <w:p w14:paraId="2128F814">
      <w:pPr>
        <w:pStyle w:val="18"/>
        <w:keepNext/>
        <w:spacing w:before="0" w:after="80" w:line="276" w:lineRule="auto"/>
        <w:ind w:left="259" w:hanging="259"/>
        <w:jc w:val="both"/>
      </w:pPr>
      <w:r>
        <w:rPr>
          <w:rFonts w:ascii="Times New Roman" w:hAnsi="Times New Roman" w:eastAsia="Times New Roman"/>
          <w:b w:val="0"/>
          <w:i w:val="0"/>
          <w:color w:val="000000"/>
          <w:sz w:val="24"/>
        </w:rPr>
        <w:t>9. Efron B, Tibshirani RJ. An Introduction to the Bootstrap. Chapman &amp; Hall/CRC; 1993.</w:t>
      </w:r>
    </w:p>
    <w:p w14:paraId="0CD32A78">
      <w:pPr>
        <w:pStyle w:val="18"/>
        <w:spacing w:after="30" w:line="276" w:lineRule="auto" w:before="0"/>
        <w:ind w:left="259" w:hanging="259"/>
        <w:jc w:val="both"/>
      </w:pPr>
      <w:r>
        <w:rPr>
          <w:rFonts w:ascii="Times New Roman" w:hAnsi="Times New Roman" w:eastAsia="Times New Roman"/>
          <w:b w:val="0"/>
          <w:i w:val="0"/>
          <w:color w:val="000000"/>
          <w:sz w:val="24"/>
        </w:rPr>
        <w:t>10. DeLong ER, DeLong DM, Clarke-Pearson DL. Comparing the areas under two or more correlated receiver operating characteristic curves. Biometrics. 1988;44:837–845.</w:t>
      </w:r>
    </w:p>
    <w:p w14:paraId="174BBB54">
      <w:pPr>
        <w:pStyle w:val="18"/>
        <w:spacing w:after="30" w:line="276" w:lineRule="auto" w:before="0"/>
        <w:ind w:left="259" w:hanging="259"/>
        <w:jc w:val="both"/>
      </w:pPr>
      <w:r>
        <w:rPr>
          <w:rFonts w:ascii="Times New Roman" w:hAnsi="Times New Roman" w:eastAsia="Times New Roman"/>
          <w:b w:val="0"/>
          <w:i w:val="0"/>
          <w:color w:val="000000"/>
          <w:sz w:val="24"/>
        </w:rPr>
        <w:t>11. Harrell FE Jr. Regression Modeling Strategies. 2nd ed. Springer; 2015.</w:t>
      </w:r>
    </w:p>
    <w:p w14:paraId="6CA5327F">
      <w:pPr>
        <w:pStyle w:val="18"/>
        <w:spacing w:after="30" w:line="276" w:lineRule="auto" w:before="0"/>
        <w:ind w:left="259" w:hanging="259"/>
        <w:jc w:val="both"/>
      </w:pPr>
      <w:r>
        <w:rPr>
          <w:rFonts w:ascii="Times New Roman" w:hAnsi="Times New Roman" w:eastAsia="Times New Roman"/>
          <w:b w:val="0"/>
          <w:i w:val="0"/>
          <w:color w:val="000000"/>
          <w:sz w:val="24"/>
        </w:rPr>
        <w:t>12. Riley RD, van der Windt D, Croft P, Moons KGM, editors. Prognosis Research in Healthcare. Oxford University Press; 2019.</w:t>
      </w:r>
    </w:p>
    <w:p w14:paraId="08AFFEC7">
      <w:pPr>
        <w:pStyle w:val="18"/>
        <w:spacing w:after="30" w:line="276" w:lineRule="auto" w:before="0"/>
        <w:ind w:left="259" w:hanging="259"/>
        <w:jc w:val="both"/>
      </w:pPr>
      <w:r>
        <w:rPr>
          <w:rFonts w:ascii="Times New Roman" w:hAnsi="Times New Roman" w:eastAsia="Times New Roman"/>
          <w:b w:val="0"/>
          <w:i w:val="0"/>
          <w:color w:val="000000"/>
          <w:sz w:val="24"/>
        </w:rPr>
        <w:t>13. Jin K, Huang X, Zhou J, et al. FIVES: A Fundus Image Dataset for Artificial Intelligence based Vessel Segmentation. Scientific Data. 2022;9:475. doi:10.1038/s41597-022-01564-3.</w:t>
      </w:r>
    </w:p>
    <w:p w14:paraId="0BF93BE0">
      <w:pPr>
        <w:pStyle w:val="18"/>
        <w:spacing w:after="30" w:line="276" w:lineRule="auto" w:before="0"/>
        <w:ind w:left="259" w:hanging="259"/>
        <w:jc w:val="both"/>
      </w:pPr>
      <w:r>
        <w:rPr>
          <w:rFonts w:ascii="Times New Roman" w:hAnsi="Times New Roman" w:eastAsia="Times New Roman"/>
          <w:b w:val="0"/>
          <w:i w:val="0"/>
          <w:color w:val="000000"/>
          <w:sz w:val="24"/>
        </w:rPr>
        <w:t>14. Vargas Quiros J, Liefers B, van Garderen KA, Vermeulen JP, Eyened Reading Center, Klaver C. Rotterdam artery–vein segmentation (RAV) dataset. arXiv. 2025;arXiv:2512.17322. Dataset doi:10.34894/9OIMWY.</w:t>
      </w:r>
    </w:p>
    <w:p w14:paraId="0FABD628">
      <w:pPr>
        <w:pStyle w:val="18"/>
        <w:spacing w:after="30" w:line="276" w:lineRule="auto" w:before="0"/>
        <w:ind w:left="259" w:hanging="259"/>
        <w:jc w:val="both"/>
      </w:pPr>
      <w:r>
        <w:rPr>
          <w:rFonts w:ascii="Times New Roman" w:hAnsi="Times New Roman" w:eastAsia="Times New Roman"/>
          <w:b w:val="0"/>
          <w:i w:val="0"/>
          <w:color w:val="000000"/>
          <w:sz w:val="24"/>
        </w:rPr>
        <w:t>15. Deng Z, Gao W, Gong Z, et al. A Fundus Image Dataset for AI-based Artery-Vein Vessel Segmentation. Scientific Data. 2025;12. doi:10.1038/s41597-025-05381-2. Dataset doi:10.6084/m9.figshare.27938034.v2.</w:t>
      </w:r>
    </w:p>
    <w:p w14:paraId="79EEC317">
      <w:pPr>
        <w:pStyle w:val="18"/>
        <w:spacing w:after="30" w:line="276" w:lineRule="auto" w:before="0"/>
        <w:ind w:left="259" w:hanging="259"/>
        <w:jc w:val="both"/>
      </w:pPr>
      <w:r>
        <w:rPr>
          <w:rFonts w:ascii="Times New Roman" w:hAnsi="Times New Roman" w:eastAsia="Times New Roman"/>
          <w:b w:val="0"/>
          <w:i w:val="0"/>
          <w:color w:val="000000"/>
          <w:sz w:val="24"/>
        </w:rPr>
        <w:t>16. Nakayama LF, Ribeiro LZ, Restrepo D, et al. BRSET: A Brazilian Multilabel Ophthalmological Dataset of Retina Fundus Photos. PLOS Digital Health. 2024;3:e0000454. doi:10.1371/journal.pdig.0000454. Dataset doi:10.13026/xcxw-8198.</w:t>
      </w:r>
    </w:p>
    <w:p w14:paraId="1D4D62BE">
      <w:pPr>
        <w:pStyle w:val="18"/>
        <w:spacing w:before="0" w:line="276" w:lineRule="auto"/>
        <w:jc w:val="both"/>
      </w:pPr>
      <w:r>
        <w:rPr>
          <w:rFonts w:ascii="Times New Roman" w:hAnsi="Times New Roman" w:eastAsia="Times New Roman"/>
          <w:b w:val="0"/>
          <w:i w:val="0"/>
          <w:color w:val="000000"/>
          <w:sz w:val="24"/>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New Roman Bold">
    <w:panose1 w:val="02020603050405020304"/>
    <w:charset w:val="00"/>
    <w:family w:val="auto"/>
    <w:pitch w:val="default"/>
    <w:sig w:usb0="E0002AEF" w:usb1="C0007841" w:usb2="00000009" w:usb3="00000000" w:csb0="400001FF" w:csb1="FFFF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20" w:line="276" w:lineRule="auto"/>
      <w:jc w:val="both"/>
    </w:pPr>
    <w:rPr>
      <w:rFonts w:ascii="Times New Roman" w:hAnsi="Times New Roman" w:eastAsiaTheme="minorAscii" w:cstheme="minorBidi"/>
      <w:color w:val="000000"/>
      <w:kern w:val="2"/>
      <w:sz w:val="24"/>
      <w:szCs w:val="28"/>
      <w:lang w:val="en-US" w:eastAsia="zh-CN" w:bidi="ar-SA"/>
    </w:rPr>
  </w:style>
  <w:style w:type="paragraph" w:styleId="2">
    <w:name w:val="heading 1"/>
    <w:basedOn w:val="1"/>
    <w:next w:val="1"/>
    <w:link w:val="33"/>
    <w:autoRedefine/>
    <w:qFormat/>
    <w:uiPriority w:val="9"/>
    <w:pPr>
      <w:keepNext/>
      <w:keepLines/>
      <w:spacing w:before="200" w:after="120" w:line="240" w:lineRule="auto"/>
      <w:outlineLvl w:val="0"/>
    </w:pPr>
    <w:rPr>
      <w:rFonts w:eastAsia="Times New Roman" w:cs="Times New Roman" w:asciiTheme="minorAscii" w:hAnsiTheme="minorAscii"/>
      <w:b/>
      <w:bCs/>
      <w:color w:val="000000"/>
      <w:kern w:val="44"/>
      <w:sz w:val="28"/>
      <w:szCs w:val="32"/>
    </w:rPr>
  </w:style>
  <w:style w:type="paragraph" w:styleId="3">
    <w:name w:val="heading 2"/>
    <w:basedOn w:val="1"/>
    <w:next w:val="1"/>
    <w:link w:val="29"/>
    <w:autoRedefine/>
    <w:unhideWhenUsed/>
    <w:qFormat/>
    <w:uiPriority w:val="9"/>
    <w:pPr>
      <w:keepNext/>
      <w:widowControl/>
      <w:spacing w:before="200" w:after="120"/>
      <w:outlineLvl w:val="1"/>
    </w:pPr>
    <w:rPr>
      <w:rFonts w:ascii="Times New Roman" w:hAnsi="Times New Roman" w:eastAsia="Times New Roman" w:cs="Times New Roman"/>
      <w:b/>
      <w:color w:val="000000"/>
      <w:sz w:val="28"/>
    </w:rPr>
  </w:style>
  <w:style w:type="paragraph" w:styleId="4">
    <w:name w:val="heading 3"/>
    <w:basedOn w:val="1"/>
    <w:next w:val="1"/>
    <w:link w:val="30"/>
    <w:unhideWhenUsed/>
    <w:qFormat/>
    <w:uiPriority w:val="9"/>
    <w:pPr>
      <w:keepNext/>
      <w:keepLines/>
      <w:adjustRightInd w:val="0"/>
      <w:spacing w:before="200" w:after="120" w:line="288" w:lineRule="auto"/>
      <w:outlineLvl w:val="2"/>
    </w:pPr>
    <w:rPr>
      <w:rFonts w:ascii="Times New Roman" w:hAnsi="Times New Roman" w:eastAsia="Times New Roman" w:cs="Times New Roman"/>
      <w:b/>
      <w:bCs/>
      <w:color w:val="000000"/>
      <w:sz w:val="28"/>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20" w:afterAutospacing="1" w:line="276" w:lineRule="auto"/>
      <w:jc w:val="both"/>
    </w:pPr>
    <w:rPr>
      <w:rFonts w:ascii="Times New Roman" w:hAnsi="Times New Roman" w:eastAsia="Times New Roman" w:cs="Times New Roman"/>
      <w:color w:val="000000"/>
      <w:kern w:val="0"/>
      <w:sz w:val="24"/>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18</Pages>
  <Words>3157</Words>
  <Characters>21508</Characters>
  <Lines>2167</Lines>
  <Paragraphs>1165</Paragraphs>
  <TotalTime>15</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2026-01-06T15:41:00Z</dcterms:created>
  <dc:creator>[Author names]</dc:creator>
  <cp:keywords>retinal vasculature, dual readout, measurement validity, repeatability, CIMT, hypertension</cp:keywords>
  <cp:lastModifiedBy>祁涟柒子衿</cp:lastModifiedBy>
  <dcterms:modified xsi:type="dcterms:W3CDTF">2026-08-12T09:19:28Z</dcterms:modified>
  <dc:subject>RMDB–BiRAP retinal vascular phenotype measurement framework</dc:subject>
  <dc:title>Pixel Accuracy Is Not Biomarker Validity: RMDB–BiRAP for Dual-Readout, Reliability-Gated Retinal Vascular Phenotyping</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4BA6257030EF65FE20CA7B6A9A93AF58_43</vt:lpwstr>
  </property>
</Properties>
</file>