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rPr>
          <w:rFonts w:ascii="Times New Roman" w:hAnsi="Times New Roman" w:eastAsia="Times New Roman"/>
          <w:b/>
          <w:i w:val="0"/>
          <w:color w:val="000000"/>
          <w:sz w:val="32"/>
        </w:rPr>
      </w:pPr>
      <w:r>
        <w:rPr>
          <w:rFonts w:ascii="Times New Roman" w:hAnsi="Times New Roman" w:eastAsia="Times New Roman"/>
          <w:b/>
          <w:i w:val="0"/>
          <w:color w:val="000000"/>
          <w:sz w:val="32"/>
        </w:rPr>
        <w:t>From Vessel Maps to Reproducible Phenotypes:</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Evidence-Gated Retinal Vascular</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Biomarker Evaluation</w:t>
      </w:r>
    </w:p>
    <w:p w14:paraId="1CD1E304">
      <w:pPr>
        <w:spacing w:before="0" w:after="80" w:line="240" w:lineRule="auto"/>
        <w:jc w:val="left"/>
        <w:rPr>
          <w:rFonts w:ascii="Times New Roman" w:hAnsi="Times New Roman" w:eastAsia="Times New Roman"/>
          <w:b/>
          <w:i w:val="0"/>
          <w:color w:val="000000"/>
          <w:sz w:val="32"/>
        </w:rPr>
      </w:pPr>
    </w:p>
    <w:p w14:paraId="18464417">
      <w:pPr>
        <w:keepNext w:val="0"/>
        <w:keepLines w:val="0"/>
        <w:widowControl w:val="0"/>
        <w:suppressLineNumbers w:val="0"/>
        <w:spacing w:before="0" w:beforeAutospacing="1" w:after="8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Kaiwen Deng, Liwei Liu*</w:t>
      </w:r>
    </w:p>
    <w:p w14:paraId="61247494">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School of Railway Intelligent Engineering, Dalian Jiaotong University, Dalian, 116028, China</w:t>
      </w:r>
    </w:p>
    <w:p w14:paraId="664939B3">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 xml:space="preserve"> </w:t>
      </w:r>
    </w:p>
    <w:p w14:paraId="060C546A">
      <w:pPr>
        <w:keepNext w:val="0"/>
        <w:keepLines w:val="0"/>
        <w:widowControl w:val="0"/>
        <w:suppressLineNumbers w:val="0"/>
        <w:spacing w:before="0" w:beforeAutospacing="1" w:after="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*Corresponding author</w:t>
      </w:r>
    </w:p>
    <w:p w14:paraId="0DA816F9">
      <w:pPr>
        <w:keepNext w:val="0"/>
        <w:keepLines w:val="0"/>
        <w:widowControl w:val="0"/>
        <w:suppressLineNumbers w:val="0"/>
        <w:spacing w:before="0" w:beforeAutospacing="1" w:after="3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bCs w:val="0"/>
          <w:i w:val="0"/>
          <w:color w:val="000000"/>
          <w:kern w:val="2"/>
          <w:sz w:val="32"/>
          <w:szCs w:val="32"/>
          <w:lang w:val="en-US" w:eastAsia="zh-CN" w:bidi="ar"/>
        </w:rPr>
        <w:t xml:space="preserve">Email: </w:t>
      </w:r>
      <w:r>
        <w:rPr>
          <w:rFonts w:hint="default" w:ascii="Times New Roman" w:hAnsi="Times New Roman" w:eastAsia="等线" w:cs="Times New Roman"/>
          <w:b w:val="0"/>
          <w:i w:val="0"/>
          <w:color w:val="000000"/>
          <w:kern w:val="2"/>
          <w:sz w:val="32"/>
          <w:szCs w:val="32"/>
          <w:lang w:val="en-US" w:eastAsia="zh-CN" w:bidi="ar"/>
        </w:rPr>
        <w:t>Liwei Liu (</w:t>
      </w:r>
      <w:r>
        <w:rPr>
          <w:rFonts w:hint="default" w:ascii="Times New Roman" w:hAnsi="Times New Roman" w:eastAsia="等线" w:cs="Times New Roman"/>
          <w:b w:val="0"/>
          <w:i w:val="0"/>
          <w:color w:val="000000"/>
          <w:kern w:val="2"/>
          <w:sz w:val="32"/>
          <w:szCs w:val="32"/>
          <w:u w:val="single"/>
          <w:lang w:val="en-US" w:eastAsia="zh-CN" w:bidi="ar"/>
        </w:rPr>
        <w:t>liutree80@163.com</w:t>
      </w:r>
      <w:r>
        <w:rPr>
          <w:rFonts w:hint="default" w:ascii="Times New Roman" w:hAnsi="Times New Roman" w:eastAsia="等线" w:cs="Times New Roman"/>
          <w:b w:val="0"/>
          <w:i w:val="0"/>
          <w:color w:val="000000"/>
          <w:kern w:val="2"/>
          <w:sz w:val="32"/>
          <w:szCs w:val="32"/>
          <w:lang w:val="en-US" w:eastAsia="zh-CN" w:bidi="ar"/>
        </w:rPr>
        <w:t>)</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Times New Roman" w:hAnsi="Times New Roman" w:eastAsia="Times New Roman"/>
          <w:b w:val="0"/>
          <w:i w:val="0"/>
          <w:color w:val="000000"/>
          <w:sz w:val="24"/>
        </w:rPr>
        <w:t>Retinal vascular artificial intelligence can produce a visually convincing vessel map without producing a credible digital biomarker. The overlooked gap is that pixel-level artery–vein segmentation does not establish the repeatability, transportability, or clinical increment of a downstream phenotype. We therefore asked whether measurements from the retinal vasculature can pass distinct evidential gates without outcome driven feature selection.</w:t>
      </w:r>
    </w:p>
    <w:p w14:paraId="500C4FDC">
      <w:pPr>
        <w:pStyle w:val="18"/>
        <w:keepNext w:val="0"/>
        <w:spacing w:before="0" w:after="160" w:line="276" w:lineRule="auto"/>
        <w:jc w:val="both"/>
      </w:pPr>
      <w:r>
        <w:t>We developed RMDB–BiRAP, an evidence-gated framework that separates vessel occupancy from artery–vein identity, forms mass-preserving and occupancy-gated readouts, and retains only phenotypes meeting a prespecified intraclass correlation threshold before outcome modelling. FIVES, RAV, Fundus-AVSeg, China Fundus–CIMT, and the publicly mirrored 224-pixel mBRSET image subset had non-overlapping roles in development, locked measurement evaluation, repeatability analysis, and patient-grouped nested cross-validation.</w:t>
      </w:r>
    </w:p>
    <w:p w14:paraId="29DB4D68">
      <w:pPr>
        <w:pStyle w:val="18"/>
        <w:keepNext w:val="0"/>
        <w:spacing w:before="0" w:after="160" w:line="276" w:lineRule="auto"/>
        <w:jc w:val="both"/>
      </w:pPr>
      <w: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Across 2,359 same-eye repeat pairs, four of nine prespecified phenotypes reached ICC(1,1) ≥ 0.60. Direct fusion of 104 variables worsened CIMT prediction. In exploratory hypertension analysis, the repeatability-gated core did not improve discrimination or Brier score in calibrated mBRSET models (ΔAUROC 0.00188, 95% confidence interval −0.00588 to 0.00942); permutation controls showed no leakage signal.</w:t>
      </w:r>
    </w:p>
    <w:p w14:paraId="614A0EB4">
      <w:pPr>
        <w:pStyle w:val="18"/>
        <w:keepNext w:val="0"/>
        <w:spacing w:before="0" w:after="160" w:line="276" w:lineRule="auto"/>
        <w:jc w:val="both"/>
      </w:pPr>
      <w:r>
        <w:t>Pixel accuracy, phenotype repeatability, cross-domain measurement, and clinical increment are separate evidential claims. RMDB–BiRAP yields four reproducible retinal phenotypes and an auditable stopping point: independent high-resolution clinical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spacing w:before="0" w:after="100" w:line="276" w:lineRule="auto"/>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jc w:val="both"/>
      </w:pPr>
      <w:r>
        <w:rPr>
          <w:rFonts w:ascii="Times New Roman" w:hAnsi="Times New Roman" w:eastAsia="Times New Roman"/>
          <w:b w:val="0"/>
          <w:i w:val="0"/>
          <w:color w:val="000000"/>
          <w:sz w:val="24"/>
        </w:rPr>
        <w:t>We therefore organized the study around three gates that cannot substitute for one another: cross domain measurement validity, outcome-blind same eye repeatability, and incremental patient 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 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1. </w:t>
      </w:r>
      <w:r>
        <w:rPr>
          <w:rFonts w:hint="default" w:ascii="Times New Roman" w:hAnsi="Times New Roman" w:eastAsia="Times New Roman" w:cs="Times New Roman"/>
          <w:b w:val="0"/>
          <w:bCs/>
          <w:i w:val="0"/>
          <w:iCs/>
          <w:color w:val="000000"/>
          <w:sz w:val="24"/>
        </w:rPr>
        <w:t>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publicly mirrored 224-pixel mBRSET subset supports external mechanism analysis with internal patient level cross-validation, not independent high 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spacing w:before="0" w:after="100" w:line="276" w:lineRule="auto"/>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jc w:val="center"/>
      </w:pPr>
      <w:r>
        <w:br w:type="page"/>
      </w:r>
    </w:p>
    <w:p w14:paraId="490E8B35">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Table 1.</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Cohorts, labels, and prespecified analytical roles.</w:t>
      </w:r>
    </w:p>
    <w:tbl>
      <w:tblPr>
        <w:tblStyle w:val="20"/>
        <w:tblW w:w="8193" w:type="dxa"/>
        <w:jc w:val="center"/>
        <w:tblBorders>
          <w:top w:val="single" w:color="1A1A1A" w:sz="10" w:space="0"/>
          <w:left w:val="none" w:color="FFFFFF" w:sz="0" w:space="0"/>
          <w:bottom w:val="single" w:color="1A1A1A" w:sz="10" w:space="0"/>
          <w:right w:val="none" w:color="FFFFFF" w:sz="0" w:space="0"/>
          <w:insideH w:val="single" w:color="D9D9D9" w:sz="2" w:space="0"/>
          <w:insideV w:val="none" w:color="FFFFFF" w:sz="0" w:space="0"/>
        </w:tblBorders>
        <w:tblLayout w:type="fixed"/>
        <w:tblCellMar>
          <w:top w:w="0" w:type="dxa"/>
          <w:left w:w="108" w:type="dxa"/>
          <w:bottom w:w="0" w:type="dxa"/>
          <w:right w:w="108" w:type="dxa"/>
        </w:tblCellMar>
      </w:tblPr>
      <w:tblGrid>
        <w:gridCol w:w="1497"/>
        <w:gridCol w:w="1180"/>
        <w:gridCol w:w="1728"/>
        <w:gridCol w:w="2088"/>
        <w:gridCol w:w="1699"/>
      </w:tblGrid>
      <w:tr w14:paraId="0422A347">
        <w:trPr>
          <w:cantSplit/>
          <w:tblHeader/>
          <w:jc w:val="center"/>
        </w:trPr>
        <w:tc>
          <w:tcPr>
            <w:tcW w:w="1497" w:type="dxa"/>
            <w:tcBorders>
              <w:bottom w:val="single" w:color="1A1A1A" w:sz="6" w:space="0"/>
            </w:tcBorders>
            <w:tcMar>
              <w:top w:w="60" w:type="dxa"/>
              <w:left w:w="75" w:type="dxa"/>
              <w:bottom w:w="60" w:type="dxa"/>
              <w:right w:w="75" w:type="dxa"/>
            </w:tcMar>
            <w:vAlign w:val="center"/>
          </w:tcPr>
          <w:p w14:paraId="55E83EC0">
            <w:pPr>
              <w:spacing w:before="0" w:after="0" w:line="240" w:lineRule="auto"/>
              <w:jc w:val="center"/>
              <w:rPr>
                <w:sz w:val="24"/>
                <w:szCs w:val="24"/>
              </w:rPr>
            </w:pPr>
            <w:r>
              <w:rPr>
                <w:rFonts w:ascii="Times New Roman" w:hAnsi="Times New Roman" w:eastAsia="Times New Roman"/>
                <w:b/>
                <w:i w:val="0"/>
                <w:color w:val="000000"/>
                <w:sz w:val="24"/>
                <w:szCs w:val="24"/>
              </w:rPr>
              <w:t>Cohort</w:t>
            </w:r>
          </w:p>
        </w:tc>
        <w:tc>
          <w:tcPr>
            <w:tcW w:w="1180" w:type="dxa"/>
            <w:tcBorders>
              <w:bottom w:val="single" w:color="1A1A1A" w:sz="6" w:space="0"/>
            </w:tcBorders>
            <w:tcMar>
              <w:top w:w="60" w:type="dxa"/>
              <w:left w:w="75" w:type="dxa"/>
              <w:bottom w:w="60" w:type="dxa"/>
              <w:right w:w="75" w:type="dxa"/>
            </w:tcMar>
            <w:vAlign w:val="center"/>
          </w:tcPr>
          <w:p w14:paraId="421D8AE1">
            <w:pPr>
              <w:spacing w:before="0" w:after="0" w:line="240" w:lineRule="auto"/>
              <w:jc w:val="center"/>
              <w:rPr>
                <w:sz w:val="24"/>
                <w:szCs w:val="24"/>
              </w:rPr>
            </w:pPr>
            <w:r>
              <w:rPr>
                <w:rFonts w:ascii="Times New Roman" w:hAnsi="Times New Roman" w:eastAsia="Times New Roman"/>
                <w:b/>
                <w:i w:val="0"/>
                <w:color w:val="000000"/>
                <w:sz w:val="24"/>
                <w:szCs w:val="24"/>
              </w:rPr>
              <w:t>Scale</w:t>
            </w:r>
          </w:p>
        </w:tc>
        <w:tc>
          <w:tcPr>
            <w:tcW w:w="1728" w:type="dxa"/>
            <w:tcBorders>
              <w:bottom w:val="single" w:color="1A1A1A" w:sz="6" w:space="0"/>
            </w:tcBorders>
            <w:tcMar>
              <w:top w:w="60" w:type="dxa"/>
              <w:left w:w="75" w:type="dxa"/>
              <w:bottom w:w="60" w:type="dxa"/>
              <w:right w:w="75" w:type="dxa"/>
            </w:tcMar>
            <w:vAlign w:val="center"/>
          </w:tcPr>
          <w:p w14:paraId="066A8342">
            <w:pPr>
              <w:spacing w:before="0" w:after="0" w:line="240" w:lineRule="auto"/>
              <w:jc w:val="center"/>
              <w:rPr>
                <w:sz w:val="24"/>
                <w:szCs w:val="24"/>
              </w:rPr>
            </w:pPr>
            <w:r>
              <w:rPr>
                <w:rFonts w:ascii="Times New Roman" w:hAnsi="Times New Roman" w:eastAsia="Times New Roman"/>
                <w:b/>
                <w:i w:val="0"/>
                <w:color w:val="000000"/>
                <w:sz w:val="24"/>
                <w:szCs w:val="24"/>
              </w:rPr>
              <w:t>Available labels</w:t>
            </w:r>
          </w:p>
        </w:tc>
        <w:tc>
          <w:tcPr>
            <w:tcW w:w="2088" w:type="dxa"/>
            <w:tcBorders>
              <w:bottom w:val="single" w:color="1A1A1A" w:sz="6" w:space="0"/>
            </w:tcBorders>
            <w:tcMar>
              <w:top w:w="60" w:type="dxa"/>
              <w:left w:w="75" w:type="dxa"/>
              <w:bottom w:w="60" w:type="dxa"/>
              <w:right w:w="75" w:type="dxa"/>
            </w:tcMar>
            <w:vAlign w:val="center"/>
          </w:tcPr>
          <w:p w14:paraId="59A45E98">
            <w:pPr>
              <w:spacing w:before="0" w:after="0" w:line="240" w:lineRule="auto"/>
              <w:jc w:val="center"/>
              <w:rPr>
                <w:sz w:val="24"/>
                <w:szCs w:val="24"/>
              </w:rPr>
            </w:pPr>
            <w:r>
              <w:rPr>
                <w:rFonts w:ascii="Times New Roman" w:hAnsi="Times New Roman" w:eastAsia="Times New Roman"/>
                <w:b/>
                <w:i w:val="0"/>
                <w:color w:val="000000"/>
                <w:sz w:val="24"/>
                <w:szCs w:val="24"/>
              </w:rPr>
              <w:t>Prespecified role</w:t>
            </w:r>
          </w:p>
        </w:tc>
        <w:tc>
          <w:tcPr>
            <w:tcW w:w="1699" w:type="dxa"/>
            <w:tcBorders>
              <w:bottom w:val="single" w:color="1A1A1A" w:sz="6" w:space="0"/>
            </w:tcBorders>
            <w:tcMar>
              <w:top w:w="60" w:type="dxa"/>
              <w:left w:w="75" w:type="dxa"/>
              <w:bottom w:w="60" w:type="dxa"/>
              <w:right w:w="75" w:type="dxa"/>
            </w:tcMar>
            <w:vAlign w:val="center"/>
          </w:tcPr>
          <w:p w14:paraId="615294A9">
            <w:pPr>
              <w:spacing w:before="0" w:after="0" w:line="240" w:lineRule="auto"/>
              <w:jc w:val="center"/>
              <w:rPr>
                <w:sz w:val="24"/>
                <w:szCs w:val="24"/>
              </w:rPr>
            </w:pPr>
            <w:r>
              <w:rPr>
                <w:rFonts w:ascii="Times New Roman" w:hAnsi="Times New Roman" w:eastAsia="Times New Roman"/>
                <w:b/>
                <w:i w:val="0"/>
                <w:color w:val="000000"/>
                <w:sz w:val="24"/>
                <w:szCs w:val="24"/>
              </w:rPr>
              <w:t>Evidence status</w:t>
            </w:r>
          </w:p>
        </w:tc>
      </w:tr>
      <w:tr w14:paraId="5B90A7FF">
        <w:trPr>
          <w:cantSplit/>
          <w:jc w:val="center"/>
        </w:trPr>
        <w:tc>
          <w:tcPr>
            <w:tcW w:w="1497" w:type="dxa"/>
            <w:tcMar>
              <w:top w:w="60" w:type="dxa"/>
              <w:left w:w="75" w:type="dxa"/>
              <w:bottom w:w="60" w:type="dxa"/>
              <w:right w:w="75" w:type="dxa"/>
            </w:tcMar>
            <w:vAlign w:val="center"/>
          </w:tcPr>
          <w:p w14:paraId="01DC23D6">
            <w:pPr>
              <w:spacing w:before="0" w:after="0" w:line="240" w:lineRule="auto"/>
              <w:jc w:val="left"/>
              <w:rPr>
                <w:sz w:val="24"/>
                <w:szCs w:val="24"/>
              </w:rPr>
            </w:pPr>
            <w:r>
              <w:rPr>
                <w:rFonts w:ascii="Times New Roman" w:hAnsi="Times New Roman" w:eastAsia="Times New Roman"/>
                <w:b w:val="0"/>
                <w:i w:val="0"/>
                <w:color w:val="000000"/>
                <w:sz w:val="24"/>
                <w:szCs w:val="24"/>
              </w:rPr>
              <w:t>FIVES</w:t>
            </w:r>
          </w:p>
        </w:tc>
        <w:tc>
          <w:tcPr>
            <w:tcW w:w="1180" w:type="dxa"/>
            <w:tcMar>
              <w:top w:w="60" w:type="dxa"/>
              <w:left w:w="75" w:type="dxa"/>
              <w:bottom w:w="60" w:type="dxa"/>
              <w:right w:w="75" w:type="dxa"/>
            </w:tcMar>
            <w:vAlign w:val="center"/>
          </w:tcPr>
          <w:p w14:paraId="2D23E83B">
            <w:pPr>
              <w:spacing w:before="0" w:after="0" w:line="240" w:lineRule="auto"/>
              <w:jc w:val="center"/>
              <w:rPr>
                <w:sz w:val="24"/>
                <w:szCs w:val="24"/>
              </w:rPr>
            </w:pPr>
            <w:r>
              <w:rPr>
                <w:rFonts w:ascii="Times New Roman" w:hAnsi="Times New Roman" w:eastAsia="Times New Roman"/>
                <w:b w:val="0"/>
                <w:i w:val="0"/>
                <w:color w:val="000000"/>
                <w:sz w:val="24"/>
                <w:szCs w:val="24"/>
              </w:rPr>
              <w:t>800 images (600 train/200 test)</w:t>
            </w:r>
          </w:p>
        </w:tc>
        <w:tc>
          <w:tcPr>
            <w:tcW w:w="1728" w:type="dxa"/>
            <w:tcMar>
              <w:top w:w="60" w:type="dxa"/>
              <w:left w:w="75" w:type="dxa"/>
              <w:bottom w:w="60" w:type="dxa"/>
              <w:right w:w="75" w:type="dxa"/>
            </w:tcMar>
            <w:vAlign w:val="center"/>
          </w:tcPr>
          <w:p w14:paraId="7437E561">
            <w:pPr>
              <w:spacing w:before="0" w:after="0" w:line="240" w:lineRule="auto"/>
              <w:jc w:val="center"/>
              <w:rPr>
                <w:sz w:val="24"/>
                <w:szCs w:val="24"/>
              </w:rPr>
            </w:pPr>
            <w:r>
              <w:rPr>
                <w:rFonts w:ascii="Times New Roman" w:hAnsi="Times New Roman" w:eastAsia="Times New Roman"/>
                <w:b w:val="0"/>
                <w:i w:val="0"/>
                <w:color w:val="000000"/>
                <w:sz w:val="24"/>
                <w:szCs w:val="24"/>
              </w:rPr>
              <w:t>Binary vessel mask</w:t>
            </w:r>
          </w:p>
        </w:tc>
        <w:tc>
          <w:tcPr>
            <w:tcW w:w="2088" w:type="dxa"/>
            <w:tcMar>
              <w:top w:w="60" w:type="dxa"/>
              <w:left w:w="75" w:type="dxa"/>
              <w:bottom w:w="60" w:type="dxa"/>
              <w:right w:w="75" w:type="dxa"/>
            </w:tcMar>
            <w:vAlign w:val="center"/>
          </w:tcPr>
          <w:p w14:paraId="46465D69">
            <w:pPr>
              <w:spacing w:before="0" w:after="0" w:line="240" w:lineRule="auto"/>
              <w:jc w:val="center"/>
              <w:rPr>
                <w:sz w:val="24"/>
                <w:szCs w:val="24"/>
              </w:rPr>
            </w:pPr>
            <w:r>
              <w:rPr>
                <w:rFonts w:ascii="Times New Roman" w:hAnsi="Times New Roman" w:eastAsia="Times New Roman"/>
                <w:b w:val="0"/>
                <w:i w:val="0"/>
                <w:color w:val="000000"/>
                <w:sz w:val="24"/>
                <w:szCs w:val="24"/>
              </w:rPr>
              <w:t>Occupancy-estimator source</w:t>
            </w:r>
          </w:p>
        </w:tc>
        <w:tc>
          <w:tcPr>
            <w:tcW w:w="1699" w:type="dxa"/>
            <w:tcMar>
              <w:top w:w="60" w:type="dxa"/>
              <w:left w:w="75" w:type="dxa"/>
              <w:bottom w:w="60" w:type="dxa"/>
              <w:right w:w="75" w:type="dxa"/>
            </w:tcMar>
            <w:vAlign w:val="center"/>
          </w:tcPr>
          <w:p w14:paraId="66B45940">
            <w:pPr>
              <w:spacing w:before="0" w:after="0" w:line="240" w:lineRule="auto"/>
              <w:jc w:val="center"/>
              <w:rPr>
                <w:sz w:val="24"/>
                <w:szCs w:val="24"/>
              </w:rPr>
            </w:pPr>
            <w:r>
              <w:rPr>
                <w:rFonts w:ascii="Times New Roman" w:hAnsi="Times New Roman" w:eastAsia="Times New Roman"/>
                <w:b w:val="0"/>
                <w:i w:val="0"/>
                <w:color w:val="000000"/>
                <w:sz w:val="24"/>
                <w:szCs w:val="24"/>
              </w:rPr>
              <w:t>Training/measurement only</w:t>
            </w:r>
          </w:p>
        </w:tc>
      </w:tr>
      <w:tr w14:paraId="43F35433">
        <w:trPr>
          <w:cantSplit/>
          <w:jc w:val="center"/>
        </w:trPr>
        <w:tc>
          <w:tcPr>
            <w:tcW w:w="1497" w:type="dxa"/>
            <w:tcMar>
              <w:top w:w="60" w:type="dxa"/>
              <w:left w:w="75" w:type="dxa"/>
              <w:bottom w:w="60" w:type="dxa"/>
              <w:right w:w="75" w:type="dxa"/>
            </w:tcMar>
            <w:vAlign w:val="center"/>
          </w:tcPr>
          <w:p w14:paraId="5BC8980D">
            <w:pPr>
              <w:spacing w:before="0" w:after="0" w:line="240" w:lineRule="auto"/>
              <w:jc w:val="left"/>
              <w:rPr>
                <w:sz w:val="24"/>
                <w:szCs w:val="24"/>
              </w:rPr>
            </w:pPr>
            <w:r>
              <w:rPr>
                <w:rFonts w:ascii="Times New Roman" w:hAnsi="Times New Roman" w:eastAsia="Times New Roman"/>
                <w:b w:val="0"/>
                <w:i w:val="0"/>
                <w:color w:val="000000"/>
                <w:sz w:val="24"/>
                <w:szCs w:val="24"/>
              </w:rPr>
              <w:t>RAV</w:t>
            </w:r>
          </w:p>
        </w:tc>
        <w:tc>
          <w:tcPr>
            <w:tcW w:w="1180" w:type="dxa"/>
            <w:tcMar>
              <w:top w:w="60" w:type="dxa"/>
              <w:left w:w="75" w:type="dxa"/>
              <w:bottom w:w="60" w:type="dxa"/>
              <w:right w:w="75" w:type="dxa"/>
            </w:tcMar>
            <w:vAlign w:val="center"/>
          </w:tcPr>
          <w:p w14:paraId="09467592">
            <w:pPr>
              <w:spacing w:before="0" w:after="0" w:line="240" w:lineRule="auto"/>
              <w:jc w:val="center"/>
              <w:rPr>
                <w:sz w:val="24"/>
                <w:szCs w:val="24"/>
              </w:rPr>
            </w:pPr>
            <w:r>
              <w:rPr>
                <w:rFonts w:ascii="Times New Roman" w:hAnsi="Times New Roman" w:eastAsia="Times New Roman"/>
                <w:b w:val="0"/>
                <w:i w:val="0"/>
                <w:color w:val="000000"/>
                <w:sz w:val="24"/>
                <w:szCs w:val="24"/>
              </w:rPr>
              <w:t>206 images</w:t>
            </w:r>
          </w:p>
        </w:tc>
        <w:tc>
          <w:tcPr>
            <w:tcW w:w="1728" w:type="dxa"/>
            <w:tcMar>
              <w:top w:w="60" w:type="dxa"/>
              <w:left w:w="75" w:type="dxa"/>
              <w:bottom w:w="60" w:type="dxa"/>
              <w:right w:w="75" w:type="dxa"/>
            </w:tcMar>
            <w:vAlign w:val="center"/>
          </w:tcPr>
          <w:p w14:paraId="6EC62327">
            <w:pPr>
              <w:spacing w:before="0" w:after="0" w:line="240" w:lineRule="auto"/>
              <w:jc w:val="center"/>
              <w:rPr>
                <w:sz w:val="24"/>
                <w:szCs w:val="24"/>
              </w:rPr>
            </w:pPr>
            <w:r>
              <w:rPr>
                <w:rFonts w:ascii="Times New Roman" w:hAnsi="Times New Roman" w:eastAsia="Times New Roman"/>
                <w:b w:val="0"/>
                <w:i w:val="0"/>
                <w:color w:val="000000"/>
                <w:sz w:val="24"/>
                <w:szCs w:val="24"/>
              </w:rPr>
              <w:t>Artery and vein masks</w:t>
            </w:r>
          </w:p>
        </w:tc>
        <w:tc>
          <w:tcPr>
            <w:tcW w:w="2088" w:type="dxa"/>
            <w:tcMar>
              <w:top w:w="60" w:type="dxa"/>
              <w:left w:w="75" w:type="dxa"/>
              <w:bottom w:w="60" w:type="dxa"/>
              <w:right w:w="75" w:type="dxa"/>
            </w:tcMar>
            <w:vAlign w:val="center"/>
          </w:tcPr>
          <w:p w14:paraId="04E578C1">
            <w:pPr>
              <w:spacing w:before="0" w:after="0" w:line="240" w:lineRule="auto"/>
              <w:jc w:val="center"/>
              <w:rPr>
                <w:sz w:val="24"/>
                <w:szCs w:val="24"/>
              </w:rPr>
            </w:pPr>
            <w:r>
              <w:rPr>
                <w:rFonts w:ascii="Times New Roman" w:hAnsi="Times New Roman" w:eastAsia="Times New Roman"/>
                <w:b w:val="0"/>
                <w:i w:val="0"/>
                <w:color w:val="000000"/>
                <w:sz w:val="24"/>
                <w:szCs w:val="24"/>
              </w:rPr>
              <w:t>Cross-domain identity audit</w:t>
            </w:r>
          </w:p>
        </w:tc>
        <w:tc>
          <w:tcPr>
            <w:tcW w:w="1699" w:type="dxa"/>
            <w:tcMar>
              <w:top w:w="60" w:type="dxa"/>
              <w:left w:w="75" w:type="dxa"/>
              <w:bottom w:w="60" w:type="dxa"/>
              <w:right w:w="75" w:type="dxa"/>
            </w:tcMar>
            <w:vAlign w:val="center"/>
          </w:tcPr>
          <w:p w14:paraId="2AB71B0A">
            <w:pPr>
              <w:spacing w:before="0" w:after="0" w:line="240" w:lineRule="auto"/>
              <w:jc w:val="center"/>
              <w:rPr>
                <w:sz w:val="24"/>
                <w:szCs w:val="24"/>
              </w:rPr>
            </w:pPr>
            <w:r>
              <w:rPr>
                <w:rFonts w:ascii="Times New Roman" w:hAnsi="Times New Roman" w:eastAsia="Times New Roman"/>
                <w:b w:val="0"/>
                <w:i w:val="0"/>
                <w:color w:val="000000"/>
                <w:sz w:val="24"/>
                <w:szCs w:val="24"/>
              </w:rPr>
              <w:t>External measurement</w:t>
            </w:r>
          </w:p>
        </w:tc>
      </w:tr>
      <w:tr w14:paraId="54001484">
        <w:trPr>
          <w:cantSplit/>
          <w:jc w:val="center"/>
        </w:trPr>
        <w:tc>
          <w:tcPr>
            <w:tcW w:w="1497" w:type="dxa"/>
            <w:tcMar>
              <w:top w:w="60" w:type="dxa"/>
              <w:left w:w="75" w:type="dxa"/>
              <w:bottom w:w="60" w:type="dxa"/>
              <w:right w:w="75" w:type="dxa"/>
            </w:tcMar>
            <w:vAlign w:val="center"/>
          </w:tcPr>
          <w:p w14:paraId="24BE690D">
            <w:pPr>
              <w:spacing w:before="0" w:after="0" w:line="240" w:lineRule="auto"/>
              <w:jc w:val="left"/>
              <w:rPr>
                <w:sz w:val="24"/>
                <w:szCs w:val="24"/>
              </w:rPr>
            </w:pPr>
            <w:r>
              <w:rPr>
                <w:rFonts w:ascii="Times New Roman" w:hAnsi="Times New Roman" w:eastAsia="Times New Roman"/>
                <w:b w:val="0"/>
                <w:i w:val="0"/>
                <w:color w:val="000000"/>
                <w:sz w:val="24"/>
                <w:szCs w:val="24"/>
              </w:rPr>
              <w:t>Fundus-AVSeg</w:t>
            </w:r>
          </w:p>
        </w:tc>
        <w:tc>
          <w:tcPr>
            <w:tcW w:w="1180" w:type="dxa"/>
            <w:tcMar>
              <w:top w:w="60" w:type="dxa"/>
              <w:left w:w="75" w:type="dxa"/>
              <w:bottom w:w="60" w:type="dxa"/>
              <w:right w:w="75" w:type="dxa"/>
            </w:tcMar>
            <w:vAlign w:val="center"/>
          </w:tcPr>
          <w:p w14:paraId="2576E773">
            <w:pPr>
              <w:spacing w:before="0" w:after="0" w:line="240" w:lineRule="auto"/>
              <w:jc w:val="center"/>
              <w:rPr>
                <w:sz w:val="24"/>
                <w:szCs w:val="24"/>
              </w:rPr>
            </w:pPr>
            <w:r>
              <w:rPr>
                <w:rFonts w:ascii="Times New Roman" w:hAnsi="Times New Roman" w:eastAsia="Times New Roman"/>
                <w:b w:val="0"/>
                <w:i w:val="0"/>
                <w:color w:val="000000"/>
                <w:sz w:val="24"/>
                <w:szCs w:val="24"/>
              </w:rPr>
              <w:t>100 images</w:t>
            </w:r>
          </w:p>
        </w:tc>
        <w:tc>
          <w:tcPr>
            <w:tcW w:w="1728" w:type="dxa"/>
            <w:tcMar>
              <w:top w:w="60" w:type="dxa"/>
              <w:left w:w="75" w:type="dxa"/>
              <w:bottom w:w="60" w:type="dxa"/>
              <w:right w:w="75" w:type="dxa"/>
            </w:tcMar>
            <w:vAlign w:val="center"/>
          </w:tcPr>
          <w:p w14:paraId="15E14CA2">
            <w:pPr>
              <w:spacing w:before="0" w:after="0" w:line="240" w:lineRule="auto"/>
              <w:jc w:val="center"/>
              <w:rPr>
                <w:sz w:val="24"/>
                <w:szCs w:val="24"/>
              </w:rPr>
            </w:pPr>
            <w:r>
              <w:rPr>
                <w:rFonts w:ascii="Times New Roman" w:hAnsi="Times New Roman" w:eastAsia="Times New Roman"/>
                <w:b w:val="0"/>
                <w:i w:val="0"/>
                <w:color w:val="000000"/>
                <w:sz w:val="24"/>
                <w:szCs w:val="24"/>
              </w:rPr>
              <w:t>Vessel/A/V masks; disease; quality</w:t>
            </w:r>
          </w:p>
        </w:tc>
        <w:tc>
          <w:tcPr>
            <w:tcW w:w="2088" w:type="dxa"/>
            <w:tcMar>
              <w:top w:w="60" w:type="dxa"/>
              <w:left w:w="75" w:type="dxa"/>
              <w:bottom w:w="60" w:type="dxa"/>
              <w:right w:w="75" w:type="dxa"/>
            </w:tcMar>
            <w:vAlign w:val="center"/>
          </w:tcPr>
          <w:p w14:paraId="56B2170A">
            <w:pPr>
              <w:spacing w:before="0" w:after="0" w:line="240" w:lineRule="auto"/>
              <w:jc w:val="center"/>
              <w:rPr>
                <w:sz w:val="24"/>
                <w:szCs w:val="24"/>
              </w:rPr>
            </w:pPr>
            <w:r>
              <w:rPr>
                <w:rFonts w:ascii="Times New Roman" w:hAnsi="Times New Roman" w:eastAsia="Times New Roman"/>
                <w:b w:val="0"/>
                <w:i w:val="0"/>
                <w:color w:val="000000"/>
                <w:sz w:val="24"/>
                <w:szCs w:val="24"/>
              </w:rPr>
              <w:t>Locked zero tuning validation</w:t>
            </w:r>
          </w:p>
        </w:tc>
        <w:tc>
          <w:tcPr>
            <w:tcW w:w="1699" w:type="dxa"/>
            <w:tcMar>
              <w:top w:w="60" w:type="dxa"/>
              <w:left w:w="75" w:type="dxa"/>
              <w:bottom w:w="60" w:type="dxa"/>
              <w:right w:w="75" w:type="dxa"/>
            </w:tcMar>
            <w:vAlign w:val="center"/>
          </w:tcPr>
          <w:p w14:paraId="0960EFD6">
            <w:pPr>
              <w:spacing w:before="0" w:after="0" w:line="240" w:lineRule="auto"/>
              <w:jc w:val="center"/>
              <w:rPr>
                <w:sz w:val="24"/>
                <w:szCs w:val="24"/>
              </w:rPr>
            </w:pPr>
            <w:r>
              <w:rPr>
                <w:rFonts w:ascii="Times New Roman" w:hAnsi="Times New Roman" w:eastAsia="Times New Roman"/>
                <w:b w:val="0"/>
                <w:i w:val="0"/>
                <w:color w:val="000000"/>
                <w:sz w:val="24"/>
                <w:szCs w:val="24"/>
              </w:rPr>
              <w:t>External measurement</w:t>
            </w:r>
          </w:p>
        </w:tc>
      </w:tr>
      <w:tr w14:paraId="21EC28BF">
        <w:trPr>
          <w:cantSplit/>
          <w:jc w:val="center"/>
        </w:trPr>
        <w:tc>
          <w:tcPr>
            <w:tcW w:w="1497" w:type="dxa"/>
            <w:tcMar>
              <w:top w:w="60" w:type="dxa"/>
              <w:left w:w="75" w:type="dxa"/>
              <w:bottom w:w="60" w:type="dxa"/>
              <w:right w:w="75" w:type="dxa"/>
            </w:tcMar>
            <w:vAlign w:val="center"/>
          </w:tcPr>
          <w:p w14:paraId="254A2F62">
            <w:pPr>
              <w:spacing w:before="0" w:after="0" w:line="240" w:lineRule="auto"/>
              <w:jc w:val="left"/>
              <w:rPr>
                <w:sz w:val="24"/>
                <w:szCs w:val="24"/>
              </w:rPr>
            </w:pPr>
            <w:r>
              <w:rPr>
                <w:rFonts w:ascii="Times New Roman" w:hAnsi="Times New Roman" w:eastAsia="Times New Roman"/>
                <w:b w:val="0"/>
                <w:i w:val="0"/>
                <w:color w:val="000000"/>
                <w:sz w:val="24"/>
                <w:szCs w:val="24"/>
              </w:rPr>
              <w:t>China Fundus–CIMT</w:t>
            </w:r>
          </w:p>
        </w:tc>
        <w:tc>
          <w:tcPr>
            <w:tcW w:w="1180" w:type="dxa"/>
            <w:tcMar>
              <w:top w:w="60" w:type="dxa"/>
              <w:left w:w="75" w:type="dxa"/>
              <w:bottom w:w="60" w:type="dxa"/>
              <w:right w:w="75" w:type="dxa"/>
            </w:tcMar>
            <w:vAlign w:val="center"/>
          </w:tcPr>
          <w:p w14:paraId="4ED55CC8">
            <w:pPr>
              <w:spacing w:before="0" w:after="0" w:line="240" w:lineRule="auto"/>
              <w:jc w:val="center"/>
              <w:rPr>
                <w:sz w:val="24"/>
                <w:szCs w:val="24"/>
              </w:rPr>
            </w:pPr>
            <w:r>
              <w:rPr>
                <w:rFonts w:ascii="Times New Roman" w:hAnsi="Times New Roman" w:eastAsia="Times New Roman"/>
                <w:b w:val="0"/>
                <w:i w:val="0"/>
                <w:color w:val="000000"/>
                <w:sz w:val="24"/>
                <w:szCs w:val="24"/>
              </w:rPr>
              <w:t>2,603 development; 200 frozen validation; 100 test artifact</w:t>
            </w:r>
          </w:p>
        </w:tc>
        <w:tc>
          <w:tcPr>
            <w:tcW w:w="1728" w:type="dxa"/>
            <w:tcMar>
              <w:top w:w="60" w:type="dxa"/>
              <w:left w:w="75" w:type="dxa"/>
              <w:bottom w:w="60" w:type="dxa"/>
              <w:right w:w="75" w:type="dxa"/>
            </w:tcMar>
            <w:vAlign w:val="center"/>
          </w:tcPr>
          <w:p w14:paraId="703703AB">
            <w:pPr>
              <w:spacing w:before="0" w:after="0" w:line="240" w:lineRule="auto"/>
              <w:jc w:val="center"/>
              <w:rPr>
                <w:sz w:val="24"/>
                <w:szCs w:val="24"/>
              </w:rPr>
            </w:pPr>
            <w:r>
              <w:rPr>
                <w:rFonts w:ascii="Times New Roman" w:hAnsi="Times New Roman" w:eastAsia="Times New Roman"/>
                <w:b w:val="0"/>
                <w:i w:val="0"/>
                <w:color w:val="000000"/>
                <w:sz w:val="24"/>
                <w:szCs w:val="24"/>
              </w:rPr>
              <w:t>Age, sex, bilateral fundus, CIMT</w:t>
            </w:r>
          </w:p>
        </w:tc>
        <w:tc>
          <w:tcPr>
            <w:tcW w:w="2088" w:type="dxa"/>
            <w:tcMar>
              <w:top w:w="60" w:type="dxa"/>
              <w:left w:w="75" w:type="dxa"/>
              <w:bottom w:w="60" w:type="dxa"/>
              <w:right w:w="75" w:type="dxa"/>
            </w:tcMar>
            <w:vAlign w:val="center"/>
          </w:tcPr>
          <w:p w14:paraId="303ACF21">
            <w:pPr>
              <w:spacing w:before="0" w:after="0" w:line="240" w:lineRule="auto"/>
              <w:jc w:val="center"/>
              <w:rPr>
                <w:sz w:val="24"/>
                <w:szCs w:val="24"/>
              </w:rPr>
            </w:pPr>
            <w:r>
              <w:rPr>
                <w:rFonts w:ascii="Times New Roman" w:hAnsi="Times New Roman" w:eastAsia="Times New Roman"/>
                <w:b w:val="0"/>
                <w:i w:val="0"/>
                <w:color w:val="000000"/>
                <w:sz w:val="24"/>
                <w:szCs w:val="24"/>
              </w:rPr>
              <w:t>Normative-deviation mechanism</w:t>
            </w:r>
          </w:p>
        </w:tc>
        <w:tc>
          <w:tcPr>
            <w:tcW w:w="1699" w:type="dxa"/>
            <w:tcMar>
              <w:top w:w="60" w:type="dxa"/>
              <w:left w:w="75" w:type="dxa"/>
              <w:bottom w:w="60" w:type="dxa"/>
              <w:right w:w="75" w:type="dxa"/>
            </w:tcMar>
            <w:vAlign w:val="center"/>
          </w:tcPr>
          <w:p w14:paraId="41864B9E">
            <w:pPr>
              <w:spacing w:before="0" w:after="0" w:line="240" w:lineRule="auto"/>
              <w:jc w:val="center"/>
              <w:rPr>
                <w:sz w:val="24"/>
                <w:szCs w:val="24"/>
              </w:rPr>
            </w:pPr>
            <w:r>
              <w:rPr>
                <w:rFonts w:ascii="Times New Roman" w:hAnsi="Times New Roman" w:eastAsia="Times New Roman"/>
                <w:b w:val="0"/>
                <w:i w:val="0"/>
                <w:color w:val="000000"/>
                <w:sz w:val="24"/>
                <w:szCs w:val="24"/>
              </w:rPr>
              <w:t>Development + frozen validation</w:t>
            </w:r>
          </w:p>
        </w:tc>
      </w:tr>
      <w:tr w14:paraId="1CEEE256">
        <w:trPr>
          <w:cantSplit/>
          <w:jc w:val="center"/>
        </w:trPr>
        <w:tc>
          <w:tcPr>
            <w:tcW w:w="1497" w:type="dxa"/>
            <w:tcMar>
              <w:top w:w="60" w:type="dxa"/>
              <w:left w:w="75" w:type="dxa"/>
              <w:bottom w:w="60" w:type="dxa"/>
              <w:right w:w="75" w:type="dxa"/>
            </w:tcMar>
            <w:vAlign w:val="center"/>
          </w:tcPr>
          <w:p w14:paraId="12D75357">
            <w:pPr>
              <w:spacing w:before="0" w:after="0" w:line="240" w:lineRule="auto"/>
              <w:jc w:val="left"/>
              <w:rPr>
                <w:sz w:val="24"/>
                <w:szCs w:val="24"/>
              </w:rPr>
            </w:pPr>
            <w:r>
              <w:rPr>
                <w:rFonts w:ascii="Times New Roman" w:hAnsi="Times New Roman" w:eastAsia="Times New Roman"/>
                <w:b w:val="0"/>
                <w:i w:val="0"/>
                <w:color w:val="000000"/>
                <w:sz w:val="24"/>
                <w:szCs w:val="24"/>
              </w:rPr>
              <w:t>Publicly mirrored</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mBRSET subset</w:t>
            </w:r>
          </w:p>
        </w:tc>
        <w:tc>
          <w:tcPr>
            <w:tcW w:w="1180" w:type="dxa"/>
            <w:tcMar>
              <w:top w:w="60" w:type="dxa"/>
              <w:left w:w="75" w:type="dxa"/>
              <w:bottom w:w="60" w:type="dxa"/>
              <w:right w:w="75" w:type="dxa"/>
            </w:tcMar>
            <w:vAlign w:val="center"/>
          </w:tcPr>
          <w:p w14:paraId="6B456D71">
            <w:pPr>
              <w:spacing w:before="0" w:after="0" w:line="240" w:lineRule="auto"/>
              <w:jc w:val="center"/>
              <w:rPr>
                <w:sz w:val="24"/>
                <w:szCs w:val="24"/>
              </w:rPr>
            </w:pPr>
            <w:r>
              <w:rPr>
                <w:rFonts w:ascii="Times New Roman" w:hAnsi="Times New Roman" w:eastAsia="Times New Roman"/>
                <w:b w:val="0"/>
                <w:i w:val="0"/>
                <w:color w:val="000000"/>
                <w:sz w:val="24"/>
                <w:szCs w:val="24"/>
              </w:rPr>
              <w:t>1,287 indexed participants;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4,884 224-pixel images;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2,359 same eye repeat pairs</w:t>
            </w:r>
          </w:p>
        </w:tc>
        <w:tc>
          <w:tcPr>
            <w:tcW w:w="1728" w:type="dxa"/>
            <w:tcMar>
              <w:top w:w="60" w:type="dxa"/>
              <w:left w:w="75" w:type="dxa"/>
              <w:bottom w:w="60" w:type="dxa"/>
              <w:right w:w="75" w:type="dxa"/>
            </w:tcMar>
            <w:vAlign w:val="center"/>
          </w:tcPr>
          <w:p w14:paraId="1CF74E39">
            <w:pPr>
              <w:spacing w:before="0" w:after="0" w:line="240" w:lineRule="auto"/>
              <w:jc w:val="center"/>
              <w:rPr>
                <w:sz w:val="24"/>
                <w:szCs w:val="24"/>
              </w:rPr>
            </w:pPr>
            <w:r>
              <w:rPr>
                <w:rFonts w:ascii="Times New Roman" w:hAnsi="Times New Roman" w:eastAsia="Times New Roman"/>
                <w:b w:val="0"/>
                <w:i w:val="0"/>
                <w:color w:val="000000"/>
                <w:sz w:val="24"/>
                <w:szCs w:val="24"/>
              </w:rPr>
              <w:t>Repeated views, ocular grades, systemic outcomes</w:t>
            </w:r>
          </w:p>
        </w:tc>
        <w:tc>
          <w:tcPr>
            <w:tcW w:w="2088" w:type="dxa"/>
            <w:tcMar>
              <w:top w:w="60" w:type="dxa"/>
              <w:left w:w="75" w:type="dxa"/>
              <w:bottom w:w="60" w:type="dxa"/>
              <w:right w:w="75" w:type="dxa"/>
            </w:tcMar>
            <w:vAlign w:val="center"/>
          </w:tcPr>
          <w:p w14:paraId="03BA8D49">
            <w:pPr>
              <w:spacing w:before="0" w:after="0" w:line="240" w:lineRule="auto"/>
              <w:jc w:val="center"/>
              <w:rPr>
                <w:sz w:val="24"/>
                <w:szCs w:val="24"/>
              </w:rPr>
            </w:pPr>
            <w:r>
              <w:rPr>
                <w:rFonts w:ascii="Times New Roman" w:hAnsi="Times New Roman" w:eastAsia="Times New Roman"/>
                <w:b w:val="0"/>
                <w:i w:val="0"/>
                <w:color w:val="000000"/>
                <w:sz w:val="24"/>
                <w:szCs w:val="24"/>
              </w:rPr>
              <w:t>Repeatability + exploratory</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hypertension association</w:t>
            </w:r>
          </w:p>
        </w:tc>
        <w:tc>
          <w:tcPr>
            <w:tcW w:w="1699" w:type="dxa"/>
            <w:tcMar>
              <w:top w:w="60" w:type="dxa"/>
              <w:left w:w="75" w:type="dxa"/>
              <w:bottom w:w="60" w:type="dxa"/>
              <w:right w:w="75" w:type="dxa"/>
            </w:tcMar>
            <w:vAlign w:val="center"/>
          </w:tcPr>
          <w:p w14:paraId="1F0F5D74">
            <w:pPr>
              <w:spacing w:before="0" w:after="0" w:line="240" w:lineRule="auto"/>
              <w:jc w:val="center"/>
              <w:rPr>
                <w:sz w:val="24"/>
                <w:szCs w:val="24"/>
              </w:rPr>
            </w:pPr>
            <w:r>
              <w:rPr>
                <w:rFonts w:ascii="Times New Roman" w:hAnsi="Times New Roman" w:eastAsia="Times New Roman"/>
                <w:b w:val="0"/>
                <w:i w:val="0"/>
                <w:color w:val="000000"/>
                <w:sz w:val="24"/>
                <w:szCs w:val="24"/>
              </w:rPr>
              <w:t>Exploratory patient level analysis;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not independent high resolution confirmation</w:t>
            </w:r>
          </w:p>
        </w:tc>
      </w:tr>
    </w:tbl>
    <w:p w14:paraId="0E4E2C9A">
      <w:pPr>
        <w:spacing w:before="0" w:after="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14:paraId="282F9163">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0" w:after="0" w:line="240" w:lineRule="auto"/>
        <w:jc w:val="center"/>
        <w:rPr>
          <w:sz w:val="20"/>
          <w:szCs w:val="20"/>
        </w:rPr>
      </w:pPr>
      <m:oMath>
        <m:r>
          <m:rPr>
            <m:sty m:val="p"/>
          </m:rPr>
          <m:t>z⁽ᵗ⁺¹⁾ = z⁽ᵗ⁾ + αₜ rθ(x, z⁽ᵗ⁾, H(x), D(x)),   t = 0, 1.</m:t>
        </m:r>
      </m:oMath>
      <w:r>
        <w:rPr>
          <w:rFonts w:ascii="Cambria Math" w:hAnsi="Cambria Math" w:eastAsia="Cambria Math"/>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0" w:after="0" w:line="240" w:lineRule="auto"/>
        <w:jc w:val="center"/>
        <w:rPr>
          <w:sz w:val="20"/>
          <w:szCs w:val="20"/>
        </w:rPr>
      </w:pPr>
      <m:oMath>
        <m:r>
          <m:rPr>
            <m:sty m:val="p"/>
          </m:rPr>
          <m:t>ℒ = λclsℒcls + λtopℒtop + λdirℒdir + λresℒres + λAVℒAV + λmassℒmass.</m:t>
        </m:r>
      </m:oMath>
      <w:r>
        <w:rPr>
          <w:rFonts w:ascii="Cambria Math" w:hAnsi="Cambria Math" w:eastAsia="Cambria Math"/>
        </w:rPr>
        <w:t xml:space="preserve">    (2)</w:t>
      </w:r>
    </w:p>
    <w:p w14:paraId="3DCAB820">
      <w:pPr>
        <w:pStyle w:val="18"/>
        <w:keepNext w:val="0"/>
        <w:spacing w:before="0" w:after="100" w:line="276" w:lineRule="auto"/>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0" w:after="0" w:line="240" w:lineRule="auto"/>
        <w:jc w:val="center"/>
        <w:rPr>
          <w:sz w:val="20"/>
          <w:szCs w:val="20"/>
        </w:rPr>
      </w:pPr>
      <m:oMath>
        <m:r>
          <m:rPr>
            <m:sty m:val="p"/>
          </m:rPr>
          <m:t>Fᵥ(x) = O(x)[c(x)Pᵥ(x|I∗) + {1 − c(x)}Ṕᵥ(x|I∗)].</m:t>
        </m:r>
      </m:oMath>
      <w:r>
        <w:rPr>
          <w:rFonts w:ascii="Cambria Math" w:hAnsi="Cambria Math" w:eastAsia="Cambria Math"/>
        </w:rPr>
        <w:t xml:space="preserve">    (3)</w:t>
      </w:r>
    </w:p>
    <w:p w14:paraId="2C1A3D41">
      <w:pPr>
        <w:pStyle w:val="18"/>
        <w:keepNext w:val="0"/>
        <w:spacing w:before="0" w:after="100" w:line="276" w:lineRule="auto"/>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Lines/>
        <w:spacing w:before="0" w:after="0" w:line="240" w:lineRule="auto"/>
        <w:jc w:val="center"/>
        <w:rPr>
          <w:sz w:val="20"/>
          <w:szCs w:val="20"/>
        </w:rPr>
      </w:pPr>
      <m:oMath>
        <m:r>
          <m:rPr>
            <m:sty m:val="p"/>
          </m:rPr>
          <m:t>φmass = |Ω|⁻¹ Σₓ∈Ω [1 − pᴹ₀(x)]</m:t>
        </m:r>
      </m:oMath>
      <w:r>
        <w:rPr>
          <w:rFonts w:ascii="Cambria Math" w:hAnsi="Cambria Math" w:eastAsia="Cambria Math"/>
        </w:rPr>
        <w:t xml:space="preserve">    (4a)</w:t>
      </w:r>
    </w:p>
    <w:p w14:paraId="27F3B4F2">
      <w:pPr>
        <w:keepLines/>
        <w:spacing w:before="0" w:after="0" w:line="240" w:lineRule="auto"/>
        <w:jc w:val="center"/>
        <w:rPr>
          <w:sz w:val="20"/>
          <w:szCs w:val="20"/>
        </w:rPr>
      </w:pPr>
      <m:oMath>
        <m:r>
          <m:rPr>
            <m:sty m:val="p"/>
          </m:rPr>
          <m:t>φA/V = log{[Σₓ(pᴹ_A + pᴹ_C) + 1] / [Σₓ(pᴹ_V + pᴹ_C) + 1]}</m:t>
        </m:r>
      </m:oMath>
      <w:r>
        <w:rPr>
          <w:rFonts w:ascii="Cambria Math" w:hAnsi="Cambria Math" w:eastAsia="Cambria Math"/>
        </w:rPr>
        <w:t xml:space="preserve">    (4b)</w:t>
      </w:r>
    </w:p>
    <w:p w14:paraId="3A569E86">
      <w:pPr>
        <w:keepLines/>
        <w:spacing w:before="0" w:after="0" w:line="240" w:lineRule="auto"/>
        <w:jc w:val="center"/>
        <w:rPr>
          <w:sz w:val="20"/>
          <w:szCs w:val="20"/>
        </w:rPr>
      </w:pPr>
      <m:oMath>
        <m:r>
          <m:rPr>
            <m:sty m:val="p"/>
          </m:rPr>
          <m:t>φdis = |Ω|⁻¹ Σₓ∈Ω |pᴹ_v(x) − Fᵥ(x)|</m:t>
        </m:r>
      </m:oMath>
      <w:r>
        <w:rPr>
          <w:rFonts w:ascii="Cambria Math" w:hAnsi="Cambria Math" w:eastAsia="Cambria Math"/>
        </w:rPr>
        <w:t xml:space="preserve">    (4c)</w:t>
      </w:r>
    </w:p>
    <w:p w14:paraId="7E368FB7">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2.</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 level quantities so that image count could not act as a surrogate for outcome.</w:t>
      </w:r>
    </w:p>
    <w:p w14:paraId="1915789C">
      <w:pPr>
        <w:pStyle w:val="18"/>
        <w:keepNext w:val="0"/>
        <w:spacing w:before="0" w:after="100" w:line="276" w:lineRule="auto"/>
        <w:jc w:val="both"/>
      </w:pPr>
      <w:r>
        <w:rPr>
          <w:rFonts w:ascii="Times New Roman" w:hAnsi="Times New Roman" w:eastAsia="Times New Roman"/>
          <w:b w:val="0"/>
          <w:i w:val="0"/>
          <w:color w:val="000000"/>
          <w:sz w:val="24"/>
        </w:rPr>
        <w:t>Reliability was evaluated using 2,359 same 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Times New Roman" w:hAnsi="Times New Roman" w:eastAsia="Times New Roman"/>
          <w:b w:val="0"/>
          <w:i w:val="0"/>
          <w:color w:val="000000"/>
          <w:sz w:val="24"/>
        </w:rPr>
        <w:t>Reliability was used only as a label blind retention rule. For candidate phenotype j, rⱼ was fixed before any systemic outcome analysis:</w:t>
      </w:r>
    </w:p>
    <w:p w14:paraId="6C8ABDE9">
      <w:pPr>
        <w:keepLines/>
        <w:spacing w:before="0" w:after="0" w:line="240" w:lineRule="auto"/>
        <w:jc w:val="center"/>
        <w:rPr>
          <w:sz w:val="20"/>
          <w:szCs w:val="20"/>
        </w:rPr>
      </w:pPr>
      <m:oMath>
        <m:r>
          <m:rPr>
            <m:sty m:val="p"/>
          </m:rPr>
          <m:t xml:space="preserve">rⱼ = </m:t>
        </m:r>
        <m:r>
          <m:rPr>
            <m:sty m:val="p"/>
            <m:scr m:val="double-struck"/>
          </m:rPr>
          <m:t>1</m:t>
        </m:r>
        <m:r>
          <m:rPr>
            <m:sty m:val="p"/>
          </m:rPr>
          <m:t>{ICCⱼ(1,1) ≥ 0.60}.</m:t>
        </m:r>
      </m:oMath>
      <w:r>
        <w:rPr>
          <w:rFonts w:ascii="Cambria Math" w:hAnsi="Cambria Math" w:eastAsia="Cambria Math"/>
        </w:rPr>
        <w:t xml:space="preserve">    (5)</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 level ICC-gated phenotype vector and an evidence status that is independent of outcome 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 blind reliability. Compute ICC(1,1) from same 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 grouped nested cross-validation, compare clinical-only and clinical-plus-retinal models using paired patient 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Times New Roman" w:hAnsi="Times New Roman" w:eastAsia="Times New Roman"/>
          <w:b w:val="0"/>
          <w:i w:val="0"/>
          <w:color w:val="000000"/>
          <w:sz w:val="24"/>
        </w:rPr>
        <w:t>Stopping rule. A clinical biomarker claim is permitted only when measurement validity, repeatability, and clinical increment all pass their prespecified gates.</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0" w:after="0" w:line="240" w:lineRule="auto"/>
        <w:jc w:val="center"/>
        <w:rPr>
          <w:sz w:val="20"/>
          <w:szCs w:val="20"/>
        </w:rPr>
      </w:pPr>
      <m:oMath>
        <m:r>
          <m:rPr>
            <m:sty m:val="p"/>
          </m:rPr>
          <m:t>dᵢ = [yᵢ − μ̂₋ₖ(aᵢ, sᵢ)] / σ̂₋ₖ(aᵢ, sᵢ).</m:t>
        </m:r>
      </m:oMath>
      <w:r>
        <w:rPr>
          <w:rFonts w:ascii="Cambria Math" w:hAnsi="Cambria Math" w:eastAsia="Cambria Math"/>
        </w:rPr>
        <w:t xml:space="preserve">    (6)</w:t>
      </w:r>
    </w:p>
    <w:p w14:paraId="57F6AB84">
      <w:pPr>
        <w:pStyle w:val="18"/>
        <w:keepNext w:val="0"/>
        <w:spacing w:before="0" w:after="100" w:line="276" w:lineRule="auto"/>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 Figure 3 pairs real external images and masks with the prespecified disease and image-quality failure domains.</w:t>
      </w:r>
    </w:p>
    <w:p w14:paraId="68F1762E">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3. </w:t>
      </w:r>
      <w:r>
        <w:rPr>
          <w:rFonts w:hint="default" w:ascii="Times New Roman" w:hAnsi="Times New Roman" w:eastAsia="Times New Roman" w:cs="Times New Roman"/>
          <w:b w:val="0"/>
          <w:bCs/>
          <w:i w:val="0"/>
          <w:iCs/>
          <w:color w:val="000000"/>
          <w:sz w:val="24"/>
        </w:rPr>
        <w:t>Cross-domain measurement validity and failure domains. Panel A contrasts real RAV and Fundus-AVSeg photographs with frozen identity and dual-readout outputs. Panel B reports exact mean artery/vein Dice and the prespecified disease and image-quality strata that expose failure domains. The Mass-UDCT paired gain occurred in all 100 locked Fundus-AVSeg images, but it did not remove marked domain heterogeneity.</w:t>
      </w:r>
    </w:p>
    <w:p w14:paraId="178159CD">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2. </w:t>
      </w:r>
      <w:r>
        <w:rPr>
          <w:rFonts w:hint="default" w:ascii="Times New Roman" w:hAnsi="Times New Roman" w:eastAsia="Times New Roman" w:cs="Times New Roman"/>
          <w:b w:val="0"/>
          <w:bCs/>
          <w:i w:val="0"/>
          <w:iCs/>
          <w:color w:val="000000"/>
          <w:sz w:val="24"/>
        </w:rPr>
        <w:t>External measurement performance. Lower is better only for A/V ratio log error.</w:t>
      </w:r>
    </w:p>
    <w:tbl>
      <w:tblPr>
        <w:tblStyle w:val="20"/>
        <w:tblW w:w="8020" w:type="dxa"/>
        <w:jc w:val="center"/>
        <w:tblBorders>
          <w:top w:val="single" w:color="1A1A1A" w:sz="12" w:space="0"/>
          <w:left w:val="none" w:color="auto" w:sz="6" w:space="0"/>
          <w:bottom w:val="single" w:color="1A1A1A" w:sz="12" w:space="0"/>
          <w:right w:val="none" w:color="auto" w:sz="6" w:space="0"/>
          <w:insideH w:val="single" w:color="D9D9D9" w:sz="2" w:space="0"/>
          <w:insideV w:val="outset" w:color="auto" w:sz="6" w:space="0"/>
        </w:tblBorders>
        <w:shd w:val="clear"/>
        <w:tblLayout w:type="fixed"/>
        <w:tblCellMar>
          <w:top w:w="0" w:type="dxa"/>
          <w:left w:w="108" w:type="dxa"/>
          <w:bottom w:w="0" w:type="dxa"/>
          <w:right w:w="108" w:type="dxa"/>
        </w:tblCellMar>
      </w:tblPr>
      <w:tblGrid>
        <w:gridCol w:w="1123"/>
        <w:gridCol w:w="1108"/>
        <w:gridCol w:w="835"/>
        <w:gridCol w:w="835"/>
        <w:gridCol w:w="835"/>
        <w:gridCol w:w="964"/>
        <w:gridCol w:w="1123"/>
        <w:gridCol w:w="1195"/>
      </w:tblGrid>
      <w:tr w14:paraId="7D02BEA0">
        <w:trPr>
          <w:cantSplit/>
          <w:jc w:val="center"/>
        </w:trPr>
        <w:tc>
          <w:tcPr>
            <w:tcW w:w="1123"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7661BA2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Cohort</w:t>
            </w:r>
          </w:p>
        </w:tc>
        <w:tc>
          <w:tcPr>
            <w:tcW w:w="1108"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E05DEE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Readout</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41B7BBF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Vessel Dice</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476D1ED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Artery Dice</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6366FA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Vein Dice</w:t>
            </w:r>
          </w:p>
        </w:tc>
        <w:tc>
          <w:tcPr>
            <w:tcW w:w="964"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976407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Mean A/V Dice</w:t>
            </w:r>
          </w:p>
        </w:tc>
        <w:tc>
          <w:tcPr>
            <w:tcW w:w="1123"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63BE24E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Type accuracy</w:t>
            </w:r>
          </w:p>
        </w:tc>
        <w:tc>
          <w:tcPr>
            <w:tcW w:w="119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C3FBA4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A/V ratio error</w:t>
            </w:r>
          </w:p>
        </w:tc>
      </w:tr>
      <w:tr w14:paraId="1B43CB93">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509D23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RAV</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A1DA26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VascX</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1DAA43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EDF729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0.8119</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C7C17B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0.8393</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AE87B9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0.8256</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9B2D3D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0.8105</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AA072A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0.0716</w:t>
            </w:r>
          </w:p>
        </w:tc>
      </w:tr>
      <w:tr w14:paraId="7837B0C1">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6414D6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EA5A9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VascX</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02D088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0.5898</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3B89B6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0.5461</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50C4A1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0.5629</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A76241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0.5545</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061CD0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0.5057</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78371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0.0713</w:t>
            </w:r>
          </w:p>
        </w:tc>
      </w:tr>
      <w:tr w14:paraId="6A2872B6">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2F420B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E5C8A0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Mass-UDCT</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15BF58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0.6019</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3D240E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0.5553</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421A49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0.5716</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EB7438B">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0.5635</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E3E7BA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0.5328</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417ACF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0.0706</w:t>
            </w:r>
          </w:p>
        </w:tc>
      </w:tr>
      <w:tr w14:paraId="0BE87183">
        <w:trPr>
          <w:cantSplit/>
          <w:jc w:val="center"/>
        </w:trPr>
        <w:tc>
          <w:tcPr>
            <w:tcW w:w="1123"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1684BC3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6E5AA5A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Factorized-UDCT</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49D3FDA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0.5929</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36B2D677">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0.5479</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754DEB0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0.5640</w:t>
            </w:r>
          </w:p>
        </w:tc>
        <w:tc>
          <w:tcPr>
            <w:tcW w:w="964"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55CDAE5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0.5560</w:t>
            </w:r>
          </w:p>
        </w:tc>
        <w:tc>
          <w:tcPr>
            <w:tcW w:w="1123"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3576131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0.5059</w:t>
            </w:r>
          </w:p>
        </w:tc>
        <w:tc>
          <w:tcPr>
            <w:tcW w:w="119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604E08C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0.0689</w:t>
            </w:r>
          </w:p>
        </w:tc>
      </w:tr>
    </w:tbl>
    <w:p w14:paraId="36A0F564">
      <w:pPr>
        <w:spacing w:before="0" w:after="0"/>
        <w:jc w:val="both"/>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4. </w:t>
      </w:r>
      <w:r>
        <w:rPr>
          <w:rFonts w:hint="default" w:ascii="Times New Roman" w:hAnsi="Times New Roman" w:eastAsia="Times New Roman" w:cs="Times New Roman"/>
          <w:b w:val="0"/>
          <w:bCs/>
          <w:i w:val="0"/>
          <w:iCs/>
          <w:color w:val="000000"/>
          <w:sz w:val="24"/>
        </w:rPr>
        <w:t>Outcome-blind repeatability gate. Panel A shows a real same eye repeated-view pair from the publicly mirrored mBRSET subset.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3. </w:t>
      </w:r>
      <w:r>
        <w:rPr>
          <w:rFonts w:hint="default" w:ascii="Times New Roman" w:hAnsi="Times New Roman" w:eastAsia="Times New Roman" w:cs="Times New Roman"/>
          <w:b w:val="0"/>
          <w:bCs/>
          <w:i w:val="0"/>
          <w:iCs/>
          <w:color w:val="000000"/>
          <w:sz w:val="24"/>
        </w:rPr>
        <w:t>Label-blind repeated-view reliability and phenotype retention.</w:t>
      </w:r>
    </w:p>
    <w:tbl>
      <w:tblPr>
        <w:tblStyle w:val="20"/>
        <w:tblW w:w="8078" w:type="dxa"/>
        <w:jc w:val="center"/>
        <w:tblBorders>
          <w:top w:val="single" w:color="1A1A1A" w:sz="12" w:space="0"/>
          <w:left w:val="none" w:color="auto" w:sz="6" w:space="0"/>
          <w:bottom w:val="single" w:color="1A1A1A" w:sz="12" w:space="0"/>
          <w:right w:val="none" w:color="auto" w:sz="6" w:space="0"/>
          <w:insideH w:val="single" w:color="D9D9D9" w:sz="2" w:space="0"/>
          <w:insideV w:val="outset" w:color="auto" w:sz="6" w:space="0"/>
        </w:tblBorders>
        <w:shd w:val="clear"/>
        <w:tblLayout w:type="fixed"/>
        <w:tblCellMar>
          <w:top w:w="0" w:type="dxa"/>
          <w:left w:w="108" w:type="dxa"/>
          <w:bottom w:w="0" w:type="dxa"/>
          <w:right w:w="108" w:type="dxa"/>
        </w:tblCellMar>
      </w:tblPr>
      <w:tblGrid>
        <w:gridCol w:w="1555"/>
        <w:gridCol w:w="2506"/>
        <w:gridCol w:w="1007"/>
        <w:gridCol w:w="1756"/>
        <w:gridCol w:w="1252"/>
      </w:tblGrid>
      <w:tr w14:paraId="3CBF6F06">
        <w:trPr>
          <w:cantSplit/>
          <w:jc w:val="center"/>
        </w:trPr>
        <w:tc>
          <w:tcPr>
            <w:tcW w:w="155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64B5D2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Phenotype</w:t>
            </w:r>
          </w:p>
        </w:tc>
        <w:tc>
          <w:tcPr>
            <w:tcW w:w="250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6188F7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Measurement interpretation</w:t>
            </w:r>
          </w:p>
        </w:tc>
        <w:tc>
          <w:tcPr>
            <w:tcW w:w="1007"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72A19F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ICC(1,1)</w:t>
            </w:r>
          </w:p>
        </w:tc>
        <w:tc>
          <w:tcPr>
            <w:tcW w:w="1756"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63C09FE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95% CI</w:t>
            </w:r>
          </w:p>
        </w:tc>
        <w:tc>
          <w:tcPr>
            <w:tcW w:w="1252"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595CD0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Decision</w:t>
            </w:r>
          </w:p>
        </w:tc>
      </w:tr>
      <w:tr w14:paraId="2EA120AC">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BEB09E3">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Occupancy disagreement</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A62E06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Existence-readout mismatch</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97BE1C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0.811</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A52B0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0.791–0.829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137C3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231E6F23">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4604D35">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Factorized-UDCT skeleton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91A17E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Occupancy-gated geometry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428637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0.772</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4EDD53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0.752–0.789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409A24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5F9A3F57">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12340E1">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Mass-UDCT skeleton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6FCD52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Mass-preserving geometry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3DF12A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0.688</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700A31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0.665–0.710</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832A69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320BC65F">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2AAD1C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vessel mass fraction</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7CB98A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Continuous vessel support</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D6156C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0.676</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93311B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0.653–0.699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676334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169763E3">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A7A5C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 entropy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9B2A2C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 ambiguity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B2FF5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0.503</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63A4A7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0.473–0.534</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F86702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096175B2">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859B79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 branch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549E11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Topological complexity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337BF0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0.484</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4D226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0.452–0.514</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5E1B1E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19343088">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445E340">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A/V log-mass ratio</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5AAA6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identity balance</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27AA1D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0.384</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DE6E887">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0.346–0.420</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852FF1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4FF4C934">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28091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Factorized-UDCT A/V log-area ratio</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55045A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Gated identity balance</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91BC48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0.360</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07D00D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0.311–0.406</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D1F3D6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63063C11">
        <w:trPr>
          <w:cantSplit/>
          <w:jc w:val="center"/>
        </w:trPr>
        <w:tc>
          <w:tcPr>
            <w:tcW w:w="155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1FCA605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Base-to-mass disagreement</w:t>
            </w:r>
          </w:p>
        </w:tc>
        <w:tc>
          <w:tcPr>
            <w:tcW w:w="250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224D2D6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Identity-head mismatch</w:t>
            </w:r>
          </w:p>
        </w:tc>
        <w:tc>
          <w:tcPr>
            <w:tcW w:w="1007"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5A9579F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0.282</w:t>
            </w:r>
          </w:p>
        </w:tc>
        <w:tc>
          <w:tcPr>
            <w:tcW w:w="1756"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0929A56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0.237–0.328</w:t>
            </w:r>
          </w:p>
        </w:tc>
        <w:tc>
          <w:tcPr>
            <w:tcW w:w="1252"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449E219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bl>
    <w:p w14:paraId="4AFD0076">
      <w:pPr>
        <w:pStyle w:val="4"/>
        <w:keepNext/>
        <w:spacing w:before="200" w:after="120" w:line="240" w:lineRule="auto"/>
        <w:jc w:val="left"/>
        <w:rPr>
          <w:rFonts w:ascii="Times New Roman" w:hAnsi="Times New Roman" w:eastAsia="Times New Roman"/>
          <w:b/>
          <w:i w:val="0"/>
          <w:color w:val="000000"/>
          <w:sz w:val="24"/>
        </w:rP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5.</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CIMT clinical-increment experiments. Panel A presents the prespecified model sequence. Panel B reports paired MAE differences for direct fusion, conditional normative modelling, double orthogonalization, the one shot frozen validation, and the ICC-gated representation-replacement control; negative values favour the retinal model. The frozen validation preserved the direction of the development signal, but its paired confidence interval crossed zero and the accelerated-deviation classifier remained uncertain.</w:t>
      </w:r>
    </w:p>
    <w:p w14:paraId="55262C16">
      <w:pPr>
        <w:spacing w:before="0" w:after="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spacing w:before="0" w:after="100" w:line="276" w:lineRule="auto"/>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6. </w:t>
      </w:r>
      <w:r>
        <w:rPr>
          <w:rFonts w:hint="default" w:ascii="Times New Roman" w:hAnsi="Times New Roman" w:eastAsia="Times New Roman" w:cs="Times New Roman"/>
          <w:b w:val="0"/>
          <w:bCs/>
          <w:i w:val="0"/>
          <w:iCs/>
          <w:color w:val="000000"/>
          <w:sz w:val="24"/>
        </w:rPr>
        <w:t>Patient-level results, negative controls, and claim boundary. Panel A reports calibrated ICC-gated phenotype-core increments over the clinical model in exploratory mBRSET overall and sensitivity analyses; all paired 95% confidence intervals cross zero. Panel B is a 200-permutation, patient level leakage control with zero outer-fold patient overlap. Panel C separates supported measurement evidence from exploratory association and the still-missing independent high resolution outcome confirmation.</w:t>
      </w:r>
    </w:p>
    <w:p w14:paraId="34203D94">
      <w:pPr>
        <w:spacing w:before="0" w:after="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14:paraId="2F83772E">
      <w:pPr>
        <w:pStyle w:val="18"/>
        <w:keepNext w:val="0"/>
        <w:spacing w:before="0" w:after="100" w:line="276" w:lineRule="auto"/>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spacing w:before="0" w:after="100" w:line="276" w:lineRule="auto"/>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 domain measurement and four reproducible global phenotypes, while direct high 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 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Funding</w:t>
      </w:r>
    </w:p>
    <w:p w14:paraId="4F126B66">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Author contributions</w:t>
      </w:r>
    </w:p>
    <w:p w14:paraId="325001A8">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before="0" w:after="30" w:line="276" w:lineRule="auto"/>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before="0" w:after="30" w:line="276" w:lineRule="auto"/>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before="0" w:after="30" w:line="276" w:lineRule="auto"/>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before="0" w:after="30" w:line="276" w:lineRule="auto"/>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before="0" w:after="30" w:line="276" w:lineRule="auto"/>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before="0" w:after="30" w:line="276" w:lineRule="auto"/>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before="0" w:after="30" w:line="276" w:lineRule="auto"/>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3FF71DB"/>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AFBF8750"/>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0</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[Author names]</dc:creator>
  <dc:description>Reconstructed in the RegionSuff_3.2 format; equations are editable Office Math objects.</dc:description>
  <cp:keywords>retinal vasculature, digital biomarker, artery–vein segmentation, repeatability, intraclass correlation, CIMT, hypertension, nested cross-validation</cp:keywords>
  <cp:lastModifiedBy>祁涟柒子衿</cp:lastModifiedBy>
  <dcterms:modified xsi:type="dcterms:W3CDTF">2026-08-24T16:42:53Z</dcterms:modified>
  <dc:subject>Evidence-gated retinal vascular phenotyping</dc:subject>
  <dc:title>From Vessel Maps to Reproducible Phenotypes: RMDB–BiRAP for Evidence-Gated Retinal Vascular Biomarker Evaluation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6663DBE96E3380097DF48B6A7A1C6808_43</vt:lpwstr>
  </property>
</Properties>
</file>