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0" w:after="80" w:line="240" w:lineRule="auto"/>
        <w:jc w:val="left"/>
        <w:rPr>
          <w:rFonts w:ascii="Times New Roman" w:hAnsi="Times New Roman" w:eastAsia="Times New Roman"/>
          <w:b/>
          <w:i w:val="0"/>
          <w:color w:val="000000"/>
          <w:sz w:val="32"/>
        </w:rPr>
      </w:pPr>
      <w:r>
        <w:rPr>
          <w:rFonts w:ascii="Times New Roman" w:hAnsi="Times New Roman" w:eastAsia="Times New Roman"/>
          <w:b/>
          <w:i w:val="0"/>
          <w:color w:val="000000"/>
          <w:sz w:val="32"/>
        </w:rPr>
        <w:t>From Vessel Maps to Reproducible Phenotypes:</w:t>
      </w:r>
      <w:r>
        <w:rPr>
          <w:rFonts w:ascii="Times New Roman" w:hAnsi="Times New Roman" w:eastAsia="Times New Roman"/>
          <w:b/>
          <w:i w:val="0"/>
          <w:color w:val="000000"/>
          <w:sz w:val="32"/>
        </w:rPr>
        <w:br w:type="textWrapping"/>
      </w:r>
      <w:r>
        <w:rPr>
          <w:rFonts w:ascii="Times New Roman" w:hAnsi="Times New Roman" w:eastAsia="Times New Roman"/>
          <w:b/>
          <w:i w:val="0"/>
          <w:color w:val="000000"/>
          <w:sz w:val="32"/>
        </w:rPr>
        <w:t>RMDB–BiRAP for Evidence-Gated Retinal Vascular</w:t>
      </w:r>
      <w:r>
        <w:rPr>
          <w:rFonts w:ascii="Times New Roman" w:hAnsi="Times New Roman" w:eastAsia="Times New Roman"/>
          <w:b/>
          <w:i w:val="0"/>
          <w:color w:val="000000"/>
          <w:sz w:val="32"/>
        </w:rPr>
        <w:br w:type="textWrapping"/>
      </w:r>
      <w:r>
        <w:rPr>
          <w:rFonts w:ascii="Times New Roman" w:hAnsi="Times New Roman" w:eastAsia="Times New Roman"/>
          <w:b/>
          <w:i w:val="0"/>
          <w:color w:val="000000"/>
          <w:sz w:val="32"/>
        </w:rPr>
        <w:t>Biomarker Evaluation</w:t>
      </w:r>
    </w:p>
    <w:p w14:paraId="1CD1E304">
      <w:pPr>
        <w:spacing w:before="0" w:after="80" w:line="240" w:lineRule="auto"/>
        <w:jc w:val="left"/>
        <w:rPr>
          <w:rFonts w:ascii="Times New Roman" w:hAnsi="Times New Roman" w:eastAsia="Times New Roman"/>
          <w:b/>
          <w:i w:val="0"/>
          <w:color w:val="000000"/>
          <w:sz w:val="32"/>
        </w:rPr>
      </w:pPr>
    </w:p>
    <w:p w14:paraId="18464417">
      <w:pPr>
        <w:keepNext w:val="0"/>
        <w:keepLines w:val="0"/>
        <w:widowControl w:val="0"/>
        <w:suppressLineNumbers w:val="0"/>
        <w:spacing w:before="0" w:beforeAutospacing="1" w:after="8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Kaiwen Deng, Liwei Liu*</w:t>
      </w:r>
    </w:p>
    <w:p w14:paraId="61247494">
      <w:pPr>
        <w:keepNext w:val="0"/>
        <w:keepLines w:val="0"/>
        <w:widowControl w:val="0"/>
        <w:suppressLineNumbers w:val="0"/>
        <w:spacing w:before="0" w:beforeAutospacing="1" w:after="320" w:afterAutospacing="0" w:line="273" w:lineRule="auto"/>
        <w:ind w:left="0" w:right="0"/>
        <w:jc w:val="both"/>
        <w:rPr>
          <w:rFonts w:hint="default" w:ascii="Times New Roman" w:hAnsi="Times New Roman" w:cs="Times New Roman"/>
          <w:b w:val="0"/>
          <w:i w:val="0"/>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School of Railway Intelligent Engineering, Dalian Jiaotong University, Dalian, 116028, China</w:t>
      </w:r>
    </w:p>
    <w:p w14:paraId="664939B3">
      <w:pPr>
        <w:keepNext w:val="0"/>
        <w:keepLines w:val="0"/>
        <w:widowControl w:val="0"/>
        <w:suppressLineNumbers w:val="0"/>
        <w:spacing w:before="0" w:beforeAutospacing="1" w:after="320" w:afterAutospacing="0" w:line="273" w:lineRule="auto"/>
        <w:ind w:left="0" w:right="0"/>
        <w:jc w:val="both"/>
        <w:rPr>
          <w:rFonts w:hint="default" w:ascii="Times New Roman" w:hAnsi="Times New Roman" w:cs="Times New Roman"/>
          <w:b w:val="0"/>
          <w:i w:val="0"/>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 xml:space="preserve"> </w:t>
      </w:r>
    </w:p>
    <w:p w14:paraId="060C546A">
      <w:pPr>
        <w:keepNext w:val="0"/>
        <w:keepLines w:val="0"/>
        <w:widowControl w:val="0"/>
        <w:suppressLineNumbers w:val="0"/>
        <w:spacing w:before="0" w:beforeAutospacing="1" w:after="6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*Corresponding author</w:t>
      </w:r>
    </w:p>
    <w:p w14:paraId="0DA816F9">
      <w:pPr>
        <w:keepNext w:val="0"/>
        <w:keepLines w:val="0"/>
        <w:widowControl w:val="0"/>
        <w:suppressLineNumbers w:val="0"/>
        <w:spacing w:before="0" w:beforeAutospacing="1" w:after="36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bCs w:val="0"/>
          <w:i w:val="0"/>
          <w:color w:val="000000"/>
          <w:kern w:val="2"/>
          <w:sz w:val="32"/>
          <w:szCs w:val="32"/>
          <w:lang w:val="en-US" w:eastAsia="zh-CN" w:bidi="ar"/>
        </w:rPr>
        <w:t xml:space="preserve">Email: </w:t>
      </w:r>
      <w:r>
        <w:rPr>
          <w:rFonts w:hint="default" w:ascii="Times New Roman" w:hAnsi="Times New Roman" w:eastAsia="等线" w:cs="Times New Roman"/>
          <w:b w:val="0"/>
          <w:i w:val="0"/>
          <w:color w:val="000000"/>
          <w:kern w:val="2"/>
          <w:sz w:val="32"/>
          <w:szCs w:val="32"/>
          <w:lang w:val="en-US" w:eastAsia="zh-CN" w:bidi="ar"/>
        </w:rPr>
        <w:t>Liwei Liu (</w:t>
      </w:r>
      <w:r>
        <w:rPr>
          <w:rFonts w:hint="default" w:ascii="Times New Roman" w:hAnsi="Times New Roman" w:eastAsia="等线" w:cs="Times New Roman"/>
          <w:b w:val="0"/>
          <w:i w:val="0"/>
          <w:color w:val="000000"/>
          <w:kern w:val="2"/>
          <w:sz w:val="32"/>
          <w:szCs w:val="32"/>
          <w:u w:val="single"/>
          <w:lang w:val="en-US" w:eastAsia="zh-CN" w:bidi="ar"/>
        </w:rPr>
        <w:t>liutree80@163.com</w:t>
      </w:r>
      <w:r>
        <w:rPr>
          <w:rFonts w:hint="default" w:ascii="Times New Roman" w:hAnsi="Times New Roman" w:eastAsia="等线" w:cs="Times New Roman"/>
          <w:b w:val="0"/>
          <w:i w:val="0"/>
          <w:color w:val="000000"/>
          <w:kern w:val="2"/>
          <w:sz w:val="32"/>
          <w:szCs w:val="32"/>
          <w:lang w:val="en-US" w:eastAsia="zh-CN" w:bidi="ar"/>
        </w:rPr>
        <w:t>)</w:t>
      </w:r>
    </w:p>
    <w:p w14:paraId="3F9FA12F">
      <w:pPr>
        <w:pStyle w:val="3"/>
        <w:keepNext/>
        <w:spacing w:before="200" w:after="120" w:line="240" w:lineRule="auto"/>
        <w:jc w:val="left"/>
      </w:pPr>
      <w:r>
        <w:rPr>
          <w:rFonts w:ascii="Times New Roman" w:hAnsi="Times New Roman" w:eastAsia="Times New Roman"/>
          <w:b/>
          <w:i w:val="0"/>
          <w:color w:val="000000"/>
          <w:sz w:val="28"/>
        </w:rPr>
        <w:t>Abstract:</w:t>
      </w:r>
    </w:p>
    <w:p w14:paraId="43075211">
      <w:pPr>
        <w:pStyle w:val="18"/>
        <w:keepNext w:val="0"/>
        <w:spacing w:before="0" w:after="160" w:line="276" w:lineRule="auto"/>
        <w:jc w:val="both"/>
      </w:pPr>
      <w:r>
        <w:rPr>
          <w:rFonts w:ascii="Times New Roman" w:hAnsi="Times New Roman" w:eastAsia="Times New Roman"/>
          <w:b w:val="0"/>
          <w:i w:val="0"/>
          <w:color w:val="000000"/>
          <w:sz w:val="24"/>
        </w:rPr>
        <w:t>Retinal vascular artificial intelligence can produce a visually convincing vessel map without producing a credible digital biomarker. The overlooked gap is that pixel-level artery–vein segmentation does not establish the repeatability, transportability, or clinical increment of a downstream phenotype. We therefore asked whether measurements from the retinal vasculature can pass distinct evidential gates without outcome driven feature selection.</w:t>
      </w:r>
    </w:p>
    <w:p w14:paraId="500C4FDC">
      <w:pPr>
        <w:pStyle w:val="18"/>
        <w:keepNext w:val="0"/>
        <w:spacing w:before="0" w:after="160" w:line="276" w:lineRule="auto"/>
        <w:jc w:val="both"/>
      </w:pPr>
      <w:r>
        <w:t>We developed RMDB–BiRAP, an evidence-gated framework that separates vessel occupancy from artery–vein identity, forms mass-preserving and occupancy-gated readouts, and retains only phenotypes meeting a prespecified intraclass correlation threshold before outcome modelling. FIVES, RAV, Fundus-AVSeg, China Fundus–CIMT, and the publicly mirrored 224-pixel mBRSET image subset had non-overlapping roles in development, locked measurement evaluation, repeatability analysis, and patient-grouped nested cross-validation.</w:t>
      </w:r>
    </w:p>
    <w:p w14:paraId="29DB4D68">
      <w:pPr>
        <w:pStyle w:val="18"/>
        <w:keepNext w:val="0"/>
        <w:spacing w:before="0" w:after="160" w:line="276" w:lineRule="auto"/>
        <w:jc w:val="both"/>
      </w:pPr>
      <w:r>
        <w:t>Mean artery and vein Dice was 0.8256 on RAV. In locked Fundus-AVSeg evaluation, mass preservation increased mean artery and vein Dice from 0.5545 to 0.5635 (paired difference 0.0090, 95% confidence interval 0.0079 to 0.0101), although diabetic retinopathy and low-quality images remained failure domains. Across 2,359 same-eye repeat pairs, four of nine prespecified phenotypes reached ICC(1,1) ≥ 0.60. Direct fusion of 104 variables worsened CIMT prediction. In exploratory hypertension analysis, the repeatability-gated core did not improve discrimination or Brier score in calibrated mBRSET models (ΔAUROC 0.00188, 95% confidence interval −0.00588 to 0.00942); permutation controls showed no leakage signal.</w:t>
      </w:r>
    </w:p>
    <w:p w14:paraId="614A0EB4">
      <w:pPr>
        <w:pStyle w:val="18"/>
        <w:keepNext w:val="0"/>
        <w:spacing w:before="0" w:after="160" w:line="276" w:lineRule="auto"/>
        <w:jc w:val="both"/>
      </w:pPr>
      <w:r>
        <w:t>Pixel accuracy, phenotype repeatability, cross-domain measurement, and clinical increment are separate evidential claims. RMDB–BiRAP yields four reproducible retinal phenotypes and an auditable stopping point: independent high-resolution clinical outcome confirmation remains required.</w:t>
      </w:r>
    </w:p>
    <w:p w14:paraId="38EDC644">
      <w:pPr>
        <w:pStyle w:val="18"/>
        <w:keepNext w:val="0"/>
        <w:spacing w:before="0" w:after="100" w:line="276" w:lineRule="auto"/>
        <w:jc w:val="both"/>
      </w:pPr>
      <w:r>
        <w:rPr>
          <w:rFonts w:ascii="Times New Roman" w:hAnsi="Times New Roman" w:eastAsia="Times New Roman"/>
          <w:b/>
          <w:i w:val="0"/>
          <w:color w:val="000000"/>
          <w:sz w:val="24"/>
        </w:rPr>
        <w:t>Keywords: retinal vasculature; digital biomarker; artery–vein segmentation; repeatability; intraclass correlation; CIMT; hypertension; nested cross-validation</w:t>
      </w:r>
    </w:p>
    <w:p w14:paraId="4D08B854">
      <w:pPr>
        <w:pStyle w:val="3"/>
        <w:keepNext/>
        <w:spacing w:before="200" w:after="120" w:line="240" w:lineRule="auto"/>
        <w:jc w:val="left"/>
      </w:pPr>
      <w:r>
        <w:rPr>
          <w:rFonts w:ascii="Times New Roman" w:hAnsi="Times New Roman" w:eastAsia="Times New Roman"/>
          <w:b/>
          <w:i w:val="0"/>
          <w:color w:val="000000"/>
          <w:sz w:val="28"/>
        </w:rPr>
        <w:t>1. Introduction</w:t>
      </w:r>
    </w:p>
    <w:p w14:paraId="55D97AA7">
      <w:pPr>
        <w:pStyle w:val="18"/>
        <w:keepNext w:val="0"/>
        <w:spacing w:before="0" w:after="100" w:line="276" w:lineRule="auto"/>
        <w:jc w:val="both"/>
      </w:pPr>
      <w:r>
        <w:rPr>
          <w:rFonts w:ascii="Times New Roman" w:hAnsi="Times New Roman" w:eastAsia="Times New Roman"/>
          <w:b w:val="0"/>
          <w:i w:val="0"/>
          <w:color w:val="000000"/>
          <w:sz w:val="24"/>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pStyle w:val="18"/>
        <w:keepNext w:val="0"/>
        <w:spacing w:before="0" w:after="100" w:line="276" w:lineRule="auto"/>
        <w:jc w:val="both"/>
      </w:pPr>
      <w:r>
        <w:rPr>
          <w:rFonts w:ascii="Times New Roman" w:hAnsi="Times New Roman" w:eastAsia="Times New Roman"/>
          <w:b w:val="0"/>
          <w:i w:val="0"/>
          <w:color w:val="000000"/>
          <w:sz w:val="24"/>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 level phenotype.</w:t>
      </w:r>
    </w:p>
    <w:p w14:paraId="53513D17">
      <w:pPr>
        <w:pStyle w:val="18"/>
        <w:keepNext w:val="0"/>
        <w:spacing w:before="0" w:after="100" w:line="276" w:lineRule="auto"/>
        <w:jc w:val="both"/>
      </w:pPr>
      <w:r>
        <w:rPr>
          <w:rFonts w:ascii="Times New Roman" w:hAnsi="Times New Roman" w:eastAsia="Times New Roman"/>
          <w:b w:val="0"/>
          <w:i w:val="0"/>
          <w:color w:val="000000"/>
          <w:sz w:val="24"/>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pStyle w:val="18"/>
        <w:keepNext w:val="0"/>
        <w:spacing w:before="0" w:after="100" w:line="276" w:lineRule="auto"/>
        <w:jc w:val="both"/>
      </w:pPr>
      <w:r>
        <w:rPr>
          <w:rFonts w:ascii="Times New Roman" w:hAnsi="Times New Roman" w:eastAsia="Times New Roman"/>
          <w:b w:val="0"/>
          <w:i w:val="0"/>
          <w:color w:val="000000"/>
          <w:sz w:val="24"/>
        </w:rPr>
        <w:t>We therefore organized the study around three gates that cannot substitute for one another: cross domain measurement validity, outcome-blind same eye repeatability, and incremental patient level utility beyond clinical covariates. RMDB–BiRAP separates occupancy from identity, creates complementary mass-preserving and factorized vascular readouts, and retains phenotypes by repeated-view reliability before any systemic outcome is used.</w:t>
      </w:r>
    </w:p>
    <w:p w14:paraId="0C30E235">
      <w:pPr>
        <w:pStyle w:val="18"/>
        <w:keepNext w:val="0"/>
        <w:spacing w:before="0" w:after="100" w:line="276" w:lineRule="auto"/>
        <w:jc w:val="both"/>
      </w:pPr>
      <w:r>
        <w:rPr>
          <w:rFonts w:ascii="Times New Roman" w:hAnsi="Times New Roman" w:eastAsia="Times New Roman"/>
          <w:b w:val="0"/>
          <w:i w:val="0"/>
          <w:color w:val="000000"/>
          <w:sz w:val="24"/>
        </w:rPr>
        <w:t>The contribution is deliberately falsifiable. We report where the evidence survives—external measurement transfer and four reproducible global phenotypes—and where it stops: direct high dimensional fusion, uncertainty-by-disagreement, substitution of the E10A representation with the ICC-gated phenotype core,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1. </w:t>
      </w:r>
      <w:r>
        <w:rPr>
          <w:rFonts w:hint="default" w:ascii="Times New Roman" w:hAnsi="Times New Roman" w:eastAsia="Times New Roman" w:cs="Times New Roman"/>
          <w:b w:val="0"/>
          <w:bCs/>
          <w:i w:val="0"/>
          <w:iCs/>
          <w:color w:val="000000"/>
          <w:sz w:val="24"/>
        </w:rPr>
        <w:t>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ICC-gated phenotype core is fixed before outcome access. The publicly mirrored 224-pixel mBRSET subset supports external mechanism analysis with internal patient level cross-validation, not independent high resolution confirmation.</w:t>
      </w:r>
    </w:p>
    <w:p w14:paraId="6B1B8A75">
      <w:pPr>
        <w:pStyle w:val="3"/>
        <w:keepNext/>
        <w:spacing w:before="200" w:after="120" w:line="240" w:lineRule="auto"/>
        <w:jc w:val="left"/>
      </w:pPr>
      <w:r>
        <w:rPr>
          <w:rFonts w:ascii="Times New Roman" w:hAnsi="Times New Roman" w:eastAsia="Times New Roman"/>
          <w:b/>
          <w:i w:val="0"/>
          <w:color w:val="000000"/>
          <w:sz w:val="28"/>
        </w:rPr>
        <w:t>2. Materials and methods</w:t>
      </w:r>
    </w:p>
    <w:p w14:paraId="3383C4AF">
      <w:pPr>
        <w:pStyle w:val="4"/>
        <w:keepNext/>
        <w:spacing w:before="200" w:after="120" w:line="240" w:lineRule="auto"/>
        <w:jc w:val="left"/>
      </w:pPr>
      <w:r>
        <w:rPr>
          <w:rFonts w:ascii="Times New Roman" w:hAnsi="Times New Roman" w:eastAsia="Times New Roman"/>
          <w:b/>
          <w:i w:val="0"/>
          <w:color w:val="000000"/>
          <w:sz w:val="24"/>
        </w:rPr>
        <w:t>2.1 Study cohorts and evidence roles</w:t>
      </w:r>
    </w:p>
    <w:p w14:paraId="5D68E43B">
      <w:pPr>
        <w:pStyle w:val="18"/>
        <w:keepNext w:val="0"/>
        <w:spacing w:before="0" w:after="100" w:line="276" w:lineRule="auto"/>
        <w:jc w:val="both"/>
      </w:pPr>
      <w:r>
        <w:rPr>
          <w:rFonts w:ascii="Times New Roman" w:hAnsi="Times New Roman" w:eastAsia="Times New Roman"/>
          <w:b w:val="0"/>
          <w:i w:val="0"/>
          <w:color w:val="000000"/>
          <w:sz w:val="24"/>
        </w:rPr>
        <w:t>Five data resources had non-overlapping roles before analysis (Table 1). FIVES [13] provided occupancy supervision. RAV [14] and Fundus-AVSeg [15] supplied artery–vein references for cross domain measurement audits. China Fundus–CIMT supplied paired bilateral fundus photographs, age, sex, and CIMT for a separate normative-deviation analysis. The publicly mirrored 224-pixel mBRSET image subset [16], linked to public mBRSET metadata, provided 4,884 images from 1,287 indexed participants and 2,359 same eye repeat pairs for outcome-blind repeatability screening and exploratory patient level analyses. It was not used as independent high resolution clinical confirmation. No outcome label was used to select the phenotype core.</w:t>
      </w:r>
    </w:p>
    <w:p w14:paraId="031B33EF">
      <w:pPr>
        <w:pStyle w:val="18"/>
        <w:keepNext w:val="0"/>
        <w:spacing w:before="0" w:after="100" w:line="276" w:lineRule="auto"/>
        <w:jc w:val="both"/>
      </w:pPr>
      <w:r>
        <w:rPr>
          <w:rFonts w:ascii="Times New Roman" w:hAnsi="Times New Roman" w:eastAsia="Times New Roman"/>
          <w:b w:val="0"/>
          <w:i w:val="0"/>
          <w:color w:val="000000"/>
          <w:sz w:val="24"/>
        </w:rPr>
        <w:t>Cohort isolation was treated as part of the method. Pixel labels from RAV and Fundus-AVSeg never entered patient level outcome models. The 2,603-participant China Fundus–CIMT development split supported method development; the 200-participant frozen validation split was not reused for feature search, threshold setting, model selection, or post hoc tuning. No CIMT fixed test data were read or evaluated in this reconstruction. The publicly mirrored mBRSET subset was used only after the phenotype core and reliability threshold had been fixed, and its patient level association analyses are explicitly exploratory.</w:t>
      </w:r>
    </w:p>
    <w:p w14:paraId="41B4DA4F">
      <w:pPr>
        <w:spacing w:before="0" w:after="0"/>
        <w:jc w:val="center"/>
      </w:pPr>
      <w:r>
        <w:br w:type="page"/>
      </w:r>
    </w:p>
    <w:p w14:paraId="490E8B35">
      <w:pPr>
        <w:keepNext/>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Table 1.</w:t>
      </w:r>
      <w:r>
        <w:rPr>
          <w:rFonts w:ascii="Times New Roman" w:hAnsi="Times New Roman" w:eastAsia="Times New Roman"/>
          <w:b/>
          <w:i/>
          <w:color w:val="000000"/>
          <w:sz w:val="24"/>
        </w:rPr>
        <w:t xml:space="preserve"> </w:t>
      </w:r>
      <w:r>
        <w:rPr>
          <w:rFonts w:hint="default" w:ascii="Times New Roman" w:hAnsi="Times New Roman" w:eastAsia="Times New Roman" w:cs="Times New Roman"/>
          <w:b w:val="0"/>
          <w:bCs/>
          <w:i w:val="0"/>
          <w:iCs/>
          <w:color w:val="000000"/>
          <w:sz w:val="24"/>
        </w:rPr>
        <w:t>Cohorts, labels, and prespecified analytical roles.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460"/>
        <w:gridCol w:w="1464"/>
        <w:gridCol w:w="1992"/>
        <w:gridCol w:w="20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before="0" w:after="0" w:line="240" w:lineRule="auto"/>
              <w:jc w:val="center"/>
            </w:pPr>
            <w:r>
              <w:rPr>
                <w:rFonts w:ascii="Times New Roman" w:hAnsi="Times New Roman" w:eastAsia="Times New Roman"/>
                <w:b/>
                <w:i w:val="0"/>
                <w:color w:val="000000"/>
                <w:sz w:val="21"/>
              </w:rPr>
              <w:t>Cohort</w:t>
            </w:r>
          </w:p>
        </w:tc>
        <w:tc>
          <w:tcPr>
            <w:tcW w:w="1757" w:type="dxa"/>
            <w:shd w:val="clear" w:color="auto" w:fill="48345F"/>
            <w:tcMar>
              <w:top w:w="75" w:type="dxa"/>
              <w:left w:w="85" w:type="dxa"/>
              <w:bottom w:w="75" w:type="dxa"/>
              <w:right w:w="85" w:type="dxa"/>
            </w:tcMar>
            <w:vAlign w:val="center"/>
          </w:tcPr>
          <w:p w14:paraId="59EF1E86">
            <w:pPr>
              <w:spacing w:before="0" w:after="0" w:line="240" w:lineRule="auto"/>
              <w:jc w:val="center"/>
            </w:pPr>
            <w:r>
              <w:rPr>
                <w:rFonts w:ascii="Times New Roman" w:hAnsi="Times New Roman" w:eastAsia="Times New Roman"/>
                <w:b/>
                <w:i w:val="0"/>
                <w:color w:val="000000"/>
                <w:sz w:val="21"/>
              </w:rPr>
              <w:t>Scale</w:t>
            </w:r>
          </w:p>
        </w:tc>
        <w:tc>
          <w:tcPr>
            <w:tcW w:w="2102" w:type="dxa"/>
            <w:shd w:val="clear" w:color="auto" w:fill="48345F"/>
            <w:tcMar>
              <w:top w:w="75" w:type="dxa"/>
              <w:left w:w="85" w:type="dxa"/>
              <w:bottom w:w="75" w:type="dxa"/>
              <w:right w:w="85" w:type="dxa"/>
            </w:tcMar>
            <w:vAlign w:val="center"/>
          </w:tcPr>
          <w:p w14:paraId="62E76077">
            <w:pPr>
              <w:spacing w:before="0" w:after="0" w:line="240" w:lineRule="auto"/>
              <w:jc w:val="center"/>
            </w:pPr>
            <w:r>
              <w:rPr>
                <w:rFonts w:ascii="Times New Roman" w:hAnsi="Times New Roman" w:eastAsia="Times New Roman"/>
                <w:b/>
                <w:i w:val="0"/>
                <w:color w:val="000000"/>
                <w:sz w:val="21"/>
              </w:rPr>
              <w:t>Available labels</w:t>
            </w:r>
          </w:p>
        </w:tc>
        <w:tc>
          <w:tcPr>
            <w:tcW w:w="2045" w:type="dxa"/>
            <w:shd w:val="clear" w:color="auto" w:fill="48345F"/>
            <w:tcMar>
              <w:top w:w="75" w:type="dxa"/>
              <w:left w:w="85" w:type="dxa"/>
              <w:bottom w:w="75" w:type="dxa"/>
              <w:right w:w="85" w:type="dxa"/>
            </w:tcMar>
            <w:vAlign w:val="center"/>
          </w:tcPr>
          <w:p w14:paraId="1FDFFBC9">
            <w:pPr>
              <w:spacing w:before="0" w:after="0" w:line="240" w:lineRule="auto"/>
              <w:jc w:val="center"/>
            </w:pPr>
            <w:r>
              <w:rPr>
                <w:rFonts w:ascii="Times New Roman" w:hAnsi="Times New Roman" w:eastAsia="Times New Roman"/>
                <w:b/>
                <w:i w:val="0"/>
                <w:color w:val="000000"/>
                <w:sz w:val="21"/>
              </w:rPr>
              <w:t>Prespecified role</w:t>
            </w:r>
          </w:p>
        </w:tc>
        <w:tc>
          <w:tcPr>
            <w:tcW w:w="1728" w:type="dxa"/>
            <w:shd w:val="clear" w:color="auto" w:fill="48345F"/>
            <w:tcMar>
              <w:top w:w="75" w:type="dxa"/>
              <w:left w:w="85" w:type="dxa"/>
              <w:bottom w:w="75" w:type="dxa"/>
              <w:right w:w="85" w:type="dxa"/>
            </w:tcMar>
            <w:vAlign w:val="center"/>
          </w:tcPr>
          <w:p w14:paraId="7C98101F">
            <w:pPr>
              <w:spacing w:before="0" w:after="0" w:line="240" w:lineRule="auto"/>
              <w:jc w:val="center"/>
            </w:pPr>
            <w:r>
              <w:rPr>
                <w:rFonts w:ascii="Times New Roman" w:hAnsi="Times New Roman" w:eastAsia="Times New Roman"/>
                <w:b/>
                <w:i w:val="0"/>
                <w:color w:val="000000"/>
                <w:sz w:val="21"/>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before="0" w:after="0" w:line="240" w:lineRule="auto"/>
              <w:jc w:val="left"/>
            </w:pPr>
            <w:r>
              <w:rPr>
                <w:rFonts w:ascii="Times New Roman" w:hAnsi="Times New Roman" w:eastAsia="Times New Roman"/>
                <w:b w:val="0"/>
                <w:i w:val="0"/>
                <w:color w:val="000000"/>
                <w:sz w:val="21"/>
              </w:rPr>
              <w:t>FIVES</w:t>
            </w:r>
          </w:p>
        </w:tc>
        <w:tc>
          <w:tcPr>
            <w:tcW w:w="1757" w:type="dxa"/>
            <w:shd w:val="clear" w:color="auto" w:fill="F3EDF9"/>
            <w:tcMar>
              <w:top w:w="75" w:type="dxa"/>
              <w:left w:w="85" w:type="dxa"/>
              <w:bottom w:w="75" w:type="dxa"/>
              <w:right w:w="85" w:type="dxa"/>
            </w:tcMar>
            <w:vAlign w:val="center"/>
          </w:tcPr>
          <w:p w14:paraId="690DE60E">
            <w:pPr>
              <w:spacing w:before="0" w:after="0" w:line="240" w:lineRule="auto"/>
              <w:jc w:val="left"/>
            </w:pPr>
            <w:r>
              <w:rPr>
                <w:rFonts w:ascii="Times New Roman" w:hAnsi="Times New Roman" w:eastAsia="Times New Roman"/>
                <w:b w:val="0"/>
                <w:i w:val="0"/>
                <w:color w:val="000000"/>
                <w:sz w:val="21"/>
              </w:rPr>
              <w:t>800 images (600 train/200 test)</w:t>
            </w:r>
          </w:p>
        </w:tc>
        <w:tc>
          <w:tcPr>
            <w:tcW w:w="2102" w:type="dxa"/>
            <w:shd w:val="clear" w:color="auto" w:fill="F3EDF9"/>
            <w:tcMar>
              <w:top w:w="75" w:type="dxa"/>
              <w:left w:w="85" w:type="dxa"/>
              <w:bottom w:w="75" w:type="dxa"/>
              <w:right w:w="85" w:type="dxa"/>
            </w:tcMar>
            <w:vAlign w:val="center"/>
          </w:tcPr>
          <w:p w14:paraId="62326D32">
            <w:pPr>
              <w:spacing w:before="0" w:after="0" w:line="240" w:lineRule="auto"/>
              <w:jc w:val="left"/>
            </w:pPr>
            <w:r>
              <w:rPr>
                <w:rFonts w:ascii="Times New Roman" w:hAnsi="Times New Roman" w:eastAsia="Times New Roman"/>
                <w:b w:val="0"/>
                <w:i w:val="0"/>
                <w:color w:val="000000"/>
                <w:sz w:val="21"/>
              </w:rPr>
              <w:t>Binary vessel mask</w:t>
            </w:r>
          </w:p>
        </w:tc>
        <w:tc>
          <w:tcPr>
            <w:tcW w:w="2045" w:type="dxa"/>
            <w:shd w:val="clear" w:color="auto" w:fill="F3EDF9"/>
            <w:tcMar>
              <w:top w:w="75" w:type="dxa"/>
              <w:left w:w="85" w:type="dxa"/>
              <w:bottom w:w="75" w:type="dxa"/>
              <w:right w:w="85" w:type="dxa"/>
            </w:tcMar>
            <w:vAlign w:val="center"/>
          </w:tcPr>
          <w:p w14:paraId="032B6CD6">
            <w:pPr>
              <w:spacing w:before="0" w:after="0" w:line="240" w:lineRule="auto"/>
              <w:jc w:val="left"/>
            </w:pPr>
            <w:r>
              <w:rPr>
                <w:rFonts w:ascii="Times New Roman" w:hAnsi="Times New Roman" w:eastAsia="Times New Roman"/>
                <w:b w:val="0"/>
                <w:i w:val="0"/>
                <w:color w:val="000000"/>
                <w:sz w:val="21"/>
              </w:rPr>
              <w:t>Occupancy-estimator source</w:t>
            </w:r>
          </w:p>
        </w:tc>
        <w:tc>
          <w:tcPr>
            <w:tcW w:w="1728" w:type="dxa"/>
            <w:shd w:val="clear" w:color="auto" w:fill="F3EDF9"/>
            <w:tcMar>
              <w:top w:w="75" w:type="dxa"/>
              <w:left w:w="85" w:type="dxa"/>
              <w:bottom w:w="75" w:type="dxa"/>
              <w:right w:w="85" w:type="dxa"/>
            </w:tcMar>
            <w:vAlign w:val="center"/>
          </w:tcPr>
          <w:p w14:paraId="6005B40A">
            <w:pPr>
              <w:spacing w:before="0" w:after="0" w:line="240" w:lineRule="auto"/>
              <w:jc w:val="left"/>
            </w:pPr>
            <w:r>
              <w:rPr>
                <w:rFonts w:ascii="Times New Roman" w:hAnsi="Times New Roman" w:eastAsia="Times New Roman"/>
                <w:b w:val="0"/>
                <w:i w:val="0"/>
                <w:color w:val="000000"/>
                <w:sz w:val="21"/>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before="0" w:after="0" w:line="240" w:lineRule="auto"/>
              <w:jc w:val="left"/>
            </w:pPr>
            <w:r>
              <w:rPr>
                <w:rFonts w:ascii="Times New Roman" w:hAnsi="Times New Roman" w:eastAsia="Times New Roman"/>
                <w:b w:val="0"/>
                <w:i w:val="0"/>
                <w:color w:val="000000"/>
                <w:sz w:val="21"/>
              </w:rPr>
              <w:t>RAV</w:t>
            </w:r>
          </w:p>
        </w:tc>
        <w:tc>
          <w:tcPr>
            <w:tcW w:w="1757" w:type="dxa"/>
            <w:shd w:val="clear" w:color="auto" w:fill="FFFFFF"/>
            <w:tcMar>
              <w:top w:w="75" w:type="dxa"/>
              <w:left w:w="85" w:type="dxa"/>
              <w:bottom w:w="75" w:type="dxa"/>
              <w:right w:w="85" w:type="dxa"/>
            </w:tcMar>
            <w:vAlign w:val="center"/>
          </w:tcPr>
          <w:p w14:paraId="3713839B">
            <w:pPr>
              <w:spacing w:before="0" w:after="0" w:line="240" w:lineRule="auto"/>
              <w:jc w:val="left"/>
            </w:pPr>
            <w:r>
              <w:rPr>
                <w:rFonts w:ascii="Times New Roman" w:hAnsi="Times New Roman" w:eastAsia="Times New Roman"/>
                <w:b w:val="0"/>
                <w:i w:val="0"/>
                <w:color w:val="000000"/>
                <w:sz w:val="21"/>
              </w:rPr>
              <w:t>206 images</w:t>
            </w:r>
          </w:p>
        </w:tc>
        <w:tc>
          <w:tcPr>
            <w:tcW w:w="2102" w:type="dxa"/>
            <w:shd w:val="clear" w:color="auto" w:fill="FFFFFF"/>
            <w:tcMar>
              <w:top w:w="75" w:type="dxa"/>
              <w:left w:w="85" w:type="dxa"/>
              <w:bottom w:w="75" w:type="dxa"/>
              <w:right w:w="85" w:type="dxa"/>
            </w:tcMar>
            <w:vAlign w:val="center"/>
          </w:tcPr>
          <w:p w14:paraId="297CAE94">
            <w:pPr>
              <w:spacing w:before="0" w:after="0" w:line="240" w:lineRule="auto"/>
              <w:jc w:val="left"/>
            </w:pPr>
            <w:r>
              <w:rPr>
                <w:rFonts w:ascii="Times New Roman" w:hAnsi="Times New Roman" w:eastAsia="Times New Roman"/>
                <w:b w:val="0"/>
                <w:i w:val="0"/>
                <w:color w:val="000000"/>
                <w:sz w:val="21"/>
              </w:rPr>
              <w:t>Artery and vein masks</w:t>
            </w:r>
          </w:p>
        </w:tc>
        <w:tc>
          <w:tcPr>
            <w:tcW w:w="2045" w:type="dxa"/>
            <w:shd w:val="clear" w:color="auto" w:fill="FFFFFF"/>
            <w:tcMar>
              <w:top w:w="75" w:type="dxa"/>
              <w:left w:w="85" w:type="dxa"/>
              <w:bottom w:w="75" w:type="dxa"/>
              <w:right w:w="85" w:type="dxa"/>
            </w:tcMar>
            <w:vAlign w:val="center"/>
          </w:tcPr>
          <w:p w14:paraId="70A1F754">
            <w:pPr>
              <w:spacing w:before="0" w:after="0" w:line="240" w:lineRule="auto"/>
              <w:jc w:val="left"/>
            </w:pPr>
            <w:r>
              <w:rPr>
                <w:rFonts w:ascii="Times New Roman" w:hAnsi="Times New Roman" w:eastAsia="Times New Roman"/>
                <w:b w:val="0"/>
                <w:i w:val="0"/>
                <w:color w:val="000000"/>
                <w:sz w:val="21"/>
              </w:rPr>
              <w:t>Cross-domain identity audit</w:t>
            </w:r>
          </w:p>
        </w:tc>
        <w:tc>
          <w:tcPr>
            <w:tcW w:w="1728" w:type="dxa"/>
            <w:shd w:val="clear" w:color="auto" w:fill="FFFFFF"/>
            <w:tcMar>
              <w:top w:w="75" w:type="dxa"/>
              <w:left w:w="85" w:type="dxa"/>
              <w:bottom w:w="75" w:type="dxa"/>
              <w:right w:w="85" w:type="dxa"/>
            </w:tcMar>
            <w:vAlign w:val="center"/>
          </w:tcPr>
          <w:p w14:paraId="2BC75D3C">
            <w:pPr>
              <w:spacing w:before="0" w:after="0" w:line="240" w:lineRule="auto"/>
              <w:jc w:val="left"/>
            </w:pPr>
            <w:r>
              <w:rPr>
                <w:rFonts w:ascii="Times New Roman" w:hAnsi="Times New Roman" w:eastAsia="Times New Roman"/>
                <w:b w:val="0"/>
                <w:i w:val="0"/>
                <w:color w:val="000000"/>
                <w:sz w:val="21"/>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before="0" w:after="0" w:line="240" w:lineRule="auto"/>
              <w:jc w:val="left"/>
            </w:pPr>
            <w:r>
              <w:rPr>
                <w:rFonts w:ascii="Times New Roman" w:hAnsi="Times New Roman" w:eastAsia="Times New Roman"/>
                <w:b w:val="0"/>
                <w:i w:val="0"/>
                <w:color w:val="000000"/>
                <w:sz w:val="21"/>
              </w:rPr>
              <w:t>Fundus-AVSeg</w:t>
            </w:r>
          </w:p>
        </w:tc>
        <w:tc>
          <w:tcPr>
            <w:tcW w:w="1757" w:type="dxa"/>
            <w:shd w:val="clear" w:color="auto" w:fill="F3EDF9"/>
            <w:tcMar>
              <w:top w:w="75" w:type="dxa"/>
              <w:left w:w="85" w:type="dxa"/>
              <w:bottom w:w="75" w:type="dxa"/>
              <w:right w:w="85" w:type="dxa"/>
            </w:tcMar>
            <w:vAlign w:val="center"/>
          </w:tcPr>
          <w:p w14:paraId="0CC90B45">
            <w:pPr>
              <w:spacing w:before="0" w:after="0" w:line="240" w:lineRule="auto"/>
              <w:jc w:val="left"/>
            </w:pPr>
            <w:r>
              <w:rPr>
                <w:rFonts w:ascii="Times New Roman" w:hAnsi="Times New Roman" w:eastAsia="Times New Roman"/>
                <w:b w:val="0"/>
                <w:i w:val="0"/>
                <w:color w:val="000000"/>
                <w:sz w:val="21"/>
              </w:rPr>
              <w:t>100 images</w:t>
            </w:r>
          </w:p>
        </w:tc>
        <w:tc>
          <w:tcPr>
            <w:tcW w:w="2102" w:type="dxa"/>
            <w:shd w:val="clear" w:color="auto" w:fill="F3EDF9"/>
            <w:tcMar>
              <w:top w:w="75" w:type="dxa"/>
              <w:left w:w="85" w:type="dxa"/>
              <w:bottom w:w="75" w:type="dxa"/>
              <w:right w:w="85" w:type="dxa"/>
            </w:tcMar>
            <w:vAlign w:val="center"/>
          </w:tcPr>
          <w:p w14:paraId="4F656476">
            <w:pPr>
              <w:spacing w:before="0" w:after="0" w:line="240" w:lineRule="auto"/>
              <w:jc w:val="left"/>
            </w:pPr>
            <w:r>
              <w:rPr>
                <w:rFonts w:ascii="Times New Roman" w:hAnsi="Times New Roman" w:eastAsia="Times New Roman"/>
                <w:b w:val="0"/>
                <w:i w:val="0"/>
                <w:color w:val="000000"/>
                <w:sz w:val="21"/>
              </w:rPr>
              <w:t>Vessel/A/V masks; disease; quality</w:t>
            </w:r>
          </w:p>
        </w:tc>
        <w:tc>
          <w:tcPr>
            <w:tcW w:w="2045" w:type="dxa"/>
            <w:shd w:val="clear" w:color="auto" w:fill="F3EDF9"/>
            <w:tcMar>
              <w:top w:w="75" w:type="dxa"/>
              <w:left w:w="85" w:type="dxa"/>
              <w:bottom w:w="75" w:type="dxa"/>
              <w:right w:w="85" w:type="dxa"/>
            </w:tcMar>
            <w:vAlign w:val="center"/>
          </w:tcPr>
          <w:p w14:paraId="3EBFD142">
            <w:pPr>
              <w:spacing w:before="0" w:after="0" w:line="240" w:lineRule="auto"/>
              <w:jc w:val="left"/>
            </w:pPr>
            <w:r>
              <w:rPr>
                <w:rFonts w:ascii="Times New Roman" w:hAnsi="Times New Roman" w:eastAsia="Times New Roman"/>
                <w:b w:val="0"/>
                <w:i w:val="0"/>
                <w:color w:val="000000"/>
                <w:sz w:val="21"/>
              </w:rPr>
              <w:t>Locked zero tuning validation</w:t>
            </w:r>
          </w:p>
        </w:tc>
        <w:tc>
          <w:tcPr>
            <w:tcW w:w="1728" w:type="dxa"/>
            <w:shd w:val="clear" w:color="auto" w:fill="F3EDF9"/>
            <w:tcMar>
              <w:top w:w="75" w:type="dxa"/>
              <w:left w:w="85" w:type="dxa"/>
              <w:bottom w:w="75" w:type="dxa"/>
              <w:right w:w="85" w:type="dxa"/>
            </w:tcMar>
            <w:vAlign w:val="center"/>
          </w:tcPr>
          <w:p w14:paraId="1DB6984F">
            <w:pPr>
              <w:spacing w:before="0" w:after="0" w:line="240" w:lineRule="auto"/>
              <w:jc w:val="left"/>
            </w:pPr>
            <w:r>
              <w:rPr>
                <w:rFonts w:ascii="Times New Roman" w:hAnsi="Times New Roman" w:eastAsia="Times New Roman"/>
                <w:b w:val="0"/>
                <w:i w:val="0"/>
                <w:color w:val="000000"/>
                <w:sz w:val="21"/>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before="0" w:after="0" w:line="240" w:lineRule="auto"/>
              <w:jc w:val="left"/>
            </w:pPr>
            <w:r>
              <w:rPr>
                <w:rFonts w:ascii="Times New Roman" w:hAnsi="Times New Roman" w:eastAsia="Times New Roman"/>
                <w:b w:val="0"/>
                <w:i w:val="0"/>
                <w:color w:val="000000"/>
                <w:sz w:val="21"/>
              </w:rPr>
              <w:t>China Fundus–CIMT</w:t>
            </w:r>
          </w:p>
        </w:tc>
        <w:tc>
          <w:tcPr>
            <w:tcW w:w="1757" w:type="dxa"/>
            <w:shd w:val="clear" w:color="auto" w:fill="FFFFFF"/>
            <w:tcMar>
              <w:top w:w="75" w:type="dxa"/>
              <w:left w:w="85" w:type="dxa"/>
              <w:bottom w:w="75" w:type="dxa"/>
              <w:right w:w="85" w:type="dxa"/>
            </w:tcMar>
            <w:vAlign w:val="center"/>
          </w:tcPr>
          <w:p w14:paraId="091BC330">
            <w:pPr>
              <w:spacing w:before="0" w:after="0" w:line="240" w:lineRule="auto"/>
              <w:jc w:val="left"/>
            </w:pPr>
            <w:r>
              <w:rPr>
                <w:rFonts w:ascii="Times New Roman" w:hAnsi="Times New Roman" w:eastAsia="Times New Roman"/>
                <w:b w:val="0"/>
                <w:i w:val="0"/>
                <w:color w:val="000000"/>
                <w:sz w:val="21"/>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before="0" w:after="0" w:line="240" w:lineRule="auto"/>
              <w:jc w:val="left"/>
            </w:pPr>
            <w:r>
              <w:rPr>
                <w:rFonts w:ascii="Times New Roman" w:hAnsi="Times New Roman" w:eastAsia="Times New Roman"/>
                <w:b w:val="0"/>
                <w:i w:val="0"/>
                <w:color w:val="000000"/>
                <w:sz w:val="21"/>
              </w:rPr>
              <w:t>Age, sex, bilateral fundus, CIMT</w:t>
            </w:r>
          </w:p>
        </w:tc>
        <w:tc>
          <w:tcPr>
            <w:tcW w:w="2045" w:type="dxa"/>
            <w:shd w:val="clear" w:color="auto" w:fill="FFFFFF"/>
            <w:tcMar>
              <w:top w:w="75" w:type="dxa"/>
              <w:left w:w="85" w:type="dxa"/>
              <w:bottom w:w="75" w:type="dxa"/>
              <w:right w:w="85" w:type="dxa"/>
            </w:tcMar>
            <w:vAlign w:val="center"/>
          </w:tcPr>
          <w:p w14:paraId="736099C2">
            <w:pPr>
              <w:spacing w:before="0" w:after="0" w:line="240" w:lineRule="auto"/>
              <w:jc w:val="left"/>
            </w:pPr>
            <w:r>
              <w:rPr>
                <w:rFonts w:ascii="Times New Roman" w:hAnsi="Times New Roman" w:eastAsia="Times New Roman"/>
                <w:b w:val="0"/>
                <w:i w:val="0"/>
                <w:color w:val="000000"/>
                <w:sz w:val="21"/>
              </w:rPr>
              <w:t>Normative-deviation mechanism</w:t>
            </w:r>
          </w:p>
        </w:tc>
        <w:tc>
          <w:tcPr>
            <w:tcW w:w="1728" w:type="dxa"/>
            <w:shd w:val="clear" w:color="auto" w:fill="FFFFFF"/>
            <w:tcMar>
              <w:top w:w="75" w:type="dxa"/>
              <w:left w:w="85" w:type="dxa"/>
              <w:bottom w:w="75" w:type="dxa"/>
              <w:right w:w="85" w:type="dxa"/>
            </w:tcMar>
            <w:vAlign w:val="center"/>
          </w:tcPr>
          <w:p w14:paraId="046A8C08">
            <w:pPr>
              <w:spacing w:before="0" w:after="0" w:line="240" w:lineRule="auto"/>
              <w:jc w:val="left"/>
            </w:pPr>
            <w:r>
              <w:rPr>
                <w:rFonts w:ascii="Times New Roman" w:hAnsi="Times New Roman" w:eastAsia="Times New Roman"/>
                <w:b w:val="0"/>
                <w:i w:val="0"/>
                <w:color w:val="000000"/>
                <w:sz w:val="21"/>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before="0" w:after="0" w:line="240" w:lineRule="auto"/>
              <w:jc w:val="left"/>
            </w:pPr>
            <w:r>
              <w:rPr>
                <w:rFonts w:ascii="Times New Roman" w:hAnsi="Times New Roman" w:eastAsia="Times New Roman"/>
                <w:b w:val="0"/>
                <w:i w:val="0"/>
                <w:color w:val="000000"/>
                <w:sz w:val="21"/>
              </w:rPr>
              <w:t>Publicly mirrored</w:t>
            </w:r>
            <w:r>
              <w:rPr>
                <w:rFonts w:ascii="Times New Roman" w:hAnsi="Times New Roman" w:eastAsia="Times New Roman"/>
                <w:b w:val="0"/>
                <w:i w:val="0"/>
                <w:color w:val="000000"/>
                <w:sz w:val="21"/>
              </w:rPr>
              <w:br w:type="textWrapping"/>
            </w:r>
            <w:r>
              <w:rPr>
                <w:rFonts w:ascii="Times New Roman" w:hAnsi="Times New Roman" w:eastAsia="Times New Roman"/>
                <w:b w:val="0"/>
                <w:i w:val="0"/>
                <w:color w:val="000000"/>
                <w:sz w:val="21"/>
              </w:rPr>
              <w:t>mBRSET subset</w:t>
            </w:r>
          </w:p>
        </w:tc>
        <w:tc>
          <w:tcPr>
            <w:tcW w:w="1757" w:type="dxa"/>
            <w:shd w:val="clear" w:color="auto" w:fill="F3EDF9"/>
            <w:tcMar>
              <w:top w:w="75" w:type="dxa"/>
              <w:left w:w="85" w:type="dxa"/>
              <w:bottom w:w="75" w:type="dxa"/>
              <w:right w:w="85" w:type="dxa"/>
            </w:tcMar>
            <w:vAlign w:val="center"/>
          </w:tcPr>
          <w:p w14:paraId="0D4A5C6A">
            <w:pPr>
              <w:spacing w:before="0" w:after="0" w:line="240" w:lineRule="auto"/>
              <w:jc w:val="left"/>
            </w:pPr>
            <w:r>
              <w:rPr>
                <w:rFonts w:ascii="Times New Roman" w:hAnsi="Times New Roman" w:eastAsia="Times New Roman"/>
                <w:b w:val="0"/>
                <w:i w:val="0"/>
                <w:color w:val="000000"/>
                <w:sz w:val="21"/>
              </w:rPr>
              <w:t>1,287 indexed participants;</w:t>
            </w:r>
            <w:r>
              <w:rPr>
                <w:rFonts w:ascii="Times New Roman" w:hAnsi="Times New Roman" w:eastAsia="Times New Roman"/>
                <w:b w:val="0"/>
                <w:i w:val="0"/>
                <w:color w:val="000000"/>
                <w:sz w:val="21"/>
              </w:rPr>
              <w:br w:type="textWrapping"/>
            </w:r>
            <w:r>
              <w:rPr>
                <w:rFonts w:ascii="Times New Roman" w:hAnsi="Times New Roman" w:eastAsia="Times New Roman"/>
                <w:b w:val="0"/>
                <w:i w:val="0"/>
                <w:color w:val="000000"/>
                <w:sz w:val="21"/>
              </w:rPr>
              <w:t>4,884 224-pixel images;</w:t>
            </w:r>
            <w:r>
              <w:rPr>
                <w:rFonts w:ascii="Times New Roman" w:hAnsi="Times New Roman" w:eastAsia="Times New Roman"/>
                <w:b w:val="0"/>
                <w:i w:val="0"/>
                <w:color w:val="000000"/>
                <w:sz w:val="21"/>
              </w:rPr>
              <w:br w:type="textWrapping"/>
            </w:r>
            <w:r>
              <w:rPr>
                <w:rFonts w:ascii="Times New Roman" w:hAnsi="Times New Roman" w:eastAsia="Times New Roman"/>
                <w:b w:val="0"/>
                <w:i w:val="0"/>
                <w:color w:val="000000"/>
                <w:sz w:val="21"/>
              </w:rPr>
              <w:t>2,359 same eye repeat pairs</w:t>
            </w:r>
          </w:p>
        </w:tc>
        <w:tc>
          <w:tcPr>
            <w:tcW w:w="2102" w:type="dxa"/>
            <w:shd w:val="clear" w:color="auto" w:fill="F3EDF9"/>
            <w:tcMar>
              <w:top w:w="75" w:type="dxa"/>
              <w:left w:w="85" w:type="dxa"/>
              <w:bottom w:w="75" w:type="dxa"/>
              <w:right w:w="85" w:type="dxa"/>
            </w:tcMar>
            <w:vAlign w:val="center"/>
          </w:tcPr>
          <w:p w14:paraId="66259272">
            <w:pPr>
              <w:spacing w:before="0" w:after="0" w:line="240" w:lineRule="auto"/>
              <w:jc w:val="left"/>
            </w:pPr>
            <w:r>
              <w:rPr>
                <w:rFonts w:ascii="Times New Roman" w:hAnsi="Times New Roman" w:eastAsia="Times New Roman"/>
                <w:b w:val="0"/>
                <w:i w:val="0"/>
                <w:color w:val="000000"/>
                <w:sz w:val="21"/>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before="0" w:after="0" w:line="240" w:lineRule="auto"/>
              <w:jc w:val="left"/>
            </w:pPr>
            <w:r>
              <w:rPr>
                <w:rFonts w:ascii="Times New Roman" w:hAnsi="Times New Roman" w:eastAsia="Times New Roman"/>
                <w:b w:val="0"/>
                <w:i w:val="0"/>
                <w:color w:val="000000"/>
                <w:sz w:val="21"/>
              </w:rPr>
              <w:t>Repeatability + exploratory</w:t>
            </w:r>
            <w:r>
              <w:rPr>
                <w:rFonts w:ascii="Times New Roman" w:hAnsi="Times New Roman" w:eastAsia="Times New Roman"/>
                <w:b w:val="0"/>
                <w:i w:val="0"/>
                <w:color w:val="000000"/>
                <w:sz w:val="21"/>
              </w:rPr>
              <w:br w:type="textWrapping"/>
            </w:r>
            <w:r>
              <w:rPr>
                <w:rFonts w:ascii="Times New Roman" w:hAnsi="Times New Roman" w:eastAsia="Times New Roman"/>
                <w:b w:val="0"/>
                <w:i w:val="0"/>
                <w:color w:val="000000"/>
                <w:sz w:val="21"/>
              </w:rPr>
              <w:t>hypertension association</w:t>
            </w:r>
          </w:p>
        </w:tc>
        <w:tc>
          <w:tcPr>
            <w:tcW w:w="1728" w:type="dxa"/>
            <w:shd w:val="clear" w:color="auto" w:fill="F3EDF9"/>
            <w:tcMar>
              <w:top w:w="75" w:type="dxa"/>
              <w:left w:w="85" w:type="dxa"/>
              <w:bottom w:w="75" w:type="dxa"/>
              <w:right w:w="85" w:type="dxa"/>
            </w:tcMar>
            <w:vAlign w:val="center"/>
          </w:tcPr>
          <w:p w14:paraId="2CB2FB50">
            <w:pPr>
              <w:spacing w:before="0" w:after="0" w:line="240" w:lineRule="auto"/>
              <w:jc w:val="left"/>
            </w:pPr>
            <w:r>
              <w:rPr>
                <w:rFonts w:ascii="Times New Roman" w:hAnsi="Times New Roman" w:eastAsia="Times New Roman"/>
                <w:b w:val="0"/>
                <w:i w:val="0"/>
                <w:color w:val="000000"/>
                <w:sz w:val="21"/>
              </w:rPr>
              <w:t>Exploratory patient level analysis;</w:t>
            </w:r>
            <w:r>
              <w:rPr>
                <w:rFonts w:ascii="Times New Roman" w:hAnsi="Times New Roman" w:eastAsia="Times New Roman"/>
                <w:b w:val="0"/>
                <w:i w:val="0"/>
                <w:color w:val="000000"/>
                <w:sz w:val="21"/>
              </w:rPr>
              <w:br w:type="textWrapping"/>
            </w:r>
            <w:r>
              <w:rPr>
                <w:rFonts w:ascii="Times New Roman" w:hAnsi="Times New Roman" w:eastAsia="Times New Roman"/>
                <w:b w:val="0"/>
                <w:i w:val="0"/>
                <w:color w:val="000000"/>
                <w:sz w:val="21"/>
              </w:rPr>
              <w:t>not independent high resolution confirmation</w:t>
            </w:r>
          </w:p>
        </w:tc>
      </w:tr>
    </w:tbl>
    <w:p w14:paraId="1DEA8449">
      <w:pPr>
        <w:spacing w:before="0" w:after="0"/>
        <w:jc w:val="center"/>
      </w:pPr>
    </w:p>
    <w:p w14:paraId="3D6F0DE8">
      <w:pPr>
        <w:pStyle w:val="4"/>
        <w:keepNext/>
        <w:spacing w:before="200" w:after="120" w:line="240" w:lineRule="auto"/>
        <w:jc w:val="left"/>
      </w:pPr>
      <w:r>
        <w:rPr>
          <w:rFonts w:ascii="Times New Roman" w:hAnsi="Times New Roman" w:eastAsia="Times New Roman"/>
          <w:b/>
          <w:i w:val="0"/>
          <w:color w:val="000000"/>
          <w:sz w:val="24"/>
        </w:rPr>
        <w:t>2.2 Anatomy-aware preprocessing</w:t>
      </w:r>
    </w:p>
    <w:p w14:paraId="7A731FED">
      <w:pPr>
        <w:pStyle w:val="18"/>
        <w:keepNext w:val="0"/>
        <w:spacing w:before="0" w:after="100" w:line="276" w:lineRule="auto"/>
        <w:jc w:val="both"/>
      </w:pPr>
      <w:r>
        <w:rPr>
          <w:rFonts w:ascii="Times New Roman" w:hAnsi="Times New Roman" w:eastAsia="Times New Roman"/>
          <w:b w:val="0"/>
          <w:i w:val="0"/>
          <w:color w:val="000000"/>
          <w:sz w:val="24"/>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pStyle w:val="18"/>
        <w:keepNext w:val="0"/>
        <w:spacing w:before="0" w:after="100" w:line="276" w:lineRule="auto"/>
        <w:jc w:val="both"/>
      </w:pPr>
      <w:r>
        <w:rPr>
          <w:rFonts w:ascii="Times New Roman" w:hAnsi="Times New Roman" w:eastAsia="Times New Roman"/>
          <w:b w:val="0"/>
          <w:i w:val="0"/>
          <w:color w:val="000000"/>
          <w:sz w:val="24"/>
        </w:rPr>
        <w:t>The preprocessing audit required finite outputs, one-to-one manifest matching, and patient and eye integrity. All 4,884 publicly mirrored mBRSET images completed preprocessing, although 189 images required the documented disc fallback. This frequency was retained as a limitation and motivated sensitivity analyses rather than outcome driven exclusion.</w:t>
      </w:r>
    </w:p>
    <w:p w14:paraId="0D46945B">
      <w:pPr>
        <w:pStyle w:val="4"/>
        <w:keepNext/>
        <w:spacing w:before="200" w:after="120" w:line="240" w:lineRule="auto"/>
        <w:jc w:val="left"/>
      </w:pPr>
      <w:r>
        <w:rPr>
          <w:rFonts w:ascii="Times New Roman" w:hAnsi="Times New Roman" w:eastAsia="Times New Roman"/>
          <w:b/>
          <w:i w:val="0"/>
          <w:color w:val="000000"/>
          <w:sz w:val="24"/>
        </w:rPr>
        <w:t>2.3 RMDB module: dual-readout vascular measurement</w:t>
      </w:r>
    </w:p>
    <w:p w14:paraId="282F9163">
      <w:pPr>
        <w:pStyle w:val="18"/>
        <w:spacing w:before="0" w:line="276" w:lineRule="auto"/>
        <w:jc w:val="both"/>
      </w:pPr>
      <w:r>
        <w:rPr>
          <w:rFonts w:ascii="Times New Roman" w:hAnsi="Times New Roman" w:eastAsia="Times New Roman"/>
          <w:color w:val="000000"/>
          <w:sz w:val="24"/>
        </w:rP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pStyle w:val="18"/>
        <w:keepNext w:val="0"/>
        <w:spacing w:before="0" w:after="100" w:line="276" w:lineRule="auto"/>
        <w:jc w:val="both"/>
      </w:pPr>
      <w:r>
        <w:rPr>
          <w:rFonts w:ascii="Times New Roman" w:hAnsi="Times New Roman" w:eastAsia="Times New Roman"/>
          <w:b w:val="0"/>
          <w:i w:val="0"/>
          <w:color w:val="000000"/>
          <w:sz w:val="24"/>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pStyle w:val="18"/>
        <w:keepNext/>
        <w:spacing w:before="0" w:after="40" w:line="276" w:lineRule="auto"/>
        <w:jc w:val="both"/>
      </w:pPr>
      <w:r>
        <w:rPr>
          <w:rFonts w:ascii="Times New Roman" w:hAnsi="Times New Roman" w:eastAsia="Times New Roman"/>
          <w:b w:val="0"/>
          <w:i w:val="0"/>
          <w:color w:val="000000"/>
          <w:sz w:val="24"/>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0" w:after="0" w:line="240" w:lineRule="auto"/>
        <w:jc w:val="center"/>
        <w:rPr>
          <w:sz w:val="20"/>
          <w:szCs w:val="20"/>
        </w:rPr>
      </w:pPr>
      <m:oMath>
        <m:r>
          <m:rPr>
            <m:sty m:val="p"/>
          </m:rPr>
          <m:t>z⁽ᵗ⁺¹⁾ = z⁽ᵗ⁾ + αₜ rθ(x, z⁽ᵗ⁾, H(x), D(x)),   t = 0, 1.</m:t>
        </m:r>
      </m:oMath>
      <w:r>
        <w:rPr>
          <w:rFonts w:ascii="Cambria Math" w:hAnsi="Cambria Math" w:eastAsia="Cambria Math"/>
        </w:rPr>
        <w:t xml:space="preserve">    (1)</w:t>
      </w:r>
    </w:p>
    <w:p w14:paraId="5B0D501B">
      <w:pPr>
        <w:pStyle w:val="18"/>
        <w:keepNext/>
        <w:spacing w:before="0" w:after="40" w:line="276" w:lineRule="auto"/>
        <w:jc w:val="both"/>
      </w:pPr>
      <w:r>
        <w:rPr>
          <w:rFonts w:ascii="Times New Roman" w:hAnsi="Times New Roman" w:eastAsia="Times New Roman"/>
          <w:b w:val="0"/>
          <w:i w:val="0"/>
          <w:color w:val="000000"/>
          <w:sz w:val="24"/>
        </w:rPr>
        <w:t>The refinement objective combined pixel classification, vascular topology, directional continuity, residual restraint, A/V mass preservation, and total vessel-mass preservation:</w:t>
      </w:r>
    </w:p>
    <w:p w14:paraId="683996CA">
      <w:pPr>
        <w:keepLines/>
        <w:spacing w:before="0" w:after="0" w:line="240" w:lineRule="auto"/>
        <w:jc w:val="center"/>
        <w:rPr>
          <w:sz w:val="20"/>
          <w:szCs w:val="20"/>
        </w:rPr>
      </w:pPr>
      <m:oMath>
        <m:r>
          <m:rPr>
            <m:sty m:val="p"/>
          </m:rPr>
          <m:t>ℒ = λclsℒcls + λtopℒtop + λdirℒdir + λresℒres + λAVℒAV + λmassℒmass.</m:t>
        </m:r>
      </m:oMath>
      <w:r>
        <w:rPr>
          <w:rFonts w:ascii="Cambria Math" w:hAnsi="Cambria Math" w:eastAsia="Cambria Math"/>
        </w:rPr>
        <w:t xml:space="preserve">    (2)</w:t>
      </w:r>
    </w:p>
    <w:p w14:paraId="3DCAB820">
      <w:pPr>
        <w:pStyle w:val="18"/>
        <w:keepNext w:val="0"/>
        <w:spacing w:before="0" w:after="100" w:line="276" w:lineRule="auto"/>
        <w:jc w:val="both"/>
      </w:pPr>
      <w:r>
        <w:rPr>
          <w:rFonts w:ascii="Times New Roman" w:hAnsi="Times New Roman" w:eastAsia="Times New Roman"/>
          <w:b w:val="0"/>
          <w:i w:val="0"/>
          <w:color w:val="000000"/>
          <w:sz w:val="24"/>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pStyle w:val="18"/>
        <w:keepNext/>
        <w:spacing w:before="0" w:after="40" w:line="276" w:lineRule="auto"/>
        <w:jc w:val="both"/>
      </w:pPr>
      <w:r>
        <w:rPr>
          <w:rFonts w:ascii="Times New Roman" w:hAnsi="Times New Roman" w:eastAsia="Times New Roman"/>
          <w:b w:val="0"/>
          <w:i w:val="0"/>
          <w:color w:val="000000"/>
          <w:sz w:val="24"/>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0" w:after="0" w:line="240" w:lineRule="auto"/>
        <w:jc w:val="center"/>
        <w:rPr>
          <w:sz w:val="20"/>
          <w:szCs w:val="20"/>
        </w:rPr>
      </w:pPr>
      <m:oMath>
        <m:r>
          <m:rPr>
            <m:sty m:val="p"/>
          </m:rPr>
          <m:t>Fᵥ(x) = O(x)[c(x)Pᵥ(x|I∗) + {1 − c(x)}Ṕᵥ(x|I∗)].</m:t>
        </m:r>
      </m:oMath>
      <w:r>
        <w:rPr>
          <w:rFonts w:ascii="Cambria Math" w:hAnsi="Cambria Math" w:eastAsia="Cambria Math"/>
        </w:rPr>
        <w:t xml:space="preserve">    (3)</w:t>
      </w:r>
    </w:p>
    <w:p w14:paraId="2C1A3D41">
      <w:pPr>
        <w:pStyle w:val="18"/>
        <w:keepNext w:val="0"/>
        <w:spacing w:before="0" w:after="100" w:line="276" w:lineRule="auto"/>
        <w:jc w:val="both"/>
      </w:pPr>
      <w:r>
        <w:rPr>
          <w:rFonts w:ascii="Times New Roman" w:hAnsi="Times New Roman" w:eastAsia="Times New Roman"/>
          <w:b w:val="0"/>
          <w:i w:val="0"/>
          <w:color w:val="000000"/>
          <w:sz w:val="24"/>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pStyle w:val="18"/>
        <w:keepNext/>
        <w:spacing w:before="0" w:after="40" w:line="276" w:lineRule="auto"/>
        <w:jc w:val="both"/>
      </w:pPr>
      <w:r>
        <w:rPr>
          <w:rFonts w:ascii="Times New Roman" w:hAnsi="Times New Roman" w:eastAsia="Times New Roman"/>
          <w:b w:val="0"/>
          <w:i w:val="0"/>
          <w:color w:val="000000"/>
          <w:sz w:val="24"/>
        </w:rPr>
        <w:t>The two readouts generated interpretable continuous operators over the valid retinal domain Ω. Vessel support, artery–vein balance, and cross-readout disagreement were defined as the three-part equation set (4a–c):</w:t>
      </w:r>
    </w:p>
    <w:p w14:paraId="460E9C30">
      <w:pPr>
        <w:keepLines/>
        <w:spacing w:before="0" w:after="0" w:line="240" w:lineRule="auto"/>
        <w:jc w:val="center"/>
        <w:rPr>
          <w:sz w:val="20"/>
          <w:szCs w:val="20"/>
        </w:rPr>
      </w:pPr>
      <m:oMath>
        <m:r>
          <m:rPr>
            <m:sty m:val="p"/>
          </m:rPr>
          <m:t>φmass = |Ω|⁻¹ Σₓ∈Ω [1 − pᴹ₀(x)]</m:t>
        </m:r>
      </m:oMath>
      <w:r>
        <w:rPr>
          <w:rFonts w:ascii="Cambria Math" w:hAnsi="Cambria Math" w:eastAsia="Cambria Math"/>
        </w:rPr>
        <w:t xml:space="preserve">    (4a)</w:t>
      </w:r>
    </w:p>
    <w:p w14:paraId="27F3B4F2">
      <w:pPr>
        <w:keepLines/>
        <w:spacing w:before="0" w:after="0" w:line="240" w:lineRule="auto"/>
        <w:jc w:val="center"/>
        <w:rPr>
          <w:sz w:val="20"/>
          <w:szCs w:val="20"/>
        </w:rPr>
      </w:pPr>
      <m:oMath>
        <m:r>
          <m:rPr>
            <m:sty m:val="p"/>
          </m:rPr>
          <m:t>φA/V = log{[Σₓ(pᴹ_A + pᴹ_C) + 1] / [Σₓ(pᴹ_V + pᴹ_C) + 1]}</m:t>
        </m:r>
      </m:oMath>
      <w:r>
        <w:rPr>
          <w:rFonts w:ascii="Cambria Math" w:hAnsi="Cambria Math" w:eastAsia="Cambria Math"/>
        </w:rPr>
        <w:t xml:space="preserve">    (4b)</w:t>
      </w:r>
    </w:p>
    <w:p w14:paraId="3A569E86">
      <w:pPr>
        <w:keepLines/>
        <w:spacing w:before="0" w:after="0" w:line="240" w:lineRule="auto"/>
        <w:jc w:val="center"/>
        <w:rPr>
          <w:sz w:val="20"/>
          <w:szCs w:val="20"/>
        </w:rPr>
      </w:pPr>
      <m:oMath>
        <m:r>
          <m:rPr>
            <m:sty m:val="p"/>
          </m:rPr>
          <m:t>φdis = |Ω|⁻¹ Σₓ∈Ω |pᴹ_v(x) − Fᵥ(x)|</m:t>
        </m:r>
      </m:oMath>
      <w:r>
        <w:rPr>
          <w:rFonts w:ascii="Cambria Math" w:hAnsi="Cambria Math" w:eastAsia="Cambria Math"/>
        </w:rPr>
        <w:t xml:space="preserve">    (4c)</w:t>
      </w:r>
    </w:p>
    <w:p w14:paraId="7E368FB7">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Figure 2.</w:t>
      </w:r>
      <w:r>
        <w:rPr>
          <w:rFonts w:ascii="Times New Roman" w:hAnsi="Times New Roman" w:eastAsia="Times New Roman"/>
          <w:b/>
          <w:i/>
          <w:color w:val="000000"/>
          <w:sz w:val="24"/>
        </w:rPr>
        <w:t xml:space="preserve"> </w:t>
      </w:r>
      <w:r>
        <w:rPr>
          <w:rFonts w:hint="default" w:ascii="Times New Roman" w:hAnsi="Times New Roman" w:eastAsia="Times New Roman" w:cs="Times New Roman"/>
          <w:b w:val="0"/>
          <w:bCs/>
          <w:i w:val="0"/>
          <w:iCs/>
          <w:color w:val="000000"/>
          <w:sz w:val="24"/>
        </w:rPr>
        <w:t>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pStyle w:val="4"/>
        <w:keepNext/>
        <w:spacing w:before="200" w:after="120" w:line="240" w:lineRule="auto"/>
        <w:jc w:val="left"/>
      </w:pPr>
      <w:r>
        <w:rPr>
          <w:rFonts w:ascii="Times New Roman" w:hAnsi="Times New Roman" w:eastAsia="Times New Roman"/>
          <w:b/>
          <w:i w:val="0"/>
          <w:color w:val="000000"/>
          <w:sz w:val="24"/>
        </w:rPr>
        <w:t>2.4 BiRAP module: outcome-blind reliability and patient aggregation</w:t>
      </w:r>
    </w:p>
    <w:p w14:paraId="0A2C0CCC">
      <w:pPr>
        <w:pStyle w:val="18"/>
        <w:keepNext w:val="0"/>
        <w:spacing w:before="0" w:after="100" w:line="276" w:lineRule="auto"/>
        <w:jc w:val="both"/>
      </w:pPr>
      <w:r>
        <w:rPr>
          <w:rFonts w:ascii="Times New Roman" w:hAnsi="Times New Roman" w:eastAsia="Times New Roman"/>
          <w:b w:val="0"/>
          <w:i w:val="0"/>
          <w:color w:val="000000"/>
          <w:sz w:val="24"/>
        </w:rPr>
        <w:t>For each patient, eye-level features were summarized using the bilateral mean and the absolute inter-eye difference where both eyes were available. Repeated views were first aggregated within eye when estimating patient level quantities so that image count could not act as a surrogate for outcome.</w:t>
      </w:r>
    </w:p>
    <w:p w14:paraId="1915789C">
      <w:pPr>
        <w:pStyle w:val="18"/>
        <w:keepNext w:val="0"/>
        <w:spacing w:before="0" w:after="100" w:line="276" w:lineRule="auto"/>
        <w:jc w:val="both"/>
      </w:pPr>
      <w:r>
        <w:rPr>
          <w:rFonts w:ascii="Times New Roman" w:hAnsi="Times New Roman" w:eastAsia="Times New Roman"/>
          <w:b w:val="0"/>
          <w:i w:val="0"/>
          <w:color w:val="000000"/>
          <w:sz w:val="24"/>
        </w:rPr>
        <w:t>Reliability was evaluated using 2,359 same 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pStyle w:val="18"/>
        <w:keepNext/>
        <w:spacing w:before="0" w:after="40" w:line="276" w:lineRule="auto"/>
        <w:jc w:val="both"/>
      </w:pPr>
      <w:r>
        <w:rPr>
          <w:rFonts w:ascii="Times New Roman" w:hAnsi="Times New Roman" w:eastAsia="Times New Roman"/>
          <w:b w:val="0"/>
          <w:i w:val="0"/>
          <w:color w:val="000000"/>
          <w:sz w:val="24"/>
        </w:rPr>
        <w:t>Reliability was used only as a label blind retention rule. For candidate phenotype j, rⱼ was fixed before any systemic outcome analysis:</w:t>
      </w:r>
    </w:p>
    <w:p w14:paraId="6C8ABDE9">
      <w:pPr>
        <w:keepLines/>
        <w:spacing w:before="0" w:after="0" w:line="240" w:lineRule="auto"/>
        <w:jc w:val="center"/>
        <w:rPr>
          <w:sz w:val="20"/>
          <w:szCs w:val="20"/>
        </w:rPr>
      </w:pPr>
      <m:oMath>
        <m:r>
          <m:rPr>
            <m:sty m:val="p"/>
          </m:rPr>
          <m:t xml:space="preserve">rⱼ = </m:t>
        </m:r>
        <m:r>
          <m:rPr>
            <m:sty m:val="p"/>
            <m:scr m:val="double-struck"/>
          </m:rPr>
          <m:t>1</m:t>
        </m:r>
        <m:r>
          <m:rPr>
            <m:sty m:val="p"/>
          </m:rPr>
          <m:t>{ICCⱼ(1,1) ≥ 0.60}.</m:t>
        </m:r>
      </m:oMath>
      <w:r>
        <w:rPr>
          <w:rFonts w:ascii="Cambria Math" w:hAnsi="Cambria Math" w:eastAsia="Cambria Math"/>
        </w:rPr>
        <w:t xml:space="preserve">    (5)</w:t>
      </w:r>
    </w:p>
    <w:p w14:paraId="36373BEC">
      <w:pPr>
        <w:pStyle w:val="18"/>
        <w:keepNext/>
        <w:pBdr>
          <w:left w:val="single" w:color="70519A" w:sz="16" w:space="7"/>
        </w:pBdr>
        <w:shd w:val="clear" w:fill="E9DFF3"/>
        <w:spacing w:before="0" w:after="40" w:line="276" w:lineRule="auto"/>
        <w:jc w:val="both"/>
      </w:pPr>
      <w:r>
        <w:rPr>
          <w:rFonts w:ascii="Times New Roman" w:hAnsi="Times New Roman" w:eastAsia="Times New Roman"/>
          <w:b/>
          <w:i w:val="0"/>
          <w:color w:val="000000"/>
          <w:sz w:val="24"/>
        </w:rPr>
        <w:t>Algorithm 1. RMDB–BiRAP phenotype construction and evidence gating</w:t>
      </w:r>
    </w:p>
    <w:p w14:paraId="41C54AED">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Input. Standardized left/right fundus photographs; frozen VascX logits; frozen FIVES occupancy estimator; optic-disc metadata.</w:t>
      </w:r>
    </w:p>
    <w:p w14:paraId="6E6554FE">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Output. A patient level ICC-gated phenotype vector and an evidence status that is independent of outcome driven feature selection.</w:t>
      </w:r>
    </w:p>
    <w:p w14:paraId="12E3881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1  Standardize anatomy. Normalize the field of view; locate the disc; construct Zone B only when disc quality control passes.</w:t>
      </w:r>
    </w:p>
    <w:p w14:paraId="541C559C">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2  Refine vascular identity. Apply the two-step UDCT residual corrector to the frozen four-class identity logits.</w:t>
      </w:r>
    </w:p>
    <w:p w14:paraId="70E41FBB">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3  Construct complementary readouts. Retain the mass-preserving four-class probabilities and form the occupancy-gated factorized identity map (Factorized-UDCT) using the fixed gate and threshold.</w:t>
      </w:r>
    </w:p>
    <w:p w14:paraId="6AFBB9D1">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4  Extract eye-level candidates. Measure vessel mass, skeleton density, branch density, A/V balance, entropy, and cross-readout disagreement globally and, when available, within Zone B.</w:t>
      </w:r>
    </w:p>
    <w:p w14:paraId="44176145">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5  Estimate label blind reliability. Compute ICC(1,1) from same eye repeated views without systemic outcomes or clinical covariates.</w:t>
      </w:r>
    </w:p>
    <w:p w14:paraId="57E3BB6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6  Apply the reliability gate. Retain phenotype j only when its ICC(1,1) is ≥ 0.60; preserve excluded candidates as transparent negative results.</w:t>
      </w:r>
    </w:p>
    <w:p w14:paraId="716E10E6">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7  Aggregate at patient level. For each retained phenotype, compute the bilateral mean and absolute inter-eye difference after within-eye repeat aggregation.</w:t>
      </w:r>
    </w:p>
    <w:p w14:paraId="48C80AE4">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8  Test incremental utility. Within patient grouped nested cross-validation, compare clinical-only and clinical-plus-retinal models using paired patient level bootstrap intervals.</w:t>
      </w:r>
    </w:p>
    <w:p w14:paraId="4C6E4862">
      <w:pPr>
        <w:pStyle w:val="18"/>
        <w:keepNext w:val="0"/>
        <w:keepLines/>
        <w:pBdr>
          <w:left w:val="single" w:color="70519A" w:sz="16" w:space="7"/>
        </w:pBdr>
        <w:shd w:val="clear" w:fill="F3EDF9"/>
        <w:spacing w:before="0" w:after="120" w:line="276" w:lineRule="auto"/>
        <w:ind w:left="187" w:right="115"/>
        <w:jc w:val="both"/>
      </w:pPr>
      <w:r>
        <w:rPr>
          <w:rFonts w:ascii="Times New Roman" w:hAnsi="Times New Roman" w:eastAsia="Times New Roman"/>
          <w:b w:val="0"/>
          <w:i w:val="0"/>
          <w:color w:val="000000"/>
          <w:sz w:val="24"/>
        </w:rPr>
        <w:t>Stopping rule. A clinical biomarker claim is permitted only when measurement validity, repeatability, and clinical increment all pass their prespecified gates.</w:t>
      </w:r>
    </w:p>
    <w:p w14:paraId="03C96D02">
      <w:pPr>
        <w:pStyle w:val="4"/>
        <w:keepNext/>
        <w:spacing w:before="200" w:after="120" w:line="240" w:lineRule="auto"/>
        <w:jc w:val="left"/>
      </w:pPr>
      <w:r>
        <w:rPr>
          <w:rFonts w:ascii="Times New Roman" w:hAnsi="Times New Roman" w:eastAsia="Times New Roman"/>
          <w:b/>
          <w:i w:val="0"/>
          <w:color w:val="000000"/>
          <w:sz w:val="24"/>
        </w:rPr>
        <w:t>2.5 Cross-domain measurement evaluation</w:t>
      </w:r>
    </w:p>
    <w:p w14:paraId="7E239D8D">
      <w:pPr>
        <w:pStyle w:val="18"/>
        <w:keepNext w:val="0"/>
        <w:spacing w:before="0" w:after="100" w:line="276" w:lineRule="auto"/>
        <w:jc w:val="both"/>
      </w:pPr>
      <w:r>
        <w:rPr>
          <w:rFonts w:ascii="Times New Roman" w:hAnsi="Times New Roman" w:eastAsia="Times New Roman"/>
          <w:b w:val="0"/>
          <w:i w:val="0"/>
          <w:color w:val="000000"/>
          <w:sz w:val="24"/>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pStyle w:val="18"/>
        <w:keepNext w:val="0"/>
        <w:spacing w:before="0" w:after="100" w:line="276" w:lineRule="auto"/>
        <w:jc w:val="both"/>
      </w:pPr>
      <w:r>
        <w:rPr>
          <w:rFonts w:ascii="Times New Roman" w:hAnsi="Times New Roman" w:eastAsia="Times New Roman"/>
          <w:b w:val="0"/>
          <w:i w:val="0"/>
          <w:color w:val="000000"/>
          <w:sz w:val="24"/>
        </w:rPr>
        <w:t>Disease and image-quality strata were used to identify failure domains rather than to retune the locked models. This distinction preserves the external status of the validation while still exposing where the measurement system degrades.</w:t>
      </w:r>
    </w:p>
    <w:p w14:paraId="69574EC3">
      <w:pPr>
        <w:pStyle w:val="4"/>
        <w:keepNext/>
        <w:spacing w:before="200" w:after="120" w:line="240" w:lineRule="auto"/>
        <w:jc w:val="left"/>
      </w:pPr>
      <w:r>
        <w:rPr>
          <w:rFonts w:ascii="Times New Roman" w:hAnsi="Times New Roman" w:eastAsia="Times New Roman"/>
          <w:b/>
          <w:i w:val="0"/>
          <w:color w:val="000000"/>
          <w:sz w:val="24"/>
        </w:rPr>
        <w:t>2.6 Patient-level modelling, normative deviation, and evidence gating</w:t>
      </w:r>
    </w:p>
    <w:p w14:paraId="57F18970">
      <w:pPr>
        <w:pStyle w:val="18"/>
        <w:keepNext w:val="0"/>
        <w:spacing w:before="0" w:after="100" w:line="276" w:lineRule="auto"/>
        <w:jc w:val="both"/>
      </w:pPr>
      <w:r>
        <w:rPr>
          <w:rFonts w:ascii="Times New Roman" w:hAnsi="Times New Roman" w:eastAsia="Times New Roman"/>
          <w:b w:val="0"/>
          <w:i w:val="0"/>
          <w:color w:val="000000"/>
          <w:sz w:val="24"/>
        </w:rPr>
        <w:t>The direct CIMT experiments used five outer patient folds with three-fold inner tuning and 5,000 paired patient 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pStyle w:val="18"/>
        <w:keepNext w:val="0"/>
        <w:spacing w:before="0" w:after="100" w:line="276" w:lineRule="auto"/>
        <w:jc w:val="both"/>
      </w:pPr>
      <w:r>
        <w:rPr>
          <w:rFonts w:ascii="Times New Roman" w:hAnsi="Times New Roman" w:eastAsia="Times New Roman"/>
          <w:b w:val="0"/>
          <w:i w:val="0"/>
          <w:color w:val="000000"/>
          <w:sz w:val="24"/>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 shot E9 validation.</w:t>
      </w:r>
    </w:p>
    <w:p w14:paraId="563BF434">
      <w:pPr>
        <w:pStyle w:val="18"/>
        <w:keepNext/>
        <w:spacing w:before="0" w:after="40" w:line="276" w:lineRule="auto"/>
        <w:jc w:val="both"/>
      </w:pPr>
      <w:r>
        <w:rPr>
          <w:rFonts w:ascii="Times New Roman" w:hAnsi="Times New Roman" w:eastAsia="Times New Roman"/>
          <w:b w:val="0"/>
          <w:i w:val="0"/>
          <w:color w:val="000000"/>
          <w:sz w:val="24"/>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0" w:after="0" w:line="240" w:lineRule="auto"/>
        <w:jc w:val="center"/>
        <w:rPr>
          <w:sz w:val="20"/>
          <w:szCs w:val="20"/>
        </w:rPr>
      </w:pPr>
      <m:oMath>
        <m:r>
          <m:rPr>
            <m:sty m:val="p"/>
          </m:rPr>
          <m:t>dᵢ = [yᵢ − μ̂₋ₖ(aᵢ, sᵢ)] / σ̂₋ₖ(aᵢ, sᵢ).</m:t>
        </m:r>
      </m:oMath>
      <w:r>
        <w:rPr>
          <w:rFonts w:ascii="Cambria Math" w:hAnsi="Cambria Math" w:eastAsia="Cambria Math"/>
        </w:rPr>
        <w:t xml:space="preserve">    (6)</w:t>
      </w:r>
    </w:p>
    <w:p w14:paraId="57F6AB84">
      <w:pPr>
        <w:pStyle w:val="18"/>
        <w:keepNext w:val="0"/>
        <w:spacing w:before="0" w:after="100" w:line="276" w:lineRule="auto"/>
        <w:jc w:val="both"/>
      </w:pPr>
      <w:r>
        <w:rPr>
          <w:rFonts w:ascii="Times New Roman" w:hAnsi="Times New Roman" w:eastAsia="Times New Roman"/>
          <w:b w:val="0"/>
          <w:i w:val="0"/>
          <w:color w:val="000000"/>
          <w:sz w:val="24"/>
        </w:rPr>
        <w:t>For exploratory mBRSET hypertension analysis, the clinical baseline contained age, sex, and diabetes duration. The phenotype-core augmented model added the ICC-selected phenotype core to the clinical baseline. Patient-grouped nested cross-validation produced out of fold probabilities. A transparently labelled secondary calibration rerun used outer-training cross fitted Platt calibration and paired bootstrap comparisons to determine whether any probability improvement was specific to the vascular core rather than to calibration itself.</w:t>
      </w:r>
    </w:p>
    <w:p w14:paraId="16C52242">
      <w:pPr>
        <w:pStyle w:val="4"/>
        <w:keepNext/>
        <w:spacing w:before="200" w:after="120" w:line="240" w:lineRule="auto"/>
        <w:jc w:val="left"/>
      </w:pPr>
      <w:r>
        <w:rPr>
          <w:rFonts w:ascii="Times New Roman" w:hAnsi="Times New Roman" w:eastAsia="Times New Roman"/>
          <w:b/>
          <w:i w:val="0"/>
          <w:color w:val="000000"/>
          <w:sz w:val="24"/>
        </w:rPr>
        <w:t>2.7 Reporting hierarchy</w:t>
      </w:r>
    </w:p>
    <w:p w14:paraId="21B21BE1">
      <w:pPr>
        <w:pStyle w:val="18"/>
        <w:keepNext w:val="0"/>
        <w:spacing w:before="0" w:after="100" w:line="276" w:lineRule="auto"/>
        <w:jc w:val="both"/>
      </w:pPr>
      <w:r>
        <w:rPr>
          <w:rFonts w:ascii="Times New Roman" w:hAnsi="Times New Roman" w:eastAsia="Times New Roman"/>
          <w:b w:val="0"/>
          <w:i w:val="0"/>
          <w:color w:val="000000"/>
          <w:sz w:val="24"/>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pStyle w:val="3"/>
        <w:keepNext/>
        <w:spacing w:before="200" w:after="120" w:line="240" w:lineRule="auto"/>
        <w:jc w:val="left"/>
      </w:pPr>
      <w:r>
        <w:rPr>
          <w:rFonts w:ascii="Times New Roman" w:hAnsi="Times New Roman" w:eastAsia="Times New Roman"/>
          <w:b/>
          <w:i w:val="0"/>
          <w:color w:val="000000"/>
          <w:sz w:val="28"/>
        </w:rPr>
        <w:t>3. Results</w:t>
      </w:r>
    </w:p>
    <w:p w14:paraId="3309F225">
      <w:pPr>
        <w:pStyle w:val="4"/>
        <w:keepNext/>
        <w:spacing w:before="200" w:after="120" w:line="240" w:lineRule="auto"/>
        <w:jc w:val="left"/>
      </w:pPr>
      <w:r>
        <w:rPr>
          <w:rFonts w:ascii="Times New Roman" w:hAnsi="Times New Roman" w:eastAsia="Times New Roman"/>
          <w:b/>
          <w:i w:val="0"/>
          <w:color w:val="000000"/>
          <w:sz w:val="24"/>
        </w:rPr>
        <w:t>3.1 Cross-domain measurement validity was heterogeneous</w:t>
      </w:r>
    </w:p>
    <w:p w14:paraId="7783EE23">
      <w:pPr>
        <w:pStyle w:val="18"/>
        <w:keepNext w:val="0"/>
        <w:spacing w:before="0" w:after="100" w:line="276" w:lineRule="auto"/>
        <w:jc w:val="both"/>
      </w:pPr>
      <w:r>
        <w:rPr>
          <w:rFonts w:ascii="Times New Roman" w:hAnsi="Times New Roman" w:eastAsia="Times New Roman"/>
          <w:b w:val="0"/>
          <w:i w:val="0"/>
          <w:color w:val="000000"/>
          <w:sz w:val="24"/>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pStyle w:val="18"/>
        <w:keepNext w:val="0"/>
        <w:spacing w:before="0" w:after="100" w:line="276" w:lineRule="auto"/>
        <w:jc w:val="both"/>
      </w:pPr>
      <w:r>
        <w:rPr>
          <w:rFonts w:ascii="Times New Roman" w:hAnsi="Times New Roman" w:eastAsia="Times New Roman"/>
          <w:b w:val="0"/>
          <w:i w:val="0"/>
          <w:color w:val="000000"/>
          <w:sz w:val="24"/>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pStyle w:val="18"/>
        <w:keepNext w:val="0"/>
        <w:spacing w:before="0" w:after="100" w:line="276" w:lineRule="auto"/>
        <w:jc w:val="both"/>
      </w:pPr>
      <w:r>
        <w:rPr>
          <w:rFonts w:ascii="Times New Roman" w:hAnsi="Times New Roman" w:eastAsia="Times New Roman"/>
          <w:b w:val="0"/>
          <w:i w:val="0"/>
          <w:color w:val="000000"/>
          <w:sz w:val="24"/>
        </w:rPr>
        <w:t>Absolute external performance remained moderate and strongly heterogeneous. For the Mass-UDCT readout, mean artery/vein Dice was 0.5743 in normal images, 0.5844 in AMD, 0.5808 in glaucoma, and 0.5037 in diabetic retinopathy. High-quality images achieved 0.5783 versus 0.4914 in low quality images. Figure 3 pairs real external images and masks with the prespecified disease and image-quality failure domains.</w:t>
      </w:r>
    </w:p>
    <w:p w14:paraId="68F1762E">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3. </w:t>
      </w:r>
      <w:r>
        <w:rPr>
          <w:rFonts w:hint="default" w:ascii="Times New Roman" w:hAnsi="Times New Roman" w:eastAsia="Times New Roman" w:cs="Times New Roman"/>
          <w:b w:val="0"/>
          <w:bCs/>
          <w:i w:val="0"/>
          <w:iCs/>
          <w:color w:val="000000"/>
          <w:sz w:val="24"/>
        </w:rPr>
        <w:t>Cross-domain measurement validity and failure domains. Panel A contrasts real RAV and Fundus-AVSeg photographs with frozen identity and dual-readout outputs. Panel B reports exact mean artery/vein Dice and the prespecified disease and image-quality strata that expose failure domains. The Mass-UDCT paired gain occurred in all 100 locked Fundus-AVSeg images, but it did not remove marked domain heterogeneity.</w:t>
      </w:r>
    </w:p>
    <w:p w14:paraId="178159CD">
      <w:pPr>
        <w:keepNext/>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Table 2. </w:t>
      </w:r>
      <w:r>
        <w:rPr>
          <w:rFonts w:hint="default" w:ascii="Times New Roman" w:hAnsi="Times New Roman" w:eastAsia="Times New Roman" w:cs="Times New Roman"/>
          <w:b w:val="0"/>
          <w:bCs/>
          <w:i w:val="0"/>
          <w:iCs/>
          <w:color w:val="000000"/>
          <w:sz w:val="24"/>
        </w:rPr>
        <w:t>External measurement performance. Lower is better only for A/V ratio log error.</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1698"/>
        <w:gridCol w:w="837"/>
        <w:gridCol w:w="858"/>
        <w:gridCol w:w="824"/>
        <w:gridCol w:w="875"/>
        <w:gridCol w:w="1019"/>
        <w:gridCol w:w="888"/>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before="0" w:after="0" w:line="240" w:lineRule="auto"/>
              <w:jc w:val="center"/>
            </w:pPr>
            <w:r>
              <w:rPr>
                <w:rFonts w:ascii="Times New Roman" w:hAnsi="Times New Roman" w:eastAsia="Times New Roman"/>
                <w:b/>
                <w:i w:val="0"/>
                <w:color w:val="000000"/>
                <w:sz w:val="21"/>
              </w:rPr>
              <w:t>Cohort</w:t>
            </w:r>
          </w:p>
        </w:tc>
        <w:tc>
          <w:tcPr>
            <w:tcW w:w="1440" w:type="dxa"/>
            <w:shd w:val="clear" w:color="auto" w:fill="48345F"/>
            <w:tcMar>
              <w:top w:w="75" w:type="dxa"/>
              <w:left w:w="85" w:type="dxa"/>
              <w:bottom w:w="75" w:type="dxa"/>
              <w:right w:w="85" w:type="dxa"/>
            </w:tcMar>
            <w:vAlign w:val="center"/>
          </w:tcPr>
          <w:p w14:paraId="2B32D46E">
            <w:pPr>
              <w:spacing w:before="0" w:after="0" w:line="240" w:lineRule="auto"/>
              <w:jc w:val="center"/>
            </w:pPr>
            <w:r>
              <w:rPr>
                <w:rFonts w:ascii="Times New Roman" w:hAnsi="Times New Roman" w:eastAsia="Times New Roman"/>
                <w:b/>
                <w:i w:val="0"/>
                <w:color w:val="000000"/>
                <w:sz w:val="21"/>
              </w:rPr>
              <w:t>Readout</w:t>
            </w:r>
          </w:p>
        </w:tc>
        <w:tc>
          <w:tcPr>
            <w:tcW w:w="1051" w:type="dxa"/>
            <w:shd w:val="clear" w:color="auto" w:fill="48345F"/>
            <w:tcMar>
              <w:top w:w="75" w:type="dxa"/>
              <w:left w:w="85" w:type="dxa"/>
              <w:bottom w:w="75" w:type="dxa"/>
              <w:right w:w="85" w:type="dxa"/>
            </w:tcMar>
            <w:vAlign w:val="center"/>
          </w:tcPr>
          <w:p w14:paraId="531EBCB0">
            <w:pPr>
              <w:spacing w:before="0" w:after="0" w:line="240" w:lineRule="auto"/>
              <w:jc w:val="center"/>
            </w:pPr>
            <w:r>
              <w:rPr>
                <w:rFonts w:ascii="Times New Roman" w:hAnsi="Times New Roman" w:eastAsia="Times New Roman"/>
                <w:b/>
                <w:i w:val="0"/>
                <w:color w:val="000000"/>
                <w:sz w:val="21"/>
              </w:rPr>
              <w:t>Vessel Dice</w:t>
            </w:r>
          </w:p>
        </w:tc>
        <w:tc>
          <w:tcPr>
            <w:tcW w:w="1051" w:type="dxa"/>
            <w:shd w:val="clear" w:color="auto" w:fill="48345F"/>
            <w:tcMar>
              <w:top w:w="75" w:type="dxa"/>
              <w:left w:w="85" w:type="dxa"/>
              <w:bottom w:w="75" w:type="dxa"/>
              <w:right w:w="85" w:type="dxa"/>
            </w:tcMar>
            <w:vAlign w:val="center"/>
          </w:tcPr>
          <w:p w14:paraId="505AD61E">
            <w:pPr>
              <w:spacing w:before="0" w:after="0" w:line="240" w:lineRule="auto"/>
              <w:jc w:val="center"/>
            </w:pPr>
            <w:r>
              <w:rPr>
                <w:rFonts w:ascii="Times New Roman" w:hAnsi="Times New Roman" w:eastAsia="Times New Roman"/>
                <w:b/>
                <w:i w:val="0"/>
                <w:color w:val="000000"/>
                <w:sz w:val="21"/>
              </w:rPr>
              <w:t>Artery Dice</w:t>
            </w:r>
          </w:p>
        </w:tc>
        <w:tc>
          <w:tcPr>
            <w:tcW w:w="1008" w:type="dxa"/>
            <w:shd w:val="clear" w:color="auto" w:fill="48345F"/>
            <w:tcMar>
              <w:top w:w="75" w:type="dxa"/>
              <w:left w:w="85" w:type="dxa"/>
              <w:bottom w:w="75" w:type="dxa"/>
              <w:right w:w="85" w:type="dxa"/>
            </w:tcMar>
            <w:vAlign w:val="center"/>
          </w:tcPr>
          <w:p w14:paraId="7FD8E1E3">
            <w:pPr>
              <w:spacing w:before="0" w:after="0" w:line="240" w:lineRule="auto"/>
              <w:jc w:val="center"/>
            </w:pPr>
            <w:r>
              <w:rPr>
                <w:rFonts w:ascii="Times New Roman" w:hAnsi="Times New Roman" w:eastAsia="Times New Roman"/>
                <w:b/>
                <w:i w:val="0"/>
                <w:color w:val="000000"/>
                <w:sz w:val="21"/>
              </w:rPr>
              <w:t>Vein Dice</w:t>
            </w:r>
          </w:p>
        </w:tc>
        <w:tc>
          <w:tcPr>
            <w:tcW w:w="1181" w:type="dxa"/>
            <w:shd w:val="clear" w:color="auto" w:fill="48345F"/>
            <w:tcMar>
              <w:top w:w="75" w:type="dxa"/>
              <w:left w:w="85" w:type="dxa"/>
              <w:bottom w:w="75" w:type="dxa"/>
              <w:right w:w="85" w:type="dxa"/>
            </w:tcMar>
            <w:vAlign w:val="center"/>
          </w:tcPr>
          <w:p w14:paraId="58582E2C">
            <w:pPr>
              <w:spacing w:before="0" w:after="0" w:line="240" w:lineRule="auto"/>
              <w:jc w:val="center"/>
            </w:pPr>
            <w:r>
              <w:rPr>
                <w:rFonts w:ascii="Times New Roman" w:hAnsi="Times New Roman" w:eastAsia="Times New Roman"/>
                <w:b/>
                <w:i w:val="0"/>
                <w:color w:val="000000"/>
                <w:sz w:val="21"/>
              </w:rPr>
              <w:t>Mean A/V Dice</w:t>
            </w:r>
          </w:p>
        </w:tc>
        <w:tc>
          <w:tcPr>
            <w:tcW w:w="1123" w:type="dxa"/>
            <w:shd w:val="clear" w:color="auto" w:fill="48345F"/>
            <w:tcMar>
              <w:top w:w="75" w:type="dxa"/>
              <w:left w:w="85" w:type="dxa"/>
              <w:bottom w:w="75" w:type="dxa"/>
              <w:right w:w="85" w:type="dxa"/>
            </w:tcMar>
            <w:vAlign w:val="center"/>
          </w:tcPr>
          <w:p w14:paraId="3488F0C7">
            <w:pPr>
              <w:spacing w:before="0" w:after="0" w:line="240" w:lineRule="auto"/>
              <w:jc w:val="center"/>
            </w:pPr>
            <w:r>
              <w:rPr>
                <w:rFonts w:ascii="Times New Roman" w:hAnsi="Times New Roman" w:eastAsia="Times New Roman"/>
                <w:b/>
                <w:i w:val="0"/>
                <w:color w:val="000000"/>
                <w:sz w:val="21"/>
              </w:rPr>
              <w:t>Type accuracy</w:t>
            </w:r>
          </w:p>
        </w:tc>
        <w:tc>
          <w:tcPr>
            <w:tcW w:w="1224" w:type="dxa"/>
            <w:shd w:val="clear" w:color="auto" w:fill="48345F"/>
            <w:tcMar>
              <w:top w:w="75" w:type="dxa"/>
              <w:left w:w="85" w:type="dxa"/>
              <w:bottom w:w="75" w:type="dxa"/>
              <w:right w:w="85" w:type="dxa"/>
            </w:tcMar>
            <w:vAlign w:val="center"/>
          </w:tcPr>
          <w:p w14:paraId="4C8E7532">
            <w:pPr>
              <w:spacing w:before="0" w:after="0" w:line="240" w:lineRule="auto"/>
              <w:jc w:val="center"/>
            </w:pPr>
            <w:r>
              <w:rPr>
                <w:rFonts w:ascii="Times New Roman" w:hAnsi="Times New Roman" w:eastAsia="Times New Roman"/>
                <w:b/>
                <w:i w:val="0"/>
                <w:color w:val="000000"/>
                <w:sz w:val="21"/>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before="0" w:after="0" w:line="240" w:lineRule="auto"/>
              <w:jc w:val="left"/>
            </w:pPr>
            <w:r>
              <w:rPr>
                <w:rFonts w:ascii="Times New Roman" w:hAnsi="Times New Roman" w:eastAsia="Times New Roman"/>
                <w:b w:val="0"/>
                <w:i w:val="0"/>
                <w:color w:val="000000"/>
                <w:sz w:val="21"/>
              </w:rPr>
              <w:t>RAV</w:t>
            </w:r>
          </w:p>
        </w:tc>
        <w:tc>
          <w:tcPr>
            <w:tcW w:w="1440" w:type="dxa"/>
            <w:shd w:val="clear" w:color="auto" w:fill="F3EDF9"/>
            <w:tcMar>
              <w:top w:w="75" w:type="dxa"/>
              <w:left w:w="85" w:type="dxa"/>
              <w:bottom w:w="75" w:type="dxa"/>
              <w:right w:w="85" w:type="dxa"/>
            </w:tcMar>
            <w:vAlign w:val="center"/>
          </w:tcPr>
          <w:p w14:paraId="0BBAA9AE">
            <w:pPr>
              <w:spacing w:before="0" w:after="0" w:line="240" w:lineRule="auto"/>
              <w:jc w:val="left"/>
            </w:pPr>
            <w:r>
              <w:rPr>
                <w:rFonts w:ascii="Times New Roman" w:hAnsi="Times New Roman" w:eastAsia="Times New Roman"/>
                <w:b w:val="0"/>
                <w:i w:val="0"/>
                <w:color w:val="000000"/>
                <w:sz w:val="21"/>
              </w:rPr>
              <w:t>VascX</w:t>
            </w:r>
          </w:p>
        </w:tc>
        <w:tc>
          <w:tcPr>
            <w:tcW w:w="1051" w:type="dxa"/>
            <w:shd w:val="clear" w:color="auto" w:fill="F3EDF9"/>
            <w:tcMar>
              <w:top w:w="75" w:type="dxa"/>
              <w:left w:w="85" w:type="dxa"/>
              <w:bottom w:w="75" w:type="dxa"/>
              <w:right w:w="85" w:type="dxa"/>
            </w:tcMar>
            <w:vAlign w:val="center"/>
          </w:tcPr>
          <w:p w14:paraId="7EDA0A2B">
            <w:pPr>
              <w:spacing w:before="0" w:after="0" w:line="240" w:lineRule="auto"/>
              <w:jc w:val="left"/>
            </w:pPr>
            <w:r>
              <w:rPr>
                <w:rFonts w:ascii="Times New Roman" w:hAnsi="Times New Roman" w:eastAsia="Times New Roman"/>
                <w:b w:val="0"/>
                <w:i w:val="0"/>
                <w:color w:val="000000"/>
                <w:sz w:val="21"/>
              </w:rPr>
              <w:t>—</w:t>
            </w:r>
          </w:p>
        </w:tc>
        <w:tc>
          <w:tcPr>
            <w:tcW w:w="1051" w:type="dxa"/>
            <w:shd w:val="clear" w:color="auto" w:fill="F3EDF9"/>
            <w:tcMar>
              <w:top w:w="75" w:type="dxa"/>
              <w:left w:w="85" w:type="dxa"/>
              <w:bottom w:w="75" w:type="dxa"/>
              <w:right w:w="85" w:type="dxa"/>
            </w:tcMar>
            <w:vAlign w:val="center"/>
          </w:tcPr>
          <w:p w14:paraId="02DCC868">
            <w:pPr>
              <w:spacing w:before="0" w:after="0" w:line="240" w:lineRule="auto"/>
              <w:jc w:val="left"/>
            </w:pPr>
            <w:r>
              <w:rPr>
                <w:rFonts w:ascii="Times New Roman" w:hAnsi="Times New Roman" w:eastAsia="Times New Roman"/>
                <w:b w:val="0"/>
                <w:i w:val="0"/>
                <w:color w:val="000000"/>
                <w:sz w:val="21"/>
              </w:rPr>
              <w:t>0.8119</w:t>
            </w:r>
          </w:p>
        </w:tc>
        <w:tc>
          <w:tcPr>
            <w:tcW w:w="1008" w:type="dxa"/>
            <w:shd w:val="clear" w:color="auto" w:fill="F3EDF9"/>
            <w:tcMar>
              <w:top w:w="75" w:type="dxa"/>
              <w:left w:w="85" w:type="dxa"/>
              <w:bottom w:w="75" w:type="dxa"/>
              <w:right w:w="85" w:type="dxa"/>
            </w:tcMar>
            <w:vAlign w:val="center"/>
          </w:tcPr>
          <w:p w14:paraId="519AB7E0">
            <w:pPr>
              <w:spacing w:before="0" w:after="0" w:line="240" w:lineRule="auto"/>
              <w:jc w:val="left"/>
            </w:pPr>
            <w:r>
              <w:rPr>
                <w:rFonts w:ascii="Times New Roman" w:hAnsi="Times New Roman" w:eastAsia="Times New Roman"/>
                <w:b w:val="0"/>
                <w:i w:val="0"/>
                <w:color w:val="000000"/>
                <w:sz w:val="21"/>
              </w:rPr>
              <w:t>0.8393</w:t>
            </w:r>
          </w:p>
        </w:tc>
        <w:tc>
          <w:tcPr>
            <w:tcW w:w="1181" w:type="dxa"/>
            <w:shd w:val="clear" w:color="auto" w:fill="F3EDF9"/>
            <w:tcMar>
              <w:top w:w="75" w:type="dxa"/>
              <w:left w:w="85" w:type="dxa"/>
              <w:bottom w:w="75" w:type="dxa"/>
              <w:right w:w="85" w:type="dxa"/>
            </w:tcMar>
            <w:vAlign w:val="center"/>
          </w:tcPr>
          <w:p w14:paraId="6FC64B42">
            <w:pPr>
              <w:spacing w:before="0" w:after="0" w:line="240" w:lineRule="auto"/>
              <w:jc w:val="left"/>
            </w:pPr>
            <w:r>
              <w:rPr>
                <w:rFonts w:ascii="Times New Roman" w:hAnsi="Times New Roman" w:eastAsia="Times New Roman"/>
                <w:b w:val="0"/>
                <w:i w:val="0"/>
                <w:color w:val="000000"/>
                <w:sz w:val="21"/>
              </w:rPr>
              <w:t>0.8256</w:t>
            </w:r>
          </w:p>
        </w:tc>
        <w:tc>
          <w:tcPr>
            <w:tcW w:w="1123" w:type="dxa"/>
            <w:shd w:val="clear" w:color="auto" w:fill="F3EDF9"/>
            <w:tcMar>
              <w:top w:w="75" w:type="dxa"/>
              <w:left w:w="85" w:type="dxa"/>
              <w:bottom w:w="75" w:type="dxa"/>
              <w:right w:w="85" w:type="dxa"/>
            </w:tcMar>
            <w:vAlign w:val="center"/>
          </w:tcPr>
          <w:p w14:paraId="1CB5D073">
            <w:pPr>
              <w:spacing w:before="0" w:after="0" w:line="240" w:lineRule="auto"/>
              <w:jc w:val="left"/>
            </w:pPr>
            <w:r>
              <w:rPr>
                <w:rFonts w:ascii="Times New Roman" w:hAnsi="Times New Roman" w:eastAsia="Times New Roman"/>
                <w:b w:val="0"/>
                <w:i w:val="0"/>
                <w:color w:val="000000"/>
                <w:sz w:val="21"/>
              </w:rPr>
              <w:t>0.8105</w:t>
            </w:r>
          </w:p>
        </w:tc>
        <w:tc>
          <w:tcPr>
            <w:tcW w:w="1224" w:type="dxa"/>
            <w:shd w:val="clear" w:color="auto" w:fill="F3EDF9"/>
            <w:tcMar>
              <w:top w:w="75" w:type="dxa"/>
              <w:left w:w="85" w:type="dxa"/>
              <w:bottom w:w="75" w:type="dxa"/>
              <w:right w:w="85" w:type="dxa"/>
            </w:tcMar>
            <w:vAlign w:val="center"/>
          </w:tcPr>
          <w:p w14:paraId="53440341">
            <w:pPr>
              <w:spacing w:before="0" w:after="0" w:line="240" w:lineRule="auto"/>
              <w:jc w:val="left"/>
            </w:pPr>
            <w:r>
              <w:rPr>
                <w:rFonts w:ascii="Times New Roman" w:hAnsi="Times New Roman" w:eastAsia="Times New Roman"/>
                <w:b w:val="0"/>
                <w:i w:val="0"/>
                <w:color w:val="000000"/>
                <w:sz w:val="21"/>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before="0" w:after="0" w:line="240" w:lineRule="auto"/>
              <w:jc w:val="left"/>
            </w:pPr>
            <w:r>
              <w:rPr>
                <w:rFonts w:ascii="Times New Roman" w:hAnsi="Times New Roman" w:eastAsia="Times New Roman"/>
                <w:b w:val="0"/>
                <w:i w:val="0"/>
                <w:color w:val="000000"/>
                <w:sz w:val="21"/>
              </w:rPr>
              <w:t>Fundus-AVSeg</w:t>
            </w:r>
          </w:p>
        </w:tc>
        <w:tc>
          <w:tcPr>
            <w:tcW w:w="1440" w:type="dxa"/>
            <w:shd w:val="clear" w:color="auto" w:fill="FFFFFF"/>
            <w:tcMar>
              <w:top w:w="75" w:type="dxa"/>
              <w:left w:w="85" w:type="dxa"/>
              <w:bottom w:w="75" w:type="dxa"/>
              <w:right w:w="85" w:type="dxa"/>
            </w:tcMar>
            <w:vAlign w:val="center"/>
          </w:tcPr>
          <w:p w14:paraId="1655CC1C">
            <w:pPr>
              <w:spacing w:before="0" w:after="0" w:line="240" w:lineRule="auto"/>
              <w:jc w:val="left"/>
            </w:pPr>
            <w:r>
              <w:rPr>
                <w:rFonts w:ascii="Times New Roman" w:hAnsi="Times New Roman" w:eastAsia="Times New Roman"/>
                <w:b w:val="0"/>
                <w:i w:val="0"/>
                <w:color w:val="000000"/>
                <w:sz w:val="21"/>
              </w:rPr>
              <w:t>VascX</w:t>
            </w:r>
          </w:p>
        </w:tc>
        <w:tc>
          <w:tcPr>
            <w:tcW w:w="1051" w:type="dxa"/>
            <w:shd w:val="clear" w:color="auto" w:fill="FFFFFF"/>
            <w:tcMar>
              <w:top w:w="75" w:type="dxa"/>
              <w:left w:w="85" w:type="dxa"/>
              <w:bottom w:w="75" w:type="dxa"/>
              <w:right w:w="85" w:type="dxa"/>
            </w:tcMar>
            <w:vAlign w:val="center"/>
          </w:tcPr>
          <w:p w14:paraId="43D525F5">
            <w:pPr>
              <w:spacing w:before="0" w:after="0" w:line="240" w:lineRule="auto"/>
              <w:jc w:val="left"/>
            </w:pPr>
            <w:r>
              <w:rPr>
                <w:rFonts w:ascii="Times New Roman" w:hAnsi="Times New Roman" w:eastAsia="Times New Roman"/>
                <w:b w:val="0"/>
                <w:i w:val="0"/>
                <w:color w:val="000000"/>
                <w:sz w:val="21"/>
              </w:rPr>
              <w:t>0.5898</w:t>
            </w:r>
          </w:p>
        </w:tc>
        <w:tc>
          <w:tcPr>
            <w:tcW w:w="1051" w:type="dxa"/>
            <w:shd w:val="clear" w:color="auto" w:fill="FFFFFF"/>
            <w:tcMar>
              <w:top w:w="75" w:type="dxa"/>
              <w:left w:w="85" w:type="dxa"/>
              <w:bottom w:w="75" w:type="dxa"/>
              <w:right w:w="85" w:type="dxa"/>
            </w:tcMar>
            <w:vAlign w:val="center"/>
          </w:tcPr>
          <w:p w14:paraId="43A614C4">
            <w:pPr>
              <w:spacing w:before="0" w:after="0" w:line="240" w:lineRule="auto"/>
              <w:jc w:val="left"/>
            </w:pPr>
            <w:r>
              <w:rPr>
                <w:rFonts w:ascii="Times New Roman" w:hAnsi="Times New Roman" w:eastAsia="Times New Roman"/>
                <w:b w:val="0"/>
                <w:i w:val="0"/>
                <w:color w:val="000000"/>
                <w:sz w:val="21"/>
              </w:rPr>
              <w:t>0.5461</w:t>
            </w:r>
          </w:p>
        </w:tc>
        <w:tc>
          <w:tcPr>
            <w:tcW w:w="1008" w:type="dxa"/>
            <w:shd w:val="clear" w:color="auto" w:fill="FFFFFF"/>
            <w:tcMar>
              <w:top w:w="75" w:type="dxa"/>
              <w:left w:w="85" w:type="dxa"/>
              <w:bottom w:w="75" w:type="dxa"/>
              <w:right w:w="85" w:type="dxa"/>
            </w:tcMar>
            <w:vAlign w:val="center"/>
          </w:tcPr>
          <w:p w14:paraId="508EA6DC">
            <w:pPr>
              <w:spacing w:before="0" w:after="0" w:line="240" w:lineRule="auto"/>
              <w:jc w:val="left"/>
            </w:pPr>
            <w:r>
              <w:rPr>
                <w:rFonts w:ascii="Times New Roman" w:hAnsi="Times New Roman" w:eastAsia="Times New Roman"/>
                <w:b w:val="0"/>
                <w:i w:val="0"/>
                <w:color w:val="000000"/>
                <w:sz w:val="21"/>
              </w:rPr>
              <w:t>0.5629</w:t>
            </w:r>
          </w:p>
        </w:tc>
        <w:tc>
          <w:tcPr>
            <w:tcW w:w="1181" w:type="dxa"/>
            <w:shd w:val="clear" w:color="auto" w:fill="FFFFFF"/>
            <w:tcMar>
              <w:top w:w="75" w:type="dxa"/>
              <w:left w:w="85" w:type="dxa"/>
              <w:bottom w:w="75" w:type="dxa"/>
              <w:right w:w="85" w:type="dxa"/>
            </w:tcMar>
            <w:vAlign w:val="center"/>
          </w:tcPr>
          <w:p w14:paraId="77D51564">
            <w:pPr>
              <w:spacing w:before="0" w:after="0" w:line="240" w:lineRule="auto"/>
              <w:jc w:val="left"/>
            </w:pPr>
            <w:r>
              <w:rPr>
                <w:rFonts w:ascii="Times New Roman" w:hAnsi="Times New Roman" w:eastAsia="Times New Roman"/>
                <w:b w:val="0"/>
                <w:i w:val="0"/>
                <w:color w:val="000000"/>
                <w:sz w:val="21"/>
              </w:rPr>
              <w:t>0.5545</w:t>
            </w:r>
          </w:p>
        </w:tc>
        <w:tc>
          <w:tcPr>
            <w:tcW w:w="1123" w:type="dxa"/>
            <w:shd w:val="clear" w:color="auto" w:fill="FFFFFF"/>
            <w:tcMar>
              <w:top w:w="75" w:type="dxa"/>
              <w:left w:w="85" w:type="dxa"/>
              <w:bottom w:w="75" w:type="dxa"/>
              <w:right w:w="85" w:type="dxa"/>
            </w:tcMar>
            <w:vAlign w:val="center"/>
          </w:tcPr>
          <w:p w14:paraId="7C6B54AF">
            <w:pPr>
              <w:spacing w:before="0" w:after="0" w:line="240" w:lineRule="auto"/>
              <w:jc w:val="left"/>
            </w:pPr>
            <w:r>
              <w:rPr>
                <w:rFonts w:ascii="Times New Roman" w:hAnsi="Times New Roman" w:eastAsia="Times New Roman"/>
                <w:b w:val="0"/>
                <w:i w:val="0"/>
                <w:color w:val="000000"/>
                <w:sz w:val="21"/>
              </w:rPr>
              <w:t>0.5057</w:t>
            </w:r>
          </w:p>
        </w:tc>
        <w:tc>
          <w:tcPr>
            <w:tcW w:w="1224" w:type="dxa"/>
            <w:shd w:val="clear" w:color="auto" w:fill="FFFFFF"/>
            <w:tcMar>
              <w:top w:w="75" w:type="dxa"/>
              <w:left w:w="85" w:type="dxa"/>
              <w:bottom w:w="75" w:type="dxa"/>
              <w:right w:w="85" w:type="dxa"/>
            </w:tcMar>
            <w:vAlign w:val="center"/>
          </w:tcPr>
          <w:p w14:paraId="5CACFC47">
            <w:pPr>
              <w:spacing w:before="0" w:after="0" w:line="240" w:lineRule="auto"/>
              <w:jc w:val="left"/>
            </w:pPr>
            <w:r>
              <w:rPr>
                <w:rFonts w:ascii="Times New Roman" w:hAnsi="Times New Roman" w:eastAsia="Times New Roman"/>
                <w:b w:val="0"/>
                <w:i w:val="0"/>
                <w:color w:val="000000"/>
                <w:sz w:val="21"/>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before="0" w:after="0" w:line="240" w:lineRule="auto"/>
              <w:jc w:val="left"/>
            </w:pPr>
            <w:r>
              <w:rPr>
                <w:rFonts w:ascii="Times New Roman" w:hAnsi="Times New Roman" w:eastAsia="Times New Roman"/>
                <w:b w:val="0"/>
                <w:i w:val="0"/>
                <w:color w:val="000000"/>
                <w:sz w:val="21"/>
              </w:rPr>
              <w:t>Fundus-AVSeg</w:t>
            </w:r>
          </w:p>
        </w:tc>
        <w:tc>
          <w:tcPr>
            <w:tcW w:w="1440" w:type="dxa"/>
            <w:shd w:val="clear" w:color="auto" w:fill="F3EDF9"/>
            <w:tcMar>
              <w:top w:w="75" w:type="dxa"/>
              <w:left w:w="85" w:type="dxa"/>
              <w:bottom w:w="75" w:type="dxa"/>
              <w:right w:w="85" w:type="dxa"/>
            </w:tcMar>
            <w:vAlign w:val="center"/>
          </w:tcPr>
          <w:p w14:paraId="613A3ECC">
            <w:pPr>
              <w:spacing w:before="0" w:after="0" w:line="240" w:lineRule="auto"/>
              <w:jc w:val="left"/>
            </w:pPr>
            <w:r>
              <w:rPr>
                <w:rFonts w:ascii="Times New Roman" w:hAnsi="Times New Roman" w:eastAsia="Times New Roman"/>
                <w:b w:val="0"/>
                <w:i w:val="0"/>
                <w:color w:val="000000"/>
                <w:sz w:val="21"/>
              </w:rPr>
              <w:t>Mass-UDCT</w:t>
            </w:r>
          </w:p>
        </w:tc>
        <w:tc>
          <w:tcPr>
            <w:tcW w:w="1051" w:type="dxa"/>
            <w:shd w:val="clear" w:color="auto" w:fill="F3EDF9"/>
            <w:tcMar>
              <w:top w:w="75" w:type="dxa"/>
              <w:left w:w="85" w:type="dxa"/>
              <w:bottom w:w="75" w:type="dxa"/>
              <w:right w:w="85" w:type="dxa"/>
            </w:tcMar>
            <w:vAlign w:val="center"/>
          </w:tcPr>
          <w:p w14:paraId="756ACF2D">
            <w:pPr>
              <w:spacing w:before="0" w:after="0" w:line="240" w:lineRule="auto"/>
              <w:jc w:val="left"/>
            </w:pPr>
            <w:r>
              <w:rPr>
                <w:rFonts w:ascii="Times New Roman" w:hAnsi="Times New Roman" w:eastAsia="Times New Roman"/>
                <w:b w:val="0"/>
                <w:i w:val="0"/>
                <w:color w:val="000000"/>
                <w:sz w:val="21"/>
              </w:rPr>
              <w:t>0.6019</w:t>
            </w:r>
          </w:p>
        </w:tc>
        <w:tc>
          <w:tcPr>
            <w:tcW w:w="1051" w:type="dxa"/>
            <w:shd w:val="clear" w:color="auto" w:fill="F3EDF9"/>
            <w:tcMar>
              <w:top w:w="75" w:type="dxa"/>
              <w:left w:w="85" w:type="dxa"/>
              <w:bottom w:w="75" w:type="dxa"/>
              <w:right w:w="85" w:type="dxa"/>
            </w:tcMar>
            <w:vAlign w:val="center"/>
          </w:tcPr>
          <w:p w14:paraId="604AE8F4">
            <w:pPr>
              <w:spacing w:before="0" w:after="0" w:line="240" w:lineRule="auto"/>
              <w:jc w:val="left"/>
            </w:pPr>
            <w:r>
              <w:rPr>
                <w:rFonts w:ascii="Times New Roman" w:hAnsi="Times New Roman" w:eastAsia="Times New Roman"/>
                <w:b w:val="0"/>
                <w:i w:val="0"/>
                <w:color w:val="000000"/>
                <w:sz w:val="21"/>
              </w:rPr>
              <w:t>0.5553</w:t>
            </w:r>
          </w:p>
        </w:tc>
        <w:tc>
          <w:tcPr>
            <w:tcW w:w="1008" w:type="dxa"/>
            <w:shd w:val="clear" w:color="auto" w:fill="F3EDF9"/>
            <w:tcMar>
              <w:top w:w="75" w:type="dxa"/>
              <w:left w:w="85" w:type="dxa"/>
              <w:bottom w:w="75" w:type="dxa"/>
              <w:right w:w="85" w:type="dxa"/>
            </w:tcMar>
            <w:vAlign w:val="center"/>
          </w:tcPr>
          <w:p w14:paraId="50F24DFE">
            <w:pPr>
              <w:spacing w:before="0" w:after="0" w:line="240" w:lineRule="auto"/>
              <w:jc w:val="left"/>
            </w:pPr>
            <w:r>
              <w:rPr>
                <w:rFonts w:ascii="Times New Roman" w:hAnsi="Times New Roman" w:eastAsia="Times New Roman"/>
                <w:b w:val="0"/>
                <w:i w:val="0"/>
                <w:color w:val="000000"/>
                <w:sz w:val="21"/>
              </w:rPr>
              <w:t>0.5716</w:t>
            </w:r>
          </w:p>
        </w:tc>
        <w:tc>
          <w:tcPr>
            <w:tcW w:w="1181" w:type="dxa"/>
            <w:shd w:val="clear" w:color="auto" w:fill="F3EDF9"/>
            <w:tcMar>
              <w:top w:w="75" w:type="dxa"/>
              <w:left w:w="85" w:type="dxa"/>
              <w:bottom w:w="75" w:type="dxa"/>
              <w:right w:w="85" w:type="dxa"/>
            </w:tcMar>
            <w:vAlign w:val="center"/>
          </w:tcPr>
          <w:p w14:paraId="02C02CBB">
            <w:pPr>
              <w:spacing w:before="0" w:after="0" w:line="240" w:lineRule="auto"/>
              <w:jc w:val="left"/>
            </w:pPr>
            <w:r>
              <w:rPr>
                <w:rFonts w:ascii="Times New Roman" w:hAnsi="Times New Roman" w:eastAsia="Times New Roman"/>
                <w:b w:val="0"/>
                <w:i w:val="0"/>
                <w:color w:val="000000"/>
                <w:sz w:val="21"/>
              </w:rPr>
              <w:t>0.5635</w:t>
            </w:r>
          </w:p>
        </w:tc>
        <w:tc>
          <w:tcPr>
            <w:tcW w:w="1123" w:type="dxa"/>
            <w:shd w:val="clear" w:color="auto" w:fill="F3EDF9"/>
            <w:tcMar>
              <w:top w:w="75" w:type="dxa"/>
              <w:left w:w="85" w:type="dxa"/>
              <w:bottom w:w="75" w:type="dxa"/>
              <w:right w:w="85" w:type="dxa"/>
            </w:tcMar>
            <w:vAlign w:val="center"/>
          </w:tcPr>
          <w:p w14:paraId="39CC694F">
            <w:pPr>
              <w:spacing w:before="0" w:after="0" w:line="240" w:lineRule="auto"/>
              <w:jc w:val="left"/>
            </w:pPr>
            <w:r>
              <w:rPr>
                <w:rFonts w:ascii="Times New Roman" w:hAnsi="Times New Roman" w:eastAsia="Times New Roman"/>
                <w:b w:val="0"/>
                <w:i w:val="0"/>
                <w:color w:val="000000"/>
                <w:sz w:val="21"/>
              </w:rPr>
              <w:t>0.5328</w:t>
            </w:r>
          </w:p>
        </w:tc>
        <w:tc>
          <w:tcPr>
            <w:tcW w:w="1224" w:type="dxa"/>
            <w:shd w:val="clear" w:color="auto" w:fill="F3EDF9"/>
            <w:tcMar>
              <w:top w:w="75" w:type="dxa"/>
              <w:left w:w="85" w:type="dxa"/>
              <w:bottom w:w="75" w:type="dxa"/>
              <w:right w:w="85" w:type="dxa"/>
            </w:tcMar>
            <w:vAlign w:val="center"/>
          </w:tcPr>
          <w:p w14:paraId="604FFA58">
            <w:pPr>
              <w:spacing w:before="0" w:after="0" w:line="240" w:lineRule="auto"/>
              <w:jc w:val="left"/>
            </w:pPr>
            <w:r>
              <w:rPr>
                <w:rFonts w:ascii="Times New Roman" w:hAnsi="Times New Roman" w:eastAsia="Times New Roman"/>
                <w:b w:val="0"/>
                <w:i w:val="0"/>
                <w:color w:val="000000"/>
                <w:sz w:val="21"/>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before="0" w:after="0" w:line="240" w:lineRule="auto"/>
              <w:jc w:val="left"/>
            </w:pPr>
            <w:r>
              <w:rPr>
                <w:rFonts w:ascii="Times New Roman" w:hAnsi="Times New Roman" w:eastAsia="Times New Roman"/>
                <w:b w:val="0"/>
                <w:i w:val="0"/>
                <w:color w:val="000000"/>
                <w:sz w:val="21"/>
              </w:rPr>
              <w:t>Fundus-AVSeg</w:t>
            </w:r>
          </w:p>
        </w:tc>
        <w:tc>
          <w:tcPr>
            <w:tcW w:w="1440" w:type="dxa"/>
            <w:shd w:val="clear" w:color="auto" w:fill="FFFFFF"/>
            <w:tcMar>
              <w:top w:w="75" w:type="dxa"/>
              <w:left w:w="85" w:type="dxa"/>
              <w:bottom w:w="75" w:type="dxa"/>
              <w:right w:w="85" w:type="dxa"/>
            </w:tcMar>
            <w:vAlign w:val="center"/>
          </w:tcPr>
          <w:p w14:paraId="33048597">
            <w:pPr>
              <w:spacing w:before="0" w:after="0" w:line="240" w:lineRule="auto"/>
              <w:jc w:val="left"/>
            </w:pPr>
            <w:r>
              <w:rPr>
                <w:rFonts w:ascii="Times New Roman" w:hAnsi="Times New Roman" w:eastAsia="Times New Roman"/>
                <w:b w:val="0"/>
                <w:i w:val="0"/>
                <w:color w:val="000000"/>
                <w:sz w:val="21"/>
              </w:rPr>
              <w:t>Factorized-UDCT</w:t>
            </w:r>
          </w:p>
        </w:tc>
        <w:tc>
          <w:tcPr>
            <w:tcW w:w="1051" w:type="dxa"/>
            <w:shd w:val="clear" w:color="auto" w:fill="FFFFFF"/>
            <w:tcMar>
              <w:top w:w="75" w:type="dxa"/>
              <w:left w:w="85" w:type="dxa"/>
              <w:bottom w:w="75" w:type="dxa"/>
              <w:right w:w="85" w:type="dxa"/>
            </w:tcMar>
            <w:vAlign w:val="center"/>
          </w:tcPr>
          <w:p w14:paraId="43FC03F7">
            <w:pPr>
              <w:spacing w:before="0" w:after="0" w:line="240" w:lineRule="auto"/>
              <w:jc w:val="left"/>
            </w:pPr>
            <w:r>
              <w:rPr>
                <w:rFonts w:ascii="Times New Roman" w:hAnsi="Times New Roman" w:eastAsia="Times New Roman"/>
                <w:b w:val="0"/>
                <w:i w:val="0"/>
                <w:color w:val="000000"/>
                <w:sz w:val="21"/>
              </w:rPr>
              <w:t>0.5929</w:t>
            </w:r>
          </w:p>
        </w:tc>
        <w:tc>
          <w:tcPr>
            <w:tcW w:w="1051" w:type="dxa"/>
            <w:shd w:val="clear" w:color="auto" w:fill="FFFFFF"/>
            <w:tcMar>
              <w:top w:w="75" w:type="dxa"/>
              <w:left w:w="85" w:type="dxa"/>
              <w:bottom w:w="75" w:type="dxa"/>
              <w:right w:w="85" w:type="dxa"/>
            </w:tcMar>
            <w:vAlign w:val="center"/>
          </w:tcPr>
          <w:p w14:paraId="6CCA18CD">
            <w:pPr>
              <w:spacing w:before="0" w:after="0" w:line="240" w:lineRule="auto"/>
              <w:jc w:val="left"/>
            </w:pPr>
            <w:r>
              <w:rPr>
                <w:rFonts w:ascii="Times New Roman" w:hAnsi="Times New Roman" w:eastAsia="Times New Roman"/>
                <w:b w:val="0"/>
                <w:i w:val="0"/>
                <w:color w:val="000000"/>
                <w:sz w:val="21"/>
              </w:rPr>
              <w:t>0.5479</w:t>
            </w:r>
          </w:p>
        </w:tc>
        <w:tc>
          <w:tcPr>
            <w:tcW w:w="1008" w:type="dxa"/>
            <w:shd w:val="clear" w:color="auto" w:fill="FFFFFF"/>
            <w:tcMar>
              <w:top w:w="75" w:type="dxa"/>
              <w:left w:w="85" w:type="dxa"/>
              <w:bottom w:w="75" w:type="dxa"/>
              <w:right w:w="85" w:type="dxa"/>
            </w:tcMar>
            <w:vAlign w:val="center"/>
          </w:tcPr>
          <w:p w14:paraId="654563CE">
            <w:pPr>
              <w:spacing w:before="0" w:after="0" w:line="240" w:lineRule="auto"/>
              <w:jc w:val="left"/>
            </w:pPr>
            <w:r>
              <w:rPr>
                <w:rFonts w:ascii="Times New Roman" w:hAnsi="Times New Roman" w:eastAsia="Times New Roman"/>
                <w:b w:val="0"/>
                <w:i w:val="0"/>
                <w:color w:val="000000"/>
                <w:sz w:val="21"/>
              </w:rPr>
              <w:t>0.5640</w:t>
            </w:r>
          </w:p>
        </w:tc>
        <w:tc>
          <w:tcPr>
            <w:tcW w:w="1181" w:type="dxa"/>
            <w:shd w:val="clear" w:color="auto" w:fill="FFFFFF"/>
            <w:tcMar>
              <w:top w:w="75" w:type="dxa"/>
              <w:left w:w="85" w:type="dxa"/>
              <w:bottom w:w="75" w:type="dxa"/>
              <w:right w:w="85" w:type="dxa"/>
            </w:tcMar>
            <w:vAlign w:val="center"/>
          </w:tcPr>
          <w:p w14:paraId="7567E9C4">
            <w:pPr>
              <w:spacing w:before="0" w:after="0" w:line="240" w:lineRule="auto"/>
              <w:jc w:val="left"/>
            </w:pPr>
            <w:r>
              <w:rPr>
                <w:rFonts w:ascii="Times New Roman" w:hAnsi="Times New Roman" w:eastAsia="Times New Roman"/>
                <w:b w:val="0"/>
                <w:i w:val="0"/>
                <w:color w:val="000000"/>
                <w:sz w:val="21"/>
              </w:rPr>
              <w:t>0.5560</w:t>
            </w:r>
          </w:p>
        </w:tc>
        <w:tc>
          <w:tcPr>
            <w:tcW w:w="1123" w:type="dxa"/>
            <w:shd w:val="clear" w:color="auto" w:fill="FFFFFF"/>
            <w:tcMar>
              <w:top w:w="75" w:type="dxa"/>
              <w:left w:w="85" w:type="dxa"/>
              <w:bottom w:w="75" w:type="dxa"/>
              <w:right w:w="85" w:type="dxa"/>
            </w:tcMar>
            <w:vAlign w:val="center"/>
          </w:tcPr>
          <w:p w14:paraId="01C101B9">
            <w:pPr>
              <w:spacing w:before="0" w:after="0" w:line="240" w:lineRule="auto"/>
              <w:jc w:val="left"/>
            </w:pPr>
            <w:r>
              <w:rPr>
                <w:rFonts w:ascii="Times New Roman" w:hAnsi="Times New Roman" w:eastAsia="Times New Roman"/>
                <w:b w:val="0"/>
                <w:i w:val="0"/>
                <w:color w:val="000000"/>
                <w:sz w:val="21"/>
              </w:rPr>
              <w:t>0.5059</w:t>
            </w:r>
          </w:p>
        </w:tc>
        <w:tc>
          <w:tcPr>
            <w:tcW w:w="1224" w:type="dxa"/>
            <w:shd w:val="clear" w:color="auto" w:fill="FFFFFF"/>
            <w:tcMar>
              <w:top w:w="75" w:type="dxa"/>
              <w:left w:w="85" w:type="dxa"/>
              <w:bottom w:w="75" w:type="dxa"/>
              <w:right w:w="85" w:type="dxa"/>
            </w:tcMar>
            <w:vAlign w:val="center"/>
          </w:tcPr>
          <w:p w14:paraId="5190DAE6">
            <w:pPr>
              <w:spacing w:before="0" w:after="0" w:line="240" w:lineRule="auto"/>
              <w:jc w:val="left"/>
            </w:pPr>
            <w:r>
              <w:rPr>
                <w:rFonts w:ascii="Times New Roman" w:hAnsi="Times New Roman" w:eastAsia="Times New Roman"/>
                <w:b w:val="0"/>
                <w:i w:val="0"/>
                <w:color w:val="000000"/>
                <w:sz w:val="21"/>
              </w:rPr>
              <w:t>0.0689</w:t>
            </w:r>
          </w:p>
        </w:tc>
      </w:tr>
    </w:tbl>
    <w:p w14:paraId="36A0F564">
      <w:pPr>
        <w:spacing w:before="0" w:after="0"/>
        <w:jc w:val="center"/>
      </w:pPr>
    </w:p>
    <w:p w14:paraId="5FEBE969">
      <w:pPr>
        <w:pStyle w:val="4"/>
        <w:keepNext/>
        <w:spacing w:before="200" w:after="120" w:line="240" w:lineRule="auto"/>
        <w:jc w:val="left"/>
      </w:pPr>
      <w:r>
        <w:rPr>
          <w:rFonts w:ascii="Times New Roman" w:hAnsi="Times New Roman" w:eastAsia="Times New Roman"/>
          <w:b/>
          <w:i w:val="0"/>
          <w:color w:val="000000"/>
          <w:sz w:val="24"/>
        </w:rPr>
        <w:t>3.2 Outcome-blind repeatability selected four phenotypes</w:t>
      </w:r>
    </w:p>
    <w:p w14:paraId="032EF8F5">
      <w:pPr>
        <w:pStyle w:val="18"/>
        <w:keepNext w:val="0"/>
        <w:spacing w:before="0" w:after="100" w:line="276" w:lineRule="auto"/>
        <w:jc w:val="both"/>
      </w:pPr>
      <w:r>
        <w:rPr>
          <w:rFonts w:ascii="Times New Roman" w:hAnsi="Times New Roman" w:eastAsia="Times New Roman"/>
          <w:b w:val="0"/>
          <w:i w:val="0"/>
          <w:color w:val="000000"/>
          <w:sz w:val="24"/>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pStyle w:val="18"/>
        <w:keepNext w:val="0"/>
        <w:spacing w:before="0" w:after="100" w:line="276" w:lineRule="auto"/>
        <w:jc w:val="both"/>
      </w:pPr>
      <w:r>
        <w:rPr>
          <w:rFonts w:ascii="Times New Roman" w:hAnsi="Times New Roman" w:eastAsia="Times New Roman"/>
          <w:b w:val="0"/>
          <w:i w:val="0"/>
          <w:color w:val="000000"/>
          <w:sz w:val="24"/>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4. </w:t>
      </w:r>
      <w:r>
        <w:rPr>
          <w:rFonts w:hint="default" w:ascii="Times New Roman" w:hAnsi="Times New Roman" w:eastAsia="Times New Roman" w:cs="Times New Roman"/>
          <w:b w:val="0"/>
          <w:bCs/>
          <w:i w:val="0"/>
          <w:iCs/>
          <w:color w:val="000000"/>
          <w:sz w:val="24"/>
        </w:rPr>
        <w:t>Outcome-blind repeatability gate. Panel A shows a real same eye repeated-view pair from the publicly mirrored mBRSET subset.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Table 3. </w:t>
      </w:r>
      <w:r>
        <w:rPr>
          <w:rFonts w:hint="default" w:ascii="Times New Roman" w:hAnsi="Times New Roman" w:eastAsia="Times New Roman" w:cs="Times New Roman"/>
          <w:b w:val="0"/>
          <w:bCs/>
          <w:i w:val="0"/>
          <w:iCs/>
          <w:color w:val="000000"/>
          <w:sz w:val="24"/>
        </w:rPr>
        <w:t>Label-blind repeated-view reliability and phenotype retention.</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before="0" w:after="0" w:line="240" w:lineRule="auto"/>
              <w:jc w:val="center"/>
            </w:pPr>
            <w:r>
              <w:rPr>
                <w:rFonts w:ascii="Times New Roman" w:hAnsi="Times New Roman" w:eastAsia="Times New Roman"/>
                <w:b/>
                <w:i w:val="0"/>
                <w:color w:val="000000"/>
                <w:sz w:val="21"/>
              </w:rPr>
              <w:t>Phenotype</w:t>
            </w:r>
          </w:p>
        </w:tc>
        <w:tc>
          <w:tcPr>
            <w:tcW w:w="2664" w:type="dxa"/>
            <w:shd w:val="clear" w:color="auto" w:fill="48345F"/>
            <w:tcMar>
              <w:top w:w="75" w:type="dxa"/>
              <w:left w:w="85" w:type="dxa"/>
              <w:bottom w:w="75" w:type="dxa"/>
              <w:right w:w="85" w:type="dxa"/>
            </w:tcMar>
            <w:vAlign w:val="center"/>
          </w:tcPr>
          <w:p w14:paraId="324C7677">
            <w:pPr>
              <w:spacing w:before="0" w:after="0" w:line="240" w:lineRule="auto"/>
              <w:jc w:val="center"/>
            </w:pPr>
            <w:r>
              <w:rPr>
                <w:rFonts w:ascii="Times New Roman" w:hAnsi="Times New Roman" w:eastAsia="Times New Roman"/>
                <w:b/>
                <w:i w:val="0"/>
                <w:color w:val="000000"/>
                <w:sz w:val="21"/>
              </w:rPr>
              <w:t>Measurement interpretation</w:t>
            </w:r>
          </w:p>
        </w:tc>
        <w:tc>
          <w:tcPr>
            <w:tcW w:w="1037" w:type="dxa"/>
            <w:shd w:val="clear" w:color="auto" w:fill="48345F"/>
            <w:tcMar>
              <w:top w:w="75" w:type="dxa"/>
              <w:left w:w="85" w:type="dxa"/>
              <w:bottom w:w="75" w:type="dxa"/>
              <w:right w:w="85" w:type="dxa"/>
            </w:tcMar>
            <w:vAlign w:val="center"/>
          </w:tcPr>
          <w:p w14:paraId="4D8588CB">
            <w:pPr>
              <w:spacing w:before="0" w:after="0" w:line="240" w:lineRule="auto"/>
              <w:jc w:val="center"/>
            </w:pPr>
            <w:r>
              <w:rPr>
                <w:rFonts w:ascii="Times New Roman" w:hAnsi="Times New Roman" w:eastAsia="Times New Roman"/>
                <w:b/>
                <w:i w:val="0"/>
                <w:color w:val="000000"/>
                <w:sz w:val="21"/>
              </w:rPr>
              <w:t>ICC(1,1)</w:t>
            </w:r>
          </w:p>
        </w:tc>
        <w:tc>
          <w:tcPr>
            <w:tcW w:w="1325" w:type="dxa"/>
            <w:shd w:val="clear" w:color="auto" w:fill="48345F"/>
            <w:tcMar>
              <w:top w:w="75" w:type="dxa"/>
              <w:left w:w="85" w:type="dxa"/>
              <w:bottom w:w="75" w:type="dxa"/>
              <w:right w:w="85" w:type="dxa"/>
            </w:tcMar>
            <w:vAlign w:val="center"/>
          </w:tcPr>
          <w:p w14:paraId="42C43757">
            <w:pPr>
              <w:spacing w:before="0" w:after="0" w:line="240" w:lineRule="auto"/>
              <w:jc w:val="center"/>
            </w:pPr>
            <w:r>
              <w:rPr>
                <w:rFonts w:ascii="Times New Roman" w:hAnsi="Times New Roman" w:eastAsia="Times New Roman"/>
                <w:b/>
                <w:i w:val="0"/>
                <w:color w:val="000000"/>
                <w:sz w:val="21"/>
              </w:rPr>
              <w:t>95% CI</w:t>
            </w:r>
          </w:p>
        </w:tc>
        <w:tc>
          <w:tcPr>
            <w:tcW w:w="1037" w:type="dxa"/>
            <w:shd w:val="clear" w:color="auto" w:fill="48345F"/>
            <w:tcMar>
              <w:top w:w="75" w:type="dxa"/>
              <w:left w:w="85" w:type="dxa"/>
              <w:bottom w:w="75" w:type="dxa"/>
              <w:right w:w="85" w:type="dxa"/>
            </w:tcMar>
            <w:vAlign w:val="center"/>
          </w:tcPr>
          <w:p w14:paraId="64137757">
            <w:pPr>
              <w:spacing w:before="0" w:after="0" w:line="240" w:lineRule="auto"/>
              <w:jc w:val="center"/>
            </w:pPr>
            <w:r>
              <w:rPr>
                <w:rFonts w:ascii="Times New Roman" w:hAnsi="Times New Roman" w:eastAsia="Times New Roman"/>
                <w:b/>
                <w:i w:val="0"/>
                <w:color w:val="000000"/>
                <w:sz w:val="21"/>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before="0" w:after="0" w:line="240" w:lineRule="auto"/>
              <w:jc w:val="left"/>
            </w:pPr>
            <w:r>
              <w:rPr>
                <w:rFonts w:ascii="Times New Roman" w:hAnsi="Times New Roman" w:eastAsia="Times New Roman"/>
                <w:b w:val="0"/>
                <w:i w:val="0"/>
                <w:color w:val="000000"/>
                <w:sz w:val="21"/>
              </w:rPr>
              <w:t>Occupancy disagreement</w:t>
            </w:r>
          </w:p>
        </w:tc>
        <w:tc>
          <w:tcPr>
            <w:tcW w:w="2664" w:type="dxa"/>
            <w:shd w:val="clear" w:color="auto" w:fill="F3EDF9"/>
            <w:tcMar>
              <w:top w:w="75" w:type="dxa"/>
              <w:left w:w="85" w:type="dxa"/>
              <w:bottom w:w="75" w:type="dxa"/>
              <w:right w:w="85" w:type="dxa"/>
            </w:tcMar>
            <w:vAlign w:val="center"/>
          </w:tcPr>
          <w:p w14:paraId="3D051726">
            <w:pPr>
              <w:spacing w:before="0" w:after="0" w:line="240" w:lineRule="auto"/>
              <w:jc w:val="left"/>
            </w:pPr>
            <w:r>
              <w:rPr>
                <w:rFonts w:ascii="Times New Roman" w:hAnsi="Times New Roman" w:eastAsia="Times New Roman"/>
                <w:b w:val="0"/>
                <w:i w:val="0"/>
                <w:color w:val="000000"/>
                <w:sz w:val="21"/>
              </w:rPr>
              <w:t>Existence-readout mismatch</w:t>
            </w:r>
          </w:p>
        </w:tc>
        <w:tc>
          <w:tcPr>
            <w:tcW w:w="1037" w:type="dxa"/>
            <w:shd w:val="clear" w:color="auto" w:fill="F3EDF9"/>
            <w:tcMar>
              <w:top w:w="75" w:type="dxa"/>
              <w:left w:w="85" w:type="dxa"/>
              <w:bottom w:w="75" w:type="dxa"/>
              <w:right w:w="85" w:type="dxa"/>
            </w:tcMar>
            <w:vAlign w:val="center"/>
          </w:tcPr>
          <w:p w14:paraId="4E6D656B">
            <w:pPr>
              <w:spacing w:before="0" w:after="0" w:line="240" w:lineRule="auto"/>
              <w:jc w:val="left"/>
            </w:pPr>
            <w:r>
              <w:rPr>
                <w:rFonts w:ascii="Times New Roman" w:hAnsi="Times New Roman" w:eastAsia="Times New Roman"/>
                <w:b w:val="0"/>
                <w:i w:val="0"/>
                <w:color w:val="000000"/>
                <w:sz w:val="21"/>
              </w:rPr>
              <w:t>0.811</w:t>
            </w:r>
          </w:p>
        </w:tc>
        <w:tc>
          <w:tcPr>
            <w:tcW w:w="1325" w:type="dxa"/>
            <w:shd w:val="clear" w:color="auto" w:fill="F3EDF9"/>
            <w:tcMar>
              <w:top w:w="75" w:type="dxa"/>
              <w:left w:w="85" w:type="dxa"/>
              <w:bottom w:w="75" w:type="dxa"/>
              <w:right w:w="85" w:type="dxa"/>
            </w:tcMar>
            <w:vAlign w:val="center"/>
          </w:tcPr>
          <w:p w14:paraId="26F57A1B">
            <w:pPr>
              <w:spacing w:before="0" w:after="0" w:line="240" w:lineRule="auto"/>
              <w:jc w:val="left"/>
            </w:pPr>
            <w:r>
              <w:rPr>
                <w:rFonts w:ascii="Times New Roman" w:hAnsi="Times New Roman" w:eastAsia="Times New Roman"/>
                <w:b w:val="0"/>
                <w:i w:val="0"/>
                <w:color w:val="000000"/>
                <w:sz w:val="21"/>
              </w:rPr>
              <w:t>0.791–0.829</w:t>
            </w:r>
          </w:p>
        </w:tc>
        <w:tc>
          <w:tcPr>
            <w:tcW w:w="1037" w:type="dxa"/>
            <w:shd w:val="clear" w:color="auto" w:fill="F3EDF9"/>
            <w:tcMar>
              <w:top w:w="75" w:type="dxa"/>
              <w:left w:w="85" w:type="dxa"/>
              <w:bottom w:w="75" w:type="dxa"/>
              <w:right w:w="85" w:type="dxa"/>
            </w:tcMar>
            <w:vAlign w:val="center"/>
          </w:tcPr>
          <w:p w14:paraId="39E584F7">
            <w:pPr>
              <w:spacing w:before="0" w:after="0" w:line="240" w:lineRule="auto"/>
              <w:jc w:val="left"/>
            </w:pPr>
            <w:r>
              <w:rPr>
                <w:rFonts w:ascii="Times New Roman" w:hAnsi="Times New Roman" w:eastAsia="Times New Roman"/>
                <w:b w:val="0"/>
                <w:i w:val="0"/>
                <w:color w:val="000000"/>
                <w:sz w:val="21"/>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before="0" w:after="0" w:line="240" w:lineRule="auto"/>
              <w:jc w:val="left"/>
            </w:pPr>
            <w:r>
              <w:rPr>
                <w:rFonts w:ascii="Times New Roman" w:hAnsi="Times New Roman" w:eastAsia="Times New Roman"/>
                <w:b w:val="0"/>
                <w:i w:val="0"/>
                <w:color w:val="000000"/>
                <w:sz w:val="21"/>
              </w:rPr>
              <w:t>Factorized-UDCT skeleton density</w:t>
            </w:r>
          </w:p>
        </w:tc>
        <w:tc>
          <w:tcPr>
            <w:tcW w:w="2664" w:type="dxa"/>
            <w:shd w:val="clear" w:color="auto" w:fill="FFFFFF"/>
            <w:tcMar>
              <w:top w:w="75" w:type="dxa"/>
              <w:left w:w="85" w:type="dxa"/>
              <w:bottom w:w="75" w:type="dxa"/>
              <w:right w:w="85" w:type="dxa"/>
            </w:tcMar>
            <w:vAlign w:val="center"/>
          </w:tcPr>
          <w:p w14:paraId="41F9CFD3">
            <w:pPr>
              <w:spacing w:before="0" w:after="0" w:line="240" w:lineRule="auto"/>
              <w:jc w:val="left"/>
            </w:pPr>
            <w:r>
              <w:rPr>
                <w:rFonts w:ascii="Times New Roman" w:hAnsi="Times New Roman" w:eastAsia="Times New Roman"/>
                <w:b w:val="0"/>
                <w:i w:val="0"/>
                <w:color w:val="000000"/>
                <w:sz w:val="21"/>
              </w:rPr>
              <w:t>Occupancy-gated geometry</w:t>
            </w:r>
          </w:p>
        </w:tc>
        <w:tc>
          <w:tcPr>
            <w:tcW w:w="1037" w:type="dxa"/>
            <w:shd w:val="clear" w:color="auto" w:fill="FFFFFF"/>
            <w:tcMar>
              <w:top w:w="75" w:type="dxa"/>
              <w:left w:w="85" w:type="dxa"/>
              <w:bottom w:w="75" w:type="dxa"/>
              <w:right w:w="85" w:type="dxa"/>
            </w:tcMar>
            <w:vAlign w:val="center"/>
          </w:tcPr>
          <w:p w14:paraId="0429AFBA">
            <w:pPr>
              <w:spacing w:before="0" w:after="0" w:line="240" w:lineRule="auto"/>
              <w:jc w:val="left"/>
            </w:pPr>
            <w:r>
              <w:rPr>
                <w:rFonts w:ascii="Times New Roman" w:hAnsi="Times New Roman" w:eastAsia="Times New Roman"/>
                <w:b w:val="0"/>
                <w:i w:val="0"/>
                <w:color w:val="000000"/>
                <w:sz w:val="21"/>
              </w:rPr>
              <w:t>0.772</w:t>
            </w:r>
          </w:p>
        </w:tc>
        <w:tc>
          <w:tcPr>
            <w:tcW w:w="1325" w:type="dxa"/>
            <w:shd w:val="clear" w:color="auto" w:fill="FFFFFF"/>
            <w:tcMar>
              <w:top w:w="75" w:type="dxa"/>
              <w:left w:w="85" w:type="dxa"/>
              <w:bottom w:w="75" w:type="dxa"/>
              <w:right w:w="85" w:type="dxa"/>
            </w:tcMar>
            <w:vAlign w:val="center"/>
          </w:tcPr>
          <w:p w14:paraId="776FDCCA">
            <w:pPr>
              <w:spacing w:before="0" w:after="0" w:line="240" w:lineRule="auto"/>
              <w:jc w:val="left"/>
            </w:pPr>
            <w:r>
              <w:rPr>
                <w:rFonts w:ascii="Times New Roman" w:hAnsi="Times New Roman" w:eastAsia="Times New Roman"/>
                <w:b w:val="0"/>
                <w:i w:val="0"/>
                <w:color w:val="000000"/>
                <w:sz w:val="21"/>
              </w:rPr>
              <w:t>0.752–0.789</w:t>
            </w:r>
          </w:p>
        </w:tc>
        <w:tc>
          <w:tcPr>
            <w:tcW w:w="1037" w:type="dxa"/>
            <w:shd w:val="clear" w:color="auto" w:fill="FFFFFF"/>
            <w:tcMar>
              <w:top w:w="75" w:type="dxa"/>
              <w:left w:w="85" w:type="dxa"/>
              <w:bottom w:w="75" w:type="dxa"/>
              <w:right w:w="85" w:type="dxa"/>
            </w:tcMar>
            <w:vAlign w:val="center"/>
          </w:tcPr>
          <w:p w14:paraId="73CCAEFC">
            <w:pPr>
              <w:spacing w:before="0" w:after="0" w:line="240" w:lineRule="auto"/>
              <w:jc w:val="left"/>
            </w:pPr>
            <w:r>
              <w:rPr>
                <w:rFonts w:ascii="Times New Roman" w:hAnsi="Times New Roman" w:eastAsia="Times New Roman"/>
                <w:b w:val="0"/>
                <w:i w:val="0"/>
                <w:color w:val="000000"/>
                <w:sz w:val="21"/>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before="0" w:after="0" w:line="240" w:lineRule="auto"/>
              <w:jc w:val="left"/>
            </w:pPr>
            <w:r>
              <w:rPr>
                <w:rFonts w:ascii="Times New Roman" w:hAnsi="Times New Roman" w:eastAsia="Times New Roman"/>
                <w:b w:val="0"/>
                <w:i w:val="0"/>
                <w:color w:val="000000"/>
                <w:sz w:val="21"/>
              </w:rPr>
              <w:t>Mass-UDCT skeleton density</w:t>
            </w:r>
          </w:p>
        </w:tc>
        <w:tc>
          <w:tcPr>
            <w:tcW w:w="2664" w:type="dxa"/>
            <w:shd w:val="clear" w:color="auto" w:fill="F3EDF9"/>
            <w:tcMar>
              <w:top w:w="75" w:type="dxa"/>
              <w:left w:w="85" w:type="dxa"/>
              <w:bottom w:w="75" w:type="dxa"/>
              <w:right w:w="85" w:type="dxa"/>
            </w:tcMar>
            <w:vAlign w:val="center"/>
          </w:tcPr>
          <w:p w14:paraId="2E04B7CB">
            <w:pPr>
              <w:spacing w:before="0" w:after="0" w:line="240" w:lineRule="auto"/>
              <w:jc w:val="left"/>
            </w:pPr>
            <w:r>
              <w:rPr>
                <w:rFonts w:ascii="Times New Roman" w:hAnsi="Times New Roman" w:eastAsia="Times New Roman"/>
                <w:b w:val="0"/>
                <w:i w:val="0"/>
                <w:color w:val="000000"/>
                <w:sz w:val="21"/>
              </w:rPr>
              <w:t>Mass-preserving geometry</w:t>
            </w:r>
          </w:p>
        </w:tc>
        <w:tc>
          <w:tcPr>
            <w:tcW w:w="1037" w:type="dxa"/>
            <w:shd w:val="clear" w:color="auto" w:fill="F3EDF9"/>
            <w:tcMar>
              <w:top w:w="75" w:type="dxa"/>
              <w:left w:w="85" w:type="dxa"/>
              <w:bottom w:w="75" w:type="dxa"/>
              <w:right w:w="85" w:type="dxa"/>
            </w:tcMar>
            <w:vAlign w:val="center"/>
          </w:tcPr>
          <w:p w14:paraId="7BD1DCF3">
            <w:pPr>
              <w:spacing w:before="0" w:after="0" w:line="240" w:lineRule="auto"/>
              <w:jc w:val="left"/>
            </w:pPr>
            <w:r>
              <w:rPr>
                <w:rFonts w:ascii="Times New Roman" w:hAnsi="Times New Roman" w:eastAsia="Times New Roman"/>
                <w:b w:val="0"/>
                <w:i w:val="0"/>
                <w:color w:val="000000"/>
                <w:sz w:val="21"/>
              </w:rPr>
              <w:t>0.688</w:t>
            </w:r>
          </w:p>
        </w:tc>
        <w:tc>
          <w:tcPr>
            <w:tcW w:w="1325" w:type="dxa"/>
            <w:shd w:val="clear" w:color="auto" w:fill="F3EDF9"/>
            <w:tcMar>
              <w:top w:w="75" w:type="dxa"/>
              <w:left w:w="85" w:type="dxa"/>
              <w:bottom w:w="75" w:type="dxa"/>
              <w:right w:w="85" w:type="dxa"/>
            </w:tcMar>
            <w:vAlign w:val="center"/>
          </w:tcPr>
          <w:p w14:paraId="3F3082C1">
            <w:pPr>
              <w:spacing w:before="0" w:after="0" w:line="240" w:lineRule="auto"/>
              <w:jc w:val="left"/>
            </w:pPr>
            <w:r>
              <w:rPr>
                <w:rFonts w:ascii="Times New Roman" w:hAnsi="Times New Roman" w:eastAsia="Times New Roman"/>
                <w:b w:val="0"/>
                <w:i w:val="0"/>
                <w:color w:val="000000"/>
                <w:sz w:val="21"/>
              </w:rPr>
              <w:t>0.665–0.710</w:t>
            </w:r>
          </w:p>
        </w:tc>
        <w:tc>
          <w:tcPr>
            <w:tcW w:w="1037" w:type="dxa"/>
            <w:shd w:val="clear" w:color="auto" w:fill="F3EDF9"/>
            <w:tcMar>
              <w:top w:w="75" w:type="dxa"/>
              <w:left w:w="85" w:type="dxa"/>
              <w:bottom w:w="75" w:type="dxa"/>
              <w:right w:w="85" w:type="dxa"/>
            </w:tcMar>
            <w:vAlign w:val="center"/>
          </w:tcPr>
          <w:p w14:paraId="5DFF1334">
            <w:pPr>
              <w:spacing w:before="0" w:after="0" w:line="240" w:lineRule="auto"/>
              <w:jc w:val="left"/>
            </w:pPr>
            <w:r>
              <w:rPr>
                <w:rFonts w:ascii="Times New Roman" w:hAnsi="Times New Roman" w:eastAsia="Times New Roman"/>
                <w:b w:val="0"/>
                <w:i w:val="0"/>
                <w:color w:val="000000"/>
                <w:sz w:val="21"/>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before="0" w:after="0" w:line="240" w:lineRule="auto"/>
              <w:jc w:val="left"/>
            </w:pPr>
            <w:r>
              <w:rPr>
                <w:rFonts w:ascii="Times New Roman" w:hAnsi="Times New Roman" w:eastAsia="Times New Roman"/>
                <w:b w:val="0"/>
                <w:i w:val="0"/>
                <w:color w:val="000000"/>
                <w:sz w:val="21"/>
              </w:rPr>
              <w:t>Soft vessel mass fraction</w:t>
            </w:r>
          </w:p>
        </w:tc>
        <w:tc>
          <w:tcPr>
            <w:tcW w:w="2664" w:type="dxa"/>
            <w:shd w:val="clear" w:color="auto" w:fill="FFFFFF"/>
            <w:tcMar>
              <w:top w:w="75" w:type="dxa"/>
              <w:left w:w="85" w:type="dxa"/>
              <w:bottom w:w="75" w:type="dxa"/>
              <w:right w:w="85" w:type="dxa"/>
            </w:tcMar>
            <w:vAlign w:val="center"/>
          </w:tcPr>
          <w:p w14:paraId="3FCF1419">
            <w:pPr>
              <w:spacing w:before="0" w:after="0" w:line="240" w:lineRule="auto"/>
              <w:jc w:val="left"/>
            </w:pPr>
            <w:r>
              <w:rPr>
                <w:rFonts w:ascii="Times New Roman" w:hAnsi="Times New Roman" w:eastAsia="Times New Roman"/>
                <w:b w:val="0"/>
                <w:i w:val="0"/>
                <w:color w:val="000000"/>
                <w:sz w:val="21"/>
              </w:rPr>
              <w:t>Continuous vessel support</w:t>
            </w:r>
          </w:p>
        </w:tc>
        <w:tc>
          <w:tcPr>
            <w:tcW w:w="1037" w:type="dxa"/>
            <w:shd w:val="clear" w:color="auto" w:fill="FFFFFF"/>
            <w:tcMar>
              <w:top w:w="75" w:type="dxa"/>
              <w:left w:w="85" w:type="dxa"/>
              <w:bottom w:w="75" w:type="dxa"/>
              <w:right w:w="85" w:type="dxa"/>
            </w:tcMar>
            <w:vAlign w:val="center"/>
          </w:tcPr>
          <w:p w14:paraId="0DDA92D9">
            <w:pPr>
              <w:spacing w:before="0" w:after="0" w:line="240" w:lineRule="auto"/>
              <w:jc w:val="left"/>
            </w:pPr>
            <w:r>
              <w:rPr>
                <w:rFonts w:ascii="Times New Roman" w:hAnsi="Times New Roman" w:eastAsia="Times New Roman"/>
                <w:b w:val="0"/>
                <w:i w:val="0"/>
                <w:color w:val="000000"/>
                <w:sz w:val="21"/>
              </w:rPr>
              <w:t>0.676</w:t>
            </w:r>
          </w:p>
        </w:tc>
        <w:tc>
          <w:tcPr>
            <w:tcW w:w="1325" w:type="dxa"/>
            <w:shd w:val="clear" w:color="auto" w:fill="FFFFFF"/>
            <w:tcMar>
              <w:top w:w="75" w:type="dxa"/>
              <w:left w:w="85" w:type="dxa"/>
              <w:bottom w:w="75" w:type="dxa"/>
              <w:right w:w="85" w:type="dxa"/>
            </w:tcMar>
            <w:vAlign w:val="center"/>
          </w:tcPr>
          <w:p w14:paraId="0C2203E5">
            <w:pPr>
              <w:spacing w:before="0" w:after="0" w:line="240" w:lineRule="auto"/>
              <w:jc w:val="left"/>
            </w:pPr>
            <w:r>
              <w:rPr>
                <w:rFonts w:ascii="Times New Roman" w:hAnsi="Times New Roman" w:eastAsia="Times New Roman"/>
                <w:b w:val="0"/>
                <w:i w:val="0"/>
                <w:color w:val="000000"/>
                <w:sz w:val="21"/>
              </w:rPr>
              <w:t>0.653–0.699</w:t>
            </w:r>
          </w:p>
        </w:tc>
        <w:tc>
          <w:tcPr>
            <w:tcW w:w="1037" w:type="dxa"/>
            <w:shd w:val="clear" w:color="auto" w:fill="FFFFFF"/>
            <w:tcMar>
              <w:top w:w="75" w:type="dxa"/>
              <w:left w:w="85" w:type="dxa"/>
              <w:bottom w:w="75" w:type="dxa"/>
              <w:right w:w="85" w:type="dxa"/>
            </w:tcMar>
            <w:vAlign w:val="center"/>
          </w:tcPr>
          <w:p w14:paraId="5323E5C0">
            <w:pPr>
              <w:spacing w:before="0" w:after="0" w:line="240" w:lineRule="auto"/>
              <w:jc w:val="left"/>
            </w:pPr>
            <w:r>
              <w:rPr>
                <w:rFonts w:ascii="Times New Roman" w:hAnsi="Times New Roman" w:eastAsia="Times New Roman"/>
                <w:b w:val="0"/>
                <w:i w:val="0"/>
                <w:color w:val="000000"/>
                <w:sz w:val="21"/>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before="0" w:after="0" w:line="240" w:lineRule="auto"/>
              <w:jc w:val="left"/>
            </w:pPr>
            <w:r>
              <w:rPr>
                <w:rFonts w:ascii="Times New Roman" w:hAnsi="Times New Roman" w:eastAsia="Times New Roman"/>
                <w:b w:val="0"/>
                <w:i w:val="0"/>
                <w:color w:val="000000"/>
                <w:sz w:val="21"/>
              </w:rPr>
              <w:t>Identity entropy</w:t>
            </w:r>
          </w:p>
        </w:tc>
        <w:tc>
          <w:tcPr>
            <w:tcW w:w="2664" w:type="dxa"/>
            <w:shd w:val="clear" w:color="auto" w:fill="F3EDF9"/>
            <w:tcMar>
              <w:top w:w="75" w:type="dxa"/>
              <w:left w:w="85" w:type="dxa"/>
              <w:bottom w:w="75" w:type="dxa"/>
              <w:right w:w="85" w:type="dxa"/>
            </w:tcMar>
            <w:vAlign w:val="center"/>
          </w:tcPr>
          <w:p w14:paraId="4BD0E8F5">
            <w:pPr>
              <w:spacing w:before="0" w:after="0" w:line="240" w:lineRule="auto"/>
              <w:jc w:val="left"/>
            </w:pPr>
            <w:r>
              <w:rPr>
                <w:rFonts w:ascii="Times New Roman" w:hAnsi="Times New Roman" w:eastAsia="Times New Roman"/>
                <w:b w:val="0"/>
                <w:i w:val="0"/>
                <w:color w:val="000000"/>
                <w:sz w:val="21"/>
              </w:rPr>
              <w:t>Identity ambiguity</w:t>
            </w:r>
          </w:p>
        </w:tc>
        <w:tc>
          <w:tcPr>
            <w:tcW w:w="1037" w:type="dxa"/>
            <w:shd w:val="clear" w:color="auto" w:fill="F3EDF9"/>
            <w:tcMar>
              <w:top w:w="75" w:type="dxa"/>
              <w:left w:w="85" w:type="dxa"/>
              <w:bottom w:w="75" w:type="dxa"/>
              <w:right w:w="85" w:type="dxa"/>
            </w:tcMar>
            <w:vAlign w:val="center"/>
          </w:tcPr>
          <w:p w14:paraId="0EE45B30">
            <w:pPr>
              <w:spacing w:before="0" w:after="0" w:line="240" w:lineRule="auto"/>
              <w:jc w:val="left"/>
            </w:pPr>
            <w:r>
              <w:rPr>
                <w:rFonts w:ascii="Times New Roman" w:hAnsi="Times New Roman" w:eastAsia="Times New Roman"/>
                <w:b w:val="0"/>
                <w:i w:val="0"/>
                <w:color w:val="000000"/>
                <w:sz w:val="21"/>
              </w:rPr>
              <w:t>0.503</w:t>
            </w:r>
          </w:p>
        </w:tc>
        <w:tc>
          <w:tcPr>
            <w:tcW w:w="1325" w:type="dxa"/>
            <w:shd w:val="clear" w:color="auto" w:fill="F3EDF9"/>
            <w:tcMar>
              <w:top w:w="75" w:type="dxa"/>
              <w:left w:w="85" w:type="dxa"/>
              <w:bottom w:w="75" w:type="dxa"/>
              <w:right w:w="85" w:type="dxa"/>
            </w:tcMar>
            <w:vAlign w:val="center"/>
          </w:tcPr>
          <w:p w14:paraId="76868828">
            <w:pPr>
              <w:spacing w:before="0" w:after="0" w:line="240" w:lineRule="auto"/>
              <w:jc w:val="left"/>
            </w:pPr>
            <w:r>
              <w:rPr>
                <w:rFonts w:ascii="Times New Roman" w:hAnsi="Times New Roman" w:eastAsia="Times New Roman"/>
                <w:b w:val="0"/>
                <w:i w:val="0"/>
                <w:color w:val="000000"/>
                <w:sz w:val="21"/>
              </w:rPr>
              <w:t>0.473–0.534</w:t>
            </w:r>
          </w:p>
        </w:tc>
        <w:tc>
          <w:tcPr>
            <w:tcW w:w="1037" w:type="dxa"/>
            <w:shd w:val="clear" w:color="auto" w:fill="F3EDF9"/>
            <w:tcMar>
              <w:top w:w="75" w:type="dxa"/>
              <w:left w:w="85" w:type="dxa"/>
              <w:bottom w:w="75" w:type="dxa"/>
              <w:right w:w="85" w:type="dxa"/>
            </w:tcMar>
            <w:vAlign w:val="center"/>
          </w:tcPr>
          <w:p w14:paraId="01FDB4E1">
            <w:pPr>
              <w:spacing w:before="0" w:after="0" w:line="240" w:lineRule="auto"/>
              <w:jc w:val="left"/>
            </w:pPr>
            <w:r>
              <w:rPr>
                <w:rFonts w:ascii="Times New Roman" w:hAnsi="Times New Roman" w:eastAsia="Times New Roman"/>
                <w:b w:val="0"/>
                <w:i w:val="0"/>
                <w:color w:val="000000"/>
                <w:sz w:val="21"/>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before="0" w:after="0" w:line="240" w:lineRule="auto"/>
              <w:jc w:val="left"/>
            </w:pPr>
            <w:r>
              <w:rPr>
                <w:rFonts w:ascii="Times New Roman" w:hAnsi="Times New Roman" w:eastAsia="Times New Roman"/>
                <w:b w:val="0"/>
                <w:i w:val="0"/>
                <w:color w:val="000000"/>
                <w:sz w:val="21"/>
              </w:rPr>
              <w:t>Mass branch density</w:t>
            </w:r>
          </w:p>
        </w:tc>
        <w:tc>
          <w:tcPr>
            <w:tcW w:w="2664" w:type="dxa"/>
            <w:shd w:val="clear" w:color="auto" w:fill="FFFFFF"/>
            <w:tcMar>
              <w:top w:w="75" w:type="dxa"/>
              <w:left w:w="85" w:type="dxa"/>
              <w:bottom w:w="75" w:type="dxa"/>
              <w:right w:w="85" w:type="dxa"/>
            </w:tcMar>
            <w:vAlign w:val="center"/>
          </w:tcPr>
          <w:p w14:paraId="228DD79C">
            <w:pPr>
              <w:spacing w:before="0" w:after="0" w:line="240" w:lineRule="auto"/>
              <w:jc w:val="left"/>
            </w:pPr>
            <w:r>
              <w:rPr>
                <w:rFonts w:ascii="Times New Roman" w:hAnsi="Times New Roman" w:eastAsia="Times New Roman"/>
                <w:b w:val="0"/>
                <w:i w:val="0"/>
                <w:color w:val="000000"/>
                <w:sz w:val="21"/>
              </w:rPr>
              <w:t>Topological complexity</w:t>
            </w:r>
          </w:p>
        </w:tc>
        <w:tc>
          <w:tcPr>
            <w:tcW w:w="1037" w:type="dxa"/>
            <w:shd w:val="clear" w:color="auto" w:fill="FFFFFF"/>
            <w:tcMar>
              <w:top w:w="75" w:type="dxa"/>
              <w:left w:w="85" w:type="dxa"/>
              <w:bottom w:w="75" w:type="dxa"/>
              <w:right w:w="85" w:type="dxa"/>
            </w:tcMar>
            <w:vAlign w:val="center"/>
          </w:tcPr>
          <w:p w14:paraId="48CA12A5">
            <w:pPr>
              <w:spacing w:before="0" w:after="0" w:line="240" w:lineRule="auto"/>
              <w:jc w:val="left"/>
            </w:pPr>
            <w:r>
              <w:rPr>
                <w:rFonts w:ascii="Times New Roman" w:hAnsi="Times New Roman" w:eastAsia="Times New Roman"/>
                <w:b w:val="0"/>
                <w:i w:val="0"/>
                <w:color w:val="000000"/>
                <w:sz w:val="21"/>
              </w:rPr>
              <w:t>0.484</w:t>
            </w:r>
          </w:p>
        </w:tc>
        <w:tc>
          <w:tcPr>
            <w:tcW w:w="1325" w:type="dxa"/>
            <w:shd w:val="clear" w:color="auto" w:fill="FFFFFF"/>
            <w:tcMar>
              <w:top w:w="75" w:type="dxa"/>
              <w:left w:w="85" w:type="dxa"/>
              <w:bottom w:w="75" w:type="dxa"/>
              <w:right w:w="85" w:type="dxa"/>
            </w:tcMar>
            <w:vAlign w:val="center"/>
          </w:tcPr>
          <w:p w14:paraId="3F9DB914">
            <w:pPr>
              <w:spacing w:before="0" w:after="0" w:line="240" w:lineRule="auto"/>
              <w:jc w:val="left"/>
            </w:pPr>
            <w:r>
              <w:rPr>
                <w:rFonts w:ascii="Times New Roman" w:hAnsi="Times New Roman" w:eastAsia="Times New Roman"/>
                <w:b w:val="0"/>
                <w:i w:val="0"/>
                <w:color w:val="000000"/>
                <w:sz w:val="21"/>
              </w:rPr>
              <w:t>0.452–0.514</w:t>
            </w:r>
          </w:p>
        </w:tc>
        <w:tc>
          <w:tcPr>
            <w:tcW w:w="1037" w:type="dxa"/>
            <w:shd w:val="clear" w:color="auto" w:fill="FFFFFF"/>
            <w:tcMar>
              <w:top w:w="75" w:type="dxa"/>
              <w:left w:w="85" w:type="dxa"/>
              <w:bottom w:w="75" w:type="dxa"/>
              <w:right w:w="85" w:type="dxa"/>
            </w:tcMar>
            <w:vAlign w:val="center"/>
          </w:tcPr>
          <w:p w14:paraId="3A137234">
            <w:pPr>
              <w:spacing w:before="0" w:after="0" w:line="240" w:lineRule="auto"/>
              <w:jc w:val="left"/>
            </w:pPr>
            <w:r>
              <w:rPr>
                <w:rFonts w:ascii="Times New Roman" w:hAnsi="Times New Roman" w:eastAsia="Times New Roman"/>
                <w:b w:val="0"/>
                <w:i w:val="0"/>
                <w:color w:val="000000"/>
                <w:sz w:val="21"/>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before="0" w:after="0" w:line="240" w:lineRule="auto"/>
              <w:jc w:val="left"/>
            </w:pPr>
            <w:r>
              <w:rPr>
                <w:rFonts w:ascii="Times New Roman" w:hAnsi="Times New Roman" w:eastAsia="Times New Roman"/>
                <w:b w:val="0"/>
                <w:i w:val="0"/>
                <w:color w:val="000000"/>
                <w:sz w:val="21"/>
              </w:rPr>
              <w:t>Soft A/V log-mass ratio</w:t>
            </w:r>
          </w:p>
        </w:tc>
        <w:tc>
          <w:tcPr>
            <w:tcW w:w="2664" w:type="dxa"/>
            <w:shd w:val="clear" w:color="auto" w:fill="F3EDF9"/>
            <w:tcMar>
              <w:top w:w="75" w:type="dxa"/>
              <w:left w:w="85" w:type="dxa"/>
              <w:bottom w:w="75" w:type="dxa"/>
              <w:right w:w="85" w:type="dxa"/>
            </w:tcMar>
            <w:vAlign w:val="center"/>
          </w:tcPr>
          <w:p w14:paraId="546CE290">
            <w:pPr>
              <w:spacing w:before="0" w:after="0" w:line="240" w:lineRule="auto"/>
              <w:jc w:val="left"/>
            </w:pPr>
            <w:r>
              <w:rPr>
                <w:rFonts w:ascii="Times New Roman" w:hAnsi="Times New Roman" w:eastAsia="Times New Roman"/>
                <w:b w:val="0"/>
                <w:i w:val="0"/>
                <w:color w:val="000000"/>
                <w:sz w:val="21"/>
              </w:rPr>
              <w:t>Soft identity balance</w:t>
            </w:r>
          </w:p>
        </w:tc>
        <w:tc>
          <w:tcPr>
            <w:tcW w:w="1037" w:type="dxa"/>
            <w:shd w:val="clear" w:color="auto" w:fill="F3EDF9"/>
            <w:tcMar>
              <w:top w:w="75" w:type="dxa"/>
              <w:left w:w="85" w:type="dxa"/>
              <w:bottom w:w="75" w:type="dxa"/>
              <w:right w:w="85" w:type="dxa"/>
            </w:tcMar>
            <w:vAlign w:val="center"/>
          </w:tcPr>
          <w:p w14:paraId="2B9B0A51">
            <w:pPr>
              <w:spacing w:before="0" w:after="0" w:line="240" w:lineRule="auto"/>
              <w:jc w:val="left"/>
            </w:pPr>
            <w:r>
              <w:rPr>
                <w:rFonts w:ascii="Times New Roman" w:hAnsi="Times New Roman" w:eastAsia="Times New Roman"/>
                <w:b w:val="0"/>
                <w:i w:val="0"/>
                <w:color w:val="000000"/>
                <w:sz w:val="21"/>
              </w:rPr>
              <w:t>0.384</w:t>
            </w:r>
          </w:p>
        </w:tc>
        <w:tc>
          <w:tcPr>
            <w:tcW w:w="1325" w:type="dxa"/>
            <w:shd w:val="clear" w:color="auto" w:fill="F3EDF9"/>
            <w:tcMar>
              <w:top w:w="75" w:type="dxa"/>
              <w:left w:w="85" w:type="dxa"/>
              <w:bottom w:w="75" w:type="dxa"/>
              <w:right w:w="85" w:type="dxa"/>
            </w:tcMar>
            <w:vAlign w:val="center"/>
          </w:tcPr>
          <w:p w14:paraId="5C897E8D">
            <w:pPr>
              <w:spacing w:before="0" w:after="0" w:line="240" w:lineRule="auto"/>
              <w:jc w:val="left"/>
            </w:pPr>
            <w:r>
              <w:rPr>
                <w:rFonts w:ascii="Times New Roman" w:hAnsi="Times New Roman" w:eastAsia="Times New Roman"/>
                <w:b w:val="0"/>
                <w:i w:val="0"/>
                <w:color w:val="000000"/>
                <w:sz w:val="21"/>
              </w:rPr>
              <w:t>0.346–0.420</w:t>
            </w:r>
          </w:p>
        </w:tc>
        <w:tc>
          <w:tcPr>
            <w:tcW w:w="1037" w:type="dxa"/>
            <w:shd w:val="clear" w:color="auto" w:fill="F3EDF9"/>
            <w:tcMar>
              <w:top w:w="75" w:type="dxa"/>
              <w:left w:w="85" w:type="dxa"/>
              <w:bottom w:w="75" w:type="dxa"/>
              <w:right w:w="85" w:type="dxa"/>
            </w:tcMar>
            <w:vAlign w:val="center"/>
          </w:tcPr>
          <w:p w14:paraId="21E708B3">
            <w:pPr>
              <w:spacing w:before="0" w:after="0" w:line="240" w:lineRule="auto"/>
              <w:jc w:val="left"/>
            </w:pPr>
            <w:r>
              <w:rPr>
                <w:rFonts w:ascii="Times New Roman" w:hAnsi="Times New Roman" w:eastAsia="Times New Roman"/>
                <w:b w:val="0"/>
                <w:i w:val="0"/>
                <w:color w:val="000000"/>
                <w:sz w:val="21"/>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before="0" w:after="0" w:line="240" w:lineRule="auto"/>
              <w:jc w:val="left"/>
            </w:pPr>
            <w:r>
              <w:rPr>
                <w:rFonts w:ascii="Times New Roman" w:hAnsi="Times New Roman" w:eastAsia="Times New Roman"/>
                <w:b w:val="0"/>
                <w:i w:val="0"/>
                <w:color w:val="000000"/>
                <w:sz w:val="21"/>
              </w:rPr>
              <w:t>Factorized-UDCT A/V log-area ratio</w:t>
            </w:r>
          </w:p>
        </w:tc>
        <w:tc>
          <w:tcPr>
            <w:tcW w:w="2664" w:type="dxa"/>
            <w:shd w:val="clear" w:color="auto" w:fill="FFFFFF"/>
            <w:tcMar>
              <w:top w:w="75" w:type="dxa"/>
              <w:left w:w="85" w:type="dxa"/>
              <w:bottom w:w="75" w:type="dxa"/>
              <w:right w:w="85" w:type="dxa"/>
            </w:tcMar>
            <w:vAlign w:val="center"/>
          </w:tcPr>
          <w:p w14:paraId="5394418D">
            <w:pPr>
              <w:spacing w:before="0" w:after="0" w:line="240" w:lineRule="auto"/>
              <w:jc w:val="left"/>
            </w:pPr>
            <w:r>
              <w:rPr>
                <w:rFonts w:ascii="Times New Roman" w:hAnsi="Times New Roman" w:eastAsia="Times New Roman"/>
                <w:b w:val="0"/>
                <w:i w:val="0"/>
                <w:color w:val="000000"/>
                <w:sz w:val="21"/>
              </w:rPr>
              <w:t>Gated identity balance</w:t>
            </w:r>
          </w:p>
        </w:tc>
        <w:tc>
          <w:tcPr>
            <w:tcW w:w="1037" w:type="dxa"/>
            <w:shd w:val="clear" w:color="auto" w:fill="FFFFFF"/>
            <w:tcMar>
              <w:top w:w="75" w:type="dxa"/>
              <w:left w:w="85" w:type="dxa"/>
              <w:bottom w:w="75" w:type="dxa"/>
              <w:right w:w="85" w:type="dxa"/>
            </w:tcMar>
            <w:vAlign w:val="center"/>
          </w:tcPr>
          <w:p w14:paraId="4B18BA4E">
            <w:pPr>
              <w:spacing w:before="0" w:after="0" w:line="240" w:lineRule="auto"/>
              <w:jc w:val="left"/>
            </w:pPr>
            <w:r>
              <w:rPr>
                <w:rFonts w:ascii="Times New Roman" w:hAnsi="Times New Roman" w:eastAsia="Times New Roman"/>
                <w:b w:val="0"/>
                <w:i w:val="0"/>
                <w:color w:val="000000"/>
                <w:sz w:val="21"/>
              </w:rPr>
              <w:t>0.360</w:t>
            </w:r>
          </w:p>
        </w:tc>
        <w:tc>
          <w:tcPr>
            <w:tcW w:w="1325" w:type="dxa"/>
            <w:shd w:val="clear" w:color="auto" w:fill="FFFFFF"/>
            <w:tcMar>
              <w:top w:w="75" w:type="dxa"/>
              <w:left w:w="85" w:type="dxa"/>
              <w:bottom w:w="75" w:type="dxa"/>
              <w:right w:w="85" w:type="dxa"/>
            </w:tcMar>
            <w:vAlign w:val="center"/>
          </w:tcPr>
          <w:p w14:paraId="750D721D">
            <w:pPr>
              <w:spacing w:before="0" w:after="0" w:line="240" w:lineRule="auto"/>
              <w:jc w:val="left"/>
            </w:pPr>
            <w:r>
              <w:rPr>
                <w:rFonts w:ascii="Times New Roman" w:hAnsi="Times New Roman" w:eastAsia="Times New Roman"/>
                <w:b w:val="0"/>
                <w:i w:val="0"/>
                <w:color w:val="000000"/>
                <w:sz w:val="21"/>
              </w:rPr>
              <w:t>0.311–0.406</w:t>
            </w:r>
          </w:p>
        </w:tc>
        <w:tc>
          <w:tcPr>
            <w:tcW w:w="1037" w:type="dxa"/>
            <w:shd w:val="clear" w:color="auto" w:fill="FFFFFF"/>
            <w:tcMar>
              <w:top w:w="75" w:type="dxa"/>
              <w:left w:w="85" w:type="dxa"/>
              <w:bottom w:w="75" w:type="dxa"/>
              <w:right w:w="85" w:type="dxa"/>
            </w:tcMar>
            <w:vAlign w:val="center"/>
          </w:tcPr>
          <w:p w14:paraId="1C623032">
            <w:pPr>
              <w:spacing w:before="0" w:after="0" w:line="240" w:lineRule="auto"/>
              <w:jc w:val="left"/>
            </w:pPr>
            <w:r>
              <w:rPr>
                <w:rFonts w:ascii="Times New Roman" w:hAnsi="Times New Roman" w:eastAsia="Times New Roman"/>
                <w:b w:val="0"/>
                <w:i w:val="0"/>
                <w:color w:val="000000"/>
                <w:sz w:val="21"/>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before="0" w:after="0" w:line="240" w:lineRule="auto"/>
              <w:jc w:val="left"/>
            </w:pPr>
            <w:r>
              <w:rPr>
                <w:rFonts w:ascii="Times New Roman" w:hAnsi="Times New Roman" w:eastAsia="Times New Roman"/>
                <w:b w:val="0"/>
                <w:i w:val="0"/>
                <w:color w:val="000000"/>
                <w:sz w:val="21"/>
              </w:rPr>
              <w:t>Base-to-mass disagreement</w:t>
            </w:r>
          </w:p>
        </w:tc>
        <w:tc>
          <w:tcPr>
            <w:tcW w:w="2664" w:type="dxa"/>
            <w:shd w:val="clear" w:color="auto" w:fill="F3EDF9"/>
            <w:tcMar>
              <w:top w:w="75" w:type="dxa"/>
              <w:left w:w="85" w:type="dxa"/>
              <w:bottom w:w="75" w:type="dxa"/>
              <w:right w:w="85" w:type="dxa"/>
            </w:tcMar>
            <w:vAlign w:val="center"/>
          </w:tcPr>
          <w:p w14:paraId="1FE7401F">
            <w:pPr>
              <w:spacing w:before="0" w:after="0" w:line="240" w:lineRule="auto"/>
              <w:jc w:val="left"/>
            </w:pPr>
            <w:r>
              <w:rPr>
                <w:rFonts w:ascii="Times New Roman" w:hAnsi="Times New Roman" w:eastAsia="Times New Roman"/>
                <w:b w:val="0"/>
                <w:i w:val="0"/>
                <w:color w:val="000000"/>
                <w:sz w:val="21"/>
              </w:rPr>
              <w:t>Identity-head mismatch</w:t>
            </w:r>
          </w:p>
        </w:tc>
        <w:tc>
          <w:tcPr>
            <w:tcW w:w="1037" w:type="dxa"/>
            <w:shd w:val="clear" w:color="auto" w:fill="F3EDF9"/>
            <w:tcMar>
              <w:top w:w="75" w:type="dxa"/>
              <w:left w:w="85" w:type="dxa"/>
              <w:bottom w:w="75" w:type="dxa"/>
              <w:right w:w="85" w:type="dxa"/>
            </w:tcMar>
            <w:vAlign w:val="center"/>
          </w:tcPr>
          <w:p w14:paraId="4652923C">
            <w:pPr>
              <w:spacing w:before="0" w:after="0" w:line="240" w:lineRule="auto"/>
              <w:jc w:val="left"/>
            </w:pPr>
            <w:r>
              <w:rPr>
                <w:rFonts w:ascii="Times New Roman" w:hAnsi="Times New Roman" w:eastAsia="Times New Roman"/>
                <w:b w:val="0"/>
                <w:i w:val="0"/>
                <w:color w:val="000000"/>
                <w:sz w:val="21"/>
              </w:rPr>
              <w:t>0.282</w:t>
            </w:r>
          </w:p>
        </w:tc>
        <w:tc>
          <w:tcPr>
            <w:tcW w:w="1325" w:type="dxa"/>
            <w:shd w:val="clear" w:color="auto" w:fill="F3EDF9"/>
            <w:tcMar>
              <w:top w:w="75" w:type="dxa"/>
              <w:left w:w="85" w:type="dxa"/>
              <w:bottom w:w="75" w:type="dxa"/>
              <w:right w:w="85" w:type="dxa"/>
            </w:tcMar>
            <w:vAlign w:val="center"/>
          </w:tcPr>
          <w:p w14:paraId="5C16ADC2">
            <w:pPr>
              <w:spacing w:before="0" w:after="0" w:line="240" w:lineRule="auto"/>
              <w:jc w:val="left"/>
            </w:pPr>
            <w:r>
              <w:rPr>
                <w:rFonts w:ascii="Times New Roman" w:hAnsi="Times New Roman" w:eastAsia="Times New Roman"/>
                <w:b w:val="0"/>
                <w:i w:val="0"/>
                <w:color w:val="000000"/>
                <w:sz w:val="21"/>
              </w:rPr>
              <w:t>0.237–0.328</w:t>
            </w:r>
          </w:p>
        </w:tc>
        <w:tc>
          <w:tcPr>
            <w:tcW w:w="1037" w:type="dxa"/>
            <w:shd w:val="clear" w:color="auto" w:fill="F3EDF9"/>
            <w:tcMar>
              <w:top w:w="75" w:type="dxa"/>
              <w:left w:w="85" w:type="dxa"/>
              <w:bottom w:w="75" w:type="dxa"/>
              <w:right w:w="85" w:type="dxa"/>
            </w:tcMar>
            <w:vAlign w:val="center"/>
          </w:tcPr>
          <w:p w14:paraId="598234FA">
            <w:pPr>
              <w:spacing w:before="0" w:after="0" w:line="240" w:lineRule="auto"/>
              <w:jc w:val="left"/>
            </w:pPr>
            <w:r>
              <w:rPr>
                <w:rFonts w:ascii="Times New Roman" w:hAnsi="Times New Roman" w:eastAsia="Times New Roman"/>
                <w:b w:val="0"/>
                <w:i w:val="0"/>
                <w:color w:val="000000"/>
                <w:sz w:val="21"/>
              </w:rPr>
              <w:t>Exclude</w:t>
            </w:r>
          </w:p>
        </w:tc>
      </w:tr>
    </w:tbl>
    <w:p w14:paraId="644740EA">
      <w:pPr>
        <w:spacing w:before="0" w:after="0"/>
        <w:jc w:val="center"/>
      </w:pPr>
    </w:p>
    <w:p w14:paraId="0FE0553D">
      <w:pPr>
        <w:pStyle w:val="4"/>
        <w:keepNext/>
        <w:spacing w:before="200" w:after="120" w:line="240" w:lineRule="auto"/>
        <w:jc w:val="left"/>
      </w:pPr>
      <w:r>
        <w:rPr>
          <w:rFonts w:ascii="Times New Roman" w:hAnsi="Times New Roman" w:eastAsia="Times New Roman"/>
          <w:b/>
          <w:i w:val="0"/>
          <w:color w:val="000000"/>
          <w:sz w:val="24"/>
        </w:rPr>
        <w:t>3.3 High-dimensional dual-readout fusion failed to add CIMT value</w:t>
      </w:r>
    </w:p>
    <w:p w14:paraId="0952E4FE">
      <w:pPr>
        <w:pStyle w:val="18"/>
        <w:keepNext w:val="0"/>
        <w:spacing w:before="0" w:after="100" w:line="276" w:lineRule="auto"/>
        <w:jc w:val="both"/>
      </w:pPr>
      <w:r>
        <w:rPr>
          <w:rFonts w:ascii="Times New Roman" w:hAnsi="Times New Roman" w:eastAsia="Times New Roman"/>
          <w:b w:val="0"/>
          <w:i w:val="0"/>
          <w:color w:val="000000"/>
          <w:sz w:val="24"/>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pStyle w:val="18"/>
        <w:keepNext w:val="0"/>
        <w:spacing w:before="0" w:after="100" w:line="276" w:lineRule="auto"/>
        <w:jc w:val="both"/>
      </w:pPr>
      <w:r>
        <w:rPr>
          <w:rFonts w:ascii="Times New Roman" w:hAnsi="Times New Roman" w:eastAsia="Times New Roman"/>
          <w:b w:val="0"/>
          <w:i w:val="0"/>
          <w:color w:val="000000"/>
          <w:sz w:val="24"/>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pStyle w:val="4"/>
        <w:keepNext/>
        <w:spacing w:before="200" w:after="120" w:line="240" w:lineRule="auto"/>
        <w:jc w:val="left"/>
      </w:pPr>
      <w:r>
        <w:rPr>
          <w:rFonts w:ascii="Times New Roman" w:hAnsi="Times New Roman" w:eastAsia="Times New Roman"/>
          <w:b/>
          <w:i w:val="0"/>
          <w:color w:val="000000"/>
          <w:sz w:val="24"/>
        </w:rPr>
        <w:t>3.4 Conditional normative deviation revealed a small development signal</w:t>
      </w:r>
    </w:p>
    <w:p w14:paraId="339D835C">
      <w:pPr>
        <w:pStyle w:val="18"/>
        <w:keepNext w:val="0"/>
        <w:spacing w:before="0" w:after="100" w:line="276" w:lineRule="auto"/>
        <w:jc w:val="both"/>
      </w:pPr>
      <w:r>
        <w:rPr>
          <w:rFonts w:ascii="Times New Roman" w:hAnsi="Times New Roman" w:eastAsia="Times New Roman"/>
          <w:b w:val="0"/>
          <w:i w:val="0"/>
          <w:color w:val="000000"/>
          <w:sz w:val="24"/>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pStyle w:val="18"/>
        <w:keepNext w:val="0"/>
        <w:spacing w:before="0" w:after="100" w:line="276" w:lineRule="auto"/>
        <w:jc w:val="both"/>
      </w:pPr>
      <w:r>
        <w:rPr>
          <w:rFonts w:ascii="Times New Roman" w:hAnsi="Times New Roman" w:eastAsia="Times New Roman"/>
          <w:b w:val="0"/>
          <w:i w:val="0"/>
          <w:color w:val="000000"/>
          <w:sz w:val="24"/>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pStyle w:val="18"/>
        <w:keepNext w:val="0"/>
        <w:spacing w:before="0" w:after="100" w:line="276" w:lineRule="auto"/>
        <w:jc w:val="both"/>
      </w:pPr>
      <w:r>
        <w:rPr>
          <w:rFonts w:ascii="Times New Roman" w:hAnsi="Times New Roman" w:eastAsia="Times New Roman"/>
          <w:b w:val="0"/>
          <w:i w:val="0"/>
          <w:color w:val="000000"/>
          <w:sz w:val="24"/>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pPr>
        <w:spacing w:before="0" w:after="0"/>
        <w:jc w:val="center"/>
      </w:pPr>
      <w:r>
        <w:br w:type="page"/>
      </w:r>
    </w:p>
    <w:p w14:paraId="6B41BF30">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Figure 5.</w:t>
      </w:r>
      <w:r>
        <w:rPr>
          <w:rFonts w:ascii="Times New Roman" w:hAnsi="Times New Roman" w:eastAsia="Times New Roman"/>
          <w:b/>
          <w:i/>
          <w:color w:val="000000"/>
          <w:sz w:val="24"/>
        </w:rPr>
        <w:t xml:space="preserve"> </w:t>
      </w:r>
      <w:r>
        <w:rPr>
          <w:rFonts w:hint="default" w:ascii="Times New Roman" w:hAnsi="Times New Roman" w:eastAsia="Times New Roman" w:cs="Times New Roman"/>
          <w:b w:val="0"/>
          <w:bCs/>
          <w:i w:val="0"/>
          <w:iCs/>
          <w:color w:val="000000"/>
          <w:sz w:val="24"/>
        </w:rPr>
        <w:t>CIMT clinical-increment experiments. Panel A presents the prespecified model sequence. Panel B reports paired MAE differences for direct fusion, conditional normative modelling, double orthogonalization, the one shot frozen validation, and the ICC-gated representation-replacement control; negative values favour the retinal model. The frozen validation preserved the direction of the development signal, but its paired confidence interval crossed zero and the accelerated-deviation classifier remained uncertain.</w:t>
      </w:r>
    </w:p>
    <w:p w14:paraId="55262C16">
      <w:pPr>
        <w:spacing w:before="0" w:after="0"/>
        <w:jc w:val="center"/>
      </w:pPr>
    </w:p>
    <w:p w14:paraId="0BA5E862">
      <w:pPr>
        <w:pStyle w:val="4"/>
        <w:keepNext/>
        <w:spacing w:before="200" w:after="120" w:line="240" w:lineRule="auto"/>
        <w:jc w:val="left"/>
      </w:pPr>
      <w:r>
        <w:rPr>
          <w:rFonts w:ascii="Times New Roman" w:hAnsi="Times New Roman" w:eastAsia="Times New Roman"/>
          <w:b/>
          <w:i w:val="0"/>
          <w:color w:val="000000"/>
          <w:sz w:val="24"/>
        </w:rPr>
        <w:t>3.5 Exploratory mBRSET analyses did not establish incremental hypertension information</w:t>
      </w:r>
    </w:p>
    <w:p w14:paraId="01ED7ED3">
      <w:pPr>
        <w:pStyle w:val="18"/>
        <w:keepNext w:val="0"/>
        <w:spacing w:before="0" w:after="100" w:line="276" w:lineRule="auto"/>
        <w:jc w:val="both"/>
      </w:pPr>
      <w:r>
        <w:rPr>
          <w:rFonts w:ascii="Times New Roman" w:hAnsi="Times New Roman" w:eastAsia="Times New Roman"/>
          <w:b w:val="0"/>
          <w:i w:val="0"/>
          <w:color w:val="000000"/>
          <w:sz w:val="24"/>
        </w:rPr>
        <w:t>Among 1,276 mBRSET patients with complete hypertension analysis, 912 were positive. After outer-training cross 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pStyle w:val="18"/>
        <w:keepNext w:val="0"/>
        <w:spacing w:before="0" w:after="100" w:line="276" w:lineRule="auto"/>
        <w:jc w:val="both"/>
      </w:pPr>
      <w:r>
        <w:rPr>
          <w:rFonts w:ascii="Times New Roman" w:hAnsi="Times New Roman" w:eastAsia="Times New Roman"/>
          <w:b w:val="0"/>
          <w:i w:val="0"/>
          <w:color w:val="000000"/>
          <w:sz w:val="24"/>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pStyle w:val="4"/>
        <w:keepNext/>
        <w:spacing w:before="200" w:after="120" w:line="240" w:lineRule="auto"/>
        <w:jc w:val="left"/>
      </w:pPr>
      <w:r>
        <w:rPr>
          <w:rFonts w:ascii="Times New Roman" w:hAnsi="Times New Roman" w:eastAsia="Times New Roman"/>
          <w:b/>
          <w:i w:val="0"/>
          <w:color w:val="000000"/>
          <w:sz w:val="24"/>
        </w:rPr>
        <w:t>3.6 Negative controls and transport boundaries</w:t>
      </w:r>
    </w:p>
    <w:p w14:paraId="3EFBFA88">
      <w:pPr>
        <w:pStyle w:val="18"/>
        <w:keepNext w:val="0"/>
        <w:spacing w:before="0" w:after="100" w:line="276" w:lineRule="auto"/>
        <w:jc w:val="both"/>
      </w:pPr>
      <w:r>
        <w:rPr>
          <w:rFonts w:ascii="Times New Roman" w:hAnsi="Times New Roman" w:eastAsia="Times New Roman"/>
          <w:b w:val="0"/>
          <w:i w:val="0"/>
          <w:color w:val="000000"/>
          <w:sz w:val="24"/>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pStyle w:val="18"/>
        <w:keepNext w:val="0"/>
        <w:spacing w:before="0" w:after="100" w:line="276" w:lineRule="auto"/>
        <w:jc w:val="both"/>
      </w:pPr>
      <w:r>
        <w:rPr>
          <w:rFonts w:ascii="Times New Roman" w:hAnsi="Times New Roman" w:eastAsia="Times New Roman"/>
          <w:b w:val="0"/>
          <w:i w:val="0"/>
          <w:color w:val="000000"/>
          <w:sz w:val="24"/>
        </w:rPr>
        <w:t>A label 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pPr>
        <w:spacing w:before="0" w:after="0"/>
        <w:jc w:val="center"/>
      </w:pPr>
      <w:r>
        <w:br w:type="page"/>
      </w:r>
    </w:p>
    <w:p w14:paraId="03FE0B26">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6. </w:t>
      </w:r>
      <w:r>
        <w:rPr>
          <w:rFonts w:hint="default" w:ascii="Times New Roman" w:hAnsi="Times New Roman" w:eastAsia="Times New Roman" w:cs="Times New Roman"/>
          <w:b w:val="0"/>
          <w:bCs/>
          <w:i w:val="0"/>
          <w:iCs/>
          <w:color w:val="000000"/>
          <w:sz w:val="24"/>
        </w:rPr>
        <w:t>Patient-level results, negative controls, and claim boundary. Panel A reports calibrated ICC-gated phenotype-core increments over the clinical model in exploratory mBRSET overall and sensitivity analyses; all paired 95% confidence intervals cross zero. Panel B is a 200-permutation, patient level leakage control with zero outer-fold patient overlap. Panel C separates supported measurement evidence from exploratory association and the still-missing independent high resolution outcome confirmation.</w:t>
      </w:r>
    </w:p>
    <w:p w14:paraId="34203D94">
      <w:pPr>
        <w:spacing w:before="0" w:after="0"/>
        <w:jc w:val="center"/>
      </w:pPr>
    </w:p>
    <w:p w14:paraId="17CF2212">
      <w:pPr>
        <w:pStyle w:val="4"/>
        <w:keepNext/>
        <w:spacing w:before="200" w:after="120" w:line="240" w:lineRule="auto"/>
        <w:jc w:val="left"/>
      </w:pPr>
      <w:r>
        <w:rPr>
          <w:rFonts w:ascii="Times New Roman" w:hAnsi="Times New Roman" w:eastAsia="Times New Roman"/>
          <w:b/>
          <w:i w:val="0"/>
          <w:color w:val="000000"/>
          <w:sz w:val="24"/>
        </w:rPr>
        <w:t>3.7 Negative experiments defined the stopping rule</w:t>
      </w:r>
    </w:p>
    <w:p w14:paraId="2082E8BC">
      <w:pPr>
        <w:pStyle w:val="18"/>
        <w:keepNext w:val="0"/>
        <w:spacing w:before="0" w:after="100" w:line="276" w:lineRule="auto"/>
        <w:jc w:val="both"/>
      </w:pPr>
      <w:r>
        <w:rPr>
          <w:rFonts w:ascii="Times New Roman" w:hAnsi="Times New Roman" w:eastAsia="Times New Roman"/>
          <w:b w:val="0"/>
          <w:i w:val="0"/>
          <w:color w:val="000000"/>
          <w:sz w:val="24"/>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 driven feature expansion in the current cohorts.</w:t>
      </w:r>
    </w:p>
    <w:p w14:paraId="2F83772E">
      <w:pPr>
        <w:pStyle w:val="18"/>
        <w:keepNext w:val="0"/>
        <w:spacing w:before="0" w:after="100" w:line="276" w:lineRule="auto"/>
        <w:jc w:val="both"/>
      </w:pPr>
      <w:r>
        <w:rPr>
          <w:rFonts w:ascii="Times New Roman" w:hAnsi="Times New Roman" w:eastAsia="Times New Roman"/>
          <w:b w:val="0"/>
          <w:i w:val="0"/>
          <w:color w:val="000000"/>
          <w:sz w:val="24"/>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pStyle w:val="3"/>
        <w:keepNext/>
        <w:spacing w:before="200" w:after="120" w:line="240" w:lineRule="auto"/>
        <w:jc w:val="left"/>
      </w:pPr>
      <w:r>
        <w:rPr>
          <w:rFonts w:ascii="Times New Roman" w:hAnsi="Times New Roman" w:eastAsia="Times New Roman"/>
          <w:b/>
          <w:i w:val="0"/>
          <w:color w:val="000000"/>
          <w:sz w:val="28"/>
        </w:rPr>
        <w:t>4. Discussion</w:t>
      </w:r>
    </w:p>
    <w:p w14:paraId="5F121B86">
      <w:pPr>
        <w:pStyle w:val="4"/>
        <w:keepNext/>
        <w:spacing w:before="200" w:after="120" w:line="240" w:lineRule="auto"/>
        <w:jc w:val="left"/>
      </w:pPr>
      <w:r>
        <w:rPr>
          <w:rFonts w:ascii="Times New Roman" w:hAnsi="Times New Roman" w:eastAsia="Times New Roman"/>
          <w:b/>
          <w:i w:val="0"/>
          <w:color w:val="000000"/>
          <w:sz w:val="24"/>
        </w:rPr>
        <w:t>4.1 Principal finding: the evidence layers diverged</w:t>
      </w:r>
    </w:p>
    <w:p w14:paraId="66B0EFFF">
      <w:pPr>
        <w:pStyle w:val="18"/>
        <w:keepNext w:val="0"/>
        <w:spacing w:before="0" w:after="100" w:line="276" w:lineRule="auto"/>
        <w:jc w:val="both"/>
      </w:pPr>
      <w:r>
        <w:rPr>
          <w:rFonts w:ascii="Times New Roman" w:hAnsi="Times New Roman" w:eastAsia="Times New Roman"/>
          <w:b w:val="0"/>
          <w:i w:val="0"/>
          <w:color w:val="000000"/>
          <w:sz w:val="24"/>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 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pStyle w:val="18"/>
        <w:keepNext w:val="0"/>
        <w:spacing w:before="0" w:after="100" w:line="276" w:lineRule="auto"/>
        <w:jc w:val="both"/>
      </w:pPr>
      <w:r>
        <w:rPr>
          <w:rFonts w:ascii="Times New Roman" w:hAnsi="Times New Roman" w:eastAsia="Times New Roman"/>
          <w:b w:val="0"/>
          <w:i w:val="0"/>
          <w:color w:val="000000"/>
          <w:sz w:val="24"/>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pStyle w:val="4"/>
        <w:keepNext/>
        <w:spacing w:before="200" w:after="120" w:line="240" w:lineRule="auto"/>
        <w:jc w:val="left"/>
      </w:pPr>
      <w:r>
        <w:rPr>
          <w:rFonts w:ascii="Times New Roman" w:hAnsi="Times New Roman" w:eastAsia="Times New Roman"/>
          <w:b/>
          <w:i w:val="0"/>
          <w:color w:val="000000"/>
          <w:sz w:val="24"/>
        </w:rPr>
        <w:t>4.2 Algorithmic and methodological contribution</w:t>
      </w:r>
    </w:p>
    <w:p w14:paraId="30956D39">
      <w:pPr>
        <w:pStyle w:val="18"/>
        <w:keepNext w:val="0"/>
        <w:spacing w:before="0" w:after="100" w:line="276" w:lineRule="auto"/>
        <w:jc w:val="both"/>
      </w:pPr>
      <w:r>
        <w:rPr>
          <w:rFonts w:ascii="Times New Roman" w:hAnsi="Times New Roman" w:eastAsia="Times New Roman"/>
          <w:b w:val="0"/>
          <w:i w:val="0"/>
          <w:color w:val="000000"/>
          <w:sz w:val="24"/>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pStyle w:val="18"/>
        <w:keepNext w:val="0"/>
        <w:spacing w:before="0" w:after="100" w:line="276" w:lineRule="auto"/>
        <w:jc w:val="both"/>
      </w:pPr>
      <w:r>
        <w:rPr>
          <w:rFonts w:ascii="Times New Roman" w:hAnsi="Times New Roman" w:eastAsia="Times New Roman"/>
          <w:b w:val="0"/>
          <w:i w:val="0"/>
          <w:color w:val="000000"/>
          <w:sz w:val="24"/>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pStyle w:val="18"/>
        <w:keepNext w:val="0"/>
        <w:spacing w:before="0" w:after="100" w:line="276" w:lineRule="auto"/>
        <w:jc w:val="both"/>
      </w:pPr>
      <w:r>
        <w:rPr>
          <w:rFonts w:ascii="Times New Roman" w:hAnsi="Times New Roman" w:eastAsia="Times New Roman"/>
          <w:b w:val="0"/>
          <w:i w:val="0"/>
          <w:color w:val="000000"/>
          <w:sz w:val="24"/>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pStyle w:val="4"/>
        <w:keepNext/>
        <w:spacing w:before="200" w:after="120" w:line="240" w:lineRule="auto"/>
        <w:jc w:val="left"/>
      </w:pPr>
      <w:r>
        <w:rPr>
          <w:rFonts w:ascii="Times New Roman" w:hAnsi="Times New Roman" w:eastAsia="Times New Roman"/>
          <w:b/>
          <w:i w:val="0"/>
          <w:color w:val="000000"/>
          <w:sz w:val="24"/>
        </w:rPr>
        <w:t>4.3 Clinical interpretation and limits of increment</w:t>
      </w:r>
    </w:p>
    <w:p w14:paraId="099BD538">
      <w:pPr>
        <w:pStyle w:val="18"/>
        <w:keepNext w:val="0"/>
        <w:spacing w:before="0" w:after="100" w:line="276" w:lineRule="auto"/>
        <w:jc w:val="both"/>
      </w:pPr>
      <w:r>
        <w:rPr>
          <w:rFonts w:ascii="Times New Roman" w:hAnsi="Times New Roman" w:eastAsia="Times New Roman"/>
          <w:b w:val="0"/>
          <w:i w:val="0"/>
          <w:color w:val="000000"/>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pStyle w:val="18"/>
        <w:keepNext w:val="0"/>
        <w:spacing w:before="0" w:after="100" w:line="276" w:lineRule="auto"/>
        <w:jc w:val="both"/>
      </w:pPr>
      <w:r>
        <w:rPr>
          <w:rFonts w:ascii="Times New Roman" w:hAnsi="Times New Roman" w:eastAsia="Times New Roman"/>
          <w:b w:val="0"/>
          <w:i w:val="0"/>
          <w:color w:val="000000"/>
          <w:sz w:val="24"/>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 level permutation control supports pipeline integrity, not a clinical association claim. Accordingly, mBRSET contributes external mechanism and repeatability evidence only.</w:t>
      </w:r>
    </w:p>
    <w:p w14:paraId="5435C62B">
      <w:pPr>
        <w:pStyle w:val="18"/>
        <w:keepNext w:val="0"/>
        <w:spacing w:before="0" w:after="100" w:line="276" w:lineRule="auto"/>
        <w:jc w:val="both"/>
      </w:pPr>
      <w:r>
        <w:rPr>
          <w:rFonts w:ascii="Times New Roman" w:hAnsi="Times New Roman" w:eastAsia="Times New Roman"/>
          <w:b w:val="0"/>
          <w:i w:val="0"/>
          <w:color w:val="000000"/>
          <w:sz w:val="24"/>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pStyle w:val="4"/>
        <w:keepNext/>
        <w:spacing w:before="200" w:after="120" w:line="240" w:lineRule="auto"/>
        <w:jc w:val="left"/>
      </w:pPr>
      <w:r>
        <w:rPr>
          <w:rFonts w:ascii="Times New Roman" w:hAnsi="Times New Roman" w:eastAsia="Times New Roman"/>
          <w:b/>
          <w:i w:val="0"/>
          <w:color w:val="000000"/>
          <w:sz w:val="24"/>
        </w:rPr>
        <w:t>4.4 Limitations and confirmatory path</w:t>
      </w:r>
    </w:p>
    <w:p w14:paraId="01D2BF3F">
      <w:pPr>
        <w:pStyle w:val="18"/>
        <w:keepNext w:val="0"/>
        <w:spacing w:before="0" w:after="100" w:line="276" w:lineRule="auto"/>
        <w:jc w:val="both"/>
      </w:pPr>
      <w:r>
        <w:rPr>
          <w:rFonts w:ascii="Times New Roman" w:hAnsi="Times New Roman" w:eastAsia="Times New Roman"/>
          <w:b w:val="0"/>
          <w:i w:val="0"/>
          <w:color w:val="000000"/>
          <w:sz w:val="24"/>
        </w:rPr>
        <w:t>The cohorts differed in resolution, pathology prevalence, imaging hardware, and covariate availability. Disc localization required fallback in 189 mBRSET images. Repeatability arose from naturally repeated rather than prospectively standardized acquisitions. The mBRSET resource was a publicly mirrored, quality-filtered 224-pixel image subset that omitted 280 official image records, disproportionately records labelled low quality. It cannot substitute for independent high resolution outcome confirmation. The clinical analyses were exploratory and constrained by label prevalence, calibration sensitivity, and available covariates. The study did not establish causal relations, future vascular events, or clinical utility.</w:t>
      </w:r>
    </w:p>
    <w:p w14:paraId="66F12E3E">
      <w:pPr>
        <w:pStyle w:val="18"/>
        <w:keepNext w:val="0"/>
        <w:spacing w:before="0" w:after="100" w:line="276" w:lineRule="auto"/>
        <w:jc w:val="both"/>
      </w:pPr>
      <w:r>
        <w:rPr>
          <w:rFonts w:ascii="Times New Roman" w:hAnsi="Times New Roman" w:eastAsia="Times New Roman"/>
          <w:b w:val="0"/>
          <w:i w:val="0"/>
          <w:color w:val="000000"/>
          <w:sz w:val="24"/>
        </w:rPr>
        <w:t>A definitive study should freeze preprocessing, both readouts, the ICC-gated phenotype core, quality exclusions, and clinical baselines before accessing a new high resolution cohort. Primary discrimination and calibration criteria should be prespecified, with paired patient 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pStyle w:val="3"/>
        <w:keepNext/>
        <w:spacing w:before="200" w:after="120" w:line="240" w:lineRule="auto"/>
        <w:jc w:val="left"/>
      </w:pPr>
      <w:r>
        <w:rPr>
          <w:rFonts w:ascii="Times New Roman" w:hAnsi="Times New Roman" w:eastAsia="Times New Roman"/>
          <w:b/>
          <w:i w:val="0"/>
          <w:color w:val="000000"/>
          <w:sz w:val="28"/>
        </w:rPr>
        <w:t>5. Conclusion</w:t>
      </w:r>
    </w:p>
    <w:p w14:paraId="3550C3E2">
      <w:pPr>
        <w:pStyle w:val="18"/>
        <w:keepNext w:val="0"/>
        <w:spacing w:before="0" w:after="100" w:line="276" w:lineRule="auto"/>
        <w:jc w:val="both"/>
      </w:pPr>
      <w:r>
        <w:rPr>
          <w:rFonts w:ascii="Times New Roman" w:hAnsi="Times New Roman" w:eastAsia="Times New Roman"/>
          <w:b w:val="0"/>
          <w:i w:val="0"/>
          <w:color w:val="000000"/>
          <w:sz w:val="24"/>
        </w:rPr>
        <w:t>A retinal vascular feature should not be called a biomarker merely because it can be segmented, repeated, or associated with an outcome. Across five cohorts, RMDB–BiRAP supported cross domain measurement and four reproducible global phenotypes, while direct high dimensional fusion, a head-disagreement uncertainty proxy, substitution of the E10A representation with the ICC-gated phenotype core, and calibrated mBRSET increment all failed to justify a clinical claim. The contribution is an auditable route from measurable pixels to reproducible phenotypes—and a transparent stopping rule until frozen confirmation on an independent high resolution outcome cohort is possible.</w:t>
      </w:r>
    </w:p>
    <w:p w14:paraId="2D7F1692">
      <w:pPr>
        <w:pStyle w:val="18"/>
        <w:keepNext/>
        <w:spacing w:before="0" w:after="80" w:line="276" w:lineRule="auto"/>
        <w:jc w:val="both"/>
      </w:pPr>
      <w:r>
        <w:rPr>
          <w:rFonts w:ascii="Times New Roman" w:hAnsi="Times New Roman" w:eastAsia="Times New Roman"/>
          <w:b/>
          <w:i w:val="0"/>
          <w:color w:val="000000"/>
          <w:sz w:val="24"/>
        </w:rPr>
        <w:t>Declarations</w:t>
      </w:r>
    </w:p>
    <w:p w14:paraId="47BC9842">
      <w:pPr>
        <w:pStyle w:val="18"/>
        <w:keepNext/>
        <w:spacing w:before="0" w:after="100" w:line="276" w:lineRule="auto"/>
        <w:jc w:val="both"/>
      </w:pPr>
      <w:r>
        <w:rPr>
          <w:rFonts w:ascii="Times New Roman" w:hAnsi="Times New Roman" w:eastAsia="Times New Roman"/>
          <w:b/>
          <w:i w:val="0"/>
          <w:color w:val="000000"/>
          <w:sz w:val="24"/>
        </w:rPr>
        <w:t>Ethics approval and consent to participate</w:t>
      </w:r>
    </w:p>
    <w:p w14:paraId="094CABFA">
      <w:pPr>
        <w:pStyle w:val="18"/>
        <w:keepNext w:val="0"/>
        <w:spacing w:before="0" w:after="100" w:line="276" w:lineRule="auto"/>
        <w:jc w:val="both"/>
        <w:rPr>
          <w:i w:val="0"/>
          <w:iCs/>
        </w:rPr>
      </w:pPr>
      <w:r>
        <w:rPr>
          <w:rFonts w:ascii="Times New Roman" w:hAnsi="Times New Roman" w:eastAsia="Times New Roman"/>
          <w:b w:val="0"/>
          <w:i w:val="0"/>
          <w:iCs/>
          <w:color w:val="000000"/>
          <w:sz w:val="24"/>
        </w:rPr>
        <w:t>This work analysed de-identified or publicly released data and involved no new participant recruitment or intervention. The source China Fundus–CIMT study remains governed by its original ethics approval and data-use agreement. Public resources were used according to their respective terms of access. The specific institutional review-board identifier and consent statement must be confirmed by the corresponding author before submission.</w:t>
      </w:r>
    </w:p>
    <w:p w14:paraId="1309008E">
      <w:pPr>
        <w:pStyle w:val="18"/>
        <w:keepNext/>
        <w:spacing w:before="0" w:after="100" w:line="276" w:lineRule="auto"/>
        <w:jc w:val="both"/>
      </w:pPr>
      <w:r>
        <w:rPr>
          <w:rFonts w:ascii="Times New Roman" w:hAnsi="Times New Roman" w:eastAsia="Times New Roman"/>
          <w:b/>
          <w:i w:val="0"/>
          <w:color w:val="000000"/>
          <w:sz w:val="24"/>
        </w:rPr>
        <w:t>Data and code availability</w:t>
      </w:r>
    </w:p>
    <w:p w14:paraId="1320A4C6">
      <w:pPr>
        <w:pStyle w:val="18"/>
        <w:keepNext w:val="0"/>
        <w:spacing w:before="0" w:after="100" w:line="276" w:lineRule="auto"/>
        <w:jc w:val="both"/>
      </w:pPr>
      <w:r>
        <w:rPr>
          <w:rFonts w:ascii="Times New Roman" w:hAnsi="Times New Roman" w:eastAsia="Times New Roman"/>
          <w:b w:val="0"/>
          <w:i w:val="0"/>
          <w:color w:val="000000"/>
          <w:sz w:val="24"/>
        </w:rPr>
        <w:t>Public cohort access should be cited through the original FIVES, RAV, Fundus-AVSeg, and mBRSET repositories. The reproducibility archive will contain analysis code, frozen manifests, feature dictionaries, fold assignments, and aggregate result files. The publicly mirrored mBRSET images are not redistributed by the authors. Patient-level China Fundus–CIMT data cannot be deposited without source data-governance permission.</w:t>
      </w:r>
    </w:p>
    <w:p w14:paraId="4184EF31">
      <w:pPr>
        <w:pStyle w:val="18"/>
        <w:keepNext/>
        <w:spacing w:before="0" w:after="100" w:line="276" w:lineRule="auto"/>
        <w:jc w:val="both"/>
      </w:pPr>
      <w:r>
        <w:rPr>
          <w:rFonts w:ascii="Times New Roman" w:hAnsi="Times New Roman" w:eastAsia="Times New Roman"/>
          <w:b/>
          <w:i w:val="0"/>
          <w:color w:val="000000"/>
          <w:sz w:val="24"/>
        </w:rPr>
        <w:t>Competing interests</w:t>
      </w:r>
    </w:p>
    <w:p w14:paraId="11D67101">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confirmed by all authors before submission.]</w:t>
      </w:r>
    </w:p>
    <w:p w14:paraId="2A6B5B73">
      <w:pPr>
        <w:pStyle w:val="18"/>
        <w:keepNext/>
        <w:spacing w:before="0" w:after="100" w:line="276" w:lineRule="auto"/>
        <w:jc w:val="both"/>
        <w:rPr>
          <w:rFonts w:hint="default" w:ascii="Times New Roman Bold" w:hAnsi="Times New Roman Bold" w:cs="Times New Roman Bold"/>
          <w:i w:val="0"/>
          <w:iCs/>
        </w:rPr>
      </w:pPr>
      <w:r>
        <w:rPr>
          <w:rFonts w:hint="default" w:ascii="Times New Roman Bold" w:hAnsi="Times New Roman Bold" w:eastAsia="Times New Roman" w:cs="Times New Roman Bold"/>
          <w:b/>
          <w:i w:val="0"/>
          <w:iCs/>
          <w:color w:val="000000"/>
          <w:sz w:val="24"/>
        </w:rPr>
        <w:t>Funding</w:t>
      </w:r>
    </w:p>
    <w:p w14:paraId="4F126B66">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by the corresponding author before submission.]</w:t>
      </w:r>
    </w:p>
    <w:p w14:paraId="6B071F6F">
      <w:pPr>
        <w:pStyle w:val="18"/>
        <w:keepNext/>
        <w:spacing w:before="0" w:after="100" w:line="276" w:lineRule="auto"/>
        <w:jc w:val="both"/>
        <w:rPr>
          <w:rFonts w:hint="default" w:ascii="Times New Roman Bold" w:hAnsi="Times New Roman Bold" w:cs="Times New Roman Bold"/>
          <w:i w:val="0"/>
          <w:iCs/>
        </w:rPr>
      </w:pPr>
      <w:r>
        <w:rPr>
          <w:rFonts w:hint="default" w:ascii="Times New Roman Bold" w:hAnsi="Times New Roman Bold" w:eastAsia="Times New Roman" w:cs="Times New Roman Bold"/>
          <w:b/>
          <w:i w:val="0"/>
          <w:iCs/>
          <w:color w:val="000000"/>
          <w:sz w:val="24"/>
        </w:rPr>
        <w:t>Author contributions</w:t>
      </w:r>
    </w:p>
    <w:p w14:paraId="325001A8">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and approved by all authors before submission.]</w:t>
      </w:r>
    </w:p>
    <w:p w14:paraId="0C6576CA">
      <w:pPr>
        <w:pStyle w:val="3"/>
        <w:keepNext/>
        <w:spacing w:before="200" w:after="120" w:line="240" w:lineRule="auto"/>
        <w:jc w:val="left"/>
      </w:pPr>
      <w:r>
        <w:rPr>
          <w:rFonts w:ascii="Times New Roman" w:hAnsi="Times New Roman" w:eastAsia="Times New Roman"/>
          <w:b/>
          <w:i w:val="0"/>
          <w:color w:val="000000"/>
          <w:sz w:val="28"/>
        </w:rPr>
        <w:t>References</w:t>
      </w:r>
    </w:p>
    <w:p w14:paraId="7AC97218">
      <w:pPr>
        <w:pStyle w:val="18"/>
        <w:keepNext/>
        <w:spacing w:before="0" w:after="80" w:line="276" w:lineRule="auto"/>
        <w:ind w:left="259" w:hanging="259"/>
        <w:jc w:val="both"/>
      </w:pPr>
      <w:bookmarkStart w:id="0" w:name="_GoBack"/>
      <w:r>
        <w:rPr>
          <w:rFonts w:ascii="Times New Roman" w:hAnsi="Times New Roman" w:eastAsia="Times New Roman"/>
          <w:b w:val="0"/>
          <w:i w:val="0"/>
          <w:color w:val="000000"/>
          <w:sz w:val="24"/>
        </w:rPr>
        <w:t>1. Wong TY, Mitchell P. The eye in hypertension. Lancet. 2007;369:425–435.</w:t>
      </w:r>
    </w:p>
    <w:p w14:paraId="7355D0D3">
      <w:pPr>
        <w:pStyle w:val="18"/>
        <w:keepNext/>
        <w:spacing w:before="0" w:after="80" w:line="276" w:lineRule="auto"/>
        <w:ind w:left="259" w:hanging="259"/>
        <w:jc w:val="both"/>
      </w:pPr>
      <w:r>
        <w:rPr>
          <w:rFonts w:ascii="Times New Roman" w:hAnsi="Times New Roman" w:eastAsia="Times New Roman"/>
          <w:b w:val="0"/>
          <w:i w:val="0"/>
          <w:color w:val="000000"/>
          <w:sz w:val="24"/>
        </w:rPr>
        <w:t>2. Poplin R, Varadarajan AV, Blumer K, et al. Prediction of cardiovascular risk factors from retinal fundus photographs via deep learning. Nature Biomedical Engineering. 2018;2:158–1</w:t>
      </w:r>
      <w:bookmarkEnd w:id="0"/>
      <w:r>
        <w:rPr>
          <w:rFonts w:ascii="Times New Roman" w:hAnsi="Times New Roman" w:eastAsia="Times New Roman"/>
          <w:b w:val="0"/>
          <w:i w:val="0"/>
          <w:color w:val="000000"/>
          <w:sz w:val="24"/>
        </w:rPr>
        <w:t>64.</w:t>
      </w:r>
    </w:p>
    <w:p w14:paraId="535A9BE5">
      <w:pPr>
        <w:pStyle w:val="18"/>
        <w:keepNext/>
        <w:spacing w:before="0" w:after="80" w:line="276" w:lineRule="auto"/>
        <w:ind w:left="259" w:hanging="259"/>
        <w:jc w:val="both"/>
      </w:pPr>
      <w:r>
        <w:rPr>
          <w:rFonts w:ascii="Times New Roman" w:hAnsi="Times New Roman" w:eastAsia="Times New Roman"/>
          <w:b w:val="0"/>
          <w:i w:val="0"/>
          <w:color w:val="000000"/>
          <w:sz w:val="24"/>
        </w:rPr>
        <w:t>3. Ting DSW, Cheung CYL, Lim G, et al. Development and validation of a deep learning system for diabetic retinopathy and related eye diseases using retinal images from multiethnic populations with diabetes. JAMA. 2017;318:2211–2223.</w:t>
      </w:r>
    </w:p>
    <w:p w14:paraId="4EECF535">
      <w:pPr>
        <w:pStyle w:val="18"/>
        <w:keepNext/>
        <w:spacing w:before="0" w:after="80" w:line="276" w:lineRule="auto"/>
        <w:ind w:left="259" w:hanging="259"/>
        <w:jc w:val="both"/>
      </w:pPr>
      <w:r>
        <w:rPr>
          <w:rFonts w:ascii="Times New Roman" w:hAnsi="Times New Roman" w:eastAsia="Times New Roman"/>
          <w:b w:val="0"/>
          <w:i w:val="0"/>
          <w:color w:val="000000"/>
          <w:sz w:val="24"/>
        </w:rPr>
        <w:t>4. Zhou Y, Chia MA, Wagner SK, et al. A foundation model for generalizable disease detection from retinal images. Nature. 2023;622:156–163.</w:t>
      </w:r>
    </w:p>
    <w:p w14:paraId="5102FEEF">
      <w:pPr>
        <w:pStyle w:val="18"/>
        <w:keepNext/>
        <w:spacing w:before="0" w:after="80" w:line="276" w:lineRule="auto"/>
        <w:ind w:left="259" w:hanging="259"/>
        <w:jc w:val="both"/>
      </w:pPr>
      <w:r>
        <w:rPr>
          <w:rFonts w:ascii="Times New Roman" w:hAnsi="Times New Roman" w:eastAsia="Times New Roman"/>
          <w:b w:val="0"/>
          <w:i w:val="0"/>
          <w:color w:val="000000"/>
          <w:sz w:val="24"/>
        </w:rPr>
        <w:t>5. McGraw KO, Wong SP. Forming inferences about some intraclass correlation coefficients. Psychological Methods. 1996;1:30–46.</w:t>
      </w:r>
    </w:p>
    <w:p w14:paraId="15BF5BC9">
      <w:pPr>
        <w:pStyle w:val="18"/>
        <w:keepNext/>
        <w:spacing w:before="0" w:after="80" w:line="276" w:lineRule="auto"/>
        <w:ind w:left="259" w:hanging="259"/>
        <w:jc w:val="both"/>
      </w:pPr>
      <w:r>
        <w:rPr>
          <w:rFonts w:ascii="Times New Roman" w:hAnsi="Times New Roman" w:eastAsia="Times New Roman"/>
          <w:b w:val="0"/>
          <w:i w:val="0"/>
          <w:color w:val="000000"/>
          <w:sz w:val="24"/>
        </w:rPr>
        <w:t>6. Koo TK, Li MY. A guideline of selecting and reporting intraclass correlation coefficients for reliability research. Journal of Chiropractic Medicine. 2016;15:155–163.</w:t>
      </w:r>
    </w:p>
    <w:p w14:paraId="0D78A3EC">
      <w:pPr>
        <w:pStyle w:val="18"/>
        <w:keepNext/>
        <w:spacing w:before="0" w:after="80" w:line="276" w:lineRule="auto"/>
        <w:ind w:left="259" w:hanging="259"/>
        <w:jc w:val="both"/>
      </w:pPr>
      <w:r>
        <w:rPr>
          <w:rFonts w:ascii="Times New Roman" w:hAnsi="Times New Roman" w:eastAsia="Times New Roman"/>
          <w:b w:val="0"/>
          <w:i w:val="0"/>
          <w:color w:val="000000"/>
          <w:sz w:val="24"/>
        </w:rPr>
        <w:t>7. Steyerberg EW. Clinical Prediction Models. 2nd ed. Springer; 2019.</w:t>
      </w:r>
    </w:p>
    <w:p w14:paraId="43D31F39">
      <w:pPr>
        <w:pStyle w:val="18"/>
        <w:keepNext/>
        <w:spacing w:before="0" w:after="80" w:line="276" w:lineRule="auto"/>
        <w:ind w:left="259" w:hanging="259"/>
        <w:jc w:val="both"/>
      </w:pPr>
      <w:r>
        <w:rPr>
          <w:rFonts w:ascii="Times New Roman" w:hAnsi="Times New Roman" w:eastAsia="Times New Roman"/>
          <w:b w:val="0"/>
          <w:i w:val="0"/>
          <w:color w:val="000000"/>
          <w:sz w:val="24"/>
        </w:rPr>
        <w:t>8. Collins GS, Reitsma JB, Altman DG, Moons KGM. Transparent reporting of a multivariable prediction model for individual prognosis or diagnosis (TRIPOD). Annals of Internal Medicine. 2015;162:55–63.</w:t>
      </w:r>
    </w:p>
    <w:p w14:paraId="2128F814">
      <w:pPr>
        <w:pStyle w:val="18"/>
        <w:keepNext/>
        <w:spacing w:before="0" w:after="80" w:line="276" w:lineRule="auto"/>
        <w:ind w:left="259" w:hanging="259"/>
        <w:jc w:val="both"/>
      </w:pPr>
      <w:r>
        <w:rPr>
          <w:rFonts w:ascii="Times New Roman" w:hAnsi="Times New Roman" w:eastAsia="Times New Roman"/>
          <w:b w:val="0"/>
          <w:i w:val="0"/>
          <w:color w:val="000000"/>
          <w:sz w:val="24"/>
        </w:rPr>
        <w:t>9. Efron B, Tibshirani RJ. An Introduction to the Bootstrap. Chapman &amp; Hall/CRC; 1993.</w:t>
      </w:r>
    </w:p>
    <w:p w14:paraId="0CD32A78">
      <w:pPr>
        <w:pStyle w:val="18"/>
        <w:spacing w:before="0" w:after="30" w:line="276" w:lineRule="auto"/>
        <w:ind w:left="259" w:hanging="259"/>
        <w:jc w:val="both"/>
      </w:pPr>
      <w:r>
        <w:rPr>
          <w:rFonts w:ascii="Times New Roman" w:hAnsi="Times New Roman" w:eastAsia="Times New Roman"/>
          <w:b w:val="0"/>
          <w:i w:val="0"/>
          <w:color w:val="000000"/>
          <w:sz w:val="24"/>
        </w:rPr>
        <w:t>10. DeLong ER, DeLong DM, Clarke-Pearson DL. Comparing the areas under two or more correlated receiver operating characteristic curves. Biometrics. 1988;44:837–845.</w:t>
      </w:r>
    </w:p>
    <w:p w14:paraId="174BBB54">
      <w:pPr>
        <w:pStyle w:val="18"/>
        <w:spacing w:before="0" w:after="30" w:line="276" w:lineRule="auto"/>
        <w:ind w:left="259" w:hanging="259"/>
        <w:jc w:val="both"/>
      </w:pPr>
      <w:r>
        <w:rPr>
          <w:rFonts w:ascii="Times New Roman" w:hAnsi="Times New Roman" w:eastAsia="Times New Roman"/>
          <w:b w:val="0"/>
          <w:i w:val="0"/>
          <w:color w:val="000000"/>
          <w:sz w:val="24"/>
        </w:rPr>
        <w:t>11. Harrell FE Jr. Regression Modeling Strategies. 2nd ed. Springer; 2015.</w:t>
      </w:r>
    </w:p>
    <w:p w14:paraId="6CA5327F">
      <w:pPr>
        <w:pStyle w:val="18"/>
        <w:spacing w:before="0" w:after="30" w:line="276" w:lineRule="auto"/>
        <w:ind w:left="259" w:hanging="259"/>
        <w:jc w:val="both"/>
      </w:pPr>
      <w:r>
        <w:rPr>
          <w:rFonts w:ascii="Times New Roman" w:hAnsi="Times New Roman" w:eastAsia="Times New Roman"/>
          <w:b w:val="0"/>
          <w:i w:val="0"/>
          <w:color w:val="000000"/>
          <w:sz w:val="24"/>
        </w:rPr>
        <w:t>12. Riley RD, van der Windt D, Croft P, Moons KGM, editors. Prognosis Research in Healthcare. Oxford University Press; 2019.</w:t>
      </w:r>
    </w:p>
    <w:p w14:paraId="08AFFEC7">
      <w:pPr>
        <w:pStyle w:val="18"/>
        <w:spacing w:before="0" w:after="30" w:line="276" w:lineRule="auto"/>
        <w:ind w:left="259" w:hanging="259"/>
        <w:jc w:val="both"/>
      </w:pPr>
      <w:r>
        <w:rPr>
          <w:rFonts w:ascii="Times New Roman" w:hAnsi="Times New Roman" w:eastAsia="Times New Roman"/>
          <w:b w:val="0"/>
          <w:i w:val="0"/>
          <w:color w:val="000000"/>
          <w:sz w:val="24"/>
        </w:rPr>
        <w:t>13. Jin K, Huang X, Zhou J, et al. FIVES: A Fundus Image Dataset for Artificial Intelligence based Vessel Segmentation. Scientific Data. 2022;9:475. doi:10.1038/s41597-022-01564-3.</w:t>
      </w:r>
    </w:p>
    <w:p w14:paraId="0BF93BE0">
      <w:pPr>
        <w:pStyle w:val="18"/>
        <w:spacing w:before="0" w:after="30" w:line="276" w:lineRule="auto"/>
        <w:ind w:left="259" w:hanging="259"/>
        <w:jc w:val="both"/>
      </w:pPr>
      <w:r>
        <w:rPr>
          <w:rFonts w:ascii="Times New Roman" w:hAnsi="Times New Roman" w:eastAsia="Times New Roman"/>
          <w:b w:val="0"/>
          <w:i w:val="0"/>
          <w:color w:val="000000"/>
          <w:sz w:val="24"/>
        </w:rPr>
        <w:t>14. Vargas Quiros J, Liefers B, van Garderen KA, Vermeulen JP, Eyened Reading Center, Klaver C. Rotterdam artery–vein segmentation (RAV) dataset. arXiv. 2025;arXiv:2512.17322. Dataset doi:10.34894/9OIMWY.</w:t>
      </w:r>
    </w:p>
    <w:p w14:paraId="0FABD628">
      <w:pPr>
        <w:pStyle w:val="18"/>
        <w:spacing w:before="0" w:after="30" w:line="276" w:lineRule="auto"/>
        <w:ind w:left="259" w:hanging="259"/>
        <w:jc w:val="both"/>
      </w:pPr>
      <w:r>
        <w:rPr>
          <w:rFonts w:ascii="Times New Roman" w:hAnsi="Times New Roman" w:eastAsia="Times New Roman"/>
          <w:b w:val="0"/>
          <w:i w:val="0"/>
          <w:color w:val="000000"/>
          <w:sz w:val="24"/>
        </w:rPr>
        <w:t>15. Deng Z, Gao W, Gong Z, et al. A Fundus Image Dataset for AI-based Artery-Vein Vessel Segmentation. Scientific Data. 2025;12. doi:10.1038/s41597-025-05381-2. Dataset doi:10.6084/m9.figshare.27938034.v2.</w:t>
      </w:r>
    </w:p>
    <w:p w14:paraId="79EEC317">
      <w:pPr>
        <w:pStyle w:val="18"/>
        <w:spacing w:before="0" w:after="30" w:line="276" w:lineRule="auto"/>
        <w:ind w:left="259" w:hanging="259"/>
        <w:jc w:val="both"/>
      </w:pPr>
      <w:r>
        <w:rPr>
          <w:rFonts w:ascii="Times New Roman" w:hAnsi="Times New Roman" w:eastAsia="Times New Roman"/>
          <w:b w:val="0"/>
          <w:i w:val="0"/>
          <w:color w:val="000000"/>
          <w:sz w:val="24"/>
        </w:rPr>
        <w:t>16. Nakayama LF, Ribeiro LZ, Restrepo D, et al. BRSET: A Brazilian Multilabel Ophthalmological Dataset of Retina Fundus Photos. PLOS Digital Health. 2024;3:e0000454. doi:10.1371/journal.pdig.0000454. Dataset doi:10.13026/xcxw-8198.</w:t>
      </w:r>
    </w:p>
    <w:p w14:paraId="1D4D62BE">
      <w:pPr>
        <w:pStyle w:val="18"/>
        <w:spacing w:before="0" w:line="276" w:lineRule="auto"/>
        <w:jc w:val="both"/>
      </w:pPr>
      <w:r>
        <w:rPr>
          <w:rFonts w:ascii="Times New Roman" w:hAnsi="Times New Roman" w:eastAsia="Times New Roman"/>
          <w:b w:val="0"/>
          <w:i w:val="0"/>
          <w:color w:val="000000"/>
          <w:sz w:val="24"/>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 w:name="Helvetica Neue">
    <w:panose1 w:val="02000503000000020004"/>
    <w:charset w:val="00"/>
    <w:family w:val="auto"/>
    <w:pitch w:val="default"/>
    <w:sig w:usb0="E50002FF" w:usb1="500079DB" w:usb2="0000001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7B74B04"/>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9DEA5F3"/>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24</Pages>
  <Words>3157</Words>
  <Characters>21508</Characters>
  <Lines>1</Lines>
  <Paragraphs>1</Paragraphs>
  <TotalTime>104</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2026-01-07T07:41:00Z</dcterms:created>
  <dc:creator>[Author names]</dc:creator>
  <dc:description>Reconstructed in the RegionSuff_3.2 format; equations are editable Office Math objects.</dc:description>
  <cp:keywords>retinal vasculature, digital biomarker, artery–vein segmentation, repeatability, intraclass correlation, CIMT, hypertension, nested cross-validation</cp:keywords>
  <cp:lastModifiedBy>祁涟柒子衿</cp:lastModifiedBy>
  <dcterms:modified xsi:type="dcterms:W3CDTF">2026-08-24T15:36:11Z</dcterms:modified>
  <dc:subject>Evidence-gated retinal vascular phenotyping</dc:subject>
  <dc:title>From Vessel Maps to Reproducible Phenotypes: RMDB–BiRAP for Evidence-Gated Retinal Vascular Biomarker Evaluation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