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keepNext w:val="0"/>
        <w:keepLines w:val="0"/>
        <w:pageBreakBefore w:val="0"/>
        <w:widowControl/>
        <w:spacing w:before="0" w:after="120" w:line="360" w:lineRule="auto"/>
        <w:ind w:firstLine="0" w:left="0" w:right="0"/>
        <w:jc w:val="both"/>
        <w:rPr>
          <w:rFonts w:ascii="Times New Roman" w:hAnsi="Times New Roman" w:eastAsia="Times New Roman"/>
          <w:b/>
          <w:i w:val="0"/>
          <w:color w:val="000000"/>
          <w:sz w:val="32"/>
        </w:rPr>
      </w:pPr>
      <w:r>
        <w:rPr>
          <w:rFonts w:ascii="Times New Roman" w:hAnsi="Times New Roman" w:eastAsia="Times New Roman"/>
          <w:b/>
          <w:color w:val="000000"/>
          <w:sz w:val="24"/>
        </w:rPr>
        <w:t>From Retinal Vessel Maps to Digital Biomarkers: Testing Measurement Validity, Repeatability, Transportability, and Clinical Increment</w:t>
      </w:r>
    </w:p>
    <w:p w14:paraId="18464417">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Kaiwen Deng, Liwei Liu*</w:t>
      </w:r>
    </w:p>
    <w:p w14:paraId="61247494">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cs="Times New Roman"/>
          <w:b w:val="0"/>
          <w:i w:val="0"/>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School of Railway Intelligent Engineering, Dalian Jiaotong University, Dalian, 116028, China</w:t>
      </w:r>
    </w:p>
    <w:p w14:paraId="060C546A">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val="0"/>
          <w:i w:val="0"/>
          <w:color w:val="000000"/>
          <w:kern w:val="2"/>
          <w:sz w:val="24"/>
          <w:szCs w:val="32"/>
          <w:lang w:val="en-US" w:eastAsia="zh-CN" w:bidi="ar"/>
        </w:rPr>
        <w:t>*Corresponding author</w:t>
      </w:r>
    </w:p>
    <w:p w14:paraId="0DA816F9">
      <w:pPr>
        <w:keepNext w:val="0"/>
        <w:keepLines w:val="0"/>
        <w:pageBreakBefore w:val="0"/>
        <w:widowControl/>
        <w:suppressLineNumbers w:val="0"/>
        <w:spacing w:before="0" w:beforeAutospacing="1" w:after="120" w:afterAutospacing="0" w:line="360" w:lineRule="auto"/>
        <w:ind w:left="0" w:right="0" w:firstLine="0"/>
        <w:jc w:val="both"/>
        <w:rPr>
          <w:rFonts w:hint="default" w:ascii="Times New Roman" w:hAnsi="Times New Roman" w:eastAsia="等线" w:cs="Times New Roman"/>
          <w:color w:val="000000"/>
          <w:kern w:val="2"/>
          <w:sz w:val="32"/>
          <w:szCs w:val="32"/>
        </w:rPr>
      </w:pPr>
      <w:r>
        <w:rPr>
          <w:rFonts w:hint="default" w:ascii="Times New Roman" w:hAnsi="Times New Roman" w:eastAsia="Times New Roman" w:cs="Times New Roman"/>
          <w:b/>
          <w:bCs w:val="0"/>
          <w:i w:val="0"/>
          <w:color w:val="000000"/>
          <w:kern w:val="2"/>
          <w:sz w:val="24"/>
          <w:szCs w:val="32"/>
          <w:lang w:val="en-US" w:eastAsia="zh-CN" w:bidi="ar"/>
        </w:rPr>
        <w:t xml:space="preserve">Email: </w:t>
      </w:r>
      <w:r>
        <w:rPr>
          <w:rFonts w:hint="default" w:ascii="Times New Roman" w:hAnsi="Times New Roman" w:eastAsia="Times New Roman" w:cs="Times New Roman"/>
          <w:b w:val="0"/>
          <w:i w:val="0"/>
          <w:color w:val="000000"/>
          <w:kern w:val="2"/>
          <w:sz w:val="24"/>
          <w:szCs w:val="32"/>
          <w:lang w:val="en-US" w:eastAsia="zh-CN" w:bidi="ar"/>
        </w:rPr>
        <w:t>Liwei Liu (</w:t>
      </w:r>
      <w:r>
        <w:rPr>
          <w:rFonts w:hint="default" w:ascii="Times New Roman" w:hAnsi="Times New Roman" w:eastAsia="Times New Roman" w:cs="Times New Roman"/>
          <w:b w:val="0"/>
          <w:i w:val="0"/>
          <w:color w:val="000000"/>
          <w:kern w:val="2"/>
          <w:sz w:val="24"/>
          <w:szCs w:val="32"/>
          <w:u w:val="single"/>
          <w:lang w:val="en-US" w:eastAsia="zh-CN" w:bidi="ar"/>
        </w:rPr>
        <w:t>liutree80@163.com</w:t>
      </w:r>
      <w:r>
        <w:rPr>
          <w:rFonts w:hint="default" w:ascii="Times New Roman" w:hAnsi="Times New Roman" w:eastAsia="Times New Roman" w:cs="Times New Roman"/>
          <w:b w:val="0"/>
          <w:i w:val="0"/>
          <w:color w:val="000000"/>
          <w:kern w:val="2"/>
          <w:sz w:val="24"/>
          <w:szCs w:val="32"/>
          <w:lang w:val="en-US" w:eastAsia="zh-CN" w:bidi="ar"/>
        </w:rPr>
        <w:t>)</w:t>
      </w:r>
    </w:p>
    <w:p w14:paraId="3F9FA12F">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Abstract:</w:t>
      </w:r>
    </w:p>
    <w:p w14:paraId="4307521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Retinal vascular artificial intelligence is usually judged by the accuracy of a vessel map. Yet a technically convincing map may still yield a quantity that is unstable between repeated photographs, nonexchangeable across imaging domains, or redundant once routine clinical variables are known. This neglected separation means that artery–vein segmentation is not itself validation of a digital biomarker from the retinal vasculature. We therefore tested four complementary evidential dimensions—measurement validity, repeatability, transportability, and clinical increment—without outcome-driven phenotype selection.</w:t>
      </w:r>
    </w:p>
    <w:p w14:paraId="500C4FD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We developed RMDB–BiRAP, a measurement-first framework that factorizes vessel occupancy from artery–vein identity, constructs mass-preserving and occupancy-gated readouts, and freezes a phenotype core using same-eye intraclass correlation before any systemic outcome is inspected. FIVES supplied occupancy supervision; RAV and Fundus-AVSeg supplied external pixel references; China Fundus–CIMT supported conditional-deviation development and one-shot frozen validation; and a publicly mirrored 224-pixel mBRSET subset supported repeatability and exploratory patient-grouped nested cross-validation.</w:t>
      </w:r>
    </w:p>
    <w:p w14:paraId="29DB4D6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Four of nine prespecified phenotypes reached ICC(1,1) ≥ 0.60 across 2,359 same-eye repeat pairs. Direct fusion of 104 variables worsened CIMT prediction. In calibrated mBRSET analyses, the reliable core did not improve hypertension discrimination or Brier score (ΔAUROC 0.00188, 95% confidence interval −0.00588 to 0.00942), and patient-label permutation controls detected no leakage signal.</w:t>
      </w:r>
    </w:p>
    <w:p w14:paraId="614A0EB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The evidence layers diverged: pixel measurement and repeated-view reliability could be demonstrated, but phenotype scales were not directly exchangeable across cohorts and clinical increment was not confirmed. RMDB–BiRAP therefore provides an auditable route from vessel maps to reproducible retinal phenotypes, while defining the point at which the present evidence must stop. Independent high-resolution outcome confirmation remains required before a clinical biomarker claim is justified.</w:t>
      </w:r>
    </w:p>
    <w:p w14:paraId="38EDC64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color w:val="000000"/>
          <w:sz w:val="24"/>
        </w:rPr>
        <w:t>Keywords:</w:t>
      </w:r>
      <w:r>
        <w:rPr>
          <w:rFonts w:ascii="Times New Roman" w:hAnsi="Times New Roman" w:eastAsia="Times New Roman"/>
          <w:color w:val="000000"/>
          <w:sz w:val="24"/>
        </w:rPr>
        <w:t xml:space="preserve"> retinal vasculature; digital biomarker; artery–vein segmentation; measurement validity; repeatability; transportability; clinical increment; nested cross-validation</w:t>
      </w:r>
    </w:p>
    <w:p w14:paraId="4D08B854">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1. Introduction</w:t>
      </w:r>
    </w:p>
    <w:p w14:paraId="55D97AA7">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We therefore operationalized four complementary evidential dimensions that answer different questions: pixel-level measurement validity on labelled data, same-eye repeatability under reacquisition, transportability of phenotype scales across imaging domains, and incremental patient-level information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The contribution is deliberately falsifiable. We report where evidence survives—external measurement transfer and four reproducible global phenotypes—and where it stops: scale exchangeability across cohorts, direct high-dimensional fusion, uncertainty-by-disagreement, frozen conditional-deviation validation, and calibrated mBRSET clinical increment. The framework is not a claim that fundus imaging replaces carotid ultrasonography or blood-pressure assessment; it is a reproducible method for determining which claims a retinal measurement can support and which remain unproven.</w:t>
      </w:r>
    </w:p>
    <w:p w14:paraId="4DE9CEDF">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7" name="Picture 7" descr="Study design and evidence gates. (A) Five resources were assigned non-overlapping roles before analysis, with real photographs shown for provenance. (B) External pixel measurement, same-eye repeatability, and clinical increment were evaluated as independent claims. Pixel labels and repeated views were never used for outcome optimisation; mBRSET remained exploratory."/>
            <wp:cNvGraphicFramePr>
              <a:graphicFrameLocks noChangeAspect="1"/>
            </wp:cNvGraphicFramePr>
            <a:graphic>
              <a:graphicData uri="http://schemas.openxmlformats.org/drawingml/2006/picture">
                <pic:pic>
                  <pic:nvPicPr>
                    <pic:cNvPr id="0" name="Figure1_StudyDesign.png"/>
                    <pic:cNvPicPr/>
                  </pic:nvPicPr>
                  <pic:blipFill>
                    <a:blip r:embed="rId16"/>
                    <a:stretch>
                      <a:fillRect/>
                    </a:stretch>
                  </pic:blipFill>
                  <pic:spPr>
                    <a:xfrm>
                      <a:off x="0" y="0"/>
                      <a:ext cx="5257800" cy="3286125"/>
                    </a:xfrm>
                    <a:prstGeom prst="rect"/>
                  </pic:spPr>
                </pic:pic>
              </a:graphicData>
            </a:graphic>
          </wp:inline>
        </w:drawing>
      </w:r>
    </w:p>
    <w:p w14:paraId="63E02E04">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1.</w:t>
      </w:r>
      <w:r>
        <w:rPr>
          <w:rFonts w:ascii="Times New Roman" w:hAnsi="Times New Roman" w:eastAsia="Times New Roman"/>
          <w:color w:val="000000"/>
          <w:sz w:val="21"/>
        </w:rPr>
        <w:t xml:space="preserve"> Study design and evidence architecture. (A) Five core resources were assigned non-overlapping roles before analysis, with real photographs shown for provenance. (B) External measurement validity, same-eye repeatability, and clinical increment formed the three principal claim branches. Cross-domain transportability was evaluated separately within the measurement branch. Pixel labels and repeated views were never repurposed for patient-level outcome selection.</w:t>
      </w:r>
    </w:p>
    <w:p w14:paraId="6B1B8A75">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2. Materials and methods</w:t>
      </w:r>
    </w:p>
    <w:p w14:paraId="3383C4AF">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2.1 Study cohorts and evidence roles</w:t>
      </w:r>
    </w:p>
    <w:p w14:paraId="5D68E43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line="240" w:lineRule="auto"/>
        <w:jc w:val="center"/>
      </w:pPr>
      <w:r/>
    </w:p>
    <w:p w14:paraId="490E8B35">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1.</w:t>
      </w:r>
      <w:r>
        <w:rPr>
          <w:rFonts w:ascii="Times New Roman" w:hAnsi="Times New Roman" w:eastAsia="Times New Roman"/>
          <w:color w:val="000000"/>
          <w:sz w:val="24"/>
        </w:rPr>
        <w:t xml:space="preserve"> Cohorts, labels, and prespecified analytical roles.</w:t>
      </w:r>
    </w:p>
    <w:tbl>
      <w:tblPr>
        <w:tblStyle w:val="20"/>
        <w:tblW w:w="8193" w:type="dxa"/>
        <w:jc w:val="center"/>
        <w:tblLayout w:type="autofit"/>
        <w:tblCellMar>
          <w:top w:w="0" w:type="dxa"/>
          <w:left w:w="108" w:type="dxa"/>
          <w:bottom w:w="0" w:type="dxa"/>
          <w:right w:w="108" w:type="dxa"/>
        </w:tblCellMar>
      </w:tblPr>
      <w:tblGrid>
        <w:gridCol w:w="1497"/>
        <w:gridCol w:w="1180"/>
        <w:gridCol w:w="1728"/>
        <w:gridCol w:w="2088"/>
        <w:gridCol w:w="1699"/>
      </w:tblGrid>
      <w:tr w14:paraId="20508EC4">
        <w:trPr>
          <w:trHeight w:hRule="atLeast"/>
          <w:tblHeader w:val="true"/>
          <w:jc w:val="center"/>
          <w:tblHeader w:val="true"/>
          <w:cantSplit/>
        </w:trPr>
        <w:tc>
          <w:tcPr>
            <w:tcW w:w="1497"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1668E5ED">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Cohort</w:t>
            </w:r>
          </w:p>
        </w:tc>
        <w:tc>
          <w:tcPr>
            <w:tcW w:w="1180"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9EF1E86">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Scale</w:t>
            </w:r>
          </w:p>
        </w:tc>
        <w:tc>
          <w:tcPr>
            <w:tcW w:w="172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62E76077">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Available labels</w:t>
            </w:r>
          </w:p>
        </w:tc>
        <w:tc>
          <w:tcPr>
            <w:tcW w:w="208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1FDFFBC9">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Prespecified role</w:t>
            </w:r>
          </w:p>
        </w:tc>
        <w:tc>
          <w:tcPr>
            <w:tcW w:w="1699"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7C98101F">
            <w:pPr>
              <w:keepNext w:val="0"/>
              <w:keepLines/>
              <w:pageBreakBefore w:val="0"/>
              <w:widowControl/>
              <w:spacing w:before="0" w:after="0" w:line="240" w:lineRule="auto"/>
              <w:ind w:left="0" w:right="0" w:firstLine="0"/>
              <w:jc w:val="center"/>
            </w:pPr>
            <w:r>
              <w:rPr>
                <w:rFonts w:ascii="Times New Roman" w:hAnsi="Times New Roman" w:eastAsia="Times New Roman"/>
                <w:b/>
                <w:i w:val="0"/>
                <w:color w:val="000000"/>
                <w:sz w:val="21"/>
              </w:rPr>
              <w:t>Evidence status</w:t>
            </w:r>
          </w:p>
        </w:tc>
      </w:tr>
      <w:tr w14:paraId="41C000E0">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5F0795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FIVES</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90DE60E">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800 images (600 train/200 test)</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2326D3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Binary vessel mask</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32B6CD6">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Occupancy-estimator source</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05B40A">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Training/measurement only</w:t>
            </w:r>
          </w:p>
        </w:tc>
      </w:tr>
      <w:tr w14:paraId="655EB4B7">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6960E98">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RAV</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713839B">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206 images</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97CAE9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Artery and vein masks</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0A1F754">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Cross-domain identity audit</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BC75D3C">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External measurement</w:t>
            </w:r>
          </w:p>
        </w:tc>
      </w:tr>
      <w:tr w14:paraId="466D84D0">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75EBEBD">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Fundus-AVSeg</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CC90B45">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100 images</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F656476">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Vessel/A/V masks; disease; quality</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EBFD14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Locked zero tuning validation</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DB6984F">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External measurement</w:t>
            </w:r>
          </w:p>
        </w:tc>
      </w:tr>
      <w:tr w14:paraId="0B1D908D">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050A3AF">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China Fundus–CIMT</w:t>
            </w:r>
          </w:p>
        </w:tc>
        <w:tc>
          <w:tcPr>
            <w:tcW w:w="1180"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n=2,603 dev.; n=200 frozen val.</w:t>
            </w:r>
          </w:p>
        </w:tc>
        <w:tc>
          <w:tcPr>
            <w:tcW w:w="172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F60C367">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Age, sex, bilateral fundus, CIMT</w:t>
            </w:r>
          </w:p>
        </w:tc>
        <w:tc>
          <w:tcPr>
            <w:tcW w:w="208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36099C2">
            <w:pPr>
              <w:keepNext w:val="0"/>
              <w:keepLines/>
              <w:pageBreakBefore w:val="0"/>
              <w:widowControl/>
              <w:spacing w:before="0" w:after="0" w:line="240" w:lineRule="auto"/>
              <w:ind w:left="0" w:right="0" w:firstLine="0"/>
              <w:jc w:val="left"/>
            </w:pPr>
            <w:r>
              <w:rPr>
                <w:rFonts w:ascii="Times New Roman" w:hAnsi="Times New Roman" w:eastAsia="Times New Roman"/>
                <w:b w:val="0"/>
                <w:i w:val="0"/>
                <w:color w:val="000000"/>
                <w:sz w:val="21"/>
              </w:rPr>
              <w:t>Normative-deviation mechanism</w:t>
            </w:r>
          </w:p>
        </w:tc>
        <w:tc>
          <w:tcPr>
            <w:tcW w:w="1699"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Development and frozen validation</w:t>
            </w:r>
          </w:p>
        </w:tc>
      </w:tr>
      <w:tr w14:paraId="7AF1872E">
        <w:trPr>
          <w:cantSplit/>
          <w:trHeight w:hRule="atLeast"/>
          <w:jc w:val="center"/>
          <w:cantSplit/>
        </w:trPr>
        <w:tc>
          <w:tcPr>
            <w:tcW w:w="1497"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mBRSET mirror</w:t>
            </w:r>
          </w:p>
        </w:tc>
        <w:tc>
          <w:tcPr>
            <w:tcW w:w="1180"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1,287 participants; 4,884 images; 2,359 same-eye pairs</w:t>
            </w:r>
          </w:p>
        </w:tc>
        <w:tc>
          <w:tcPr>
            <w:tcW w:w="172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Repeated views; ocular grades; systemic outcomes</w:t>
            </w:r>
          </w:p>
        </w:tc>
        <w:tc>
          <w:tcPr>
            <w:tcW w:w="208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Repeatability and exploratory hypertension analysis</w:t>
            </w:r>
          </w:p>
        </w:tc>
        <w:tc>
          <w:tcPr>
            <w:tcW w:w="1699"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pPr>
              <w:keepNext w:val="0"/>
              <w:keepLines/>
              <w:pageBreakBefore w:val="0"/>
              <w:widowControl/>
              <w:spacing w:before="0" w:after="0" w:line="240" w:lineRule="auto"/>
              <w:ind w:firstLine="0" w:left="0" w:right="0"/>
              <w:jc w:val="left"/>
            </w:pPr>
            <w:r>
              <w:rPr>
                <w:rFonts w:ascii="Times New Roman" w:hAnsi="Times New Roman" w:eastAsia="Times New Roman"/>
                <w:b w:val="0"/>
                <w:color w:val="000000"/>
                <w:sz w:val="21"/>
              </w:rPr>
              <w:t>Exploratory; not independent high-resolution confirmation</w:t>
            </w:r>
          </w:p>
        </w:tc>
      </w:tr>
    </w:tbl>
    <w:p w14:paraId="1DEA8449">
      <w:pPr>
        <w:spacing w:before="0" w:after="0" w:line="240" w:lineRule="auto"/>
        <w:jc w:val="center"/>
      </w:pPr>
    </w:p>
    <w:p w14:paraId="3D6F0DE8">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2.2 Anatomy-aware preprocessing</w:t>
      </w:r>
    </w:p>
    <w:p w14:paraId="7A731FE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2.3 RMDB module: dual-readout vascular measurement</w:t>
      </w:r>
    </w:p>
    <w:p w14:paraId="282F9163">
      <w:pPr>
        <w:pStyle w:val="18"/>
        <w:keepNext w:val="0"/>
        <w:keepLines w:val="0"/>
        <w:pageBreakBefore w:val="0"/>
        <w:widowControl/>
        <w:spacing w:before="0" w:line="360" w:lineRule="auto" w:after="120"/>
        <w:ind w:firstLine="0" w:left="0" w:right="0"/>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Next w:val="0"/>
        <w:keepLines/>
        <w:pageBreakBefore w:val="0"/>
        <w:widowControl/>
        <w:spacing w:before="120" w:after="120" w:line="240" w:lineRule="auto"/>
        <w:ind w:left="-288" w:right="-288"/>
        <w:jc w:val="both"/>
        <w:rPr>
          <w:sz w:val="20"/>
          <w:szCs w:val="20"/>
        </w:rPr>
      </w:pPr>
      <m:oMath>
        <m:r>
          <m:rPr>
            <m:sty m:val="p"/>
          </m:rPr>
          <m:t>z⁽ᵗ⁺¹⁾ = z⁽ᵗ⁾ + αₜ rθ(x, z⁽ᵗ⁾, H(x), D(x)),   t = 0, 1.</m:t>
        </m:r>
      </m:oMath>
      <w:r>
        <w:rPr>
          <w:rFonts w:ascii="Times New Roman" w:hAnsi="Times New Roman" w:eastAsia="Times New Roman"/>
          <w:color w:val="000000"/>
          <w:sz w:val="24"/>
        </w:rPr>
        <w:t xml:space="preserve">    (1)</w:t>
      </w:r>
    </w:p>
    <w:p w14:paraId="5B0D501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Next w:val="0"/>
        <w:keepLines/>
        <w:pageBreakBefore w:val="0"/>
        <w:widowControl/>
        <w:spacing w:before="120" w:after="120" w:line="240" w:lineRule="auto"/>
        <w:ind w:left="-504" w:right="-504"/>
        <w:jc w:val="both"/>
        <w:rPr>
          <w:sz w:val="20"/>
          <w:szCs w:val="20"/>
        </w:rPr>
      </w:pPr>
      <m:oMath>
        <m:r>
          <m:rPr>
            <m:sty m:val="p"/>
          </m:rPr>
          <m:t>ℒ = λclsℒcls + λtopℒtop + λdirℒdir + λresℒres + λAVℒAV + λmassℒmass.</m:t>
        </m:r>
      </m:oMath>
      <w:r>
        <w:rPr>
          <w:rFonts w:ascii="Times New Roman" w:hAnsi="Times New Roman" w:eastAsia="Times New Roman"/>
          <w:color w:val="000000"/>
          <w:sz w:val="24"/>
        </w:rPr>
        <w:t xml:space="preserve">    (2)</w:t>
      </w:r>
    </w:p>
    <w:p w14:paraId="3DCAB82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Next w:val="0"/>
        <w:keepLines/>
        <w:pageBreakBefore w:val="0"/>
        <w:widowControl/>
        <w:spacing w:before="120" w:after="120" w:line="240" w:lineRule="auto"/>
        <w:ind w:left="-288" w:right="-288"/>
        <w:jc w:val="both"/>
        <w:rPr>
          <w:sz w:val="20"/>
          <w:szCs w:val="20"/>
        </w:rPr>
      </w:pPr>
      <m:oMath>
        <m:r>
          <m:rPr>
            <m:sty m:val="p"/>
          </m:rPr>
          <m:t>Fᵥ(x) = O(x)[c(x)Pᵥ(x|I∗) + {1 − c(x)}Ṕᵥ(x|I∗)].</m:t>
        </m:r>
      </m:oMath>
      <w:r>
        <w:rPr>
          <w:rFonts w:ascii="Times New Roman" w:hAnsi="Times New Roman" w:eastAsia="Times New Roman"/>
          <w:color w:val="000000"/>
          <w:sz w:val="24"/>
        </w:rPr>
        <w:t xml:space="preserve">    (3)</w:t>
      </w:r>
    </w:p>
    <w:p w14:paraId="2C1A3D4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Next w:val="0"/>
        <w:keepLines/>
        <w:pageBreakBefore w:val="0"/>
        <w:widowControl/>
        <w:spacing w:before="120" w:after="120" w:line="240" w:lineRule="auto"/>
        <w:ind w:left="-288" w:right="-288"/>
        <w:jc w:val="both"/>
        <w:rPr>
          <w:sz w:val="20"/>
          <w:szCs w:val="20"/>
        </w:rPr>
      </w:pPr>
      <m:oMath>
        <m:r>
          <m:rPr>
            <m:sty m:val="p"/>
          </m:rPr>
          <m:t>φmass = |Ω|⁻¹ Σₓ∈Ω [1 − pᴹ₀(x)]</m:t>
        </m:r>
      </m:oMath>
      <w:r>
        <w:rPr>
          <w:rFonts w:ascii="Times New Roman" w:hAnsi="Times New Roman" w:eastAsia="Times New Roman"/>
          <w:color w:val="000000"/>
          <w:sz w:val="24"/>
        </w:rPr>
        <w:t xml:space="preserve">    (4a)</w:t>
      </w:r>
    </w:p>
    <w:p w14:paraId="27F3B4F2">
      <w:pPr>
        <w:keepNext w:val="0"/>
        <w:keepLines/>
        <w:pageBreakBefore w:val="0"/>
        <w:widowControl/>
        <w:spacing w:before="120" w:after="120" w:line="240" w:lineRule="auto"/>
        <w:ind w:left="-288" w:right="-288"/>
        <w:jc w:val="both"/>
        <w:rPr>
          <w:sz w:val="20"/>
          <w:szCs w:val="20"/>
        </w:rPr>
      </w:pPr>
      <m:oMath>
        <m:r>
          <m:rPr>
            <m:sty m:val="p"/>
          </m:rPr>
          <m:t>φA/V = log{[Σₓ(pᴹ_A + pᴹ_C) + 1] / [Σₓ(pᴹ_V + pᴹ_C) + 1]}</m:t>
        </m:r>
      </m:oMath>
      <w:r>
        <w:rPr>
          <w:rFonts w:ascii="Times New Roman" w:hAnsi="Times New Roman" w:eastAsia="Times New Roman"/>
          <w:color w:val="000000"/>
          <w:sz w:val="24"/>
        </w:rPr>
        <w:t xml:space="preserve">    (4b)</w:t>
      </w:r>
    </w:p>
    <w:p w14:paraId="3A569E86">
      <w:pPr>
        <w:keepNext w:val="0"/>
        <w:keepLines/>
        <w:pageBreakBefore w:val="0"/>
        <w:widowControl/>
        <w:spacing w:before="120" w:after="120" w:line="240" w:lineRule="auto"/>
        <w:ind w:left="-288" w:right="-288"/>
        <w:jc w:val="both"/>
        <w:rPr>
          <w:sz w:val="20"/>
          <w:szCs w:val="20"/>
        </w:rPr>
      </w:pPr>
      <m:oMath>
        <m:r>
          <m:rPr>
            <m:sty m:val="p"/>
          </m:rPr>
          <m:t>φdis = |Ω|⁻¹ Σₓ∈Ω |pᴹ_v(x) − Fᵥ(x)|</m:t>
        </m:r>
      </m:oMath>
      <w:r>
        <w:rPr>
          <w:rFonts w:ascii="Times New Roman" w:hAnsi="Times New Roman" w:eastAsia="Times New Roman"/>
          <w:color w:val="000000"/>
          <w:sz w:val="24"/>
        </w:rPr>
        <w:t xml:space="preserve">    (4c)</w:t>
      </w:r>
    </w:p>
    <w:p w14:paraId="7E368FB7">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8" name="Picture 8" descr="RMDB–BiRAP phenotype construction. (A) Anatomy-standardised retinal input. (B) Frozen identity and occupancy branches. (C) Mass-UDCT and Factorized-UDCT readouts generate nine prespecified candidates. (D) BiRAP retains candidates with same-eye ICC(1,1) ≥ 0.60 before patient-grouped modelling and stops the clinical claim when any gate fails."/>
            <wp:cNvGraphicFramePr>
              <a:graphicFrameLocks noChangeAspect="1"/>
            </wp:cNvGraphicFramePr>
            <a:graphic>
              <a:graphicData uri="http://schemas.openxmlformats.org/drawingml/2006/picture">
                <pic:pic>
                  <pic:nvPicPr>
                    <pic:cNvPr id="0" name="Figure2_Algorithm.png"/>
                    <pic:cNvPicPr/>
                  </pic:nvPicPr>
                  <pic:blipFill>
                    <a:blip r:embed="rId17"/>
                    <a:stretch>
                      <a:fillRect/>
                    </a:stretch>
                  </pic:blipFill>
                  <pic:spPr>
                    <a:xfrm>
                      <a:off x="0" y="0"/>
                      <a:ext cx="5257800" cy="3286125"/>
                    </a:xfrm>
                    <a:prstGeom prst="rect"/>
                  </pic:spPr>
                </pic:pic>
              </a:graphicData>
            </a:graphic>
          </wp:inline>
        </w:drawing>
      </w:r>
    </w:p>
    <w:p w14:paraId="330961B0">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2.</w:t>
      </w:r>
      <w:r>
        <w:rPr>
          <w:rFonts w:ascii="Times New Roman" w:hAnsi="Times New Roman" w:eastAsia="Times New Roman"/>
          <w:color w:val="000000"/>
          <w:sz w:val="21"/>
        </w:rPr>
        <w:t xml:space="preserve"> RMDB–BiRAP phenotype construction. (A) Anatomy-standardised retinal input. (B) Frozen identity and occupancy branches. (C) Mass-UDCT and Factorized-UDCT readouts generate nine prespecified candidates. (D) BiRAP retains candidates with same-eye ICC(1,1) ≥ 0.60 before patient-grouped modelling and stops the clinical claim when any gate fails.</w:t>
      </w:r>
    </w:p>
    <w:p w14:paraId="75145ECB">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 level quantities so that image count could not act as a surrogate for outcome.</w:t>
      </w:r>
    </w:p>
    <w:p w14:paraId="1915789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Reliability was evaluated using 2,359 same 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Reliability was used only as a label blind retention rule. For candidate phenotype j, rⱼ was fixed before any systemic outcome analysis:</w:t>
      </w:r>
    </w:p>
    <w:p w14:paraId="6C8ABDE9">
      <w:pPr>
        <w:keepNext w:val="0"/>
        <w:keepLines/>
        <w:pageBreakBefore w:val="0"/>
        <w:widowControl/>
        <w:spacing w:before="120" w:after="120" w:line="240" w:lineRule="auto"/>
        <w:ind w:left="-288" w:right="-288"/>
        <w:jc w:val="both"/>
        <w:rPr>
          <w:sz w:val="20"/>
          <w:szCs w:val="20"/>
        </w:rPr>
      </w:pPr>
      <m:oMath>
        <m:r>
          <m:rPr>
            <m:sty m:val="p"/>
          </m:rPr>
          <m:t xml:space="preserve">rⱼ = </m:t>
        </m:r>
        <m:r>
          <m:rPr>
            <m:sty m:val="p"/>
            <m:scr m:val="double-struck"/>
          </m:rPr>
          <m:t>1</m:t>
        </m:r>
        <m:r>
          <m:rPr>
            <m:sty m:val="p"/>
          </m:rPr>
          <m:t>{ICCⱼ(1,1) ≥ 0.60}.</m:t>
        </m:r>
      </m:oMath>
      <w:r>
        <w:rPr>
          <w:rFonts w:ascii="Times New Roman" w:hAnsi="Times New Roman" w:eastAsia="Times New Roman"/>
          <w:color w:val="000000"/>
          <w:sz w:val="24"/>
        </w:rPr>
        <w:t xml:space="preserve">    (5)</w:t>
      </w:r>
    </w:p>
    <w:p w14:paraId="36373BEC">
      <w:pPr>
        <w:pStyle w:val="18"/>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2.5 Prespecified phenotype construction and evidence gating</w:t>
      </w:r>
    </w:p>
    <w:p w14:paraId="41C54AED">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The prespecified inputs were standardized left and right fundus photographs, frozen VascX identity logits, the frozen FIVES occupancy estimator, and optic-disc metadata. The output was a patient-level, ICC-gated phenotype vector accompanied by an evidence status independent of outcome-driven feature selection.</w:t>
      </w:r>
    </w:p>
    <w:p w14:paraId="6E6554FE">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Phenotype construction proceeded in four fixed stages. First, the field of view was normalized and disc-centred geometry was created only when optic-disc quality control passed. Second, the two-step UDCT residual corrector refined the frozen four-class identity logits. Third, Mass-UDCT preserved the calibrated four-class probability mass, whereas Factorized-UDCT combined the fixed occupancy gate with conditional vascular identity. Fourth, nine prespecified eye-level candidates quantified vessel mass, skeleton and branch density, artery-to-vein balance, entropy, and cross-readout disagreement globally and, when available, within Zone B.</w:t>
      </w:r>
    </w:p>
    <w:p w14:paraId="12E38810">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Same-eye ICC(1,1) was estimated before systemic outcomes or clinical covariates were accessed. Candidate j entered the reliable core only when ICC(1,1) ≥ 0.60; excluded candidates were retained as transparent negative results. Repeats were aggregated within eye, followed by bilateral means and absolute inter-eye differences at patient level.</w:t>
      </w:r>
    </w:p>
    <w:p w14:paraId="541C559C">
      <w:pPr>
        <w:pStyle w:val="18"/>
        <w:keepNext w:val="0"/>
        <w:keepLines w:val="0"/>
        <w:pageBreakBefore w:val="0"/>
        <w:widowControl/>
        <w:spacing w:before="0" w:after="120" w:line="360" w:lineRule="auto"/>
        <w:ind w:left="0" w:right="0" w:firstLine="0"/>
        <w:jc w:val="both"/>
      </w:pPr>
      <w:r>
        <w:rPr>
          <w:rFonts w:ascii="Times New Roman" w:hAnsi="Times New Roman" w:eastAsia="Times New Roman"/>
          <w:b w:val="0"/>
          <w:color w:val="000000"/>
          <w:sz w:val="24"/>
        </w:rPr>
        <w:t>Incremental utility was then evaluated with patient-grouped nested cross-validation and paired patient-level bootstrap intervals. Failure at any evidential dimension bounded the corresponding claim; it did not retroactively invalidate evidence established at an earlier measurement layer.</w:t>
      </w:r>
    </w:p>
    <w:p w14:paraId="03C96D02">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2.6 Cross-domain measurement evaluation</w:t>
      </w:r>
    </w:p>
    <w:p w14:paraId="7E239D8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2.7 Patient-level modelling, normative deviation, and evidence gating</w:t>
      </w:r>
    </w:p>
    <w:p w14:paraId="57F1897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Next w:val="0"/>
        <w:keepLines/>
        <w:pageBreakBefore w:val="0"/>
        <w:widowControl/>
        <w:spacing w:before="120" w:after="120" w:line="240" w:lineRule="auto"/>
        <w:ind w:left="-288" w:right="-288"/>
        <w:jc w:val="both"/>
        <w:rPr>
          <w:sz w:val="20"/>
          <w:szCs w:val="20"/>
        </w:rPr>
      </w:pPr>
      <m:oMath>
        <m:r>
          <m:rPr>
            <m:sty m:val="p"/>
          </m:rPr>
          <m:t>dᵢ = [yᵢ − μ̂₋ₖ(aᵢ, sᵢ)] / σ̂₋ₖ(aᵢ, sᵢ).</m:t>
        </m:r>
      </m:oMath>
      <w:r>
        <w:rPr>
          <w:rFonts w:ascii="Times New Roman" w:hAnsi="Times New Roman" w:eastAsia="Times New Roman"/>
          <w:color w:val="000000"/>
          <w:sz w:val="24"/>
        </w:rPr>
        <w:t xml:space="preserve">    (6)</w:t>
      </w:r>
    </w:p>
    <w:p w14:paraId="57F6AB8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keepLines/>
        <w:pageBreakBefore w:val="0"/>
        <w:widowControl/>
        <w:spacing w:before="200" w:after="120" w:line="240" w:lineRule="auto"/>
        <w:ind w:firstLine="0" w:left="0" w:right="0"/>
        <w:jc w:val="left"/>
      </w:pPr>
      <w:r>
        <w:rPr>
          <w:rFonts w:ascii="Times New Roman" w:hAnsi="Times New Roman" w:eastAsia="Times New Roman"/>
          <w:b/>
          <w:color w:val="000000"/>
          <w:sz w:val="24"/>
        </w:rPr>
        <w:t>2.8 Reporting hierarchy</w:t>
      </w:r>
    </w:p>
    <w:p w14:paraId="21B21BE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3. Results</w:t>
      </w:r>
    </w:p>
    <w:p w14:paraId="3309F225">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3.1 Cross-domain measurement validity was heterogeneous</w:t>
      </w:r>
    </w:p>
    <w:p w14:paraId="7783EE23">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keepLines w:val="0"/>
        <w:pageBreakBefore w:val="0"/>
        <w:widowControl/>
        <w:spacing w:before="0" w:after="120" w:line="360" w:lineRule="auto"/>
        <w:ind w:firstLine="0" w:left="0" w:right="0"/>
        <w:jc w:val="both"/>
      </w:pPr>
      <w:r>
        <w:rPr>
          <w:rFonts w:ascii="Times New Roman" w:hAnsi="Times New Roman" w:eastAsia="Times New Roman"/>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w:t>
      </w:r>
    </w:p>
    <w:p w14:paraId="68F1762E">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9" name="Picture 9" descr="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
            <wp:cNvGraphicFramePr>
              <a:graphicFrameLocks noChangeAspect="1"/>
            </wp:cNvGraphicFramePr>
            <a:graphic>
              <a:graphicData uri="http://schemas.openxmlformats.org/drawingml/2006/picture">
                <pic:pic>
                  <pic:nvPicPr>
                    <pic:cNvPr id="0" name="Figure3_Measurement.png"/>
                    <pic:cNvPicPr/>
                  </pic:nvPicPr>
                  <pic:blipFill>
                    <a:blip r:embed="rId18"/>
                    <a:stretch>
                      <a:fillRect/>
                    </a:stretch>
                  </pic:blipFill>
                  <pic:spPr>
                    <a:xfrm>
                      <a:off x="0" y="0"/>
                      <a:ext cx="5257800" cy="3286125"/>
                    </a:xfrm>
                    <a:prstGeom prst="rect"/>
                  </pic:spPr>
                </pic:pic>
              </a:graphicData>
            </a:graphic>
          </wp:inline>
        </w:drawing>
      </w:r>
    </w:p>
    <w:p w14:paraId="3C5232CE">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3.</w:t>
      </w:r>
      <w:r>
        <w:rPr>
          <w:rFonts w:ascii="Times New Roman" w:hAnsi="Times New Roman" w:eastAsia="Times New Roman"/>
          <w:color w:val="000000"/>
          <w:sz w:val="21"/>
        </w:rPr>
        <w:t xml:space="preserve"> Locked cross-domain measurement evaluation. (A) Representative real RAV and Fundus-AVSeg images, references, and frozen outputs. (B) Exact mean artery/vein Dice. (C) Paired Mass-UDCT improvement on all 100 Fundus-AVSeg images. (D) Prespecified pathology and image-quality strata. Models were not retuned on external labels.</w:t>
      </w:r>
    </w:p>
    <w:p w14:paraId="178159CD">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2.</w:t>
      </w:r>
      <w:r>
        <w:rPr>
          <w:rFonts w:ascii="Times New Roman" w:hAnsi="Times New Roman" w:eastAsia="Times New Roman"/>
          <w:color w:val="000000"/>
          <w:sz w:val="24"/>
        </w:rPr>
        <w:t xml:space="preserve"> External measurement performance. Lower is better only for A/V ratio log error.</w:t>
      </w:r>
    </w:p>
    <w:tbl>
      <w:tblPr>
        <w:tblStyle w:val="20"/>
        <w:tblW w:w="8020" w:type="dxa"/>
        <w:tblLayout w:type="autofit"/>
        <w:tblCellMar>
          <w:top w:w="0" w:type="dxa"/>
          <w:left w:w="108" w:type="dxa"/>
          <w:bottom w:w="0" w:type="dxa"/>
          <w:right w:w="108" w:type="dxa"/>
        </w:tblCellMar>
        <w:jc w:val="center"/>
      </w:tblPr>
      <w:tblGrid>
        <w:gridCol w:w="1123"/>
        <w:gridCol w:w="1108"/>
        <w:gridCol w:w="835"/>
        <w:gridCol w:w="835"/>
        <w:gridCol w:w="835"/>
        <w:gridCol w:w="964"/>
        <w:gridCol w:w="1123"/>
        <w:gridCol w:w="1195"/>
      </w:tblGrid>
      <w:tr w14:paraId="478A8751">
        <w:trPr>
          <w:trHeight w:hRule="atLeast"/>
          <w:tblHeader w:val="true"/>
          <w:jc w:val="center"/>
          <w:tblHeader w:val="true"/>
          <w:cantSplit/>
        </w:trPr>
        <w:tc>
          <w:tcPr>
            <w:tcW w:w="1123"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2BCCB7FA">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Cohort</w:t>
            </w:r>
          </w:p>
        </w:tc>
        <w:tc>
          <w:tcPr>
            <w:tcW w:w="1108"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2B32D46E">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Readout</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31EBCB0">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Vessel Dice</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05AD61E">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Artery Dice</w:t>
            </w:r>
          </w:p>
        </w:tc>
        <w:tc>
          <w:tcPr>
            <w:tcW w:w="83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7FD8E1E3">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Vein Dice</w:t>
            </w:r>
          </w:p>
        </w:tc>
        <w:tc>
          <w:tcPr>
            <w:tcW w:w="964"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58582E2C">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Mean A/V Dice</w:t>
            </w:r>
          </w:p>
        </w:tc>
        <w:tc>
          <w:tcPr>
            <w:tcW w:w="1123"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3488F0C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Type accuracy</w:t>
            </w:r>
          </w:p>
        </w:tc>
        <w:tc>
          <w:tcPr>
            <w:tcW w:w="119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C8E7532">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A/V ratio error</w:t>
            </w:r>
          </w:p>
        </w:tc>
      </w:tr>
      <w:tr w14:paraId="7EFC6277">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09018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RAV</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BBAA9A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VascX</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EDA0A2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2DCC86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0.8119</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19AB7E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0.8393</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FC64B4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0.8256</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CB5D07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0.8105</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44034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0.0716</w:t>
            </w:r>
          </w:p>
        </w:tc>
      </w:tr>
      <w:tr w14:paraId="4AF52A6F">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0B2C1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655CC1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VascX</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3D525F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0.5898</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3A614C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0.5461</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8EA6D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0.5629</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7D5156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0.5545</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C6B54A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0.5057</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CACFC4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0.0713</w:t>
            </w:r>
          </w:p>
        </w:tc>
      </w:tr>
      <w:tr w14:paraId="3852E5AF">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BE7598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13A3EC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Mass-UDCT</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6ACF2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0.6019</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4AE8F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0.5553</w:t>
            </w:r>
          </w:p>
        </w:tc>
        <w:tc>
          <w:tcPr>
            <w:tcW w:w="83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0F24DF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0.5716</w:t>
            </w:r>
          </w:p>
        </w:tc>
        <w:tc>
          <w:tcPr>
            <w:tcW w:w="964"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2C02CB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0.5635</w:t>
            </w:r>
          </w:p>
        </w:tc>
        <w:tc>
          <w:tcPr>
            <w:tcW w:w="1123"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9CC694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0.5328</w:t>
            </w:r>
          </w:p>
        </w:tc>
        <w:tc>
          <w:tcPr>
            <w:tcW w:w="119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04FFA5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0.0706</w:t>
            </w:r>
          </w:p>
        </w:tc>
      </w:tr>
      <w:tr w14:paraId="517F305B">
        <w:trPr>
          <w:cantSplit/>
          <w:trHeight w:hRule="atLeast"/>
          <w:jc w:val="center"/>
          <w:cantSplit/>
        </w:trPr>
        <w:tc>
          <w:tcPr>
            <w:tcW w:w="1123"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14CAE6D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Fundus-AVSeg</w:t>
            </w:r>
          </w:p>
        </w:tc>
        <w:tc>
          <w:tcPr>
            <w:tcW w:w="1108"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3304859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43FC03F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0.5929</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6CCA18C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0.5479</w:t>
            </w:r>
          </w:p>
        </w:tc>
        <w:tc>
          <w:tcPr>
            <w:tcW w:w="83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654563C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0.5640</w:t>
            </w:r>
          </w:p>
        </w:tc>
        <w:tc>
          <w:tcPr>
            <w:tcW w:w="964"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7567E9C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0.5560</w:t>
            </w:r>
          </w:p>
        </w:tc>
        <w:tc>
          <w:tcPr>
            <w:tcW w:w="1123"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01C101B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0.5059</w:t>
            </w:r>
          </w:p>
        </w:tc>
        <w:tc>
          <w:tcPr>
            <w:tcW w:w="119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190DAE6">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0.0689</w:t>
            </w:r>
          </w:p>
        </w:tc>
      </w:tr>
    </w:tbl>
    <w:p w14:paraId="36A0F564">
      <w:pPr>
        <w:spacing w:before="0" w:after="0" w:line="240" w:lineRule="auto"/>
        <w:jc w:val="center"/>
      </w:pPr>
    </w:p>
    <w:p w14:paraId="5FEBE969">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3.2 Outcome-blind repeatability selected four phenotypes</w:t>
      </w:r>
    </w:p>
    <w:p w14:paraId="032EF8F5">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0" name="Picture 10" descr="Outcome-blind same-eye repeatability. (A) Representative repeated views from the same mBRSET eye. (B) ICC(1,1) with bootstrap 95% confidence intervals for all nine candidates. The prespecified threshold retained four candidates and excluded five before any systemic outcome was accessed."/>
            <wp:cNvGraphicFramePr>
              <a:graphicFrameLocks noChangeAspect="1"/>
            </wp:cNvGraphicFramePr>
            <a:graphic>
              <a:graphicData uri="http://schemas.openxmlformats.org/drawingml/2006/picture">
                <pic:pic>
                  <pic:nvPicPr>
                    <pic:cNvPr id="0" name="Figure4_Repeatability.png"/>
                    <pic:cNvPicPr/>
                  </pic:nvPicPr>
                  <pic:blipFill>
                    <a:blip r:embed="rId19"/>
                    <a:stretch>
                      <a:fillRect/>
                    </a:stretch>
                  </pic:blipFill>
                  <pic:spPr>
                    <a:xfrm>
                      <a:off x="0" y="0"/>
                      <a:ext cx="5257800" cy="3286125"/>
                    </a:xfrm>
                    <a:prstGeom prst="rect"/>
                  </pic:spPr>
                </pic:pic>
              </a:graphicData>
            </a:graphic>
          </wp:inline>
        </w:drawing>
      </w:r>
    </w:p>
    <w:p w14:paraId="7DCA7E3D">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4.</w:t>
      </w:r>
      <w:r>
        <w:rPr>
          <w:rFonts w:ascii="Times New Roman" w:hAnsi="Times New Roman" w:eastAsia="Times New Roman"/>
          <w:color w:val="000000"/>
          <w:sz w:val="21"/>
        </w:rPr>
        <w:t xml:space="preserve"> Outcome-blind same-eye repeatability. (A) Representative repeated views from the same mBRSET eye. (B) ICC(1,1) with bootstrap 95% confidence intervals for all nine candidates. The prespecified threshold retained four candidates and excluded five before any systemic outcome was accessed.</w:t>
      </w:r>
    </w:p>
    <w:p w14:paraId="4613057F">
      <w:pPr>
        <w:keepNext/>
        <w:keepLines/>
        <w:pageBreakBefore w:val="0"/>
        <w:widowControl/>
        <w:spacing w:before="120" w:after="8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4"/>
        </w:rPr>
        <w:t>Table 3.</w:t>
      </w:r>
      <w:r>
        <w:rPr>
          <w:rFonts w:ascii="Times New Roman" w:hAnsi="Times New Roman" w:eastAsia="Times New Roman"/>
          <w:color w:val="000000"/>
          <w:sz w:val="24"/>
        </w:rPr>
        <w:t xml:space="preserve"> Label-blind repeated-view reliability and phenotype retention.</w:t>
      </w:r>
    </w:p>
    <w:tbl>
      <w:tblPr>
        <w:tblStyle w:val="20"/>
        <w:tblW w:w="8078" w:type="dxa"/>
        <w:tblLayout w:type="autofit"/>
        <w:tblCellMar>
          <w:top w:w="0" w:type="dxa"/>
          <w:left w:w="108" w:type="dxa"/>
          <w:bottom w:w="0" w:type="dxa"/>
          <w:right w:w="108" w:type="dxa"/>
        </w:tblCellMar>
        <w:jc w:val="center"/>
      </w:tblPr>
      <w:tblGrid>
        <w:gridCol w:w="1555"/>
        <w:gridCol w:w="2505"/>
        <w:gridCol w:w="1007"/>
        <w:gridCol w:w="1756"/>
        <w:gridCol w:w="1252"/>
      </w:tblGrid>
      <w:tr w14:paraId="18AE6D5F">
        <w:trPr>
          <w:trHeight w:hRule="atLeast"/>
          <w:tblHeader w:val="true"/>
          <w:jc w:val="center"/>
          <w:tblHeader w:val="true"/>
          <w:cantSplit/>
        </w:trPr>
        <w:tc>
          <w:tcPr>
            <w:tcW w:w="155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0AA18102">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Phenotype</w:t>
            </w:r>
          </w:p>
        </w:tc>
        <w:tc>
          <w:tcPr>
            <w:tcW w:w="2505"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324C767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Measurement interpretation</w:t>
            </w:r>
          </w:p>
        </w:tc>
        <w:tc>
          <w:tcPr>
            <w:tcW w:w="1007"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D8588CB">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ICC(1,1)</w:t>
            </w:r>
          </w:p>
        </w:tc>
        <w:tc>
          <w:tcPr>
            <w:tcW w:w="1756"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42C4375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95% CI</w:t>
            </w:r>
          </w:p>
        </w:tc>
        <w:tc>
          <w:tcPr>
            <w:tcW w:w="1252" w:type="dxa"/>
            <w:tcMar>
              <w:top w:w="45" w:type="dxa"/>
              <w:left w:w="85" w:type="dxa"/>
              <w:bottom w:w="45" w:type="dxa"/>
              <w:right w:w="85" w:type="dxa"/>
              <w:start w:w="55" w:type="dxa"/>
              <w:end w:w="55" w:type="dxa"/>
            </w:tcMar>
            <w:vAlign w:val="center"/>
            <w:tcBorders>
              <w:bottom w:val="single" w:sz="8" w:space="0" w:color="000000"/>
              <w:left w:val="nil"/>
              <w:right w:val="nil"/>
              <w:top w:val="single" w:sz="12" w:space="0" w:color="000000"/>
            </w:tcBorders>
          </w:tcPr>
          <w:p w14:paraId="64137757">
            <w:pPr>
              <w:keepNext w:val="0"/>
              <w:keepLines/>
              <w:pageBreakBefore w:val="0"/>
              <w:widowControl/>
              <w:spacing w:before="0" w:after="0" w:line="240" w:lineRule="auto"/>
              <w:ind w:firstLine="0" w:left="0" w:right="0"/>
              <w:jc w:val="center"/>
            </w:pPr>
            <w:r>
              <w:rPr>
                <w:rFonts w:ascii="Times New Roman" w:hAnsi="Times New Roman" w:eastAsia="Times New Roman"/>
                <w:b/>
                <w:i w:val="0"/>
                <w:color w:val="000000"/>
                <w:sz w:val="21"/>
              </w:rPr>
              <w:t>Decision</w:t>
            </w:r>
          </w:p>
        </w:tc>
      </w:tr>
      <w:tr w14:paraId="57F49207">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69DEC74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Occupancy disagreement</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D051726">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Existence-readout mismatch</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E6D656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0.811</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6F57A1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0.791–0.829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9E584F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45FF03A6">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16B744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 skeleton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1F9CFD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Occupancy-gated geometry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429AFB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0.772</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76FDCC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0.752–0.789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3CCAEF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329E0D1A">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F1D887">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Mass-UDCT skeleton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E04B7CB">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Mass-preserving geometry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BD1DCF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0.688</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3082C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0.665–0.710</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DFF133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5CA7D245">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C0127F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vessel mass fraction</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CF141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Continuous vessel support</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DDA92D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0.676</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C2203E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0.653–0.699</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23E5C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Retain</w:t>
            </w:r>
          </w:p>
        </w:tc>
      </w:tr>
      <w:tr w14:paraId="79270D8E">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371A8A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 entropy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D0E8F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 ambiguity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EE45B3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0.503</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686882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0.473–0.534</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01FDB4E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0F10059B">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8164D68">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Mass branch density</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28DD79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Topological complexity</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8CA12A5">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0.484</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F9DB91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0.452–0.514</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3A137234">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3C61598E">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91EAB2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A/V log-mass ratio</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46CE290">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Soft identity balance</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B9B0A51">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0.384</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C897E8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0.346–0.420</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21E708B3">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206EBF14">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F07141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Factorized-UDCT A/V log-area ratio</w:t>
            </w:r>
          </w:p>
        </w:tc>
        <w:tc>
          <w:tcPr>
            <w:tcW w:w="2505"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5394418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Gated identity balance</w:t>
            </w:r>
          </w:p>
        </w:tc>
        <w:tc>
          <w:tcPr>
            <w:tcW w:w="1007"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4B18BA4E">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0.360</w:t>
            </w:r>
          </w:p>
        </w:tc>
        <w:tc>
          <w:tcPr>
            <w:tcW w:w="1756"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750D721D">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0.311–0.406</w:t>
            </w:r>
          </w:p>
        </w:tc>
        <w:tc>
          <w:tcPr>
            <w:tcW w:w="1252" w:type="dxa"/>
            <w:tcMar>
              <w:top w:w="45" w:type="dxa"/>
              <w:left w:w="85" w:type="dxa"/>
              <w:bottom w:w="45" w:type="dxa"/>
              <w:right w:w="85" w:type="dxa"/>
              <w:start w:w="55" w:type="dxa"/>
              <w:end w:w="55" w:type="dxa"/>
            </w:tcMar>
            <w:vAlign w:val="center"/>
            <w:tcBorders>
              <w:left w:val="nil"/>
              <w:right w:val="nil"/>
              <w:top w:val="nil"/>
              <w:bottom w:val="single" w:sz="3" w:space="0" w:color="D9D9D9"/>
            </w:tcBorders>
          </w:tcPr>
          <w:p w14:paraId="1C62303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r w14:paraId="594F3F80">
        <w:trPr>
          <w:cantSplit/>
          <w:trHeight w:hRule="atLeast"/>
          <w:jc w:val="center"/>
          <w:cantSplit/>
        </w:trPr>
        <w:tc>
          <w:tcPr>
            <w:tcW w:w="155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701F7D69">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Base-to-mass disagreement</w:t>
            </w:r>
          </w:p>
        </w:tc>
        <w:tc>
          <w:tcPr>
            <w:tcW w:w="2505"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1FE7401F">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Identity-head mismatch</w:t>
            </w:r>
          </w:p>
        </w:tc>
        <w:tc>
          <w:tcPr>
            <w:tcW w:w="1007"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4652923C">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0.282</w:t>
            </w:r>
          </w:p>
        </w:tc>
        <w:tc>
          <w:tcPr>
            <w:tcW w:w="1756"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C16ADC2">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0.237–0.328</w:t>
            </w:r>
          </w:p>
        </w:tc>
        <w:tc>
          <w:tcPr>
            <w:tcW w:w="1252" w:type="dxa"/>
            <w:tcMar>
              <w:top w:w="45" w:type="dxa"/>
              <w:left w:w="85" w:type="dxa"/>
              <w:bottom w:w="45" w:type="dxa"/>
              <w:right w:w="85" w:type="dxa"/>
              <w:start w:w="55" w:type="dxa"/>
              <w:end w:w="55" w:type="dxa"/>
            </w:tcMar>
            <w:vAlign w:val="center"/>
            <w:tcBorders>
              <w:left w:val="nil"/>
              <w:right w:val="nil"/>
              <w:top w:val="nil"/>
              <w:bottom w:val="single" w:sz="12" w:space="0" w:color="000000"/>
            </w:tcBorders>
          </w:tcPr>
          <w:p w14:paraId="598234FA">
            <w:pPr>
              <w:keepNext w:val="0"/>
              <w:keepLines/>
              <w:pageBreakBefore w:val="0"/>
              <w:widowControl/>
              <w:spacing w:before="0" w:after="0" w:line="240" w:lineRule="auto"/>
              <w:ind w:firstLine="0" w:left="0" w:right="0"/>
              <w:jc w:val="left"/>
            </w:pPr>
            <w:r>
              <w:rPr>
                <w:rFonts w:ascii="Times New Roman" w:hAnsi="Times New Roman" w:eastAsia="Times New Roman"/>
                <w:b w:val="0"/>
                <w:i w:val="0"/>
                <w:color w:val="000000"/>
                <w:sz w:val="21"/>
              </w:rPr>
              <w:t>Exclude</w:t>
            </w:r>
          </w:p>
        </w:tc>
      </w:tr>
    </w:tbl>
    <w:p w14:paraId="644740EA">
      <w:pPr>
        <w:spacing w:before="0" w:after="0" w:line="240" w:lineRule="auto"/>
        <w:jc w:val="center"/>
      </w:pPr>
    </w:p>
    <w:p w14:paraId="0FE0553D">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line="240" w:lineRule="auto"/>
        <w:jc w:val="center"/>
      </w:pPr>
      <w:r/>
    </w:p>
    <w:p w14:paraId="6B41BF30">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1" name="Picture 11" descr="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
            <wp:cNvGraphicFramePr>
              <a:graphicFrameLocks noChangeAspect="1"/>
            </wp:cNvGraphicFramePr>
            <a:graphic>
              <a:graphicData uri="http://schemas.openxmlformats.org/drawingml/2006/picture">
                <pic:pic>
                  <pic:nvPicPr>
                    <pic:cNvPr id="0" name="Figure5_CIMT.png"/>
                    <pic:cNvPicPr/>
                  </pic:nvPicPr>
                  <pic:blipFill>
                    <a:blip r:embed="rId20"/>
                    <a:stretch>
                      <a:fillRect/>
                    </a:stretch>
                  </pic:blipFill>
                  <pic:spPr>
                    <a:xfrm>
                      <a:off x="0" y="0"/>
                      <a:ext cx="5257800" cy="3286125"/>
                    </a:xfrm>
                    <a:prstGeom prst="rect"/>
                  </pic:spPr>
                </pic:pic>
              </a:graphicData>
            </a:graphic>
          </wp:inline>
        </w:drawing>
      </w:r>
    </w:p>
    <w:p w14:paraId="636FA762">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5.</w:t>
      </w:r>
      <w:r>
        <w:rPr>
          <w:rFonts w:ascii="Times New Roman" w:hAnsi="Times New Roman" w:eastAsia="Times New Roman"/>
          <w:color w:val="000000"/>
          <w:sz w:val="21"/>
        </w:rPr>
        <w:t xml:space="preserve"> CIMT model sequence and stopping decision. (A) Prespecified progression from the clinical baseline to direct fusion, conditional deviation, double orthogonalisation, frozen validation, and reliability-gated replacement. (B) Paired MAE differences; negative values favour the retinal model. (C) The one-shot E9 validation reproduced direction but not the confirmation criterion.</w:t>
      </w:r>
    </w:p>
    <w:p w14:paraId="55262C16">
      <w:pPr>
        <w:spacing w:before="0" w:after="0" w:line="240" w:lineRule="auto"/>
        <w:jc w:val="center"/>
      </w:pPr>
    </w:p>
    <w:p w14:paraId="0BA5E862">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3.6 Negative controls and transport boundaries</w:t>
      </w:r>
    </w:p>
    <w:p w14:paraId="3EFBFA8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line="240" w:lineRule="auto"/>
        <w:jc w:val="center"/>
      </w:pPr>
      <w:r/>
    </w:p>
    <w:p w14:paraId="03FE0B26">
      <w:pPr>
        <w:keepNext/>
        <w:keepLines/>
        <w:pageBreakBefore w:val="0"/>
        <w:widowControl/>
        <w:spacing w:before="40" w:after="40" w:line="240" w:lineRule="auto"/>
        <w:jc w:val="center"/>
      </w:pPr>
      <w:r>
        <w:drawing>
          <wp:inline xmlns:a="http://schemas.openxmlformats.org/drawingml/2006/main" xmlns:pic="http://schemas.openxmlformats.org/drawingml/2006/picture">
            <wp:extent cx="5257800" cy="3286125"/>
            <wp:docPr id="12" name="Picture 12" descr="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
            <wp:cNvGraphicFramePr>
              <a:graphicFrameLocks noChangeAspect="1"/>
            </wp:cNvGraphicFramePr>
            <a:graphic>
              <a:graphicData uri="http://schemas.openxmlformats.org/drawingml/2006/picture">
                <pic:pic>
                  <pic:nvPicPr>
                    <pic:cNvPr id="0" name="Figure6_ClinicalBoundary.png"/>
                    <pic:cNvPicPr/>
                  </pic:nvPicPr>
                  <pic:blipFill>
                    <a:blip r:embed="rId21"/>
                    <a:stretch>
                      <a:fillRect/>
                    </a:stretch>
                  </pic:blipFill>
                  <pic:spPr>
                    <a:xfrm>
                      <a:off x="0" y="0"/>
                      <a:ext cx="5257800" cy="3286125"/>
                    </a:xfrm>
                    <a:prstGeom prst="rect"/>
                  </pic:spPr>
                </pic:pic>
              </a:graphicData>
            </a:graphic>
          </wp:inline>
        </w:drawing>
      </w:r>
    </w:p>
    <w:p w14:paraId="1433CE07">
      <w:pPr>
        <w:keepNext w:val="0"/>
        <w:keepLines/>
        <w:pageBreakBefore w:val="0"/>
        <w:widowControl/>
        <w:spacing w:before="40" w:after="120" w:line="240" w:lineRule="auto"/>
        <w:ind w:firstLine="0"/>
        <w:jc w:val="both"/>
        <w:rPr>
          <w:rFonts w:hint="default" w:ascii="Times New Roman" w:hAnsi="Times New Roman" w:cs="Times New Roman"/>
          <w:b w:val="0"/>
          <w:bCs/>
          <w:i w:val="0"/>
          <w:iCs/>
        </w:rPr>
      </w:pPr>
      <w:r>
        <w:rPr>
          <w:rFonts w:ascii="Times New Roman" w:hAnsi="Times New Roman" w:eastAsia="Times New Roman"/>
          <w:b/>
          <w:color w:val="000000"/>
          <w:sz w:val="21"/>
        </w:rPr>
        <w:t>Figure 6.</w:t>
      </w:r>
      <w:r>
        <w:rPr>
          <w:rFonts w:ascii="Times New Roman" w:hAnsi="Times New Roman" w:eastAsia="Times New Roman"/>
          <w:color w:val="000000"/>
          <w:sz w:val="21"/>
        </w:rPr>
        <w:t xml:space="preserve"> Patient-level clinical increment and evidence boundary. (A, B) Paired AUROC and Brier increments for the reliable core over the clinical model in mBRSET overall and sensitivity analyses. (C) Patient-level permutation negative control. (D) Final evidence status. All increment intervals crossed zero; the permutation test supports implementation integrity only.</w:t>
      </w:r>
    </w:p>
    <w:p w14:paraId="34203D94">
      <w:pPr>
        <w:spacing w:before="0" w:after="0" w:line="240" w:lineRule="auto"/>
        <w:jc w:val="center"/>
      </w:pPr>
    </w:p>
    <w:p w14:paraId="17CF2212">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3.7 Negative experiments defined the stopping rule</w:t>
      </w:r>
    </w:p>
    <w:p w14:paraId="2082E8BC">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pPr>
        <w:keepNext w:val="0"/>
        <w:keepLines w:val="0"/>
        <w:pageBreakBefore w:val="0"/>
        <w:widowControl/>
        <w:spacing w:before="0" w:after="120" w:line="360" w:lineRule="auto"/>
        <w:ind w:left="0" w:right="0" w:firstLine="0"/>
        <w:jc w:val="both"/>
      </w:pPr>
      <w:r>
        <w:rPr>
          <w:rFonts w:ascii="Times New Roman" w:hAnsi="Times New Roman" w:eastAsia="Times New Roman"/>
          <w:color w:val="000000"/>
          <w:sz w:val="24"/>
        </w:rPr>
        <w:t>A high-resolution residual domain-generalization branch was extended to 12 epochs to test whether the limited external gain reflected undertraining; checkpoint selection remained restricted to development data. The best checkpoint remained epoch 5. It achieved mean artery/vein Dice 0.8266 on the RAV development split versus 0.8446 for the frozen reference, FIVES vessel Dice 0.8136, and Dice 0.6038 on a seven-image retrospective device stress set versus 0.6042 for the frozen baseline. Because discrimination did not improve consistently and probability calibration worsened slightly, the branch was stopped. The seven-image stress result is descriptive only.</w:t>
      </w:r>
    </w:p>
    <w:p w14:paraId="2F83772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4. Discussion</w:t>
      </w:r>
    </w:p>
    <w:p w14:paraId="5F121B86">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4.1 Principal finding: the evidence layers diverged</w:t>
      </w:r>
    </w:p>
    <w:p w14:paraId="66B0EFF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4.2 Algorithmic and methodological contribution</w:t>
      </w:r>
    </w:p>
    <w:p w14:paraId="30956D39">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4.3 Clinical interpretation and limits of increment</w:t>
      </w:r>
    </w:p>
    <w:p w14:paraId="099BD538">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4.4 Limitations and confirmatory path</w:t>
      </w:r>
    </w:p>
    <w:p w14:paraId="01D2BF3F">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5. Conclusion</w:t>
      </w:r>
    </w:p>
    <w:p w14:paraId="3550C3E2">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color w:val="000000"/>
          <w:sz w:val="24"/>
        </w:rPr>
        <w:t>A retinal vascular feature does not become a clinical biomarker merely because its source map is accurate or its association is statistically detectable. Across five core cohorts, RMDB–BiRAP supported external pixel measurement and four reproducible global phenotypes, while cross-cohort scale differences, direct high-dimensional fusion, a head-disagreement uncertainty proxy, the 12-epoch residual optimization branch, reliability-gated representation replacement, and calibrated mBRSET increment all failed to justify a stronger clinical claim. The contribution is an auditable route from measurable pixels to reproducible phenotypes, together with a transparent stopping rule until frozen confirmation in an independent high-resolution outcome cohort becomes possible.</w:t>
      </w:r>
    </w:p>
    <w:p w14:paraId="2D7F1692">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Declarations</w:t>
      </w:r>
    </w:p>
    <w:p w14:paraId="47BC9842">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Ethics approval and consent to participate</w:t>
      </w:r>
    </w:p>
    <w:p w14:paraId="094CABFA">
      <w:pPr>
        <w:pStyle w:val="18"/>
        <w:keepNext w:val="0"/>
        <w:keepLines w:val="0"/>
        <w:pageBreakBefore w:val="0"/>
        <w:widowControl/>
        <w:spacing w:before="0" w:after="120" w:line="360" w:lineRule="auto"/>
        <w:ind w:firstLine="0" w:left="0" w:right="0"/>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Data and code availability</w:t>
      </w:r>
    </w:p>
    <w:p w14:paraId="1320A4C6">
      <w:pPr>
        <w:pStyle w:val="18"/>
        <w:keepNext w:val="0"/>
        <w:keepLines w:val="0"/>
        <w:pageBreakBefore w:val="0"/>
        <w:widowControl/>
        <w:spacing w:before="0" w:after="120" w:line="360" w:lineRule="auto"/>
        <w:ind w:firstLine="0" w:left="0" w:right="0"/>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4"/>
        </w:rPr>
        <w:t>Competing interests</w:t>
      </w:r>
    </w:p>
    <w:p w14:paraId="11D67101">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keepLines/>
        <w:pageBreakBefore w:val="0"/>
        <w:widowControl/>
        <w:spacing w:before="200" w:after="120" w:line="240" w:lineRule="auto"/>
        <w:ind w:firstLine="0" w:left="0" w:right="0"/>
        <w:jc w:val="left"/>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Funding</w:t>
      </w:r>
    </w:p>
    <w:p w14:paraId="4F126B66">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keepLines/>
        <w:pageBreakBefore w:val="0"/>
        <w:widowControl/>
        <w:spacing w:before="200" w:after="120" w:line="240" w:lineRule="auto"/>
        <w:ind w:firstLine="0" w:left="0" w:right="0"/>
        <w:jc w:val="left"/>
        <w:rPr>
          <w:rFonts w:hint="default" w:ascii="Times New Roman Bold" w:hAnsi="Times New Roman Bold" w:cs="Times New Roman Bold"/>
          <w:i w:val="0"/>
          <w:iCs/>
        </w:rPr>
      </w:pPr>
      <w:r>
        <w:rPr>
          <w:rFonts w:hint="default" w:ascii="Times New Roman" w:hAnsi="Times New Roman" w:eastAsia="Times New Roman" w:cs="Times New Roman Bold"/>
          <w:b/>
          <w:i w:val="0"/>
          <w:iCs/>
          <w:color w:val="000000"/>
          <w:sz w:val="24"/>
        </w:rPr>
        <w:t>Author contributions</w:t>
      </w:r>
    </w:p>
    <w:p w14:paraId="325001A8">
      <w:pPr>
        <w:pStyle w:val="18"/>
        <w:keepNext w:val="0"/>
        <w:keepLines w:val="0"/>
        <w:pageBreakBefore w:val="0"/>
        <w:widowControl/>
        <w:spacing w:before="0" w:after="120" w:line="360" w:lineRule="auto"/>
        <w:ind w:firstLine="0" w:left="0" w:right="0"/>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keepLines/>
        <w:pageBreakBefore w:val="0"/>
        <w:widowControl/>
        <w:spacing w:before="200" w:after="120" w:line="240" w:lineRule="auto"/>
        <w:ind w:firstLine="0" w:left="0" w:right="0"/>
        <w:jc w:val="left"/>
      </w:pPr>
      <w:r>
        <w:rPr>
          <w:rFonts w:ascii="Times New Roman" w:hAnsi="Times New Roman" w:eastAsia="Times New Roman"/>
          <w:b/>
          <w:i w:val="0"/>
          <w:color w:val="000000"/>
          <w:sz w:val="28"/>
        </w:rPr>
        <w:t>References</w:t>
      </w:r>
    </w:p>
    <w:p w14:paraId="7AC9721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 Wong TY, Mitchell P. The eye in hypertension. Lancet. 2007;369:425–435.</w:t>
      </w:r>
    </w:p>
    <w:p w14:paraId="7355D0D3">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[2] Poplin R, Varadarajan AV, Blumer K, et al. Prediction of cardiovascular risk factors from retinal fundus photographs via deep learning. Nature Biomedical Engineering. 2018;2:158–164.</w:t>
      </w:r>
    </w:p>
    <w:p w14:paraId="535A9BE5">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[4] Zhou Y, Chia MA, Wagner SK, et al. A foundation model for generalizable disease detection from retinal images. Nature. 2023;622:156–163.</w:t>
      </w:r>
    </w:p>
    <w:p w14:paraId="5102FEEF">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[5] McGraw KO, Wong SP. Forming inferences about some intraclass correlation coefficients. Psychological Methods. 1996;1:30–46.</w:t>
      </w:r>
    </w:p>
    <w:p w14:paraId="15BF5BC9">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[6] Koo TK, Li MY. A guideline of selecting and reporting intraclass correlation coefficients for reliability research. Journal of Chiropractic Medicine. 2016;15:155–163.</w:t>
      </w:r>
    </w:p>
    <w:p w14:paraId="0D78A3EC">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[7] Steyerberg EW. Clinical Prediction Models. 2nd ed. Springer; 2019.</w:t>
      </w:r>
    </w:p>
    <w:p w14:paraId="43D31F39">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[9] Efron B, Tibshirani RJ. An Introduction to the Bootstrap. Chapman &amp; Hall/CRC; 1993.</w:t>
      </w:r>
    </w:p>
    <w:p w14:paraId="0CD32A7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[10] DeLong ER, DeLong DM, Clarke-Pearson DL. Comparing the areas under two or more correlated receiver operating characteristic curves. Biometrics. 1988;44:837–845.</w:t>
      </w:r>
    </w:p>
    <w:p w14:paraId="174BBB54">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[11] Harrell FE Jr. Regression Modeling Strategies. 2nd ed. Springer; 2015.</w:t>
      </w:r>
    </w:p>
    <w:p w14:paraId="6CA5327F">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[12] Riley RD, van der Windt D, Croft P, Moons KGM, editors. Prognosis Research in Healthcare. Oxford University Press; 2019.</w:t>
      </w:r>
    </w:p>
    <w:p w14:paraId="08AFFEC7">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[13] Jin K, Huang X, Zhou J, et al. FIVES: A Fundus Image Dataset for Artificial Intelligence based Vessel Segmentation. Scientific Data. 2022;9:475. doi:10.1038/s41597-022-01564-3.</w:t>
      </w:r>
    </w:p>
    <w:p w14:paraId="0BF93BE0">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[14] Vargas Quiros J, Liefers B, van Garderen KA, Vermeulen JP, Eyened Reading Center, Klaver C. Rotterdam artery–vein segmentation (RAV) dataset. arXiv. 2025;arXiv:2512.17322. Dataset doi:10.34894/9OIMWY.</w:t>
      </w:r>
    </w:p>
    <w:p w14:paraId="0FABD628">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[15] Deng Z, Gao W, Gong Z, et al. A Fundus Image Dataset for AI-based Artery-Vein Vessel Segmentation. Scientific Data. 2025;12. doi:10.1038/s41597-025-05381-2. Dataset doi:10.6084/m9.figshare.27938034.v2.</w:t>
      </w:r>
    </w:p>
    <w:p w14:paraId="79EEC317">
      <w:pPr>
        <w:pStyle w:val="18"/>
        <w:keepNext w:val="0"/>
        <w:keepLines/>
        <w:pageBreakBefore w:val="0"/>
        <w:widowControl/>
        <w:spacing w:before="0" w:after="44" w:line="240" w:lineRule="auto"/>
        <w:ind w:left="351" w:hanging="351" w:right="0"/>
        <w:jc w:val="left"/>
      </w:pPr>
      <w:r>
        <w:rPr>
          <w:rFonts w:ascii="Times New Roman" w:hAnsi="Times New Roman" w:eastAsia="Times New Roman"/>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keepNext w:val="0"/>
        <w:keepLines/>
        <w:pageBreakBefore w:val="0"/>
        <w:widowControl/>
        <w:spacing w:before="0" w:line="240" w:lineRule="auto" w:after="44"/>
        <w:ind w:left="351" w:hanging="351" w:right="0"/>
        <w:jc w:val="left"/>
      </w:pPr>
      <w:r>
        <w:rPr>
          <w:rFonts w:ascii="Times New Roman" w:hAnsi="Times New Roman" w:eastAsia="Times New Roman"/>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504" w:footer="504"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3FF71DB"/>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360" w:lineRule="auto"/>
      <w:ind w:firstLine="0"/>
      <w:jc w:val="both"/>
    </w:pPr>
    <w:rPr>
      <w:rFonts w:ascii="Times New Roman" w:hAnsi="Times New Roman" w:eastAsiaTheme="minorAscii" w:cstheme="minorBidi" w:eastAsia="Times New Roman"/>
      <w:b w:val="0"/>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4"/>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360" w:lineRule="auto"/>
      <w:ind w:firstLine="0"/>
      <w:jc w:val="both"/>
    </w:pPr>
    <w:rPr>
      <w:rFonts w:ascii="Times New Roman" w:hAnsi="Times New Roman" w:eastAsia="Times New Roman" w:cs="Times New Roman"/>
      <w:b w:val="0"/>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104</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Kaiwen Deng; Liwei Liu</dc:creator>
  <dc:description>Restyled using RegionSuff_3.2 as a visual template only.</dc:description>
  <cp:keywords>retinal vasculature; digital biomarker; artery–vein segmentation; repeatability; intraclass correlation; CIMT; hypertension; nested cross-validation</cp:keywords>
  <cp:lastModifiedBy>祁涟柒子衿</cp:lastModifiedBy>
  <dcterms:modified xsi:type="dcterms:W3CDTF">2026-08-24T15:36:29Z</dcterms:modified>
  <dc:subject>RMDB–BiRAP retinal vascular phenotype evaluation</dc:subject>
  <dc:title>From Retinal Vessel Maps to Digital Biomarkers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6663DBE96E3380097DF48B6A7A1C6808_43</vt:lpwstr>
  </property>
</Properties>
</file>