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pPr>
        <w:spacing w:after="80"/>
      </w:pPr>
      <w:r>
        <w:rPr>
          <w:rFonts w:ascii="Times New Roman" w:hAnsi="Times New Roman" w:eastAsia="Times New Roman"/>
          <w:b/>
          <w:sz w:val="32"/>
        </w:rPr>
        <w:t>RetiESS-Seg: Correlation-Aware Effective Sample Size Auditing for Small-Sample 3D Retinal OCT Layer Segmentation</w:t>
      </w:r>
    </w:p>
    <w:p>
      <w:pPr>
        <w:spacing w:after="80"/>
      </w:pPr>
      <w:r>
        <w:rPr>
          <w:rFonts w:ascii="Times New Roman" w:hAnsi="Times New Roman" w:eastAsia="Times New Roman"/>
          <w:sz w:val="32"/>
        </w:rPr>
        <w:t>Kaiwen Deng, Liwei Liu*</w:t>
      </w:r>
    </w:p>
    <w:p>
      <w:pPr>
        <w:spacing w:after="320"/>
      </w:pPr>
      <w:r>
        <w:rPr>
          <w:rFonts w:ascii="Times New Roman" w:hAnsi="Times New Roman" w:eastAsia="Times New Roman"/>
          <w:sz w:val="32"/>
        </w:rPr>
        <w:t>School of Railway Intelligent Engineering, Dalian Jiaotong University, Dalian, 116028, China</w:t>
      </w:r>
    </w:p>
    <w:p>
      <w:pPr>
        <w:spacing w:after="60"/>
      </w:pPr>
      <w:r>
        <w:rPr>
          <w:rFonts w:ascii="Times New Roman" w:hAnsi="Times New Roman" w:eastAsia="Times New Roman"/>
          <w:sz w:val="32"/>
        </w:rPr>
        <w:t>*Corresponding author</w:t>
      </w:r>
    </w:p>
    <w:p>
      <w:pPr>
        <w:spacing w:after="360"/>
      </w:pPr>
      <w:r>
        <w:rPr>
          <w:rFonts w:ascii="Times New Roman" w:hAnsi="Times New Roman" w:eastAsia="Times New Roman"/>
          <w:b/>
          <w:sz w:val="32"/>
        </w:rPr>
        <w:t xml:space="preserve">Email: </w:t>
      </w:r>
      <w:r>
        <w:rPr>
          <w:rFonts w:ascii="Times New Roman" w:hAnsi="Times New Roman" w:eastAsia="Times New Roman"/>
          <w:sz w:val="32"/>
        </w:rPr>
        <w:t>Liwei Liu (liutree80@163.com)</w:t>
      </w:r>
    </w:p>
    <w:p>
      <w:pPr>
        <w:pStyle w:val="3"/>
      </w:pPr>
      <w:r>
        <w:rPr>
          <w:rFonts w:ascii="Times New Roman" w:hAnsi="Times New Roman" w:eastAsia="Times New Roman"/>
          <w:b/>
          <w:sz w:val="28"/>
        </w:rPr>
        <w:t>Abstract:</w:t>
      </w:r>
    </w:p>
    <w:p>
      <w:pPr>
        <w:keepNext w:val="0"/>
        <w:spacing w:after="120" w:line="276" w:lineRule="auto"/>
        <w:jc w:val="both"/>
      </w:pPr>
      <w:r>
        <w:rPr>
          <w:rFonts w:ascii="Times New Roman" w:hAnsi="Times New Roman" w:eastAsia="Times New Roman"/>
          <w:sz w:val="24"/>
        </w:rPr>
        <w:t>Three-dimensional (3D) optical coherence tomography (OCT) volumes contain correlated B-scans, so image count can overstate independent evidence in small datasets. We propose RetiESS-Seg, a correlation-aware effective sample size (ESS) framework for retinal layer segmentation. It combines slice position and label-free appearance similarity in a positive semidefinite matrix and scales only a cross-slice derivative loss, leaving the predictor unchanged. We evaluated the complete Tian Optical Coherence Tomography Retinal Image Analysis (OCTRIMA) release (10 volumes, 100 B-scans, eight boundaries) by leave-one-volume-out testing. At 60 epochs, SliceCNN and RetiESS-Seg achieved mean absolute errors of 11.450 ± 4.632 and 11.431 ± 4.608 pixels. The paired difference was −0.019 pixels (95% bootstrap confidence interval −0.074 to 0.028; Wilcoxon p = 0.375), showing no accuracy superiority. Deterministic thinning and duplication changed the raw slice count from 5 to 20 while mean ESS remained 1.519–1.562, indicating that copied slices were not treated as independent evidence. RetiESS is therefore a statistical redundancy audit for small-sample OCT studies, not a diagnostic or segmentation-performance breakthrough.</w:t>
      </w:r>
    </w:p>
    <w:p>
      <w:pPr>
        <w:keepNext w:val="0"/>
        <w:spacing w:after="120" w:line="276" w:lineRule="auto"/>
        <w:jc w:val="both"/>
      </w:pPr>
      <w:r>
        <w:rPr>
          <w:rFonts w:ascii="Times New Roman" w:hAnsi="Times New Roman" w:eastAsia="Times New Roman"/>
          <w:b/>
          <w:sz w:val="24"/>
        </w:rPr>
        <w:t>Keywords:</w:t>
      </w:r>
      <w:r>
        <w:rPr>
          <w:rFonts w:ascii="Times New Roman" w:hAnsi="Times New Roman" w:eastAsia="Times New Roman"/>
          <w:sz w:val="24"/>
        </w:rPr>
        <w:t xml:space="preserve"> optical coherence tomography; retinal segmentation; effective sample size; small data.</w:t>
      </w:r>
    </w:p>
    <w:p>
      <w:pPr>
        <w:pStyle w:val="3"/>
      </w:pPr>
      <w:r>
        <w:rPr>
          <w:rFonts w:ascii="Times New Roman" w:hAnsi="Times New Roman" w:eastAsia="Times New Roman"/>
          <w:b/>
          <w:sz w:val="28"/>
        </w:rPr>
        <w:t>1. Introduction</w:t>
      </w:r>
    </w:p>
    <w:p>
      <w:pPr>
        <w:keepNext w:val="0"/>
        <w:spacing w:after="120" w:line="276" w:lineRule="auto"/>
        <w:jc w:val="both"/>
      </w:pPr>
      <w:r>
        <w:rPr>
          <w:rFonts w:ascii="Times New Roman" w:hAnsi="Times New Roman" w:eastAsia="Times New Roman"/>
          <w:sz w:val="24"/>
        </w:rPr>
        <w:t>Optical coherence tomography (OCT) provides non-invasive cross-sectional views of retinal microstructure and is routinely acquired as a volume rather than as an isolated image. Retinal layer segmentation converts those volumes into quantitative structural measurements, but manual tracing is slow and observer-dependent. Classical graph methods exploited spatial continuity across adjacent B-scans [1,2], while recent deep learning systems increasingly use volumetric context, multimodal imaging, and pretrained retinal representations [3-7]. The shift from a single central B-scan to a full volume is scientifically useful, yet it creates a statistical question that is often left implicit: how much independent evidence is actually added by the neighboring slices?</w:t>
      </w:r>
    </w:p>
    <w:p>
      <w:pPr>
        <w:keepNext w:val="0"/>
        <w:spacing w:after="120" w:line="276" w:lineRule="auto"/>
        <w:jc w:val="both"/>
      </w:pPr>
      <w:r>
        <w:rPr>
          <w:rFonts w:ascii="Times New Roman" w:hAnsi="Times New Roman" w:eastAsia="Times New Roman"/>
          <w:sz w:val="24"/>
        </w:rPr>
        <w:t>This question is most acute in small biomedical datasets. A release with 10 patients and 10 B-scans per patient contains 100 images, but it still contains only 10 independent patient volumes. Random slice-level splitting would leak subject-specific anatomy across training and test sets, and even volume-level training can overweight a densely sampled or duplicated scan. More generally, cross-validation uncertainty is high when the number of independent subjects is small, regardless of the number of correlated observations within each subject [8,9]. Data augmentation may improve optimization, but it must remain inside each training fold and cannot manufacture new patients [10].</w:t>
      </w:r>
    </w:p>
    <w:p>
      <w:pPr>
        <w:keepNext w:val="0"/>
        <w:spacing w:after="120" w:line="276" w:lineRule="auto"/>
        <w:jc w:val="both"/>
      </w:pPr>
      <w:r>
        <w:rPr>
          <w:rFonts w:ascii="Times New Roman" w:hAnsi="Times New Roman" w:eastAsia="Times New Roman"/>
          <w:sz w:val="24"/>
        </w:rPr>
        <w:t>Effective sample size (ESS) is traditionally used to express how dependence reduces nominal information [11]. We adapt this idea to OCT volumes by constructing a slice correlation matrix from normalized position and appearance. A quadratic form then reports how much effectively independent slice evidence remains after accounting for similarity. This statistic is intentionally separated from the boundary prediction itself. It can therefore be evaluated by controlled duplication and thinning without claiming that it corrects a clinical decision or improves segmentation accuracy.</w:t>
      </w:r>
    </w:p>
    <w:p>
      <w:pPr>
        <w:keepNext w:val="0"/>
        <w:spacing w:after="120" w:line="276" w:lineRule="auto"/>
        <w:jc w:val="both"/>
      </w:pPr>
      <w:r>
        <w:rPr>
          <w:rFonts w:ascii="Times New Roman" w:hAnsi="Times New Roman" w:eastAsia="Times New Roman"/>
          <w:sz w:val="24"/>
        </w:rPr>
        <w:t>The paper makes four bounded contributions. First, it formulates a label-free position–appearance correlation matrix and a differentiable effective slice count for a complete small-sample 3D OCT dataset. Second, it evaluates an ESS-scaled cross-slice derivative loss while preserving a conventional per-slice boundary regressor. Third, it uses outer leave-one-volume-out testing, inner-only protocol selection, repeated seeds, and volume-level statistics. Fourth, it distinguishes a positive mechanistic result (duplicate slices are not counted as independent evidence) from a negative predictive result (RetiESS-Seg does not significantly reduce boundary error). This separation is the central methodological contribution.</w:t>
      </w:r>
    </w:p>
    <w:p>
      <w:pPr>
        <w:spacing w:after="80" w:line="240" w:lineRule="auto"/>
        <w:jc w:val="both"/>
      </w:pPr>
      <w:r>
        <w:rPr>
          <w:rFonts w:ascii="Times New Roman" w:hAnsi="Times New Roman" w:eastAsia="Times New Roman"/>
          <w:color w:val="17212B"/>
          <w:sz w:val="20"/>
        </w:rPr>
        <w:t>The manuscript follows the same claim hierarchy throughout. Section 2 fixes the independent unit, the prediction endpoint, and the scope of the ESS statistic before any model comparison. Section 3 then reports four linked experiments: the fixed paired accuracy test, leakage-safe nested protocol development, boundary- and perturbation-level audits, and a deliberately non-interchangeable 2D paired-image extension. This organization prevents a redundancy result, an optimization result, and a clinical validation claim from being conflated.</w:t>
      </w:r>
    </w:p>
    <w:p>
      <w:pPr>
        <w:pStyle w:val="3"/>
      </w:pPr>
      <w:r>
        <w:rPr>
          <w:rFonts w:ascii="Times New Roman" w:hAnsi="Times New Roman" w:eastAsia="Times New Roman"/>
          <w:b/>
          <w:sz w:val="28"/>
        </w:rPr>
        <w:t>2. Materials and Methods</w:t>
      </w:r>
    </w:p>
    <w:p>
      <w:pPr>
        <w:pStyle w:val="4"/>
      </w:pPr>
      <w:r>
        <w:rPr>
          <w:rFonts w:ascii="Times New Roman" w:hAnsi="Times New Roman" w:eastAsia="Times New Roman" w:cs="Times New Roman"/>
          <w:b w:val="1"/>
          <w:sz w:val="28"/>
          <w:szCs w:val="28"/>
          <w:bCs w:val="1"/>
          <w:i w:val="0"/>
          <w:iCs w:val="0"/>
        </w:rPr>
        <w:t>2.1 Study design and reporting boundary</w:t>
      </w:r>
    </w:p>
    <w:p>
      <w:pPr>
        <w:keepNext w:val="0"/>
        <w:spacing w:after="120" w:line="276" w:lineRule="auto"/>
        <w:jc w:val="both"/>
      </w:pPr>
      <w:r>
        <w:rPr>
          <w:rFonts w:ascii="Times New Roman" w:hAnsi="Times New Roman" w:eastAsia="Times New Roman"/>
          <w:sz w:val="24"/>
        </w:rPr>
        <w:t>We conducted a retrospective computational study using only complete, anonymously downloadable public data. The primary task was eight-boundary regression on three-dimensional (3D) macular OCT. The primary unit of inference was the complete volume, never an individual B-scan. Mean absolute boundary error (MAE) in native axial pixels (px) was the predictive endpoint. Correlation-aware ESS under prespecified slice perturbations was the mechanistic endpoint. RetiESS was not evaluated as a disease classifier, referral score, uncertainty estimator, or external clinical reliability measure.</w:t>
      </w:r>
    </w:p>
    <w:p>
      <w:pPr>
        <w:spacing w:after="80" w:line="240" w:lineRule="auto"/>
        <w:jc w:val="both"/>
      </w:pPr>
      <w:r>
        <w:rPr>
          <w:rFonts w:ascii="Times New Roman" w:hAnsi="Times New Roman" w:eastAsia="Times New Roman"/>
          <w:color w:val="17212B"/>
          <w:sz w:val="20"/>
        </w:rPr>
        <w:t>The design therefore asks four separate questions: Does ESS-scaled regularization change held-out boundary MAE? Does the statistic avoid counting exact copies as independent evidence? What performance follows leakage-safe nested protocol selection and refitting? And can the same patient-disjoint discipline be preserved in a separate paired 2D task? Each question has a different endpoint and permitted conclusion (Table 2).</w:t>
      </w:r>
    </w:p>
    <w:p>
      <w:pPr>
        <w:pStyle w:val="4"/>
      </w:pPr>
      <w:r>
        <w:rPr>
          <w:rFonts w:ascii="Times New Roman" w:hAnsi="Times New Roman" w:eastAsia="Times New Roman" w:cs="Times New Roman"/>
          <w:b w:val="1"/>
          <w:sz w:val="28"/>
          <w:szCs w:val="28"/>
          <w:bCs w:val="1"/>
          <w:i w:val="0"/>
          <w:iCs w:val="0"/>
        </w:rPr>
        <w:t>2.2 Complete public datasets</w:t>
      </w:r>
    </w:p>
    <w:p>
      <w:pPr>
        <w:keepNext w:val="0"/>
        <w:spacing w:after="120" w:line="276" w:lineRule="auto"/>
        <w:jc w:val="both"/>
      </w:pPr>
      <w:r>
        <w:rPr>
          <w:rFonts w:ascii="Times New Roman" w:hAnsi="Times New Roman" w:eastAsia="Times New Roman"/>
          <w:sz w:val="24"/>
        </w:rPr>
        <w:t>Tian OCTRIMA. The primary release contains Subject1.mat through Subject10.mat, with 10 B-scans in every volume, eight manually traced retinal boundaries, the original OCTRIMA3D output, and two independent manual observers [1]. The experiment loader refuses to run if any subject file or required annotation field is absent. All 10 volumes and all 100 released B-scans were used, and the downloaded archive passed a recorded 256-bit Secure Hash Algorithm (SHA-256) integrity check. The regression target was the pointwise mean of the two observer traces; observer-specific traces were retained for audit.</w:t>
      </w:r>
    </w:p>
    <w:p>
      <w:pPr>
        <w:keepNext w:val="0"/>
        <w:spacing w:after="120" w:line="276" w:lineRule="auto"/>
        <w:jc w:val="both"/>
      </w:pPr>
      <w:r>
        <w:rPr>
          <w:rFonts w:ascii="Times New Roman" w:hAnsi="Times New Roman" w:eastAsia="Times New Roman"/>
          <w:sz w:val="24"/>
        </w:rPr>
        <w:t>Armed Forces Institute of Ophthalmology (AFIO) extension. The secondary archive contains paired optic-nerve-head OCT and color fundus images collected at AFIO [12]. Integrity checking found 50 metadata rows but one duplicate row, leaving 49 unique paired records from 26 patients. The consensus labels were 25 non-glaucoma, 16 glaucoma, and 8 uncertain. The entire 49-pair set was used. Because these are paired two-dimensional (2D) images with a diagnostic label, AFIO cannot validate the Tian 3D boundary task and is reported only as an exploratory small-sample extension.</w:t>
      </w:r>
    </w:p>
    <w:p>
      <w:pPr>
        <w:pStyle w:val="4"/>
      </w:pPr>
      <w:r>
        <w:rPr>
          <w:rFonts w:ascii="Times New Roman" w:hAnsi="Times New Roman" w:eastAsia="Times New Roman" w:cs="Times New Roman"/>
          <w:b w:val="1"/>
          <w:sz w:val="28"/>
          <w:szCs w:val="28"/>
          <w:bCs w:val="1"/>
          <w:i w:val="0"/>
          <w:iCs w:val="0"/>
        </w:rPr>
        <w:t>2.3 Preprocessing and compact boundary network</w:t>
      </w:r>
    </w:p>
    <w:p>
      <w:pPr>
        <w:keepNext w:val="0"/>
        <w:spacing w:after="120" w:line="276" w:lineRule="auto"/>
        <w:jc w:val="both"/>
      </w:pPr>
      <w:r>
        <w:rPr>
          <w:rFonts w:ascii="Times New Roman" w:hAnsi="Times New Roman" w:eastAsia="Times New Roman"/>
          <w:sz w:val="24"/>
        </w:rPr>
        <w:t>Each Tian B-scan was scaled to [0,1], resized to 128 × 256 pixels, and standardized independently by its mean and standard deviation. Boundary coordinates were normalized by native image height and linearly resampled to 256 axial-scan (A-scan) positions. BoundaryNet was a compact convolutional neural network (CNN) with three strided convolutional layers (16, 32, and 64 channels; Gaussian error linear unit [GELU] activations) followed by three transposed-convolution layers, consistent with compact biomedical encoder–decoder designs [13,14]. For slice i, boundary b, column x, output height H, and row index v ∈ {1, …, H}, the decoder produced heatmap logits Hᵢ,ᵦ,ₓ,ᵥ. Vertical softmax followed by normalized soft-argmax yielded the continuous boundary coordinate shown below. Global average pooling of the 64-channel encoder map produced the slice embedding. The resulting slice-wise CNN baseline is denoted SliceCNN; RetiESS-Seg uses the identical predictor and adds only the ESS-scaled derivative term described in Section 2.4. The architecture was trained from scratch so that the experiment measured the small-data protocol rather than access to a gated ophthalmic checkpoint.</w:t>
      </w:r>
    </w:p>
    <w:p>
      <w:pPr>
        <w:spacing w:before="80" w:after="40"/>
        <w:jc w:val="center"/>
        <w:rPr>
          <w:rFonts w:ascii="Cambria Math" w:hAnsi="Cambria Math" w:eastAsia="Cambria Math" w:cs="Cambria Math"/>
          <w:i w:val="0"/>
          <w:sz w:val="28"/>
          <w:szCs w:val="28"/>
        </w:rPr>
      </w:pPr>
      <m:oMathPara>
        <m:oMath>
          <m:sSub>
            <m:sSubPr>
              <m:ctrlPr>
                <w:rPr>
                  <w:rFonts w:ascii="Cambria Math" w:hAnsi="Cambria Math" w:eastAsia="Cambria Math" w:cs="Cambria Math"/>
                  <w:sz w:val="21"/>
                  <w:szCs w:val="21"/>
                </w:rPr>
              </m:ctrlPr>
            </m:sSubPr>
            <m:e>
              <m:acc>
                <m:accPr>
                  <m:chr m:val="̂"/>
                  <m:ctrlPr>
                    <w:rPr>
                      <w:rFonts w:ascii="Cambria Math" w:hAnsi="Cambria Math" w:eastAsia="Cambria Math" w:cs="Cambria Math"/>
                      <w:sz w:val="21"/>
                      <w:szCs w:val="21"/>
                    </w:rPr>
                  </m:ctrlPr>
                </m:accPr>
                <m:e>
                  <m:r>
                    <m:rPr/>
                    <w:rPr>
                      <w:rFonts w:ascii="Cambria Math" w:hAnsi="Cambria Math" w:eastAsia="Cambria Math" w:cs="Cambria Math"/>
                      <w:sz w:val="21"/>
                      <w:szCs w:val="21"/>
                    </w:rPr>
                    <m:t>y</m:t>
                  </m:r>
                </m:e>
              </m:acc>
            </m:e>
            <m:sub>
              <m:r>
                <m:rPr/>
                <w:rPr>
                  <w:rFonts w:ascii="Cambria Math" w:hAnsi="Cambria Math" w:eastAsia="Cambria Math" w:cs="Cambria Math"/>
                  <w:sz w:val="21"/>
                  <w:szCs w:val="21"/>
                </w:rPr>
                <m:t>i,b,x</m:t>
              </m:r>
            </m:sub>
          </m:sSub>
          <m:r>
            <m:rPr/>
            <w:rPr>
              <w:rFonts w:ascii="Cambria Math" w:hAnsi="Cambria Math" w:eastAsia="Cambria Math" w:cs="Cambria Math"/>
              <w:sz w:val="21"/>
              <w:szCs w:val="21"/>
            </w:rPr>
            <m:t>=</m:t>
          </m:r>
          <m:nary>
            <m:naryPr>
              <m:chr m:val="∑"/>
              <m:limLoc m:val="undOvr"/>
              <m:ctrlPr>
                <w:rPr>
                  <w:rFonts w:ascii="Cambria Math" w:hAnsi="Cambria Math" w:eastAsia="Cambria Math" w:cs="Cambria Math"/>
                  <w:sz w:val="21"/>
                  <w:szCs w:val="21"/>
                </w:rPr>
              </m:ctrlPr>
            </m:naryPr>
            <m:sub>
              <m:r>
                <m:rPr/>
                <w:rPr>
                  <w:rFonts w:ascii="Cambria Math" w:hAnsi="Cambria Math" w:eastAsia="Cambria Math" w:cs="Cambria Math"/>
                  <w:sz w:val="21"/>
                  <w:szCs w:val="21"/>
                </w:rPr>
                <m:t>v=1</m:t>
              </m:r>
            </m:sub>
            <m:sup>
              <m:r>
                <m:rPr/>
                <w:rPr>
                  <w:rFonts w:ascii="Cambria Math" w:hAnsi="Cambria Math" w:eastAsia="Cambria Math" w:cs="Cambria Math"/>
                  <w:sz w:val="21"/>
                  <w:szCs w:val="21"/>
                </w:rPr>
                <m:t>H</m:t>
              </m:r>
            </m:sup>
            <m:e>
              <m:f>
                <m:fPr>
                  <m:ctrlPr>
                    <w:rPr>
                      <w:rFonts w:ascii="Cambria Math" w:hAnsi="Cambria Math" w:eastAsia="Cambria Math" w:cs="Cambria Math"/>
                      <w:sz w:val="21"/>
                      <w:szCs w:val="21"/>
                    </w:rPr>
                  </m:ctrlPr>
                </m:fPr>
                <m:num>
                  <m:r>
                    <m:rPr/>
                    <w:rPr>
                      <w:rFonts w:ascii="Cambria Math" w:hAnsi="Cambria Math" w:eastAsia="Cambria Math" w:cs="Cambria Math"/>
                      <w:sz w:val="21"/>
                      <w:szCs w:val="21"/>
                    </w:rPr>
                    <m:t>v−1</m:t>
                  </m:r>
                </m:num>
                <m:den>
                  <m:r>
                    <m:rPr/>
                    <w:rPr>
                      <w:rFonts w:ascii="Cambria Math" w:hAnsi="Cambria Math" w:eastAsia="Cambria Math" w:cs="Cambria Math"/>
                      <w:sz w:val="21"/>
                      <w:szCs w:val="21"/>
                    </w:rPr>
                    <m:t>H−1</m:t>
                  </m:r>
                </m:den>
              </m:f>
              <m:r>
                <m:rPr>
                  <m:sty m:val="p"/>
                </m:rPr>
                <w:rPr>
                  <w:rFonts w:ascii="Cambria Math" w:hAnsi="Cambria Math" w:eastAsia="Cambria Math" w:cs="Cambria Math"/>
                  <w:sz w:val="21"/>
                  <w:szCs w:val="21"/>
                </w:rPr>
                <m:t xml:space="preserve"> </m:t>
              </m:r>
              <m:sSub>
                <m:sSubPr>
                  <m:ctrlPr>
                    <w:rPr>
                      <w:rFonts w:ascii="Cambria Math" w:hAnsi="Cambria Math" w:eastAsia="Cambria Math" w:cs="Cambria Math"/>
                      <w:sz w:val="21"/>
                      <w:szCs w:val="21"/>
                    </w:rPr>
                  </m:ctrlPr>
                </m:sSubPr>
                <m:e>
                  <m:d>
                    <m:dPr>
                      <m:begChr m:val="["/>
                      <m:endChr m:val="]"/>
                      <m:grow m:val="1"/>
                      <m:ctrlPr>
                        <w:rPr>
                          <w:rFonts w:ascii="Cambria Math" w:hAnsi="Cambria Math" w:eastAsia="Cambria Math" w:cs="Cambria Math"/>
                          <w:sz w:val="21"/>
                          <w:szCs w:val="21"/>
                        </w:rPr>
                      </m:ctrlPr>
                    </m:dPr>
                    <m:e>
                      <m:func>
                        <m:funcPr>
                          <m:ctrlPr>
                            <w:rPr>
                              <w:rFonts w:ascii="Cambria Math" w:hAnsi="Cambria Math" w:eastAsia="Cambria Math" w:cs="Cambria Math"/>
                              <w:sz w:val="21"/>
                              <w:szCs w:val="21"/>
                            </w:rPr>
                          </m:ctrlPr>
                        </m:funcPr>
                        <m:fName>
                          <m:r>
                            <m:rPr>
                              <m:sty m:val="p"/>
                            </m:rPr>
                            <w:rPr>
                              <w:rFonts w:ascii="Cambria Math" w:hAnsi="Cambria Math" w:eastAsia="Cambria Math" w:cs="Cambria Math"/>
                              <w:sz w:val="21"/>
                              <w:szCs w:val="21"/>
                            </w:rPr>
                            <m:t>softmax</m:t>
                          </m:r>
                        </m:fName>
                        <m:e>
                          <m:sSub>
                            <m:sSubPr>
                              <m:ctrlPr>
                                <w:rPr>
                                  <w:rFonts w:ascii="Cambria Math" w:hAnsi="Cambria Math" w:eastAsia="Cambria Math" w:cs="Cambria Math"/>
                                  <w:sz w:val="21"/>
                                  <w:szCs w:val="21"/>
                                </w:rPr>
                              </m:ctrlPr>
                            </m:sSubPr>
                            <m:e>
                              <m:r>
                                <m:rPr/>
                                <w:rPr>
                                  <w:rFonts w:ascii="Cambria Math" w:hAnsi="Cambria Math" w:eastAsia="Cambria Math" w:cs="Cambria Math"/>
                                  <w:sz w:val="21"/>
                                  <w:szCs w:val="21"/>
                                </w:rPr>
                                <m:t>H</m:t>
                              </m:r>
                            </m:e>
                            <m:sub>
                              <m:r>
                                <m:rPr/>
                                <w:rPr>
                                  <w:rFonts w:ascii="Cambria Math" w:hAnsi="Cambria Math" w:eastAsia="Cambria Math" w:cs="Cambria Math"/>
                                  <w:sz w:val="21"/>
                                  <w:szCs w:val="21"/>
                                </w:rPr>
                                <m:t>i,b,x</m:t>
                              </m:r>
                            </m:sub>
                          </m:sSub>
                        </m:e>
                      </m:func>
                    </m:e>
                  </m:d>
                </m:e>
                <m:sub>
                  <m:r>
                    <m:rPr/>
                    <w:rPr>
                      <w:rFonts w:ascii="Cambria Math" w:hAnsi="Cambria Math" w:eastAsia="Cambria Math" w:cs="Cambria Math"/>
                      <w:sz w:val="21"/>
                      <w:szCs w:val="21"/>
                    </w:rPr>
                    <m:t>v</m:t>
                  </m:r>
                </m:sub>
              </m:sSub>
            </m:e>
          </m:nary>
        </m:oMath>
      </m:oMathPara>
    </w:p>
    <w:p>
      <w:pPr>
        <w:keepNext w:val="0"/>
        <w:spacing w:after="120" w:line="276" w:lineRule="auto"/>
        <w:jc w:val="both"/>
      </w:pPr>
      <w:r>
        <w:rPr>
          <w:rFonts w:ascii="Times New Roman" w:hAnsi="Times New Roman" w:eastAsia="Times New Roman"/>
          <w:sz w:val="24"/>
        </w:rPr>
        <w:t>The segmentation objective combined smooth L1 (SmoothL1) boundary error with a non-crossing penalty. Because the ordered manual surfaces run from inner to outer retina, a rectified linear unit (ReLU) penalty was applied when boundary b exceeded boundary b + 1 by more than a normalized margin of 0.002. The penalty weight was 0.25.</w:t>
      </w:r>
    </w:p>
    <w:p>
      <w:pPr>
        <w:pStyle w:val="4"/>
      </w:pPr>
      <w:r>
        <w:rPr>
          <w:rFonts w:ascii="Times New Roman" w:hAnsi="Times New Roman" w:eastAsia="Times New Roman" w:cs="Times New Roman"/>
          <w:b w:val="1"/>
          <w:sz w:val="28"/>
          <w:szCs w:val="28"/>
          <w:bCs w:val="1"/>
          <w:i w:val="0"/>
          <w:iCs w:val="0"/>
        </w:rPr>
        <w:t>2.4 Correlation-aware effective sample size</w:t>
      </w:r>
    </w:p>
    <w:p>
      <w:pPr>
        <w:keepNext w:val="0"/>
        <w:spacing w:after="120" w:line="276" w:lineRule="auto"/>
        <w:jc w:val="both"/>
      </w:pPr>
      <w:r>
        <w:rPr>
          <w:rFonts w:ascii="Times New Roman" w:hAnsi="Times New Roman" w:eastAsia="Times New Roman"/>
          <w:sz w:val="24"/>
        </w:rPr>
        <w:t>For a volume with m B-scans, let zᵢ be an ℓ2-normalized appearance representation and tᵢ the slice position normalized to [0,1]. RetiESS forms positive semidefinite radial basis function (RBF) kernels for position and appearance and mixes them equally. In the training regularizer, zᵢ is the encoder embedding; in the perturbation audit, zᵢ is a fixed label-free 8 × 8 average-pooled appearance descriptor so that no training outcome can determine the audit statistic. Position and feature bandwidths were 0.20 and 0.60.</w:t>
      </w:r>
    </w:p>
    <w:p>
      <w:pPr>
        <w:spacing w:before="80" w:after="40"/>
        <w:jc w:val="center"/>
        <w:rPr>
          <w:rFonts w:ascii="Cambria Math" w:hAnsi="Cambria Math" w:eastAsia="Cambria Math" w:cs="Cambria Math"/>
          <w:i w:val="0"/>
          <w:sz w:val="28"/>
          <w:szCs w:val="28"/>
        </w:rPr>
      </w:pPr>
      <m:oMathPara>
        <m:oMath>
          <m:sSub>
            <m:sSubPr>
              <m:ctrlPr>
                <w:rPr>
                  <w:rFonts w:ascii="Cambria Math" w:hAnsi="Cambria Math" w:eastAsia="Cambria Math" w:cs="Cambria Math"/>
                  <w:sz w:val="21"/>
                  <w:szCs w:val="21"/>
                </w:rPr>
              </m:ctrlPr>
            </m:sSubPr>
            <m:e>
              <m:r>
                <m:rPr/>
                <w:rPr>
                  <w:rFonts w:ascii="Cambria Math" w:hAnsi="Cambria Math" w:eastAsia="Cambria Math" w:cs="Cambria Math"/>
                  <w:sz w:val="21"/>
                  <w:szCs w:val="21"/>
                </w:rPr>
                <m:t>R</m:t>
              </m:r>
            </m:e>
            <m:sub>
              <m:r>
                <m:rPr/>
                <w:rPr>
                  <w:rFonts w:ascii="Cambria Math" w:hAnsi="Cambria Math" w:eastAsia="Cambria Math" w:cs="Cambria Math"/>
                  <w:sz w:val="21"/>
                  <w:szCs w:val="21"/>
                </w:rPr>
                <m:t>ij</m:t>
              </m:r>
            </m:sub>
          </m:sSub>
          <m:r>
            <m:rPr/>
            <w:rPr>
              <w:rFonts w:ascii="Cambria Math" w:hAnsi="Cambria Math" w:eastAsia="Cambria Math" w:cs="Cambria Math"/>
              <w:sz w:val="21"/>
              <w:szCs w:val="21"/>
            </w:rPr>
            <m:t>=</m:t>
          </m:r>
          <m:f>
            <m:fPr>
              <m:ctrlPr>
                <w:rPr>
                  <w:rFonts w:ascii="Cambria Math" w:hAnsi="Cambria Math" w:eastAsia="Cambria Math" w:cs="Cambria Math"/>
                  <w:sz w:val="21"/>
                  <w:szCs w:val="21"/>
                </w:rPr>
              </m:ctrlPr>
            </m:fPr>
            <m:num>
              <m:r>
                <m:rPr/>
                <w:rPr>
                  <w:rFonts w:ascii="Cambria Math" w:hAnsi="Cambria Math" w:eastAsia="Cambria Math" w:cs="Cambria Math"/>
                  <w:sz w:val="21"/>
                  <w:szCs w:val="21"/>
                </w:rPr>
                <m:t>1</m:t>
              </m:r>
            </m:num>
            <m:den>
              <m:r>
                <m:rPr/>
                <w:rPr>
                  <w:rFonts w:ascii="Cambria Math" w:hAnsi="Cambria Math" w:eastAsia="Cambria Math" w:cs="Cambria Math"/>
                  <w:sz w:val="21"/>
                  <w:szCs w:val="21"/>
                </w:rPr>
                <m:t>2</m:t>
              </m:r>
            </m:den>
          </m:f>
          <m:r>
            <m:rPr>
              <m:sty m:val="p"/>
            </m:rPr>
            <w:rPr>
              <w:rFonts w:ascii="Cambria Math" w:hAnsi="Cambria Math" w:eastAsia="Cambria Math" w:cs="Cambria Math"/>
              <w:sz w:val="21"/>
              <w:szCs w:val="21"/>
            </w:rPr>
            <m:t xml:space="preserve"> </m:t>
          </m:r>
          <m:func>
            <m:funcPr>
              <m:ctrlPr>
                <w:rPr>
                  <w:rFonts w:ascii="Cambria Math" w:hAnsi="Cambria Math" w:eastAsia="Cambria Math" w:cs="Cambria Math"/>
                  <w:sz w:val="21"/>
                  <w:szCs w:val="21"/>
                </w:rPr>
              </m:ctrlPr>
            </m:funcPr>
            <m:fName>
              <m:r>
                <m:rPr>
                  <m:sty m:val="p"/>
                </m:rPr>
                <w:rPr>
                  <w:rFonts w:ascii="Cambria Math" w:hAnsi="Cambria Math" w:eastAsia="Cambria Math" w:cs="Cambria Math"/>
                  <w:sz w:val="21"/>
                  <w:szCs w:val="21"/>
                </w:rPr>
                <m:t>exp</m:t>
              </m:r>
            </m:fName>
            <m:e>
              <m:d>
                <m:dPr>
                  <m:begChr m:val="("/>
                  <m:endChr m:val=")"/>
                  <m:grow m:val="1"/>
                  <m:ctrlPr>
                    <w:rPr>
                      <w:rFonts w:ascii="Cambria Math" w:hAnsi="Cambria Math" w:eastAsia="Cambria Math" w:cs="Cambria Math"/>
                      <w:sz w:val="21"/>
                      <w:szCs w:val="21"/>
                    </w:rPr>
                  </m:ctrlPr>
                </m:dPr>
                <m:e>
                  <m:r>
                    <m:rPr/>
                    <w:rPr>
                      <w:rFonts w:ascii="Cambria Math" w:hAnsi="Cambria Math" w:eastAsia="Cambria Math" w:cs="Cambria Math"/>
                      <w:sz w:val="21"/>
                      <w:szCs w:val="21"/>
                    </w:rPr>
                    <m:t>−</m:t>
                  </m:r>
                  <m:f>
                    <m:fPr>
                      <m:ctrlPr>
                        <w:rPr>
                          <w:rFonts w:ascii="Cambria Math" w:hAnsi="Cambria Math" w:eastAsia="Cambria Math" w:cs="Cambria Math"/>
                          <w:sz w:val="21"/>
                          <w:szCs w:val="21"/>
                        </w:rPr>
                      </m:ctrlPr>
                    </m:fPr>
                    <m:num>
                      <m:sSup>
                        <m:sSupPr>
                          <m:ctrlPr>
                            <w:rPr>
                              <w:rFonts w:ascii="Cambria Math" w:hAnsi="Cambria Math" w:eastAsia="Cambria Math" w:cs="Cambria Math"/>
                              <w:sz w:val="21"/>
                              <w:szCs w:val="21"/>
                            </w:rPr>
                          </m:ctrlPr>
                        </m:sSupPr>
                        <m:e>
                          <m:d>
                            <m:dPr>
                              <m:begChr m:val="("/>
                              <m:endChr m:val=")"/>
                              <m:grow m:val="1"/>
                              <m:ctrlPr>
                                <w:rPr>
                                  <w:rFonts w:ascii="Cambria Math" w:hAnsi="Cambria Math" w:eastAsia="Cambria Math" w:cs="Cambria Math"/>
                                  <w:sz w:val="21"/>
                                  <w:szCs w:val="21"/>
                                </w:rPr>
                              </m:ctrlPr>
                            </m:dPr>
                            <m:e>
                              <m:sSub>
                                <m:sSubPr>
                                  <m:ctrlPr>
                                    <w:rPr>
                                      <w:rFonts w:ascii="Cambria Math" w:hAnsi="Cambria Math" w:eastAsia="Cambria Math" w:cs="Cambria Math"/>
                                      <w:sz w:val="21"/>
                                      <w:szCs w:val="21"/>
                                    </w:rPr>
                                  </m:ctrlPr>
                                </m:sSubPr>
                                <m:e>
                                  <m:r>
                                    <m:rPr/>
                                    <w:rPr>
                                      <w:rFonts w:ascii="Cambria Math" w:hAnsi="Cambria Math" w:eastAsia="Cambria Math" w:cs="Cambria Math"/>
                                      <w:sz w:val="21"/>
                                      <w:szCs w:val="21"/>
                                    </w:rPr>
                                    <m:t>t</m:t>
                                  </m:r>
                                </m:e>
                                <m:sub>
                                  <m:r>
                                    <m:rPr/>
                                    <w:rPr>
                                      <w:rFonts w:ascii="Cambria Math" w:hAnsi="Cambria Math" w:eastAsia="Cambria Math" w:cs="Cambria Math"/>
                                      <w:sz w:val="21"/>
                                      <w:szCs w:val="21"/>
                                    </w:rPr>
                                    <m:t>i</m:t>
                                  </m:r>
                                </m:sub>
                              </m:sSub>
                              <m:r>
                                <m:rPr/>
                                <w:rPr>
                                  <w:rFonts w:ascii="Cambria Math" w:hAnsi="Cambria Math" w:eastAsia="Cambria Math" w:cs="Cambria Math"/>
                                  <w:sz w:val="21"/>
                                  <w:szCs w:val="21"/>
                                </w:rPr>
                                <m:t>−</m:t>
                              </m:r>
                              <m:sSub>
                                <m:sSubPr>
                                  <m:ctrlPr>
                                    <w:rPr>
                                      <w:rFonts w:ascii="Cambria Math" w:hAnsi="Cambria Math" w:eastAsia="Cambria Math" w:cs="Cambria Math"/>
                                      <w:sz w:val="21"/>
                                      <w:szCs w:val="21"/>
                                    </w:rPr>
                                  </m:ctrlPr>
                                </m:sSubPr>
                                <m:e>
                                  <m:r>
                                    <m:rPr/>
                                    <w:rPr>
                                      <w:rFonts w:ascii="Cambria Math" w:hAnsi="Cambria Math" w:eastAsia="Cambria Math" w:cs="Cambria Math"/>
                                      <w:sz w:val="21"/>
                                      <w:szCs w:val="21"/>
                                    </w:rPr>
                                    <m:t>t</m:t>
                                  </m:r>
                                </m:e>
                                <m:sub>
                                  <m:r>
                                    <m:rPr/>
                                    <w:rPr>
                                      <w:rFonts w:ascii="Cambria Math" w:hAnsi="Cambria Math" w:eastAsia="Cambria Math" w:cs="Cambria Math"/>
                                      <w:sz w:val="21"/>
                                      <w:szCs w:val="21"/>
                                    </w:rPr>
                                    <m:t>j</m:t>
                                  </m:r>
                                </m:sub>
                              </m:sSub>
                            </m:e>
                          </m:d>
                        </m:e>
                        <m:sup>
                          <m:r>
                            <m:rPr/>
                            <w:rPr>
                              <w:rFonts w:ascii="Cambria Math" w:hAnsi="Cambria Math" w:eastAsia="Cambria Math" w:cs="Cambria Math"/>
                              <w:sz w:val="21"/>
                              <w:szCs w:val="21"/>
                            </w:rPr>
                            <m:t>2</m:t>
                          </m:r>
                        </m:sup>
                      </m:sSup>
                    </m:num>
                    <m:den>
                      <m:r>
                        <m:rPr/>
                        <w:rPr>
                          <w:rFonts w:ascii="Cambria Math" w:hAnsi="Cambria Math" w:eastAsia="Cambria Math" w:cs="Cambria Math"/>
                          <w:sz w:val="21"/>
                          <w:szCs w:val="21"/>
                        </w:rPr>
                        <m:t>2</m:t>
                      </m:r>
                      <m:r>
                        <m:rPr>
                          <m:sty m:val="p"/>
                        </m:rPr>
                        <w:rPr>
                          <w:rFonts w:ascii="Cambria Math" w:hAnsi="Cambria Math" w:eastAsia="Cambria Math" w:cs="Cambria Math"/>
                          <w:sz w:val="21"/>
                          <w:szCs w:val="21"/>
                        </w:rPr>
                        <m:t xml:space="preserve"> </m:t>
                      </m:r>
                      <m:sSubSup>
                        <m:sSubSupPr>
                          <m:ctrlPr>
                            <w:rPr>
                              <w:rFonts w:ascii="Cambria Math" w:hAnsi="Cambria Math" w:eastAsia="Cambria Math" w:cs="Cambria Math"/>
                              <w:sz w:val="21"/>
                              <w:szCs w:val="21"/>
                            </w:rPr>
                          </m:ctrlPr>
                        </m:sSubSupPr>
                        <m:e>
                          <m:r>
                            <m:rPr/>
                            <w:rPr>
                              <w:rFonts w:ascii="Cambria Math" w:hAnsi="Cambria Math" w:eastAsia="Cambria Math" w:cs="Cambria Math"/>
                              <w:sz w:val="21"/>
                              <w:szCs w:val="21"/>
                            </w:rPr>
                            <m:t>σ</m:t>
                          </m:r>
                        </m:e>
                        <m:sub>
                          <m:r>
                            <m:rPr/>
                            <w:rPr>
                              <w:rFonts w:ascii="Cambria Math" w:hAnsi="Cambria Math" w:eastAsia="Cambria Math" w:cs="Cambria Math"/>
                              <w:sz w:val="21"/>
                              <w:szCs w:val="21"/>
                            </w:rPr>
                            <m:t>t</m:t>
                          </m:r>
                        </m:sub>
                        <m:sup>
                          <m:r>
                            <m:rPr/>
                            <w:rPr>
                              <w:rFonts w:ascii="Cambria Math" w:hAnsi="Cambria Math" w:eastAsia="Cambria Math" w:cs="Cambria Math"/>
                              <w:sz w:val="21"/>
                              <w:szCs w:val="21"/>
                            </w:rPr>
                            <m:t>2</m:t>
                          </m:r>
                        </m:sup>
                      </m:sSubSup>
                    </m:den>
                  </m:f>
                </m:e>
              </m:d>
            </m:e>
          </m:func>
          <m:r>
            <m:rPr/>
            <w:rPr>
              <w:rFonts w:ascii="Cambria Math" w:hAnsi="Cambria Math" w:eastAsia="Cambria Math" w:cs="Cambria Math"/>
              <w:sz w:val="21"/>
              <w:szCs w:val="21"/>
            </w:rPr>
            <m:t>+</m:t>
          </m:r>
          <m:f>
            <m:fPr>
              <m:ctrlPr>
                <w:rPr>
                  <w:rFonts w:ascii="Cambria Math" w:hAnsi="Cambria Math" w:eastAsia="Cambria Math" w:cs="Cambria Math"/>
                  <w:sz w:val="21"/>
                  <w:szCs w:val="21"/>
                </w:rPr>
              </m:ctrlPr>
            </m:fPr>
            <m:num>
              <m:r>
                <m:rPr/>
                <w:rPr>
                  <w:rFonts w:ascii="Cambria Math" w:hAnsi="Cambria Math" w:eastAsia="Cambria Math" w:cs="Cambria Math"/>
                  <w:sz w:val="21"/>
                  <w:szCs w:val="21"/>
                </w:rPr>
                <m:t>1</m:t>
              </m:r>
            </m:num>
            <m:den>
              <m:r>
                <m:rPr/>
                <w:rPr>
                  <w:rFonts w:ascii="Cambria Math" w:hAnsi="Cambria Math" w:eastAsia="Cambria Math" w:cs="Cambria Math"/>
                  <w:sz w:val="21"/>
                  <w:szCs w:val="21"/>
                </w:rPr>
                <m:t>2</m:t>
              </m:r>
            </m:den>
          </m:f>
          <m:r>
            <m:rPr>
              <m:sty m:val="p"/>
            </m:rPr>
            <w:rPr>
              <w:rFonts w:ascii="Cambria Math" w:hAnsi="Cambria Math" w:eastAsia="Cambria Math" w:cs="Cambria Math"/>
              <w:sz w:val="21"/>
              <w:szCs w:val="21"/>
            </w:rPr>
            <m:t xml:space="preserve"> </m:t>
          </m:r>
          <m:func>
            <m:funcPr>
              <m:ctrlPr>
                <w:rPr>
                  <w:rFonts w:ascii="Cambria Math" w:hAnsi="Cambria Math" w:eastAsia="Cambria Math" w:cs="Cambria Math"/>
                  <w:sz w:val="21"/>
                  <w:szCs w:val="21"/>
                </w:rPr>
              </m:ctrlPr>
            </m:funcPr>
            <m:fName>
              <m:r>
                <m:rPr>
                  <m:sty m:val="p"/>
                </m:rPr>
                <w:rPr>
                  <w:rFonts w:ascii="Cambria Math" w:hAnsi="Cambria Math" w:eastAsia="Cambria Math" w:cs="Cambria Math"/>
                  <w:sz w:val="21"/>
                  <w:szCs w:val="21"/>
                </w:rPr>
                <m:t>exp</m:t>
              </m:r>
            </m:fName>
            <m:e>
              <m:d>
                <m:dPr>
                  <m:begChr m:val="("/>
                  <m:endChr m:val=")"/>
                  <m:grow m:val="1"/>
                  <m:ctrlPr>
                    <w:rPr>
                      <w:rFonts w:ascii="Cambria Math" w:hAnsi="Cambria Math" w:eastAsia="Cambria Math" w:cs="Cambria Math"/>
                      <w:sz w:val="21"/>
                      <w:szCs w:val="21"/>
                    </w:rPr>
                  </m:ctrlPr>
                </m:dPr>
                <m:e>
                  <m:r>
                    <m:rPr/>
                    <w:rPr>
                      <w:rFonts w:ascii="Cambria Math" w:hAnsi="Cambria Math" w:eastAsia="Cambria Math" w:cs="Cambria Math"/>
                      <w:sz w:val="21"/>
                      <w:szCs w:val="21"/>
                    </w:rPr>
                    <m:t>−</m:t>
                  </m:r>
                  <m:f>
                    <m:fPr>
                      <m:ctrlPr>
                        <w:rPr>
                          <w:rFonts w:ascii="Cambria Math" w:hAnsi="Cambria Math" w:eastAsia="Cambria Math" w:cs="Cambria Math"/>
                          <w:sz w:val="21"/>
                          <w:szCs w:val="21"/>
                        </w:rPr>
                      </m:ctrlPr>
                    </m:fPr>
                    <m:num>
                      <m:sSup>
                        <m:sSupPr>
                          <m:ctrlPr>
                            <w:rPr>
                              <w:rFonts w:ascii="Cambria Math" w:hAnsi="Cambria Math" w:eastAsia="Cambria Math" w:cs="Cambria Math"/>
                              <w:sz w:val="21"/>
                              <w:szCs w:val="21"/>
                            </w:rPr>
                          </m:ctrlPr>
                        </m:sSupPr>
                        <m:e>
                          <m:sSub>
                            <m:sSubPr>
                              <m:ctrlPr>
                                <w:rPr>
                                  <w:rFonts w:ascii="Cambria Math" w:hAnsi="Cambria Math" w:eastAsia="Cambria Math" w:cs="Cambria Math"/>
                                  <w:sz w:val="21"/>
                                  <w:szCs w:val="21"/>
                                </w:rPr>
                              </m:ctrlPr>
                            </m:sSubPr>
                            <m:e>
                              <m:d>
                                <m:dPr>
                                  <m:begChr m:val="‖"/>
                                  <m:endChr m:val="‖"/>
                                  <m:grow m:val="1"/>
                                  <m:ctrlPr>
                                    <w:rPr>
                                      <w:rFonts w:ascii="Cambria Math" w:hAnsi="Cambria Math" w:eastAsia="Cambria Math" w:cs="Cambria Math"/>
                                      <w:sz w:val="21"/>
                                      <w:szCs w:val="21"/>
                                    </w:rPr>
                                  </m:ctrlPr>
                                </m:dPr>
                                <m:e>
                                  <m:sSub>
                                    <m:sSubPr>
                                      <m:ctrlPr>
                                        <w:rPr>
                                          <w:rFonts w:ascii="Cambria Math" w:hAnsi="Cambria Math" w:eastAsia="Cambria Math" w:cs="Cambria Math"/>
                                          <w:sz w:val="21"/>
                                          <w:szCs w:val="21"/>
                                        </w:rPr>
                                      </m:ctrlPr>
                                    </m:sSubPr>
                                    <m:e>
                                      <m:r>
                                        <m:rPr/>
                                        <w:rPr>
                                          <w:rFonts w:ascii="Cambria Math" w:hAnsi="Cambria Math" w:eastAsia="Cambria Math" w:cs="Cambria Math"/>
                                          <w:sz w:val="21"/>
                                          <w:szCs w:val="21"/>
                                        </w:rPr>
                                        <m:t>z</m:t>
                                      </m:r>
                                    </m:e>
                                    <m:sub>
                                      <m:r>
                                        <m:rPr/>
                                        <w:rPr>
                                          <w:rFonts w:ascii="Cambria Math" w:hAnsi="Cambria Math" w:eastAsia="Cambria Math" w:cs="Cambria Math"/>
                                          <w:sz w:val="21"/>
                                          <w:szCs w:val="21"/>
                                        </w:rPr>
                                        <m:t>i</m:t>
                                      </m:r>
                                    </m:sub>
                                  </m:sSub>
                                  <m:r>
                                    <m:rPr/>
                                    <w:rPr>
                                      <w:rFonts w:ascii="Cambria Math" w:hAnsi="Cambria Math" w:eastAsia="Cambria Math" w:cs="Cambria Math"/>
                                      <w:sz w:val="21"/>
                                      <w:szCs w:val="21"/>
                                    </w:rPr>
                                    <m:t>−</m:t>
                                  </m:r>
                                  <m:sSub>
                                    <m:sSubPr>
                                      <m:ctrlPr>
                                        <w:rPr>
                                          <w:rFonts w:ascii="Cambria Math" w:hAnsi="Cambria Math" w:eastAsia="Cambria Math" w:cs="Cambria Math"/>
                                          <w:sz w:val="21"/>
                                          <w:szCs w:val="21"/>
                                        </w:rPr>
                                      </m:ctrlPr>
                                    </m:sSubPr>
                                    <m:e>
                                      <m:r>
                                        <m:rPr/>
                                        <w:rPr>
                                          <w:rFonts w:ascii="Cambria Math" w:hAnsi="Cambria Math" w:eastAsia="Cambria Math" w:cs="Cambria Math"/>
                                          <w:sz w:val="21"/>
                                          <w:szCs w:val="21"/>
                                        </w:rPr>
                                        <m:t>z</m:t>
                                      </m:r>
                                    </m:e>
                                    <m:sub>
                                      <m:r>
                                        <m:rPr/>
                                        <w:rPr>
                                          <w:rFonts w:ascii="Cambria Math" w:hAnsi="Cambria Math" w:eastAsia="Cambria Math" w:cs="Cambria Math"/>
                                          <w:sz w:val="21"/>
                                          <w:szCs w:val="21"/>
                                        </w:rPr>
                                        <m:t>j</m:t>
                                      </m:r>
                                    </m:sub>
                                  </m:sSub>
                                </m:e>
                              </m:d>
                            </m:e>
                            <m:sub>
                              <m:r>
                                <m:rPr/>
                                <w:rPr>
                                  <w:rFonts w:ascii="Cambria Math" w:hAnsi="Cambria Math" w:eastAsia="Cambria Math" w:cs="Cambria Math"/>
                                  <w:sz w:val="21"/>
                                  <w:szCs w:val="21"/>
                                </w:rPr>
                                <m:t>2</m:t>
                              </m:r>
                            </m:sub>
                          </m:sSub>
                        </m:e>
                        <m:sup>
                          <m:r>
                            <m:rPr/>
                            <w:rPr>
                              <w:rFonts w:ascii="Cambria Math" w:hAnsi="Cambria Math" w:eastAsia="Cambria Math" w:cs="Cambria Math"/>
                              <w:sz w:val="21"/>
                              <w:szCs w:val="21"/>
                            </w:rPr>
                            <m:t>2</m:t>
                          </m:r>
                        </m:sup>
                      </m:sSup>
                    </m:num>
                    <m:den>
                      <m:r>
                        <m:rPr/>
                        <w:rPr>
                          <w:rFonts w:ascii="Cambria Math" w:hAnsi="Cambria Math" w:eastAsia="Cambria Math" w:cs="Cambria Math"/>
                          <w:sz w:val="21"/>
                          <w:szCs w:val="21"/>
                        </w:rPr>
                        <m:t>2</m:t>
                      </m:r>
                      <m:r>
                        <m:rPr>
                          <m:sty m:val="p"/>
                        </m:rPr>
                        <w:rPr>
                          <w:rFonts w:ascii="Cambria Math" w:hAnsi="Cambria Math" w:eastAsia="Cambria Math" w:cs="Cambria Math"/>
                          <w:sz w:val="21"/>
                          <w:szCs w:val="21"/>
                        </w:rPr>
                        <m:t xml:space="preserve"> </m:t>
                      </m:r>
                      <m:sSubSup>
                        <m:sSubSupPr>
                          <m:ctrlPr>
                            <w:rPr>
                              <w:rFonts w:ascii="Cambria Math" w:hAnsi="Cambria Math" w:eastAsia="Cambria Math" w:cs="Cambria Math"/>
                              <w:sz w:val="21"/>
                              <w:szCs w:val="21"/>
                            </w:rPr>
                          </m:ctrlPr>
                        </m:sSubSupPr>
                        <m:e>
                          <m:r>
                            <m:rPr/>
                            <w:rPr>
                              <w:rFonts w:ascii="Cambria Math" w:hAnsi="Cambria Math" w:eastAsia="Cambria Math" w:cs="Cambria Math"/>
                              <w:sz w:val="21"/>
                              <w:szCs w:val="21"/>
                            </w:rPr>
                            <m:t>σ</m:t>
                          </m:r>
                        </m:e>
                        <m:sub>
                          <m:r>
                            <m:rPr/>
                            <w:rPr>
                              <w:rFonts w:ascii="Cambria Math" w:hAnsi="Cambria Math" w:eastAsia="Cambria Math" w:cs="Cambria Math"/>
                              <w:sz w:val="21"/>
                              <w:szCs w:val="21"/>
                            </w:rPr>
                            <m:t>z</m:t>
                          </m:r>
                        </m:sub>
                        <m:sup>
                          <m:r>
                            <m:rPr/>
                            <w:rPr>
                              <w:rFonts w:ascii="Cambria Math" w:hAnsi="Cambria Math" w:eastAsia="Cambria Math" w:cs="Cambria Math"/>
                              <w:sz w:val="21"/>
                              <w:szCs w:val="21"/>
                            </w:rPr>
                            <m:t>2</m:t>
                          </m:r>
                        </m:sup>
                      </m:sSubSup>
                    </m:den>
                  </m:f>
                </m:e>
              </m:d>
            </m:e>
          </m:func>
        </m:oMath>
      </m:oMathPara>
    </w:p>
    <w:p>
      <w:pPr>
        <w:keepNext w:val="0"/>
        <w:spacing w:after="120" w:line="276" w:lineRule="auto"/>
        <w:jc w:val="both"/>
      </w:pPr>
      <w:r>
        <w:rPr>
          <w:rFonts w:ascii="Times New Roman" w:hAnsi="Times New Roman" w:eastAsia="Times New Roman"/>
          <w:sz w:val="24"/>
        </w:rPr>
        <w:t>With zero slice scores, entropy-regularized fixed-point updates distribute a nonnegative, unit-sum slice-weight vector w over the probability simplex while penalizing repeated support. The resulting effective size is the inverse repeated-evidence quadratic form. Highly similar slices receiving joint weight yield an effective size near one; decorrelated support can increase it toward the raw slice count. Forming the correlation matrix costs O(m²d) for descriptor dimension d, and each of T fixed-point iterations costs O(m²); with m = 10, this overhead is negligible relative to CNN inference.</w:t>
      </w:r>
    </w:p>
    <w:p>
      <w:pPr>
        <w:spacing w:before="80" w:after="40"/>
        <w:jc w:val="center"/>
        <w:rPr>
          <w:rFonts w:ascii="Cambria Math" w:hAnsi="Cambria Math" w:eastAsia="Cambria Math" w:cs="Cambria Math"/>
          <w:i w:val="0"/>
          <w:sz w:val="28"/>
          <w:szCs w:val="28"/>
        </w:rPr>
      </w:pPr>
      <m:oMathPara>
        <m:oMath>
          <m:sSub>
            <m:sSubPr>
              <m:ctrlPr>
                <w:rPr>
                  <w:rFonts w:ascii="Cambria Math" w:hAnsi="Cambria Math" w:eastAsia="Cambria Math" w:cs="Cambria Math"/>
                  <w:sz w:val="21"/>
                  <w:szCs w:val="21"/>
                </w:rPr>
              </m:ctrlPr>
            </m:sSubPr>
            <m:e>
              <m:r>
                <m:rPr/>
                <w:rPr>
                  <w:rFonts w:ascii="Cambria Math" w:hAnsi="Cambria Math" w:eastAsia="Cambria Math" w:cs="Cambria Math"/>
                  <w:sz w:val="21"/>
                  <w:szCs w:val="21"/>
                </w:rPr>
                <m:t>n</m:t>
              </m:r>
            </m:e>
            <m:sub>
              <m:r>
                <m:rPr>
                  <m:sty m:val="p"/>
                </m:rPr>
                <w:rPr>
                  <w:rFonts w:ascii="Cambria Math" w:hAnsi="Cambria Math" w:eastAsia="Cambria Math" w:cs="Cambria Math"/>
                  <w:sz w:val="21"/>
                  <w:szCs w:val="21"/>
                </w:rPr>
                <m:t>eff</m:t>
              </m:r>
            </m:sub>
          </m:sSub>
          <m:r>
            <m:rPr/>
            <w:rPr>
              <w:rFonts w:ascii="Cambria Math" w:hAnsi="Cambria Math" w:eastAsia="Cambria Math" w:cs="Cambria Math"/>
              <w:sz w:val="21"/>
              <w:szCs w:val="21"/>
            </w:rPr>
            <m:t>=</m:t>
          </m:r>
          <m:sSup>
            <m:sSupPr>
              <m:ctrlPr>
                <w:rPr>
                  <w:rFonts w:ascii="Cambria Math" w:hAnsi="Cambria Math" w:eastAsia="Cambria Math" w:cs="Cambria Math"/>
                  <w:sz w:val="21"/>
                  <w:szCs w:val="21"/>
                </w:rPr>
              </m:ctrlPr>
            </m:sSupPr>
            <m:e>
              <m:d>
                <m:dPr>
                  <m:begChr m:val="("/>
                  <m:endChr m:val=")"/>
                  <m:grow m:val="1"/>
                  <m:ctrlPr>
                    <w:rPr>
                      <w:rFonts w:ascii="Cambria Math" w:hAnsi="Cambria Math" w:eastAsia="Cambria Math" w:cs="Cambria Math"/>
                      <w:sz w:val="21"/>
                      <w:szCs w:val="21"/>
                    </w:rPr>
                  </m:ctrlPr>
                </m:dPr>
                <m:e>
                  <m:sSup>
                    <m:sSupPr>
                      <m:ctrlPr>
                        <w:rPr>
                          <w:rFonts w:ascii="Cambria Math" w:hAnsi="Cambria Math" w:eastAsia="Cambria Math" w:cs="Cambria Math"/>
                          <w:sz w:val="21"/>
                          <w:szCs w:val="21"/>
                        </w:rPr>
                      </m:ctrlPr>
                    </m:sSupPr>
                    <m:e>
                      <m:r>
                        <m:rPr/>
                        <w:rPr>
                          <w:rFonts w:ascii="Cambria Math" w:hAnsi="Cambria Math" w:eastAsia="Cambria Math" w:cs="Cambria Math"/>
                          <w:sz w:val="21"/>
                          <w:szCs w:val="21"/>
                        </w:rPr>
                        <m:t>w</m:t>
                      </m:r>
                    </m:e>
                    <m:sup>
                      <m:r>
                        <m:rPr>
                          <m:sty m:val="p"/>
                        </m:rPr>
                        <w:rPr>
                          <w:rFonts w:ascii="Cambria Math" w:hAnsi="Cambria Math" w:eastAsia="Cambria Math" w:cs="Cambria Math"/>
                          <w:sz w:val="21"/>
                          <w:szCs w:val="21"/>
                        </w:rPr>
                        <m:t>⊤</m:t>
                      </m:r>
                    </m:sup>
                  </m:sSup>
                  <m:r>
                    <m:rPr>
                      <m:sty m:val="p"/>
                    </m:rPr>
                    <w:rPr>
                      <w:rFonts w:ascii="Cambria Math" w:hAnsi="Cambria Math" w:eastAsia="Cambria Math" w:cs="Cambria Math"/>
                      <w:sz w:val="21"/>
                      <w:szCs w:val="21"/>
                    </w:rPr>
                    <m:t xml:space="preserve"> </m:t>
                  </m:r>
                  <m:r>
                    <m:rPr/>
                    <w:rPr>
                      <w:rFonts w:ascii="Cambria Math" w:hAnsi="Cambria Math" w:eastAsia="Cambria Math" w:cs="Cambria Math"/>
                      <w:sz w:val="21"/>
                      <w:szCs w:val="21"/>
                    </w:rPr>
                    <m:t>R</m:t>
                  </m:r>
                  <m:r>
                    <m:rPr>
                      <m:sty m:val="p"/>
                    </m:rPr>
                    <w:rPr>
                      <w:rFonts w:ascii="Cambria Math" w:hAnsi="Cambria Math" w:eastAsia="Cambria Math" w:cs="Cambria Math"/>
                      <w:sz w:val="21"/>
                      <w:szCs w:val="21"/>
                    </w:rPr>
                    <m:t xml:space="preserve"> </m:t>
                  </m:r>
                  <m:r>
                    <m:rPr/>
                    <w:rPr>
                      <w:rFonts w:ascii="Cambria Math" w:hAnsi="Cambria Math" w:eastAsia="Cambria Math" w:cs="Cambria Math"/>
                      <w:sz w:val="21"/>
                      <w:szCs w:val="21"/>
                    </w:rPr>
                    <m:t>w</m:t>
                  </m:r>
                </m:e>
              </m:d>
            </m:e>
            <m:sup>
              <m:r>
                <m:rPr/>
                <w:rPr>
                  <w:rFonts w:ascii="Cambria Math" w:hAnsi="Cambria Math" w:eastAsia="Cambria Math" w:cs="Cambria Math"/>
                  <w:sz w:val="21"/>
                  <w:szCs w:val="21"/>
                </w:rPr>
                <m:t>−1</m:t>
              </m:r>
            </m:sup>
          </m:sSup>
          <m:r>
            <m:rPr>
              <m:sty m:val="p"/>
            </m:rPr>
            <w:rPr>
              <w:rFonts w:ascii="Cambria Math" w:hAnsi="Cambria Math" w:eastAsia="Cambria Math" w:cs="Cambria Math"/>
              <w:sz w:val="21"/>
              <w:szCs w:val="21"/>
            </w:rPr>
            <m:t>, </m:t>
          </m:r>
          <m:sSup>
            <m:sSupPr>
              <m:ctrlPr>
                <w:rPr>
                  <w:rFonts w:ascii="Cambria Math" w:hAnsi="Cambria Math" w:eastAsia="Cambria Math" w:cs="Cambria Math"/>
                  <w:sz w:val="21"/>
                  <w:szCs w:val="21"/>
                </w:rPr>
              </m:ctrlPr>
            </m:sSupPr>
            <m:e>
              <m:r>
                <m:rPr/>
                <w:rPr>
                  <w:rFonts w:ascii="Cambria Math" w:hAnsi="Cambria Math" w:eastAsia="Cambria Math" w:cs="Cambria Math"/>
                  <w:sz w:val="21"/>
                  <w:szCs w:val="21"/>
                </w:rPr>
                <m:t>1</m:t>
              </m:r>
            </m:e>
            <m:sup>
              <m:r>
                <m:rPr>
                  <m:sty m:val="p"/>
                </m:rPr>
                <w:rPr>
                  <w:rFonts w:ascii="Cambria Math" w:hAnsi="Cambria Math" w:eastAsia="Cambria Math" w:cs="Cambria Math"/>
                  <w:sz w:val="21"/>
                  <w:szCs w:val="21"/>
                </w:rPr>
                <m:t>⊤</m:t>
              </m:r>
            </m:sup>
          </m:sSup>
          <m:r>
            <m:rPr/>
            <w:rPr>
              <w:rFonts w:ascii="Cambria Math" w:hAnsi="Cambria Math" w:eastAsia="Cambria Math" w:cs="Cambria Math"/>
              <w:sz w:val="21"/>
              <w:szCs w:val="21"/>
            </w:rPr>
            <m:t>w=1</m:t>
          </m:r>
          <m:r>
            <m:rPr>
              <m:sty m:val="p"/>
            </m:rPr>
            <w:rPr>
              <w:rFonts w:ascii="Cambria Math" w:hAnsi="Cambria Math" w:eastAsia="Cambria Math" w:cs="Cambria Math"/>
              <w:sz w:val="21"/>
              <w:szCs w:val="21"/>
            </w:rPr>
            <m:t>, </m:t>
          </m:r>
          <m:r>
            <m:rPr/>
            <w:rPr>
              <w:rFonts w:ascii="Cambria Math" w:hAnsi="Cambria Math" w:eastAsia="Cambria Math" w:cs="Cambria Math"/>
              <w:sz w:val="21"/>
              <w:szCs w:val="21"/>
            </w:rPr>
            <m:t>w≥0</m:t>
          </m:r>
        </m:oMath>
      </m:oMathPara>
    </w:p>
    <w:p>
      <w:pPr>
        <w:keepNext w:val="0"/>
        <w:spacing w:after="80" w:line="240" w:lineRule="auto"/>
        <w:jc w:val="both"/>
      </w:pPr>
      <w:r>
        <w:rPr>
          <w:rFonts w:ascii="Times New Roman" w:hAnsi="Times New Roman" w:eastAsia="Times New Roman"/>
          <w:color w:val="17212B"/>
          <w:sz w:val="20"/>
        </w:rPr>
        <w:t>RetiESS-Seg adds a cross-slice derivative term: predicted changes between adjacent B-scans are matched to the corresponding manual changes. In the equation below, ℒΔ is the SmoothL1 loss between adjacent predicted and manual boundary differences, and sg(·) denotes the stop-gradient operator. The contribution is multiplied by the ESS-to-slice-count ratio. Thus a highly redundant volume cannot contribute the derivative term as if all m slices were independent. The boundary predictor itself remains the same network, which keeps a redundancy effect separate from an architectural accuracy claim. Figure 1 summarizes the data flow, training role, and claim boundary.</w:t>
      </w:r>
    </w:p>
    <w:p>
      <w:pPr>
        <w:spacing w:before="80" w:after="40"/>
        <w:jc w:val="center"/>
        <w:rPr>
          <w:rFonts w:ascii="Cambria Math" w:hAnsi="Cambria Math" w:eastAsia="Cambria Math" w:cs="Cambria Math"/>
          <w:i w:val="0"/>
          <w:sz w:val="28"/>
          <w:szCs w:val="28"/>
        </w:rPr>
      </w:pPr>
      <m:oMathPara>
        <m:oMath>
          <m:r>
            <m:rPr>
              <m:scr m:val="script"/>
            </m:rPr>
            <w:rPr>
              <w:rFonts w:ascii="Cambria Math" w:hAnsi="Cambria Math" w:eastAsia="Cambria Math" w:cs="Cambria Math"/>
              <w:sz w:val="21"/>
              <w:szCs w:val="21"/>
            </w:rPr>
            <m:t>ℒ</m:t>
          </m:r>
          <m:r>
            <m:rPr/>
            <w:rPr>
              <w:rFonts w:ascii="Cambria Math" w:hAnsi="Cambria Math" w:eastAsia="Cambria Math" w:cs="Cambria Math"/>
              <w:sz w:val="21"/>
              <w:szCs w:val="21"/>
            </w:rPr>
            <m:t>=</m:t>
          </m:r>
          <m:sSub>
            <m:sSubPr>
              <m:ctrlPr>
                <w:rPr>
                  <w:rFonts w:ascii="Cambria Math" w:hAnsi="Cambria Math" w:eastAsia="Cambria Math" w:cs="Cambria Math"/>
                  <w:sz w:val="21"/>
                  <w:szCs w:val="21"/>
                </w:rPr>
              </m:ctrlPr>
            </m:sSubPr>
            <m:e>
              <m:r>
                <m:rPr>
                  <m:scr m:val="script"/>
                </m:rPr>
                <w:rPr>
                  <w:rFonts w:ascii="Cambria Math" w:hAnsi="Cambria Math" w:eastAsia="Cambria Math" w:cs="Cambria Math"/>
                  <w:sz w:val="21"/>
                  <w:szCs w:val="21"/>
                </w:rPr>
                <m:t>ℒ</m:t>
              </m:r>
            </m:e>
            <m:sub>
              <m:r>
                <m:rPr>
                  <m:sty m:val="p"/>
                </m:rPr>
                <w:rPr>
                  <w:rFonts w:ascii="Cambria Math" w:hAnsi="Cambria Math" w:eastAsia="Cambria Math" w:cs="Cambria Math"/>
                  <w:sz w:val="21"/>
                  <w:szCs w:val="21"/>
                </w:rPr>
                <m:t>seg</m:t>
              </m:r>
            </m:sub>
          </m:sSub>
          <m:r>
            <m:rPr/>
            <w:rPr>
              <w:rFonts w:ascii="Cambria Math" w:hAnsi="Cambria Math" w:eastAsia="Cambria Math" w:cs="Cambria Math"/>
              <w:sz w:val="21"/>
              <w:szCs w:val="21"/>
            </w:rPr>
            <m:t>+0.35</m:t>
          </m:r>
          <m:r>
            <m:rPr>
              <m:sty m:val="p"/>
            </m:rPr>
            <w:rPr>
              <w:rFonts w:ascii="Cambria Math" w:hAnsi="Cambria Math" w:eastAsia="Cambria Math" w:cs="Cambria Math"/>
              <w:sz w:val="21"/>
              <w:szCs w:val="21"/>
            </w:rPr>
            <m:t xml:space="preserve"> </m:t>
          </m:r>
          <m:func>
            <m:funcPr>
              <m:ctrlPr>
                <w:rPr>
                  <w:rFonts w:ascii="Cambria Math" w:hAnsi="Cambria Math" w:eastAsia="Cambria Math" w:cs="Cambria Math"/>
                  <w:sz w:val="21"/>
                  <w:szCs w:val="21"/>
                </w:rPr>
              </m:ctrlPr>
            </m:funcPr>
            <m:fName>
              <m:r>
                <m:rPr>
                  <m:sty m:val="p"/>
                </m:rPr>
                <w:rPr>
                  <w:rFonts w:ascii="Cambria Math" w:hAnsi="Cambria Math" w:eastAsia="Cambria Math" w:cs="Cambria Math"/>
                  <w:sz w:val="21"/>
                  <w:szCs w:val="21"/>
                </w:rPr>
                <m:t>sg</m:t>
              </m:r>
            </m:fName>
            <m:e>
              <m:d>
                <m:dPr>
                  <m:begChr m:val="("/>
                  <m:endChr m:val=")"/>
                  <m:grow m:val="1"/>
                  <m:ctrlPr>
                    <w:rPr>
                      <w:rFonts w:ascii="Cambria Math" w:hAnsi="Cambria Math" w:eastAsia="Cambria Math" w:cs="Cambria Math"/>
                      <w:sz w:val="21"/>
                      <w:szCs w:val="21"/>
                    </w:rPr>
                  </m:ctrlPr>
                </m:dPr>
                <m:e>
                  <m:f>
                    <m:fPr>
                      <m:ctrlPr>
                        <w:rPr>
                          <w:rFonts w:ascii="Cambria Math" w:hAnsi="Cambria Math" w:eastAsia="Cambria Math" w:cs="Cambria Math"/>
                          <w:sz w:val="21"/>
                          <w:szCs w:val="21"/>
                        </w:rPr>
                      </m:ctrlPr>
                    </m:fPr>
                    <m:num>
                      <m:sSub>
                        <m:sSubPr>
                          <m:ctrlPr>
                            <w:rPr>
                              <w:rFonts w:ascii="Cambria Math" w:hAnsi="Cambria Math" w:eastAsia="Cambria Math" w:cs="Cambria Math"/>
                              <w:sz w:val="21"/>
                              <w:szCs w:val="21"/>
                            </w:rPr>
                          </m:ctrlPr>
                        </m:sSubPr>
                        <m:e>
                          <m:r>
                            <m:rPr/>
                            <w:rPr>
                              <w:rFonts w:ascii="Cambria Math" w:hAnsi="Cambria Math" w:eastAsia="Cambria Math" w:cs="Cambria Math"/>
                              <w:sz w:val="21"/>
                              <w:szCs w:val="21"/>
                            </w:rPr>
                            <m:t>n</m:t>
                          </m:r>
                        </m:e>
                        <m:sub>
                          <m:r>
                            <m:rPr>
                              <m:sty m:val="p"/>
                            </m:rPr>
                            <w:rPr>
                              <w:rFonts w:ascii="Cambria Math" w:hAnsi="Cambria Math" w:eastAsia="Cambria Math" w:cs="Cambria Math"/>
                              <w:sz w:val="21"/>
                              <w:szCs w:val="21"/>
                            </w:rPr>
                            <m:t>eff</m:t>
                          </m:r>
                        </m:sub>
                      </m:sSub>
                    </m:num>
                    <m:den>
                      <m:r>
                        <m:rPr/>
                        <w:rPr>
                          <w:rFonts w:ascii="Cambria Math" w:hAnsi="Cambria Math" w:eastAsia="Cambria Math" w:cs="Cambria Math"/>
                          <w:sz w:val="21"/>
                          <w:szCs w:val="21"/>
                        </w:rPr>
                        <m:t>m</m:t>
                      </m:r>
                    </m:den>
                  </m:f>
                </m:e>
              </m:d>
            </m:e>
          </m:func>
          <m:r>
            <m:rPr>
              <m:sty m:val="p"/>
            </m:rPr>
            <w:rPr>
              <w:rFonts w:ascii="Cambria Math" w:hAnsi="Cambria Math" w:eastAsia="Cambria Math" w:cs="Cambria Math"/>
              <w:sz w:val="21"/>
              <w:szCs w:val="21"/>
            </w:rPr>
            <m:t xml:space="preserve"> </m:t>
          </m:r>
          <m:sSub>
            <m:sSubPr>
              <m:ctrlPr>
                <w:rPr>
                  <w:rFonts w:ascii="Cambria Math" w:hAnsi="Cambria Math" w:eastAsia="Cambria Math" w:cs="Cambria Math"/>
                  <w:sz w:val="21"/>
                  <w:szCs w:val="21"/>
                </w:rPr>
              </m:ctrlPr>
            </m:sSubPr>
            <m:e>
              <m:r>
                <m:rPr>
                  <m:scr m:val="script"/>
                </m:rPr>
                <w:rPr>
                  <w:rFonts w:ascii="Cambria Math" w:hAnsi="Cambria Math" w:eastAsia="Cambria Math" w:cs="Cambria Math"/>
                  <w:sz w:val="21"/>
                  <w:szCs w:val="21"/>
                </w:rPr>
                <m:t>ℒ</m:t>
              </m:r>
            </m:e>
            <m:sub>
              <m:r>
                <m:rPr>
                  <m:sty m:val="p"/>
                </m:rPr>
                <w:rPr>
                  <w:rFonts w:ascii="Cambria Math" w:hAnsi="Cambria Math" w:eastAsia="Cambria Math" w:cs="Cambria Math"/>
                  <w:sz w:val="21"/>
                  <w:szCs w:val="21"/>
                </w:rPr>
                <m:t>Δ</m:t>
              </m:r>
            </m:sub>
          </m:sSub>
        </m:oMath>
      </m:oMathPara>
    </w:p>
    <w:p>
      <w:pPr>
        <w:spacing w:before="80" w:after="40"/>
        <w:jc w:val="center"/>
      </w:pPr>
      <w:r>
        <w:drawing>
          <wp:inline xmlns:a="http://schemas.openxmlformats.org/drawingml/2006/main" xmlns:pic="http://schemas.openxmlformats.org/drawingml/2006/picture">
            <wp:extent cx="5166360" cy="2826376"/>
            <wp:docPr id="5" name="Picture 5" descr="Professional multi-panel RetiESS-Seg framework: complete OCT volume, boundary regressor, ESS correlation branch, leakage-safe validation, and evidence map." title="Professional multi-panel RetiESS-Seg framework: complete OCT volume, boundary regressor, ESS correlation branch, leakage"/>
            <wp:cNvGraphicFramePr>
              <a:graphicFrameLocks noChangeAspect="1"/>
            </wp:cNvGraphicFramePr>
            <a:graphic>
              <a:graphicData uri="http://schemas.openxmlformats.org/drawingml/2006/picture">
                <pic:pic>
                  <pic:nvPicPr>
                    <pic:cNvPr id="0" name="figure1_framework_enhanced.png"/>
                    <pic:cNvPicPr/>
                  </pic:nvPicPr>
                  <pic:blipFill>
                    <a:blip r:embed="rId26"/>
                    <a:stretch>
                      <a:fillRect/>
                    </a:stretch>
                  </pic:blipFill>
                  <pic:spPr>
                    <a:xfrm>
                      <a:off x="0" y="0"/>
                      <a:ext cx="5166360" cy="2826376"/>
                    </a:xfrm>
                    <a:prstGeom prst="rect"/>
                  </pic:spPr>
                </pic:pic>
              </a:graphicData>
            </a:graphic>
          </wp:inline>
        </w:drawing>
      </w:r>
    </w:p>
    <w:p>
      <w:pPr>
        <w:spacing w:before="40" w:after="120"/>
        <w:jc w:val="both"/>
      </w:pPr>
      <w:r>
        <w:rPr>
          <w:rFonts w:ascii="Times New Roman" w:hAnsi="Times New Roman" w:eastAsia="Times New Roman" w:cs="Times New Roman"/>
          <w:sz w:val="24"/>
          <w:szCs w:val="24"/>
          <w:b w:val="1"/>
          <w:bCs w:val="1"/>
          <w:i w:val="0"/>
          <w:iCs w:val="0"/>
        </w:rPr>
        <w:t xml:space="preserve">Figure 1. </w:t>
      </w:r>
      <w:r>
        <w:rPr>
          <w:rFonts w:ascii="Times New Roman" w:hAnsi="Times New Roman" w:eastAsia="Times New Roman" w:cs="Times New Roman"/>
          <w:sz w:val="24"/>
          <w:szCs w:val="24"/>
          <w:b w:val="0"/>
          <w:bCs w:val="0"/>
          <w:i w:val="0"/>
          <w:iCs w:val="0"/>
        </w:rPr>
        <w:t>RetiESS-Seg study architecture with released data examples and bounded claims. (A) Three adjacent Tian B-scans and their released manual layer boundaries make the primary complete-volume data visible; the same-eye AFIO OCT–fundus pair is a separate 2D feasibility extension, not external validation of Tian. (B) The compact heatmap regressor is unchanged between matched methods. (C) Position and label-free appearance form the correlation matrix; the resulting effective sample size scales only the cross-slice derivative term during training and is separately reported as a redundancy-risk signal. (D) Nested selection, the fixed paired endpoint, and the mechanistic redundancy audit remain separated, so no unobserved accuracy gain is claimed.</w:t>
      </w:r>
    </w:p>
    <w:p>
      <w:pPr>
        <w:pStyle w:val="4"/>
      </w:pPr>
      <w:r>
        <w:rPr>
          <w:rFonts w:ascii="Times New Roman" w:hAnsi="Times New Roman" w:eastAsia="Times New Roman" w:cs="Times New Roman"/>
          <w:b w:val="1"/>
          <w:sz w:val="28"/>
          <w:szCs w:val="28"/>
          <w:bCs w:val="1"/>
          <w:i w:val="0"/>
          <w:iCs w:val="0"/>
        </w:rPr>
        <w:t>2.5 Training-only augmentation and nested selection</w:t>
      </w:r>
    </w:p>
    <w:p>
      <w:pPr>
        <w:keepNext w:val="0"/>
        <w:spacing w:after="120" w:line="276" w:lineRule="auto"/>
        <w:jc w:val="both"/>
      </w:pPr>
      <w:r>
        <w:rPr>
          <w:rFonts w:ascii="Times New Roman" w:hAnsi="Times New Roman" w:eastAsia="Times New Roman"/>
          <w:sz w:val="24"/>
        </w:rPr>
        <w:t>All models used adaptive moment estimation with decoupled weight decay (AdamW) [15] with a learning rate of 1 × 10⁻³, weight decay of 1 × 10⁻⁴, and gradient-norm clipping at 5.0. The fixed comparison trained for 60 epochs in each of 10 leave-one-volume-out (LOO) folds. Training-only augmentation applied a vertical shift sampled from −6 to +6 pixels with the identical shift applied to every boundary label, a contrast factor sampled from 0.90 to 1.10, and Gaussian noise with an SD of 0.025. No augmentation was applied to validation or test volumes.</w:t>
      </w:r>
    </w:p>
    <w:p>
      <w:pPr>
        <w:keepNext w:val="0"/>
        <w:spacing w:after="120" w:line="276" w:lineRule="auto"/>
        <w:jc w:val="both"/>
      </w:pPr>
      <w:r>
        <w:rPr>
          <w:rFonts w:ascii="Times New Roman" w:hAnsi="Times New Roman" w:eastAsia="Times New Roman"/>
          <w:sz w:val="24"/>
        </w:rPr>
        <w:t>To prevent post-hoc protocol choice from contaminating the outer test estimate, each outer fold compared plain and combined-augmentation candidates using only the remaining nine volumes. Those nine volumes were partitioned into three non-overlapping validation groups of three volumes. Each candidate trained for 60 inner epochs in every group; the candidate with lower mean inner-volume MAE was refitted on all nine outer-training volumes for 120 epochs and evaluated once on the untouched tenth volume. The entire nested procedure was repeated at seeds 20260831, 20260901, and 20260902.</w:t>
      </w:r>
    </w:p>
    <w:p>
      <w:pPr>
        <w:pStyle w:val="4"/>
      </w:pPr>
      <w:r>
        <w:rPr>
          <w:rFonts w:ascii="Times New Roman" w:hAnsi="Times New Roman" w:eastAsia="Times New Roman" w:cs="Times New Roman"/>
          <w:b w:val="1"/>
          <w:sz w:val="28"/>
          <w:szCs w:val="28"/>
          <w:bCs w:val="1"/>
          <w:i w:val="0"/>
          <w:iCs w:val="0"/>
        </w:rPr>
        <w:t>2.6 Perturbation audit and statistical analysis</w:t>
      </w:r>
    </w:p>
    <w:p>
      <w:pPr>
        <w:keepNext w:val="0"/>
        <w:spacing w:after="120" w:line="276" w:lineRule="auto"/>
        <w:jc w:val="both"/>
      </w:pPr>
      <w:r>
        <w:rPr>
          <w:rFonts w:ascii="Times New Roman" w:hAnsi="Times New Roman" w:eastAsia="Times New Roman"/>
          <w:sz w:val="24"/>
        </w:rPr>
        <w:t>The prespecified label-free perturbations were: the original 10 descriptors; one appended exact copy (11); exact duplication of every descriptor (20); retention of alternate descriptors (5); and removal of the central block while retaining two early and three late descriptors (5). We report the mean and sample standard deviation (SD) of ESS over the 10 volumes. For the fixed SliceCNN versus RetiESS-Seg comparison, the paired unit was the held-out volume. A 20,000-draw percentile bootstrap estimated the 95% confidence interval (CI) of the mean paired difference, and a two-sided Wilcoxon signed-rank test assessed whether differences were centered at zero [16,17]. These tests are descriptive at n = 10 and are not converted into a clinical claim.</w:t>
      </w:r>
    </w:p>
    <w:p>
      <w:pPr>
        <w:pStyle w:val="4"/>
      </w:pPr>
      <w:r>
        <w:rPr>
          <w:rFonts w:ascii="Times New Roman" w:hAnsi="Times New Roman" w:eastAsia="Times New Roman" w:cs="Times New Roman"/>
          <w:b w:val="1"/>
          <w:sz w:val="28"/>
          <w:szCs w:val="28"/>
          <w:bCs w:val="1"/>
          <w:i w:val="0"/>
          <w:iCs w:val="0"/>
        </w:rPr>
        <w:t>2.7 Exploratory AFIO multimodal protocol</w:t>
      </w:r>
    </w:p>
    <w:p>
      <w:pPr>
        <w:keepNext w:val="0"/>
        <w:spacing w:after="120" w:line="276" w:lineRule="auto"/>
        <w:jc w:val="both"/>
      </w:pPr>
      <w:r>
        <w:rPr>
          <w:rFonts w:ascii="Times New Roman" w:hAnsi="Times New Roman" w:eastAsia="Times New Roman"/>
          <w:sz w:val="24"/>
        </w:rPr>
        <w:t>A directly downloadable ImageNet-1K-pretrained 18-layer residual network (ResNet-18) [18] was frozen and used to cache 512-dimensional features for every fundus image and every OCT image. Three linear probes were compared: fundus only, OCT only, and early feature concatenation. Each probe used dropout 0.25, a class-weighted cross-entropy objective, an AdamW learning rate of 2 × 10⁻³, weight decay of 1 × 10⁻³, and 300 epochs. Five deterministic patient-disjoint folds were repeated with three seeds. Balanced accuracy and macro-averaged F1 score (macro F1) were calculated fold-wise and then summarized across seeds. This protocol tests feasibility under complete paired data; it does not test RetiESS or Tian segmentation transfer.</w:t>
      </w:r>
    </w:p>
    <w:p>
      <w:pPr>
        <w:pStyle w:val="3"/>
      </w:pPr>
      <w:r>
        <w:rPr>
          <w:rFonts w:ascii="Times New Roman" w:hAnsi="Times New Roman" w:eastAsia="Times New Roman"/>
          <w:b/>
          <w:sz w:val="28"/>
        </w:rPr>
        <w:t>3. Results</w:t>
      </w:r>
    </w:p>
    <w:p>
      <w:pPr>
        <w:pStyle w:val="4"/>
      </w:pPr>
      <w:r>
        <w:rPr>
          <w:rFonts w:ascii="Times New Roman" w:hAnsi="Times New Roman" w:eastAsia="Times New Roman" w:cs="Times New Roman"/>
          <w:b w:val="1"/>
          <w:sz w:val="28"/>
          <w:szCs w:val="28"/>
          <w:bCs w:val="1"/>
          <w:i w:val="0"/>
          <w:iCs w:val="0"/>
        </w:rPr>
        <w:t>3.1 Dataset and split audit</w:t>
      </w:r>
    </w:p>
    <w:p>
      <w:pPr>
        <w:keepNext w:val="0"/>
        <w:spacing w:after="80" w:line="240" w:lineRule="auto"/>
        <w:jc w:val="both"/>
      </w:pPr>
      <w:r>
        <w:rPr>
          <w:rFonts w:ascii="Times New Roman" w:hAnsi="Times New Roman" w:eastAsia="Times New Roman"/>
          <w:color w:val="17212B"/>
          <w:sz w:val="20"/>
        </w:rPr>
        <w:t>The Tian loader recovered exactly 10 volumes, 100 B-scans, eight boundaries per B-scan, and two observer arrays per subject. No partial-volume option exists in the analysis code. Every outer split held out one complete volume. The AFIO audit recovered all 49 unique paired records and ensured that no patient's images crossed a fold boundary. Table 1 records the data-level distinctions, whereas Table 2 maps each analysis to its endpoint and allowable conclusion.</w:t>
      </w:r>
    </w:p>
    <w:p>
      <w:pPr>
        <w:keepNext/>
        <w:spacing w:before="120" w:after="80" w:line="240" w:lineRule="auto"/>
        <w:jc w:val="both"/>
      </w:pPr>
      <w:r>
        <w:rPr>
          <w:rFonts w:ascii="Times New Roman" w:hAnsi="Times New Roman" w:eastAsia="Times New Roman" w:cs="Times New Roman"/>
          <w:sz w:val="24"/>
          <w:szCs w:val="24"/>
          <w:b w:val="1"/>
          <w:bCs w:val="1"/>
          <w:i w:val="0"/>
          <w:iCs w:val="0"/>
        </w:rPr>
        <w:t xml:space="preserve">Table 1. </w:t>
      </w:r>
      <w:r>
        <w:rPr>
          <w:rFonts w:ascii="Times New Roman" w:hAnsi="Times New Roman" w:eastAsia="Times New Roman" w:cs="Times New Roman"/>
          <w:sz w:val="24"/>
          <w:szCs w:val="24"/>
          <w:b w:val="0"/>
          <w:bCs w:val="0"/>
          <w:i w:val="0"/>
          <w:iCs w:val="0"/>
        </w:rPr>
        <w:t>Complete public datasets, independent units, and non-interchangeable roles. Every listed record is used; neither archive is subsampled.</w:t>
      </w:r>
    </w:p>
    <w:tbl>
      <w:tblPr>
        <w:tblStyle w:val="21"/>
        <w:tblW w:type="auto" w:w="0"/>
        <w:jc w:val="center"/>
        <w:tblLayout w:type="fixed"/>
        <w:tblLook w:firstColumn="1" w:firstRow="1" w:lastColumn="0" w:lastRow="0" w:noHBand="0" w:noVBand="1" w:val="04A0"/>
      </w:tblPr>
      <w:tblGrid>
        <w:gridCol w:w="1384"/>
        <w:gridCol w:w="1384"/>
        <w:gridCol w:w="1384"/>
        <w:gridCol w:w="1384"/>
        <w:gridCol w:w="1384"/>
        <w:gridCol w:w="1384"/>
      </w:tblGrid>
      <w:tr>
        <w:trPr>
          <w:tblHeader w:val="true"/>
          <w:tblHeader w:val="true"/>
          <w:cantSplit/>
        </w:trPr>
        <w:tc>
          <w:tcPr>
            <w:tcW w:type="dxa" w:w="1267"/>
            <w:vAlign w:val="center"/>
            <w:tcMar>
              <w:top w:w="60" w:type="dxa"/>
              <w:start w:w="65" w:type="dxa"/>
              <w:bottom w:w="60" w:type="dxa"/>
              <w:end w:w="65" w:type="dxa"/>
            </w:tcMar>
            <w:tcBorders>
              <w:top w:val="single" w:sz="12" w:color="333333"/>
              <w:bottom w:val="single" w:sz="8" w:color="333333"/>
            </w:tcBorders>
            <w:shd w:fill="124E78"/>
          </w:tcPr>
          <w:p>
            <w:pPr>
              <w:spacing w:before="0" w:after="0" w:line="220" w:lineRule="auto"/>
              <w:jc w:val="center"/>
            </w:pPr>
            <w:r>
              <w:rPr>
                <w:rFonts w:ascii="Times New Roman" w:hAnsi="Times New Roman" w:eastAsia="Times New Roman" w:cs="Times New Roman"/>
                <w:b w:val="1"/>
                <w:color w:val="FFFFFF"/>
                <w:sz w:val="21"/>
                <w:szCs w:val="21"/>
                <w:bCs w:val="1"/>
                <w:i w:val="0"/>
                <w:iCs w:val="0"/>
              </w:rPr>
              <w:t>Dataset / role</w:t>
            </w:r>
          </w:p>
        </w:tc>
        <w:tc>
          <w:tcPr>
            <w:tcW w:type="dxa" w:w="1728"/>
            <w:vAlign w:val="center"/>
            <w:tcMar>
              <w:top w:w="60" w:type="dxa"/>
              <w:start w:w="65" w:type="dxa"/>
              <w:bottom w:w="60" w:type="dxa"/>
              <w:end w:w="65" w:type="dxa"/>
            </w:tcMar>
            <w:tcBorders>
              <w:top w:val="single" w:sz="12" w:color="333333"/>
              <w:bottom w:val="single" w:sz="8" w:color="333333"/>
            </w:tcBorders>
            <w:shd w:fill="124E78"/>
          </w:tcPr>
          <w:p>
            <w:pPr>
              <w:spacing w:before="0" w:after="0" w:line="220" w:lineRule="auto"/>
              <w:jc w:val="center"/>
            </w:pPr>
            <w:r>
              <w:rPr>
                <w:rFonts w:ascii="Times New Roman" w:hAnsi="Times New Roman" w:eastAsia="Times New Roman" w:cs="Times New Roman"/>
                <w:b w:val="1"/>
                <w:color w:val="FFFFFF"/>
                <w:sz w:val="21"/>
                <w:szCs w:val="21"/>
                <w:bCs w:val="1"/>
                <w:i w:val="0"/>
                <w:iCs w:val="0"/>
              </w:rPr>
              <w:t>Complete data and independent unit</w:t>
            </w:r>
          </w:p>
        </w:tc>
        <w:tc>
          <w:tcPr>
            <w:tcW w:type="dxa" w:w="1483"/>
            <w:vAlign w:val="center"/>
            <w:tcMar>
              <w:top w:w="60" w:type="dxa"/>
              <w:start w:w="65" w:type="dxa"/>
              <w:bottom w:w="60" w:type="dxa"/>
              <w:end w:w="65" w:type="dxa"/>
            </w:tcMar>
            <w:tcBorders>
              <w:top w:val="single" w:sz="12" w:color="333333"/>
              <w:bottom w:val="single" w:sz="8" w:color="333333"/>
            </w:tcBorders>
            <w:shd w:fill="124E78"/>
          </w:tcPr>
          <w:p>
            <w:pPr>
              <w:spacing w:before="0" w:after="0" w:line="220" w:lineRule="auto"/>
              <w:jc w:val="center"/>
            </w:pPr>
            <w:r>
              <w:rPr>
                <w:rFonts w:ascii="Times New Roman" w:hAnsi="Times New Roman" w:eastAsia="Times New Roman" w:cs="Times New Roman"/>
                <w:b w:val="1"/>
                <w:color w:val="FFFFFF"/>
                <w:sz w:val="21"/>
                <w:szCs w:val="21"/>
                <w:bCs w:val="1"/>
                <w:i w:val="0"/>
                <w:iCs w:val="0"/>
              </w:rPr>
              <w:t>Target</w:t>
            </w:r>
          </w:p>
        </w:tc>
        <w:tc>
          <w:tcPr>
            <w:tcW w:type="dxa" w:w="1728"/>
            <w:vAlign w:val="center"/>
            <w:tcMar>
              <w:top w:w="60" w:type="dxa"/>
              <w:start w:w="65" w:type="dxa"/>
              <w:bottom w:w="60" w:type="dxa"/>
              <w:end w:w="65" w:type="dxa"/>
            </w:tcMar>
            <w:tcBorders>
              <w:top w:val="single" w:sz="12" w:color="333333"/>
              <w:bottom w:val="single" w:sz="8" w:color="333333"/>
            </w:tcBorders>
            <w:shd w:fill="124E78"/>
          </w:tcPr>
          <w:p>
            <w:pPr>
              <w:spacing w:before="0" w:after="0" w:line="220" w:lineRule="auto"/>
              <w:jc w:val="center"/>
            </w:pPr>
            <w:r>
              <w:rPr>
                <w:rFonts w:ascii="Times New Roman" w:hAnsi="Times New Roman" w:eastAsia="Times New Roman" w:cs="Times New Roman"/>
                <w:b w:val="1"/>
                <w:color w:val="FFFFFF"/>
                <w:sz w:val="21"/>
                <w:szCs w:val="21"/>
                <w:bCs w:val="1"/>
                <w:i w:val="0"/>
                <w:iCs w:val="0"/>
              </w:rPr>
              <w:t>Split and epochs</w:t>
            </w:r>
          </w:p>
        </w:tc>
        <w:tc>
          <w:tcPr>
            <w:tcW w:type="dxa" w:w="1512"/>
            <w:vAlign w:val="center"/>
            <w:tcMar>
              <w:top w:w="60" w:type="dxa"/>
              <w:start w:w="65" w:type="dxa"/>
              <w:bottom w:w="60" w:type="dxa"/>
              <w:end w:w="65" w:type="dxa"/>
            </w:tcMar>
            <w:tcBorders>
              <w:top w:val="single" w:sz="12" w:color="333333"/>
              <w:bottom w:val="single" w:sz="8" w:color="333333"/>
            </w:tcBorders>
            <w:shd w:fill="124E78"/>
          </w:tcPr>
          <w:p>
            <w:pPr>
              <w:spacing w:before="0" w:after="0" w:line="220" w:lineRule="auto"/>
              <w:jc w:val="center"/>
            </w:pPr>
            <w:r>
              <w:rPr>
                <w:rFonts w:ascii="Times New Roman" w:hAnsi="Times New Roman" w:eastAsia="Times New Roman" w:cs="Times New Roman"/>
                <w:b w:val="1"/>
                <w:color w:val="FFFFFF"/>
                <w:sz w:val="21"/>
                <w:szCs w:val="21"/>
                <w:bCs w:val="1"/>
                <w:i w:val="0"/>
                <w:iCs w:val="0"/>
              </w:rPr>
              <w:t>Reported endpoint</w:t>
            </w:r>
          </w:p>
        </w:tc>
        <w:tc>
          <w:tcPr>
            <w:tcW w:type="dxa" w:w="1944"/>
            <w:vAlign w:val="center"/>
            <w:tcMar>
              <w:top w:w="60" w:type="dxa"/>
              <w:start w:w="65" w:type="dxa"/>
              <w:bottom w:w="60" w:type="dxa"/>
              <w:end w:w="65" w:type="dxa"/>
            </w:tcMar>
            <w:tcBorders>
              <w:top w:val="single" w:sz="12" w:color="333333"/>
              <w:bottom w:val="single" w:sz="8" w:color="333333"/>
            </w:tcBorders>
            <w:shd w:fill="124E78"/>
          </w:tcPr>
          <w:p>
            <w:pPr>
              <w:spacing w:before="0" w:after="0" w:line="220" w:lineRule="auto"/>
              <w:jc w:val="center"/>
            </w:pPr>
            <w:r>
              <w:rPr>
                <w:rFonts w:ascii="Times New Roman" w:hAnsi="Times New Roman" w:eastAsia="Times New Roman" w:cs="Times New Roman"/>
                <w:b w:val="1"/>
                <w:color w:val="FFFFFF"/>
                <w:sz w:val="21"/>
                <w:szCs w:val="21"/>
                <w:bCs w:val="1"/>
                <w:i w:val="0"/>
                <w:iCs w:val="0"/>
              </w:rPr>
              <w:t>Permitted interpretation</w:t>
            </w:r>
          </w:p>
        </w:tc>
      </w:tr>
      <w:tr>
        <w:trPr>
          <w:cantSplit/>
        </w:trPr>
        <w:tc>
          <w:tcPr>
            <w:tcW w:type="dxa" w:w="1267"/>
            <w:vAlign w:val="center"/>
            <w:tcMar>
              <w:top w:w="60" w:type="dxa"/>
              <w:start w:w="65" w:type="dxa"/>
              <w:bottom w:w="60" w:type="dxa"/>
              <w:end w:w="65" w:type="dxa"/>
            </w:tcMar>
            <w:shd w:fill="F3F8FB"/>
          </w:tcPr>
          <w:p>
            <w:pPr>
              <w:spacing w:before="0" w:after="0" w:line="220" w:lineRule="auto"/>
              <w:jc w:val="left"/>
            </w:pPr>
            <w:r>
              <w:rPr>
                <w:rFonts w:ascii="Times New Roman" w:hAnsi="Times New Roman" w:eastAsia="Times New Roman" w:cs="Times New Roman"/>
                <w:b w:val="0"/>
                <w:color w:val="17212B"/>
                <w:sz w:val="21"/>
                <w:szCs w:val="21"/>
                <w:bCs w:val="0"/>
                <w:i w:val="0"/>
                <w:iCs w:val="0"/>
              </w:rPr>
              <w:t>Tian OCTRIMA</w:t>
              <w:br/>
              <w:t>(primary 3D study)</w:t>
            </w:r>
          </w:p>
        </w:tc>
        <w:tc>
          <w:tcPr>
            <w:tcW w:type="dxa" w:w="1728"/>
            <w:vAlign w:val="center"/>
            <w:tcMar>
              <w:top w:w="60" w:type="dxa"/>
              <w:start w:w="65" w:type="dxa"/>
              <w:bottom w:w="60" w:type="dxa"/>
              <w:end w:w="65" w:type="dxa"/>
            </w:tcMar>
            <w:shd w:fill="F3F8FB"/>
          </w:tcPr>
          <w:p>
            <w:pPr>
              <w:spacing w:before="0" w:after="0" w:line="220" w:lineRule="auto"/>
              <w:jc w:val="left"/>
            </w:pPr>
            <w:r>
              <w:rPr>
                <w:rFonts w:ascii="Times New Roman" w:hAnsi="Times New Roman" w:eastAsia="Times New Roman" w:cs="Times New Roman"/>
                <w:b w:val="0"/>
                <w:color w:val="17212B"/>
                <w:sz w:val="21"/>
                <w:szCs w:val="21"/>
                <w:bCs w:val="0"/>
                <w:i w:val="0"/>
                <w:iCs w:val="0"/>
              </w:rPr>
              <w:t>10 complete volumes; 100/100 B-scans</w:t>
              <w:br/>
              <w:t>Independent unit: 10 volumes</w:t>
            </w:r>
          </w:p>
        </w:tc>
        <w:tc>
          <w:tcPr>
            <w:tcW w:type="dxa" w:w="1483"/>
            <w:vAlign w:val="center"/>
            <w:tcMar>
              <w:top w:w="60" w:type="dxa"/>
              <w:start w:w="65" w:type="dxa"/>
              <w:bottom w:w="60" w:type="dxa"/>
              <w:end w:w="65" w:type="dxa"/>
            </w:tcMar>
            <w:shd w:fill="F3F8FB"/>
          </w:tcPr>
          <w:p>
            <w:pPr>
              <w:spacing w:before="0" w:after="0" w:line="220" w:lineRule="auto"/>
              <w:jc w:val="left"/>
            </w:pPr>
            <w:r>
              <w:rPr>
                <w:rFonts w:ascii="Times New Roman" w:hAnsi="Times New Roman" w:eastAsia="Times New Roman" w:cs="Times New Roman"/>
                <w:b w:val="0"/>
                <w:color w:val="17212B"/>
                <w:sz w:val="21"/>
                <w:szCs w:val="21"/>
                <w:bCs w:val="0"/>
                <w:i w:val="0"/>
                <w:iCs w:val="0"/>
              </w:rPr>
              <w:t>8 boundaries; consensus of two manual observers</w:t>
            </w:r>
          </w:p>
        </w:tc>
        <w:tc>
          <w:tcPr>
            <w:tcW w:type="dxa" w:w="1728"/>
            <w:vAlign w:val="center"/>
            <w:tcMar>
              <w:top w:w="60" w:type="dxa"/>
              <w:start w:w="65" w:type="dxa"/>
              <w:bottom w:w="60" w:type="dxa"/>
              <w:end w:w="65" w:type="dxa"/>
            </w:tcMar>
            <w:shd w:fill="F3F8FB"/>
          </w:tcPr>
          <w:p>
            <w:pPr>
              <w:spacing w:before="0" w:after="0" w:line="220" w:lineRule="auto"/>
              <w:jc w:val="left"/>
            </w:pPr>
            <w:r>
              <w:rPr>
                <w:rFonts w:ascii="Times New Roman" w:hAnsi="Times New Roman" w:eastAsia="Times New Roman" w:cs="Times New Roman"/>
                <w:b w:val="0"/>
                <w:color w:val="17212B"/>
                <w:sz w:val="21"/>
                <w:szCs w:val="21"/>
                <w:bCs w:val="0"/>
                <w:i w:val="0"/>
                <w:iCs w:val="0"/>
              </w:rPr>
              <w:t>Outer volume LOO × 10</w:t>
              <w:br/>
              <w:t>Fixed: 60 epochs</w:t>
              <w:br/>
              <w:t>Nested: 60 inner / 120 refit × 3 seeds</w:t>
            </w:r>
          </w:p>
        </w:tc>
        <w:tc>
          <w:tcPr>
            <w:tcW w:type="dxa" w:w="1512"/>
            <w:vAlign w:val="center"/>
            <w:tcMar>
              <w:top w:w="60" w:type="dxa"/>
              <w:start w:w="65" w:type="dxa"/>
              <w:bottom w:w="60" w:type="dxa"/>
              <w:end w:w="65" w:type="dxa"/>
            </w:tcMar>
            <w:shd w:fill="F3F8FB"/>
          </w:tcPr>
          <w:p>
            <w:pPr>
              <w:spacing w:before="0" w:after="0" w:line="220" w:lineRule="auto"/>
              <w:jc w:val="left"/>
            </w:pPr>
            <w:r>
              <w:rPr>
                <w:rFonts w:ascii="Times New Roman" w:hAnsi="Times New Roman" w:eastAsia="Times New Roman" w:cs="Times New Roman"/>
                <w:b w:val="0"/>
                <w:color w:val="17212B"/>
                <w:sz w:val="21"/>
                <w:szCs w:val="21"/>
                <w:bCs w:val="0"/>
                <w:i w:val="0"/>
                <w:iCs w:val="0"/>
              </w:rPr>
              <w:t>Volume MAE; paired difference; boundary MAE; ESS perturbation</w:t>
            </w:r>
          </w:p>
        </w:tc>
        <w:tc>
          <w:tcPr>
            <w:tcW w:type="dxa" w:w="1944"/>
            <w:vAlign w:val="center"/>
            <w:tcMar>
              <w:top w:w="60" w:type="dxa"/>
              <w:start w:w="65" w:type="dxa"/>
              <w:bottom w:w="60" w:type="dxa"/>
              <w:end w:w="65" w:type="dxa"/>
            </w:tcMar>
            <w:shd w:fill="F3F8FB"/>
          </w:tcPr>
          <w:p>
            <w:pPr>
              <w:spacing w:before="0" w:after="0" w:line="220" w:lineRule="auto"/>
              <w:jc w:val="left"/>
            </w:pPr>
            <w:r>
              <w:rPr>
                <w:rFonts w:ascii="Times New Roman" w:hAnsi="Times New Roman" w:eastAsia="Times New Roman" w:cs="Times New Roman"/>
                <w:b w:val="0"/>
                <w:color w:val="17212B"/>
                <w:sz w:val="21"/>
                <w:szCs w:val="21"/>
                <w:bCs w:val="0"/>
                <w:i w:val="0"/>
                <w:iCs w:val="0"/>
              </w:rPr>
              <w:t>Primary statistical audit and small-data protocol evidence; not clinical validation</w:t>
            </w:r>
          </w:p>
        </w:tc>
      </w:tr>
      <w:tr>
        <w:trPr>
          <w:cantSplit/>
        </w:trPr>
        <w:tc>
          <w:tcPr>
            <w:tcW w:type="dxa" w:w="1267"/>
            <w:vAlign w:val="center"/>
            <w:tcMar>
              <w:top w:w="60" w:type="dxa"/>
              <w:start w:w="65" w:type="dxa"/>
              <w:bottom w:w="60" w:type="dxa"/>
              <w:end w:w="65" w:type="dxa"/>
            </w:tcMar>
            <w:shd w:fill="F6F8FA"/>
          </w:tcPr>
          <w:p>
            <w:pPr>
              <w:spacing w:before="0" w:after="0" w:line="220" w:lineRule="auto"/>
              <w:jc w:val="left"/>
            </w:pPr>
            <w:r>
              <w:rPr>
                <w:rFonts w:ascii="Times New Roman" w:hAnsi="Times New Roman" w:eastAsia="Times New Roman" w:cs="Times New Roman"/>
                <w:b w:val="0"/>
                <w:color w:val="17212B"/>
                <w:sz w:val="21"/>
                <w:szCs w:val="21"/>
                <w:bCs w:val="0"/>
                <w:i w:val="0"/>
                <w:iCs w:val="0"/>
              </w:rPr>
              <w:t>AFIO</w:t>
              <w:br/>
              <w:t>(exploratory 2D extension)</w:t>
            </w:r>
          </w:p>
        </w:tc>
        <w:tc>
          <w:tcPr>
            <w:tcW w:type="dxa" w:w="1728"/>
            <w:vAlign w:val="center"/>
            <w:tcMar>
              <w:top w:w="60" w:type="dxa"/>
              <w:start w:w="65" w:type="dxa"/>
              <w:bottom w:w="60" w:type="dxa"/>
              <w:end w:w="65" w:type="dxa"/>
            </w:tcMar>
            <w:shd w:fill="F6F8FA"/>
          </w:tcPr>
          <w:p>
            <w:pPr>
              <w:spacing w:before="0" w:after="0" w:line="220" w:lineRule="auto"/>
              <w:jc w:val="left"/>
            </w:pPr>
            <w:r>
              <w:rPr>
                <w:rFonts w:ascii="Times New Roman" w:hAnsi="Times New Roman" w:eastAsia="Times New Roman" w:cs="Times New Roman"/>
                <w:b w:val="0"/>
                <w:color w:val="17212B"/>
                <w:sz w:val="21"/>
                <w:szCs w:val="21"/>
                <w:bCs w:val="0"/>
                <w:i w:val="0"/>
                <w:iCs w:val="0"/>
              </w:rPr>
              <w:t>49/49 unique OCT–fundus pairs</w:t>
              <w:br/>
              <w:t>Independent unit: 26 patients</w:t>
            </w:r>
          </w:p>
        </w:tc>
        <w:tc>
          <w:tcPr>
            <w:tcW w:type="dxa" w:w="1483"/>
            <w:vAlign w:val="center"/>
            <w:tcMar>
              <w:top w:w="60" w:type="dxa"/>
              <w:start w:w="65" w:type="dxa"/>
              <w:bottom w:w="60" w:type="dxa"/>
              <w:end w:w="65" w:type="dxa"/>
            </w:tcMar>
            <w:shd w:fill="F6F8FA"/>
          </w:tcPr>
          <w:p>
            <w:pPr>
              <w:spacing w:before="0" w:after="0" w:line="220" w:lineRule="auto"/>
              <w:jc w:val="left"/>
            </w:pPr>
            <w:r>
              <w:rPr>
                <w:rFonts w:ascii="Times New Roman" w:hAnsi="Times New Roman" w:eastAsia="Times New Roman" w:cs="Times New Roman"/>
                <w:b w:val="0"/>
                <w:color w:val="17212B"/>
                <w:sz w:val="21"/>
                <w:szCs w:val="21"/>
                <w:bCs w:val="0"/>
                <w:i w:val="0"/>
                <w:iCs w:val="0"/>
              </w:rPr>
              <w:t>Three-class glaucoma label: 25 no, 16 yes, 8 uncertain</w:t>
            </w:r>
          </w:p>
        </w:tc>
        <w:tc>
          <w:tcPr>
            <w:tcW w:type="dxa" w:w="1728"/>
            <w:vAlign w:val="center"/>
            <w:tcMar>
              <w:top w:w="60" w:type="dxa"/>
              <w:start w:w="65" w:type="dxa"/>
              <w:bottom w:w="60" w:type="dxa"/>
              <w:end w:w="65" w:type="dxa"/>
            </w:tcMar>
            <w:shd w:fill="F6F8FA"/>
          </w:tcPr>
          <w:p>
            <w:pPr>
              <w:spacing w:before="0" w:after="0" w:line="220" w:lineRule="auto"/>
              <w:jc w:val="left"/>
            </w:pPr>
            <w:r>
              <w:rPr>
                <w:rFonts w:ascii="Times New Roman" w:hAnsi="Times New Roman" w:eastAsia="Times New Roman" w:cs="Times New Roman"/>
                <w:b w:val="0"/>
                <w:color w:val="17212B"/>
                <w:sz w:val="21"/>
                <w:szCs w:val="21"/>
                <w:bCs w:val="0"/>
                <w:i w:val="0"/>
                <w:iCs w:val="0"/>
              </w:rPr>
              <w:t>Five patient-disjoint folds</w:t>
              <w:br/>
              <w:t>300 epochs/fold × 3 seeds</w:t>
            </w:r>
          </w:p>
        </w:tc>
        <w:tc>
          <w:tcPr>
            <w:tcW w:type="dxa" w:w="1512"/>
            <w:vAlign w:val="center"/>
            <w:tcMar>
              <w:top w:w="60" w:type="dxa"/>
              <w:start w:w="65" w:type="dxa"/>
              <w:bottom w:w="60" w:type="dxa"/>
              <w:end w:w="65" w:type="dxa"/>
            </w:tcMar>
            <w:shd w:fill="F6F8FA"/>
          </w:tcPr>
          <w:p>
            <w:pPr>
              <w:spacing w:before="0" w:after="0" w:line="220" w:lineRule="auto"/>
              <w:jc w:val="left"/>
            </w:pPr>
            <w:r>
              <w:rPr>
                <w:rFonts w:ascii="Times New Roman" w:hAnsi="Times New Roman" w:eastAsia="Times New Roman" w:cs="Times New Roman"/>
                <w:b w:val="0"/>
                <w:color w:val="17212B"/>
                <w:sz w:val="21"/>
                <w:szCs w:val="21"/>
                <w:bCs w:val="0"/>
                <w:i w:val="0"/>
                <w:iCs w:val="0"/>
              </w:rPr>
              <w:t>Balanced accuracy and macro F1</w:t>
            </w:r>
          </w:p>
        </w:tc>
        <w:tc>
          <w:tcPr>
            <w:tcW w:type="dxa" w:w="1944"/>
            <w:vAlign w:val="center"/>
            <w:tcMar>
              <w:top w:w="60" w:type="dxa"/>
              <w:start w:w="65" w:type="dxa"/>
              <w:bottom w:w="60" w:type="dxa"/>
              <w:end w:w="65" w:type="dxa"/>
            </w:tcMar>
            <w:shd w:fill="F6F8FA"/>
          </w:tcPr>
          <w:p>
            <w:pPr>
              <w:spacing w:before="0" w:after="0" w:line="220" w:lineRule="auto"/>
              <w:jc w:val="left"/>
            </w:pPr>
            <w:r>
              <w:rPr>
                <w:rFonts w:ascii="Times New Roman" w:hAnsi="Times New Roman" w:eastAsia="Times New Roman" w:cs="Times New Roman"/>
                <w:b w:val="0"/>
                <w:color w:val="17212B"/>
                <w:sz w:val="21"/>
                <w:szCs w:val="21"/>
                <w:bCs w:val="0"/>
                <w:i w:val="0"/>
                <w:iCs w:val="0"/>
              </w:rPr>
              <w:t>Feasibility of grouped paired-image analysis; not Tian external validation</w:t>
            </w:r>
          </w:p>
        </w:tc>
      </w:tr>
    </w:tbl>
    <w:p>
      <w:pPr>
        <w:spacing w:after="40" w:line="240" w:lineRule="auto"/>
      </w:pPr>
    </w:p>
    <w:p>
      <w:pPr>
        <w:spacing w:before="120" w:after="80"/>
        <w:jc w:val="both"/>
      </w:pPr>
      <w:r>
        <w:rPr>
          <w:rFonts w:ascii="Times New Roman" w:hAnsi="Times New Roman" w:eastAsia="Times New Roman" w:cs="Times New Roman"/>
          <w:sz w:val="24"/>
          <w:szCs w:val="24"/>
          <w:b w:val="1"/>
          <w:bCs w:val="1"/>
          <w:i w:val="0"/>
          <w:iCs w:val="0"/>
        </w:rPr>
        <w:t xml:space="preserve">Table 2. </w:t>
      </w:r>
      <w:r>
        <w:rPr>
          <w:rFonts w:ascii="Times New Roman" w:hAnsi="Times New Roman" w:eastAsia="Times New Roman" w:cs="Times New Roman"/>
          <w:sz w:val="24"/>
          <w:szCs w:val="24"/>
          <w:b w:val="0"/>
          <w:bCs w:val="0"/>
          <w:i w:val="0"/>
          <w:iCs w:val="0"/>
        </w:rPr>
        <w:t>Experiment-to-claim ledger. The same small dataset supports several useful but deliberately bounded answers.</w:t>
      </w:r>
    </w:p>
    <w:tbl>
      <w:tblPr>
        <w:tblStyle w:val="21"/>
        <w:tblW w:type="auto" w:w="0"/>
        <w:tblLayout w:type="fixed"/>
        <w:tblLook w:firstColumn="1" w:firstRow="1" w:lastColumn="0" w:lastRow="0" w:noHBand="0" w:noVBand="1" w:val="04A0"/>
      </w:tblPr>
      <w:tblGrid>
        <w:gridCol w:w="1661"/>
        <w:gridCol w:w="1661"/>
        <w:gridCol w:w="1661"/>
        <w:gridCol w:w="1661"/>
        <w:gridCol w:w="1661"/>
      </w:tblGrid>
      <w:tr>
        <w:trPr>
          <w:tblHeader w:val="true"/>
          <w:tblHeader w:val="true"/>
          <w:cantSplit/>
        </w:trPr>
        <w:tc>
          <w:tcPr>
            <w:tcW w:type="dxa" w:w="1757"/>
            <w:vAlign w:val="center"/>
            <w:tcMar>
              <w:top w:w="60" w:type="dxa"/>
              <w:start w:w="65" w:type="dxa"/>
              <w:bottom w:w="60" w:type="dxa"/>
              <w:end w:w="65" w:type="dxa"/>
            </w:tcMar>
            <w:shd w:fill="124E78"/>
          </w:tcPr>
          <w:p>
            <w:pPr>
              <w:spacing w:before="0" w:after="0" w:line="220" w:lineRule="auto"/>
              <w:jc w:val="center"/>
            </w:pPr>
            <w:r>
              <w:rPr>
                <w:rFonts w:ascii="Times New Roman" w:hAnsi="Times New Roman" w:eastAsia="Times New Roman" w:cs="Times New Roman"/>
                <w:b w:val="1"/>
                <w:color w:val="FFFFFF"/>
                <w:sz w:val="21"/>
                <w:szCs w:val="21"/>
                <w:bCs w:val="1"/>
                <w:i w:val="0"/>
                <w:iCs w:val="0"/>
              </w:rPr>
              <w:t>Scientific question</w:t>
            </w:r>
          </w:p>
        </w:tc>
        <w:tc>
          <w:tcPr>
            <w:tcW w:type="dxa" w:w="1325"/>
            <w:vAlign w:val="center"/>
            <w:tcMar>
              <w:top w:w="60" w:type="dxa"/>
              <w:start w:w="65" w:type="dxa"/>
              <w:bottom w:w="60" w:type="dxa"/>
              <w:end w:w="65" w:type="dxa"/>
            </w:tcMar>
            <w:shd w:fill="124E78"/>
          </w:tcPr>
          <w:p>
            <w:pPr>
              <w:spacing w:before="0" w:after="0" w:line="220" w:lineRule="auto"/>
              <w:jc w:val="center"/>
            </w:pPr>
            <w:r>
              <w:rPr>
                <w:rFonts w:ascii="Times New Roman" w:hAnsi="Times New Roman" w:eastAsia="Times New Roman" w:cs="Times New Roman"/>
                <w:b w:val="1"/>
                <w:color w:val="FFFFFF"/>
                <w:sz w:val="21"/>
                <w:szCs w:val="21"/>
                <w:bCs w:val="1"/>
                <w:i w:val="0"/>
                <w:iCs w:val="0"/>
              </w:rPr>
              <w:t>Data and leakage safeguard</w:t>
            </w:r>
          </w:p>
        </w:tc>
        <w:tc>
          <w:tcPr>
            <w:tcW w:type="dxa" w:w="1224"/>
            <w:vAlign w:val="center"/>
            <w:tcMar>
              <w:top w:w="60" w:type="dxa"/>
              <w:start w:w="65" w:type="dxa"/>
              <w:bottom w:w="60" w:type="dxa"/>
              <w:end w:w="65" w:type="dxa"/>
            </w:tcMar>
            <w:shd w:fill="124E78"/>
          </w:tcPr>
          <w:p>
            <w:pPr>
              <w:spacing w:before="0" w:after="0" w:line="220" w:lineRule="auto"/>
              <w:jc w:val="center"/>
            </w:pPr>
            <w:r>
              <w:rPr>
                <w:rFonts w:ascii="Times New Roman" w:hAnsi="Times New Roman" w:eastAsia="Times New Roman" w:cs="Times New Roman"/>
                <w:b w:val="1"/>
                <w:color w:val="FFFFFF"/>
                <w:sz w:val="21"/>
                <w:szCs w:val="21"/>
                <w:bCs w:val="1"/>
                <w:i w:val="0"/>
                <w:iCs w:val="0"/>
              </w:rPr>
              <w:t>Endpoint</w:t>
            </w:r>
          </w:p>
        </w:tc>
        <w:tc>
          <w:tcPr>
            <w:tcW w:type="dxa" w:w="1584"/>
            <w:vAlign w:val="center"/>
            <w:tcMar>
              <w:top w:w="60" w:type="dxa"/>
              <w:start w:w="65" w:type="dxa"/>
              <w:bottom w:w="60" w:type="dxa"/>
              <w:end w:w="65" w:type="dxa"/>
            </w:tcMar>
            <w:shd w:fill="124E78"/>
          </w:tcPr>
          <w:p>
            <w:pPr>
              <w:spacing w:before="0" w:after="0" w:line="220" w:lineRule="auto"/>
              <w:jc w:val="center"/>
            </w:pPr>
            <w:r>
              <w:rPr>
                <w:rFonts w:ascii="Times New Roman" w:hAnsi="Times New Roman" w:eastAsia="Times New Roman" w:cs="Times New Roman"/>
                <w:b w:val="1"/>
                <w:color w:val="FFFFFF"/>
                <w:sz w:val="21"/>
                <w:szCs w:val="21"/>
                <w:bCs w:val="1"/>
                <w:i w:val="0"/>
                <w:iCs w:val="0"/>
              </w:rPr>
              <w:t>Observed result</w:t>
            </w:r>
          </w:p>
        </w:tc>
        <w:tc>
          <w:tcPr>
            <w:tcW w:type="dxa" w:w="3024"/>
            <w:vAlign w:val="center"/>
            <w:tcMar>
              <w:top w:w="60" w:type="dxa"/>
              <w:start w:w="65" w:type="dxa"/>
              <w:bottom w:w="60" w:type="dxa"/>
              <w:end w:w="65" w:type="dxa"/>
            </w:tcMar>
            <w:shd w:fill="124E78"/>
          </w:tcPr>
          <w:p>
            <w:pPr>
              <w:spacing w:before="0" w:after="0" w:line="220" w:lineRule="auto"/>
              <w:jc w:val="center"/>
            </w:pPr>
            <w:r>
              <w:rPr>
                <w:rFonts w:ascii="Times New Roman" w:hAnsi="Times New Roman" w:eastAsia="Times New Roman" w:cs="Times New Roman"/>
                <w:b w:val="1"/>
                <w:color w:val="FFFFFF"/>
                <w:sz w:val="21"/>
                <w:szCs w:val="21"/>
                <w:bCs w:val="1"/>
                <w:i w:val="0"/>
                <w:iCs w:val="0"/>
              </w:rPr>
              <w:t>Permitted conclusion</w:t>
            </w:r>
          </w:p>
        </w:tc>
      </w:tr>
      <w:tr>
        <w:trPr>
          <w:cantSplit/>
        </w:trPr>
        <w:tc>
          <w:tcPr>
            <w:tcW w:type="dxa" w:w="1757"/>
            <w:vAlign w:val="center"/>
            <w:tcMar>
              <w:top w:w="60" w:type="dxa"/>
              <w:start w:w="65" w:type="dxa"/>
              <w:bottom w:w="60" w:type="dxa"/>
              <w:end w:w="65" w:type="dxa"/>
            </w:tcMar>
            <w:shd w:fill="F3F8FB"/>
          </w:tcPr>
          <w:p>
            <w:pPr>
              <w:spacing w:before="0" w:after="0" w:line="220" w:lineRule="auto"/>
              <w:jc w:val="left"/>
            </w:pPr>
            <w:r>
              <w:rPr>
                <w:rFonts w:ascii="Times New Roman" w:hAnsi="Times New Roman" w:eastAsia="Times New Roman" w:cs="Times New Roman"/>
                <w:b w:val="0"/>
                <w:color w:val="17212B"/>
                <w:sz w:val="21"/>
                <w:szCs w:val="21"/>
                <w:bCs w:val="0"/>
                <w:i w:val="0"/>
                <w:iCs w:val="0"/>
              </w:rPr>
              <w:t>Does the ESS-scaled loss improve segmentation?</w:t>
            </w:r>
          </w:p>
        </w:tc>
        <w:tc>
          <w:tcPr>
            <w:tcW w:type="dxa" w:w="1325"/>
            <w:vAlign w:val="center"/>
            <w:tcMar>
              <w:top w:w="60" w:type="dxa"/>
              <w:start w:w="65" w:type="dxa"/>
              <w:bottom w:w="60" w:type="dxa"/>
              <w:end w:w="65" w:type="dxa"/>
            </w:tcMar>
            <w:shd w:fill="F3F8FB"/>
          </w:tcPr>
          <w:p>
            <w:pPr>
              <w:spacing w:before="0" w:after="0" w:line="220" w:lineRule="auto"/>
              <w:jc w:val="left"/>
            </w:pPr>
            <w:r>
              <w:rPr>
                <w:rFonts w:ascii="Times New Roman" w:hAnsi="Times New Roman" w:eastAsia="Times New Roman" w:cs="Times New Roman"/>
                <w:b w:val="0"/>
                <w:color w:val="17212B"/>
                <w:sz w:val="21"/>
                <w:szCs w:val="21"/>
                <w:bCs w:val="0"/>
                <w:i w:val="0"/>
                <w:iCs w:val="0"/>
              </w:rPr>
              <w:t>Tian; complete-volume outer LOO; fixed 60 epochs</w:t>
            </w:r>
          </w:p>
        </w:tc>
        <w:tc>
          <w:tcPr>
            <w:tcW w:type="dxa" w:w="1224"/>
            <w:vAlign w:val="center"/>
            <w:tcMar>
              <w:top w:w="60" w:type="dxa"/>
              <w:start w:w="65" w:type="dxa"/>
              <w:bottom w:w="60" w:type="dxa"/>
              <w:end w:w="65" w:type="dxa"/>
            </w:tcMar>
            <w:shd w:fill="F3F8FB"/>
          </w:tcPr>
          <w:p>
            <w:pPr>
              <w:spacing w:before="0" w:after="0" w:line="220" w:lineRule="auto"/>
              <w:jc w:val="left"/>
            </w:pPr>
            <w:r>
              <w:rPr>
                <w:rFonts w:ascii="Times New Roman" w:hAnsi="Times New Roman" w:eastAsia="Times New Roman" w:cs="Times New Roman"/>
                <w:b w:val="0"/>
                <w:color w:val="17212B"/>
                <w:sz w:val="21"/>
                <w:szCs w:val="21"/>
                <w:bCs w:val="0"/>
                <w:i w:val="0"/>
                <w:iCs w:val="0"/>
              </w:rPr>
              <w:t>Paired MAE, 20,000-draw bootstrap, Wilcoxon</w:t>
            </w:r>
          </w:p>
        </w:tc>
        <w:tc>
          <w:tcPr>
            <w:tcW w:type="dxa" w:w="1584"/>
            <w:vAlign w:val="center"/>
            <w:tcMar>
              <w:top w:w="60" w:type="dxa"/>
              <w:start w:w="65" w:type="dxa"/>
              <w:bottom w:w="60" w:type="dxa"/>
              <w:end w:w="65" w:type="dxa"/>
            </w:tcMar>
            <w:shd w:fill="F3F8FB"/>
          </w:tcPr>
          <w:p>
            <w:pPr>
              <w:spacing w:before="0" w:after="0" w:line="220" w:lineRule="auto"/>
              <w:jc w:val="left"/>
            </w:pPr>
            <w:r>
              <w:rPr>
                <w:rFonts w:ascii="Times New Roman" w:hAnsi="Times New Roman" w:eastAsia="Times New Roman" w:cs="Times New Roman"/>
                <w:b w:val="0"/>
                <w:color w:val="17212B"/>
                <w:sz w:val="21"/>
                <w:szCs w:val="21"/>
                <w:bCs w:val="0"/>
                <w:i w:val="0"/>
                <w:iCs w:val="0"/>
              </w:rPr>
              <w:t>−0.019 px; 95% CI [−0.074, 0.028]; p = 0.375</w:t>
            </w:r>
          </w:p>
        </w:tc>
        <w:tc>
          <w:tcPr>
            <w:tcW w:type="dxa" w:w="3024"/>
            <w:vAlign w:val="center"/>
            <w:tcMar>
              <w:top w:w="60" w:type="dxa"/>
              <w:start w:w="65" w:type="dxa"/>
              <w:bottom w:w="60" w:type="dxa"/>
              <w:end w:w="65" w:type="dxa"/>
            </w:tcMar>
            <w:shd w:fill="F3F8FB"/>
          </w:tcPr>
          <w:p>
            <w:pPr>
              <w:spacing w:before="0" w:after="0" w:line="220" w:lineRule="auto"/>
              <w:jc w:val="left"/>
            </w:pPr>
            <w:r>
              <w:rPr>
                <w:rFonts w:ascii="Times New Roman" w:hAnsi="Times New Roman" w:eastAsia="Times New Roman" w:cs="Times New Roman"/>
                <w:b w:val="0"/>
                <w:color w:val="17212B"/>
                <w:sz w:val="21"/>
                <w:szCs w:val="21"/>
                <w:bCs w:val="0"/>
                <w:i w:val="0"/>
                <w:iCs w:val="0"/>
              </w:rPr>
              <w:t>No accuracy superiority claim</w:t>
            </w:r>
          </w:p>
        </w:tc>
      </w:tr>
      <w:tr>
        <w:trPr>
          <w:cantSplit/>
        </w:trPr>
        <w:tc>
          <w:tcPr>
            <w:tcW w:type="dxa" w:w="1757"/>
            <w:vAlign w:val="center"/>
            <w:tcMar>
              <w:top w:w="60" w:type="dxa"/>
              <w:start w:w="65" w:type="dxa"/>
              <w:bottom w:w="60" w:type="dxa"/>
              <w:end w:w="65" w:type="dxa"/>
            </w:tcMar>
            <w:shd w:fill="F6F8FA"/>
          </w:tcPr>
          <w:p>
            <w:pPr>
              <w:spacing w:before="0" w:after="0" w:line="220" w:lineRule="auto"/>
              <w:jc w:val="left"/>
            </w:pPr>
            <w:r>
              <w:rPr>
                <w:rFonts w:ascii="Times New Roman" w:hAnsi="Times New Roman" w:eastAsia="Times New Roman" w:cs="Times New Roman"/>
                <w:b w:val="0"/>
                <w:color w:val="17212B"/>
                <w:sz w:val="21"/>
                <w:szCs w:val="21"/>
                <w:bCs w:val="0"/>
                <w:i w:val="0"/>
                <w:iCs w:val="0"/>
              </w:rPr>
              <w:t>Does the statistic count repeated scans as evidence?</w:t>
            </w:r>
          </w:p>
        </w:tc>
        <w:tc>
          <w:tcPr>
            <w:tcW w:type="dxa" w:w="1325"/>
            <w:vAlign w:val="center"/>
            <w:tcMar>
              <w:top w:w="60" w:type="dxa"/>
              <w:start w:w="65" w:type="dxa"/>
              <w:bottom w:w="60" w:type="dxa"/>
              <w:end w:w="65" w:type="dxa"/>
            </w:tcMar>
            <w:shd w:fill="F6F8FA"/>
          </w:tcPr>
          <w:p>
            <w:pPr>
              <w:spacing w:before="0" w:after="0" w:line="220" w:lineRule="auto"/>
              <w:jc w:val="left"/>
            </w:pPr>
            <w:r>
              <w:rPr>
                <w:rFonts w:ascii="Times New Roman" w:hAnsi="Times New Roman" w:eastAsia="Times New Roman" w:cs="Times New Roman"/>
                <w:b w:val="0"/>
                <w:color w:val="17212B"/>
                <w:sz w:val="21"/>
                <w:szCs w:val="21"/>
                <w:bCs w:val="0"/>
                <w:i w:val="0"/>
                <w:iCs w:val="0"/>
              </w:rPr>
              <w:t>Tian; fixed label-free descriptors; 5 perturbations</w:t>
            </w:r>
          </w:p>
        </w:tc>
        <w:tc>
          <w:tcPr>
            <w:tcW w:type="dxa" w:w="1224"/>
            <w:vAlign w:val="center"/>
            <w:tcMar>
              <w:top w:w="60" w:type="dxa"/>
              <w:start w:w="65" w:type="dxa"/>
              <w:bottom w:w="60" w:type="dxa"/>
              <w:end w:w="65" w:type="dxa"/>
            </w:tcMar>
            <w:shd w:fill="F6F8FA"/>
          </w:tcPr>
          <w:p>
            <w:pPr>
              <w:spacing w:before="0" w:after="0" w:line="220" w:lineRule="auto"/>
              <w:jc w:val="left"/>
            </w:pPr>
            <w:r>
              <w:rPr>
                <w:rFonts w:ascii="Times New Roman" w:hAnsi="Times New Roman" w:eastAsia="Times New Roman" w:cs="Times New Roman"/>
                <w:b w:val="0"/>
                <w:color w:val="17212B"/>
                <w:sz w:val="21"/>
                <w:szCs w:val="21"/>
                <w:bCs w:val="0"/>
                <w:i w:val="0"/>
                <w:iCs w:val="0"/>
              </w:rPr>
              <w:t>Raw count and volume ESS</w:t>
            </w:r>
          </w:p>
        </w:tc>
        <w:tc>
          <w:tcPr>
            <w:tcW w:type="dxa" w:w="1584"/>
            <w:vAlign w:val="center"/>
            <w:tcMar>
              <w:top w:w="60" w:type="dxa"/>
              <w:start w:w="65" w:type="dxa"/>
              <w:bottom w:w="60" w:type="dxa"/>
              <w:end w:w="65" w:type="dxa"/>
            </w:tcMar>
            <w:shd w:fill="F6F8FA"/>
          </w:tcPr>
          <w:p>
            <w:pPr>
              <w:spacing w:before="0" w:after="0" w:line="220" w:lineRule="auto"/>
              <w:jc w:val="left"/>
            </w:pPr>
            <w:r>
              <w:rPr>
                <w:rFonts w:ascii="Times New Roman" w:hAnsi="Times New Roman" w:eastAsia="Times New Roman" w:cs="Times New Roman"/>
                <w:b w:val="0"/>
                <w:color w:val="17212B"/>
                <w:sz w:val="21"/>
                <w:szCs w:val="21"/>
                <w:bCs w:val="0"/>
                <w:i w:val="0"/>
                <w:iCs w:val="0"/>
              </w:rPr>
              <w:t>5→20 raw slices; ESS 1.562→1.519</w:t>
            </w:r>
          </w:p>
        </w:tc>
        <w:tc>
          <w:tcPr>
            <w:tcW w:type="dxa" w:w="3024"/>
            <w:vAlign w:val="center"/>
            <w:tcMar>
              <w:top w:w="60" w:type="dxa"/>
              <w:start w:w="65" w:type="dxa"/>
              <w:bottom w:w="60" w:type="dxa"/>
              <w:end w:w="65" w:type="dxa"/>
            </w:tcMar>
            <w:shd w:fill="F6F8FA"/>
          </w:tcPr>
          <w:p>
            <w:pPr>
              <w:spacing w:before="0" w:after="0" w:line="220" w:lineRule="auto"/>
              <w:jc w:val="left"/>
            </w:pPr>
            <w:r>
              <w:rPr>
                <w:rFonts w:ascii="Times New Roman" w:hAnsi="Times New Roman" w:eastAsia="Times New Roman" w:cs="Times New Roman"/>
                <w:b w:val="0"/>
                <w:color w:val="17212B"/>
                <w:sz w:val="21"/>
                <w:szCs w:val="21"/>
                <w:bCs w:val="0"/>
                <w:i w:val="0"/>
                <w:iCs w:val="0"/>
              </w:rPr>
              <w:t>Yes: copied scans remain redundant</w:t>
            </w:r>
          </w:p>
        </w:tc>
      </w:tr>
      <w:tr>
        <w:trPr>
          <w:cantSplit/>
        </w:trPr>
        <w:tc>
          <w:tcPr>
            <w:tcW w:type="dxa" w:w="1757"/>
            <w:vAlign w:val="center"/>
            <w:tcMar>
              <w:top w:w="60" w:type="dxa"/>
              <w:start w:w="65" w:type="dxa"/>
              <w:bottom w:w="60" w:type="dxa"/>
              <w:end w:w="65" w:type="dxa"/>
            </w:tcMar>
            <w:shd w:fill="F3F8FB"/>
          </w:tcPr>
          <w:p>
            <w:pPr>
              <w:spacing w:before="0" w:after="0" w:line="220" w:lineRule="auto"/>
              <w:jc w:val="left"/>
            </w:pPr>
            <w:r>
              <w:rPr>
                <w:rFonts w:ascii="Times New Roman" w:hAnsi="Times New Roman" w:eastAsia="Times New Roman" w:cs="Times New Roman"/>
                <w:b w:val="0"/>
                <w:color w:val="17212B"/>
                <w:sz w:val="21"/>
                <w:szCs w:val="21"/>
                <w:bCs w:val="0"/>
                <w:i w:val="0"/>
                <w:iCs w:val="0"/>
              </w:rPr>
              <w:t>What performance follows leakage-safe protocol selection and refit?</w:t>
            </w:r>
          </w:p>
        </w:tc>
        <w:tc>
          <w:tcPr>
            <w:tcW w:type="dxa" w:w="1325"/>
            <w:vAlign w:val="center"/>
            <w:tcMar>
              <w:top w:w="60" w:type="dxa"/>
              <w:start w:w="65" w:type="dxa"/>
              <w:bottom w:w="60" w:type="dxa"/>
              <w:end w:w="65" w:type="dxa"/>
            </w:tcMar>
            <w:shd w:fill="F3F8FB"/>
          </w:tcPr>
          <w:p>
            <w:pPr>
              <w:spacing w:before="0" w:after="0" w:line="220" w:lineRule="auto"/>
              <w:jc w:val="left"/>
            </w:pPr>
            <w:r>
              <w:rPr>
                <w:rFonts w:ascii="Times New Roman" w:hAnsi="Times New Roman" w:eastAsia="Times New Roman" w:cs="Times New Roman"/>
                <w:b w:val="0"/>
                <w:color w:val="17212B"/>
                <w:sz w:val="21"/>
                <w:szCs w:val="21"/>
                <w:bCs w:val="0"/>
                <w:i w:val="0"/>
                <w:iCs w:val="0"/>
              </w:rPr>
              <w:t>Tian; 3-group inner selection, 10 outer tests × 3 seeds</w:t>
            </w:r>
          </w:p>
        </w:tc>
        <w:tc>
          <w:tcPr>
            <w:tcW w:type="dxa" w:w="1224"/>
            <w:vAlign w:val="center"/>
            <w:tcMar>
              <w:top w:w="60" w:type="dxa"/>
              <w:start w:w="65" w:type="dxa"/>
              <w:bottom w:w="60" w:type="dxa"/>
              <w:end w:w="65" w:type="dxa"/>
            </w:tcMar>
            <w:shd w:fill="F3F8FB"/>
          </w:tcPr>
          <w:p>
            <w:pPr>
              <w:spacing w:before="0" w:after="0" w:line="220" w:lineRule="auto"/>
              <w:jc w:val="left"/>
            </w:pPr>
            <w:r>
              <w:rPr>
                <w:rFonts w:ascii="Times New Roman" w:hAnsi="Times New Roman" w:eastAsia="Times New Roman" w:cs="Times New Roman"/>
                <w:b w:val="0"/>
                <w:color w:val="17212B"/>
                <w:sz w:val="21"/>
                <w:szCs w:val="21"/>
                <w:bCs w:val="0"/>
                <w:i w:val="0"/>
                <w:iCs w:val="0"/>
              </w:rPr>
              <w:t>Outer-test MAE</w:t>
            </w:r>
          </w:p>
        </w:tc>
        <w:tc>
          <w:tcPr>
            <w:tcW w:type="dxa" w:w="1584"/>
            <w:vAlign w:val="center"/>
            <w:tcMar>
              <w:top w:w="60" w:type="dxa"/>
              <w:start w:w="65" w:type="dxa"/>
              <w:bottom w:w="60" w:type="dxa"/>
              <w:end w:w="65" w:type="dxa"/>
            </w:tcMar>
            <w:shd w:fill="F3F8FB"/>
          </w:tcPr>
          <w:p>
            <w:pPr>
              <w:spacing w:before="0" w:after="0" w:line="220" w:lineRule="auto"/>
              <w:jc w:val="left"/>
            </w:pPr>
            <w:r>
              <w:rPr>
                <w:rFonts w:ascii="Times New Roman" w:hAnsi="Times New Roman" w:eastAsia="Times New Roman" w:cs="Times New Roman"/>
                <w:b w:val="0"/>
                <w:color w:val="17212B"/>
                <w:sz w:val="21"/>
                <w:szCs w:val="21"/>
                <w:bCs w:val="0"/>
                <w:i w:val="0"/>
                <w:iCs w:val="0"/>
              </w:rPr>
              <w:t>Seed means 6.101, 5.929, 5.778 px</w:t>
            </w:r>
          </w:p>
        </w:tc>
        <w:tc>
          <w:tcPr>
            <w:tcW w:type="dxa" w:w="3024"/>
            <w:vAlign w:val="center"/>
            <w:tcMar>
              <w:top w:w="60" w:type="dxa"/>
              <w:start w:w="65" w:type="dxa"/>
              <w:bottom w:w="60" w:type="dxa"/>
              <w:end w:w="65" w:type="dxa"/>
            </w:tcMar>
            <w:shd w:fill="F3F8FB"/>
          </w:tcPr>
          <w:p>
            <w:pPr>
              <w:spacing w:before="0" w:after="0" w:line="220" w:lineRule="auto"/>
              <w:jc w:val="left"/>
            </w:pPr>
            <w:r>
              <w:rPr>
                <w:rFonts w:ascii="Times New Roman" w:hAnsi="Times New Roman" w:eastAsia="Times New Roman" w:cs="Times New Roman"/>
                <w:b w:val="0"/>
                <w:color w:val="17212B"/>
                <w:sz w:val="21"/>
                <w:szCs w:val="21"/>
                <w:bCs w:val="0"/>
                <w:i w:val="0"/>
                <w:iCs w:val="0"/>
              </w:rPr>
              <w:t>Nested selection-and-refit is feasible; an isolated augmentation gain is not established</w:t>
            </w:r>
          </w:p>
        </w:tc>
      </w:tr>
      <w:tr>
        <w:trPr>
          <w:cantSplit/>
        </w:trPr>
        <w:tc>
          <w:tcPr>
            <w:tcW w:type="dxa" w:w="1757"/>
            <w:vAlign w:val="center"/>
            <w:tcMar>
              <w:top w:w="60" w:type="dxa"/>
              <w:start w:w="65" w:type="dxa"/>
              <w:bottom w:w="60" w:type="dxa"/>
              <w:end w:w="65" w:type="dxa"/>
            </w:tcMar>
            <w:shd w:fill="F6F8FA"/>
          </w:tcPr>
          <w:p>
            <w:pPr>
              <w:spacing w:before="0" w:after="0" w:line="220" w:lineRule="auto"/>
              <w:jc w:val="left"/>
            </w:pPr>
            <w:r>
              <w:rPr>
                <w:rFonts w:ascii="Times New Roman" w:hAnsi="Times New Roman" w:eastAsia="Times New Roman" w:cs="Times New Roman"/>
                <w:b w:val="0"/>
                <w:color w:val="17212B"/>
                <w:sz w:val="21"/>
                <w:szCs w:val="21"/>
                <w:bCs w:val="0"/>
                <w:i w:val="0"/>
                <w:iCs w:val="0"/>
              </w:rPr>
              <w:t>Can grouped analysis extend to a distinct paired-image task?</w:t>
            </w:r>
          </w:p>
        </w:tc>
        <w:tc>
          <w:tcPr>
            <w:tcW w:type="dxa" w:w="1325"/>
            <w:vAlign w:val="center"/>
            <w:tcMar>
              <w:top w:w="60" w:type="dxa"/>
              <w:start w:w="65" w:type="dxa"/>
              <w:bottom w:w="60" w:type="dxa"/>
              <w:end w:w="65" w:type="dxa"/>
            </w:tcMar>
            <w:shd w:fill="F6F8FA"/>
          </w:tcPr>
          <w:p>
            <w:pPr>
              <w:spacing w:before="0" w:after="0" w:line="220" w:lineRule="auto"/>
              <w:jc w:val="left"/>
            </w:pPr>
            <w:r>
              <w:rPr>
                <w:rFonts w:ascii="Times New Roman" w:hAnsi="Times New Roman" w:eastAsia="Times New Roman" w:cs="Times New Roman"/>
                <w:b w:val="0"/>
                <w:color w:val="17212B"/>
                <w:sz w:val="21"/>
                <w:szCs w:val="21"/>
                <w:bCs w:val="0"/>
                <w:i w:val="0"/>
                <w:iCs w:val="0"/>
              </w:rPr>
              <w:t>AFIO; all 49 pairs, 26 patients, 5 group folds × 3 seeds</w:t>
            </w:r>
          </w:p>
        </w:tc>
        <w:tc>
          <w:tcPr>
            <w:tcW w:type="dxa" w:w="1224"/>
            <w:vAlign w:val="center"/>
            <w:tcMar>
              <w:top w:w="60" w:type="dxa"/>
              <w:start w:w="65" w:type="dxa"/>
              <w:bottom w:w="60" w:type="dxa"/>
              <w:end w:w="65" w:type="dxa"/>
            </w:tcMar>
            <w:shd w:fill="F6F8FA"/>
          </w:tcPr>
          <w:p>
            <w:pPr>
              <w:spacing w:before="0" w:after="0" w:line="220" w:lineRule="auto"/>
              <w:jc w:val="left"/>
            </w:pPr>
            <w:r>
              <w:rPr>
                <w:rFonts w:ascii="Times New Roman" w:hAnsi="Times New Roman" w:eastAsia="Times New Roman" w:cs="Times New Roman"/>
                <w:b w:val="0"/>
                <w:color w:val="17212B"/>
                <w:sz w:val="21"/>
                <w:szCs w:val="21"/>
                <w:bCs w:val="0"/>
                <w:i w:val="0"/>
                <w:iCs w:val="0"/>
              </w:rPr>
              <w:t>Balanced accuracy; macro F1</w:t>
            </w:r>
          </w:p>
        </w:tc>
        <w:tc>
          <w:tcPr>
            <w:tcW w:type="dxa" w:w="1584"/>
            <w:vAlign w:val="center"/>
            <w:tcMar>
              <w:top w:w="60" w:type="dxa"/>
              <w:start w:w="65" w:type="dxa"/>
              <w:bottom w:w="60" w:type="dxa"/>
              <w:end w:w="65" w:type="dxa"/>
            </w:tcMar>
            <w:shd w:fill="F6F8FA"/>
          </w:tcPr>
          <w:p>
            <w:pPr>
              <w:spacing w:before="0" w:after="0" w:line="220" w:lineRule="auto"/>
              <w:jc w:val="left"/>
            </w:pPr>
            <w:r>
              <w:rPr>
                <w:rFonts w:ascii="Times New Roman" w:hAnsi="Times New Roman" w:eastAsia="Times New Roman" w:cs="Times New Roman"/>
                <w:b w:val="0"/>
                <w:color w:val="17212B"/>
                <w:sz w:val="21"/>
                <w:szCs w:val="21"/>
                <w:bCs w:val="0"/>
                <w:i w:val="0"/>
                <w:iCs w:val="0"/>
              </w:rPr>
              <w:t>Fusion balanced accuracy/F1 0.542/0.485</w:t>
            </w:r>
          </w:p>
        </w:tc>
        <w:tc>
          <w:tcPr>
            <w:tcW w:type="dxa" w:w="3024"/>
            <w:vAlign w:val="center"/>
            <w:tcMar>
              <w:top w:w="60" w:type="dxa"/>
              <w:start w:w="65" w:type="dxa"/>
              <w:bottom w:w="60" w:type="dxa"/>
              <w:end w:w="65" w:type="dxa"/>
            </w:tcMar>
            <w:shd w:fill="F6F8FA"/>
          </w:tcPr>
          <w:p>
            <w:pPr>
              <w:spacing w:before="0" w:after="0" w:line="220" w:lineRule="auto"/>
              <w:jc w:val="left"/>
            </w:pPr>
            <w:r>
              <w:rPr>
                <w:rFonts w:ascii="Times New Roman" w:hAnsi="Times New Roman" w:eastAsia="Times New Roman" w:cs="Times New Roman"/>
                <w:b w:val="0"/>
                <w:color w:val="17212B"/>
                <w:sz w:val="21"/>
                <w:szCs w:val="21"/>
                <w:bCs w:val="0"/>
                <w:i w:val="0"/>
                <w:iCs w:val="0"/>
              </w:rPr>
              <w:t>Exploratory feasibility; no fusion superiority or 3D transfer claim</w:t>
            </w:r>
          </w:p>
        </w:tc>
      </w:tr>
    </w:tbl>
    <w:p>
      <w:pPr>
        <w:pStyle w:val="4"/>
      </w:pPr>
      <w:r>
        <w:rPr>
          <w:rFonts w:ascii="Times New Roman" w:hAnsi="Times New Roman" w:eastAsia="Times New Roman" w:cs="Times New Roman"/>
          <w:b w:val="1"/>
          <w:sz w:val="28"/>
          <w:szCs w:val="28"/>
          <w:bCs w:val="1"/>
          <w:i w:val="0"/>
          <w:iCs w:val="0"/>
        </w:rPr>
        <w:t>3.2 Predictive comparison and nested optimization</w:t>
      </w:r>
    </w:p>
    <w:p>
      <w:pPr>
        <w:keepNext w:val="0"/>
        <w:spacing w:after="80" w:line="240" w:lineRule="auto"/>
        <w:jc w:val="both"/>
      </w:pPr>
      <w:r>
        <w:rPr>
          <w:rFonts w:ascii="Times New Roman" w:hAnsi="Times New Roman" w:eastAsia="Times New Roman"/>
          <w:color w:val="17212B"/>
          <w:sz w:val="20"/>
        </w:rPr>
        <w:t>At 60 epochs with fixed hyperparameters, SliceCNN obtained 11.450 ± 4.632 pixels and RetiESS-Seg obtained 11.431 ± 4.608 pixels across the 10 held-out volumes. RetiESS-Seg minus SliceCNN was −0.019 pixels; the 95% bootstrap interval (−0.074 to 0.028) included zero and the Wilcoxon p value was 0.375. The effect was also numerically tiny in two additional 60-epoch seeds. Consequently, the ESS-scaled derivative objective is not presented as a segmentation improvement. The fixed endpoint, nested optimization experiment, and protocol attribution are separated in Table 3 and Fig. 2A–B.</w:t>
      </w:r>
    </w:p>
    <w:p>
      <w:pPr>
        <w:keepNext w:val="0"/>
        <w:spacing w:after="120" w:line="276" w:lineRule="auto"/>
        <w:jc w:val="both"/>
      </w:pPr>
      <w:r>
        <w:rPr>
          <w:rFonts w:ascii="Times New Roman" w:hAnsi="Times New Roman" w:eastAsia="Times New Roman"/>
          <w:sz w:val="24"/>
        </w:rPr>
        <w:t>The independent model-development experiment used nested selection between plain and combined-augmentation candidates. Outer-volume MAE was 6.101, 5.929, and 5.778 pixels in the three seeds; the mean of the three seed means was 5.936 pixels (seed-level SD 0.162), and augmentation was selected in 16 of 30 outer folds. Every selected candidate was then refitted for 120 epochs, whereas the fixed benchmark used 60 epochs. Therefore, the numerical contrast with the fixed benchmark does not isolate an augmentation effect from the longer refit budget and is not reported as a percentage improvement. Within the fixed 120-epoch ablations, appearance-only augmentation was more favorable than synchronized shift alone.</w:t>
      </w:r>
    </w:p>
    <w:p>
      <w:pPr>
        <w:keepNext/>
        <w:spacing w:before="120" w:after="80" w:line="240" w:lineRule="auto"/>
        <w:jc w:val="both"/>
      </w:pPr>
      <w:r>
        <w:rPr>
          <w:rFonts w:ascii="Times New Roman" w:hAnsi="Times New Roman" w:eastAsia="Times New Roman" w:cs="Times New Roman"/>
          <w:sz w:val="24"/>
          <w:szCs w:val="24"/>
          <w:b w:val="1"/>
          <w:bCs w:val="1"/>
          <w:i w:val="0"/>
          <w:iCs w:val="0"/>
        </w:rPr>
        <w:t xml:space="preserve">Table 3. </w:t>
      </w:r>
      <w:r>
        <w:rPr>
          <w:rFonts w:ascii="Times New Roman" w:hAnsi="Times New Roman" w:eastAsia="Times New Roman" w:cs="Times New Roman"/>
          <w:sz w:val="24"/>
          <w:szCs w:val="24"/>
          <w:b w:val="0"/>
          <w:bCs w:val="0"/>
          <w:i w:val="0"/>
          <w:iCs w:val="0"/>
        </w:rPr>
        <w:t>Tian volume-level boundary MAE and protocol attribution. Values after ± are sample SD across 10 held-out volumes unless noted. The nested rows summarize selection-and-refit performance; they do not isolate augmentation or establish RetiESS superiority.</w:t>
      </w:r>
    </w:p>
    <w:tbl>
      <w:tblPr>
        <w:tblStyle w:val="21"/>
        <w:tblW w:type="auto" w:w="0"/>
        <w:jc w:val="center"/>
        <w:tblLayout w:type="fixed"/>
        <w:tblLook w:firstColumn="1" w:firstRow="1" w:lastColumn="0" w:lastRow="0" w:noHBand="0" w:noVBand="1" w:val="04A0"/>
      </w:tblPr>
      <w:tblGrid>
        <w:gridCol w:w="1661"/>
        <w:gridCol w:w="1661"/>
        <w:gridCol w:w="1661"/>
        <w:gridCol w:w="1661"/>
        <w:gridCol w:w="1661"/>
      </w:tblGrid>
      <w:tr>
        <w:trPr>
          <w:tblHeader w:val="true"/>
          <w:tblHeader w:val="true"/>
          <w:cantSplit/>
        </w:trPr>
        <w:tc>
          <w:tcPr>
            <w:tcW w:type="dxa" w:w="2016"/>
            <w:vAlign w:val="center"/>
            <w:tcMar>
              <w:top w:w="60" w:type="dxa"/>
              <w:start w:w="65" w:type="dxa"/>
              <w:bottom w:w="60" w:type="dxa"/>
              <w:end w:w="65" w:type="dxa"/>
            </w:tcMar>
            <w:tcBorders>
              <w:top w:val="single" w:sz="12" w:color="333333"/>
              <w:bottom w:val="single" w:sz="8" w:color="333333"/>
            </w:tcBorders>
            <w:shd w:fill="124E78"/>
          </w:tcPr>
          <w:p>
            <w:pPr>
              <w:spacing w:after="0" w:line="220" w:lineRule="auto" w:before="0"/>
              <w:jc w:val="center"/>
            </w:pPr>
            <w:r>
              <w:rPr>
                <w:rFonts w:ascii="Times New Roman" w:hAnsi="Times New Roman" w:eastAsia="Times New Roman" w:cs="Times New Roman"/>
                <w:b w:val="1"/>
                <w:color w:val="FFFFFF"/>
                <w:sz w:val="21"/>
                <w:szCs w:val="21"/>
                <w:bCs w:val="1"/>
                <w:i w:val="0"/>
                <w:iCs w:val="0"/>
              </w:rPr>
              <w:t>Protocol</w:t>
            </w:r>
          </w:p>
        </w:tc>
        <w:tc>
          <w:tcPr>
            <w:tcW w:type="dxa" w:w="1181"/>
            <w:vAlign w:val="center"/>
            <w:tcMar>
              <w:top w:w="60" w:type="dxa"/>
              <w:start w:w="65" w:type="dxa"/>
              <w:bottom w:w="60" w:type="dxa"/>
              <w:end w:w="65" w:type="dxa"/>
            </w:tcMar>
            <w:tcBorders>
              <w:top w:val="single" w:sz="12" w:color="333333"/>
              <w:bottom w:val="single" w:sz="8" w:color="333333"/>
            </w:tcBorders>
            <w:shd w:fill="124E78"/>
          </w:tcPr>
          <w:p>
            <w:pPr>
              <w:spacing w:after="0" w:line="220" w:lineRule="auto" w:before="0"/>
              <w:jc w:val="center"/>
            </w:pPr>
            <w:r>
              <w:rPr>
                <w:rFonts w:ascii="Times New Roman" w:hAnsi="Times New Roman" w:eastAsia="Times New Roman" w:cs="Times New Roman"/>
                <w:b w:val="1"/>
                <w:color w:val="FFFFFF"/>
                <w:sz w:val="21"/>
                <w:szCs w:val="21"/>
                <w:bCs w:val="1"/>
                <w:i w:val="0"/>
                <w:iCs w:val="0"/>
              </w:rPr>
              <w:t>Epochs</w:t>
            </w:r>
          </w:p>
        </w:tc>
        <w:tc>
          <w:tcPr>
            <w:tcW w:type="dxa" w:w="1469"/>
            <w:vAlign w:val="center"/>
            <w:tcMar>
              <w:top w:w="60" w:type="dxa"/>
              <w:start w:w="65" w:type="dxa"/>
              <w:bottom w:w="60" w:type="dxa"/>
              <w:end w:w="65" w:type="dxa"/>
            </w:tcMar>
            <w:tcBorders>
              <w:top w:val="single" w:sz="12" w:color="333333"/>
              <w:bottom w:val="single" w:sz="8" w:color="333333"/>
            </w:tcBorders>
            <w:shd w:fill="124E78"/>
          </w:tcPr>
          <w:p>
            <w:pPr>
              <w:spacing w:after="0" w:line="220" w:lineRule="auto" w:before="0"/>
              <w:jc w:val="center"/>
            </w:pPr>
            <w:r>
              <w:rPr>
                <w:rFonts w:ascii="Times New Roman" w:hAnsi="Times New Roman" w:eastAsia="Times New Roman" w:cs="Times New Roman"/>
                <w:b w:val="1"/>
                <w:color w:val="FFFFFF"/>
                <w:sz w:val="21"/>
                <w:szCs w:val="21"/>
                <w:bCs w:val="1"/>
                <w:i w:val="0"/>
                <w:iCs w:val="0"/>
              </w:rPr>
              <w:t>Seed(s)</w:t>
            </w:r>
          </w:p>
        </w:tc>
        <w:tc>
          <w:tcPr>
            <w:tcW w:type="dxa" w:w="1267"/>
            <w:vAlign w:val="center"/>
            <w:tcMar>
              <w:top w:w="60" w:type="dxa"/>
              <w:start w:w="65" w:type="dxa"/>
              <w:bottom w:w="60" w:type="dxa"/>
              <w:end w:w="65" w:type="dxa"/>
            </w:tcMar>
            <w:tcBorders>
              <w:top w:val="single" w:sz="12" w:color="333333"/>
              <w:bottom w:val="single" w:sz="8" w:color="333333"/>
            </w:tcBorders>
            <w:shd w:fill="124E78"/>
          </w:tcPr>
          <w:p>
            <w:pPr>
              <w:spacing w:after="0" w:line="220" w:lineRule="auto" w:before="0"/>
              <w:jc w:val="center"/>
            </w:pPr>
            <w:r>
              <w:rPr>
                <w:rFonts w:ascii="Times New Roman" w:hAnsi="Times New Roman" w:eastAsia="Times New Roman" w:cs="Times New Roman"/>
                <w:b w:val="1"/>
                <w:color w:val="FFFFFF"/>
                <w:sz w:val="21"/>
                <w:szCs w:val="21"/>
                <w:bCs w:val="1"/>
                <w:i w:val="0"/>
                <w:iCs w:val="0"/>
              </w:rPr>
              <w:t>MAE (px)</w:t>
            </w:r>
          </w:p>
        </w:tc>
        <w:tc>
          <w:tcPr>
            <w:tcW w:type="dxa" w:w="2952"/>
            <w:vAlign w:val="center"/>
            <w:tcMar>
              <w:top w:w="60" w:type="dxa"/>
              <w:start w:w="65" w:type="dxa"/>
              <w:bottom w:w="60" w:type="dxa"/>
              <w:end w:w="65" w:type="dxa"/>
            </w:tcMar>
            <w:tcBorders>
              <w:top w:val="single" w:sz="12" w:color="333333"/>
              <w:bottom w:val="single" w:sz="8" w:color="333333"/>
            </w:tcBorders>
            <w:shd w:fill="124E78"/>
          </w:tcPr>
          <w:p>
            <w:pPr>
              <w:spacing w:after="0" w:line="220" w:lineRule="auto" w:before="0"/>
              <w:jc w:val="center"/>
            </w:pPr>
            <w:r>
              <w:rPr>
                <w:rFonts w:ascii="Times New Roman" w:hAnsi="Times New Roman" w:eastAsia="Times New Roman" w:cs="Times New Roman"/>
                <w:b w:val="1"/>
                <w:color w:val="FFFFFF"/>
                <w:sz w:val="21"/>
                <w:szCs w:val="21"/>
                <w:bCs w:val="1"/>
                <w:i w:val="0"/>
                <w:iCs w:val="0"/>
              </w:rPr>
              <w:t>Interpretation</w:t>
            </w:r>
          </w:p>
        </w:tc>
      </w:tr>
      <w:tr>
        <w:trPr>
          <w:cantSplit/>
        </w:trPr>
        <w:tc>
          <w:tcPr>
            <w:tcW w:type="dxa" w:w="2016"/>
            <w:vAlign w:val="center"/>
            <w:tcMar>
              <w:top w:w="60" w:type="dxa"/>
              <w:start w:w="65" w:type="dxa"/>
              <w:bottom w:w="60" w:type="dxa"/>
              <w:end w:w="65" w:type="dxa"/>
            </w:tcMar>
            <w:tcBorders>
              <w:bottom w:val="single" w:sz="3" w:color="B7B7B7"/>
            </w:tcBorders>
            <w:shd w:fill="F3F8FB"/>
          </w:tcPr>
          <w:p>
            <w:pPr>
              <w:spacing w:after="0" w:line="220" w:lineRule="auto" w:before="0"/>
              <w:jc w:val="left"/>
            </w:pPr>
            <w:r>
              <w:rPr>
                <w:rFonts w:ascii="Times New Roman" w:hAnsi="Times New Roman" w:eastAsia="Times New Roman" w:cs="Times New Roman"/>
                <w:b w:val="0"/>
                <w:color w:val="17212B"/>
                <w:sz w:val="21"/>
                <w:szCs w:val="21"/>
                <w:bCs w:val="0"/>
                <w:i w:val="0"/>
                <w:iCs w:val="0"/>
              </w:rPr>
              <w:t>SliceCNN, fixed plain</w:t>
            </w:r>
          </w:p>
        </w:tc>
        <w:tc>
          <w:tcPr>
            <w:tcW w:type="dxa" w:w="1181"/>
            <w:vAlign w:val="center"/>
            <w:tcMar>
              <w:top w:w="60" w:type="dxa"/>
              <w:start w:w="65" w:type="dxa"/>
              <w:bottom w:w="60" w:type="dxa"/>
              <w:end w:w="65" w:type="dxa"/>
            </w:tcMar>
            <w:tcBorders>
              <w:bottom w:val="single" w:sz="3" w:color="B7B7B7"/>
            </w:tcBorders>
            <w:shd w:fill="F3F8FB"/>
          </w:tcPr>
          <w:p>
            <w:pPr>
              <w:spacing w:after="0" w:line="220" w:lineRule="auto" w:before="0"/>
              <w:jc w:val="left"/>
            </w:pPr>
            <w:r>
              <w:rPr>
                <w:rFonts w:ascii="Times New Roman" w:hAnsi="Times New Roman" w:eastAsia="Times New Roman" w:cs="Times New Roman"/>
                <w:b w:val="0"/>
                <w:color w:val="17212B"/>
                <w:sz w:val="21"/>
                <w:szCs w:val="21"/>
                <w:bCs w:val="0"/>
                <w:i w:val="0"/>
                <w:iCs w:val="0"/>
              </w:rPr>
              <w:t>60</w:t>
            </w:r>
          </w:p>
        </w:tc>
        <w:tc>
          <w:tcPr>
            <w:tcW w:type="dxa" w:w="1469"/>
            <w:vAlign w:val="center"/>
            <w:tcMar>
              <w:top w:w="60" w:type="dxa"/>
              <w:start w:w="65" w:type="dxa"/>
              <w:bottom w:w="60" w:type="dxa"/>
              <w:end w:w="65" w:type="dxa"/>
            </w:tcMar>
            <w:tcBorders>
              <w:bottom w:val="single" w:sz="3" w:color="B7B7B7"/>
            </w:tcBorders>
            <w:shd w:fill="F3F8FB"/>
          </w:tcPr>
          <w:p>
            <w:pPr>
              <w:spacing w:after="0" w:line="220" w:lineRule="auto" w:before="0"/>
              <w:jc w:val="left"/>
            </w:pPr>
            <w:r>
              <w:rPr>
                <w:rFonts w:ascii="Times New Roman" w:hAnsi="Times New Roman" w:eastAsia="Times New Roman" w:cs="Times New Roman"/>
                <w:b w:val="0"/>
                <w:color w:val="17212B"/>
                <w:sz w:val="21"/>
                <w:szCs w:val="21"/>
                <w:bCs w:val="0"/>
                <w:i w:val="0"/>
                <w:iCs w:val="0"/>
              </w:rPr>
              <w:t>20260831</w:t>
            </w:r>
          </w:p>
        </w:tc>
        <w:tc>
          <w:tcPr>
            <w:tcW w:type="dxa" w:w="1267"/>
            <w:vAlign w:val="center"/>
            <w:tcMar>
              <w:top w:w="60" w:type="dxa"/>
              <w:start w:w="65" w:type="dxa"/>
              <w:bottom w:w="60" w:type="dxa"/>
              <w:end w:w="65" w:type="dxa"/>
            </w:tcMar>
            <w:tcBorders>
              <w:bottom w:val="single" w:sz="3" w:color="B7B7B7"/>
            </w:tcBorders>
            <w:shd w:fill="F3F8FB"/>
          </w:tcPr>
          <w:p>
            <w:pPr>
              <w:spacing w:after="0" w:line="220" w:lineRule="auto" w:before="0"/>
              <w:jc w:val="left"/>
            </w:pPr>
            <w:r>
              <w:rPr>
                <w:rFonts w:ascii="Times New Roman" w:hAnsi="Times New Roman" w:eastAsia="Times New Roman" w:cs="Times New Roman"/>
                <w:b w:val="0"/>
                <w:color w:val="17212B"/>
                <w:sz w:val="21"/>
                <w:szCs w:val="21"/>
                <w:bCs w:val="0"/>
                <w:i w:val="0"/>
                <w:iCs w:val="0"/>
              </w:rPr>
              <w:t>11.450 ± 4.632</w:t>
            </w:r>
          </w:p>
        </w:tc>
        <w:tc>
          <w:tcPr>
            <w:tcW w:type="dxa" w:w="2952"/>
            <w:vAlign w:val="center"/>
            <w:tcMar>
              <w:top w:w="60" w:type="dxa"/>
              <w:start w:w="65" w:type="dxa"/>
              <w:bottom w:w="60" w:type="dxa"/>
              <w:end w:w="65" w:type="dxa"/>
            </w:tcMar>
            <w:tcBorders>
              <w:bottom w:val="single" w:sz="3" w:color="B7B7B7"/>
            </w:tcBorders>
            <w:shd w:fill="F3F8FB"/>
          </w:tcPr>
          <w:p>
            <w:pPr>
              <w:spacing w:after="0" w:line="220" w:lineRule="auto" w:before="0"/>
              <w:jc w:val="left"/>
            </w:pPr>
            <w:r>
              <w:rPr>
                <w:rFonts w:ascii="Times New Roman" w:hAnsi="Times New Roman" w:eastAsia="Times New Roman" w:cs="Times New Roman"/>
                <w:b w:val="0"/>
                <w:color w:val="17212B"/>
                <w:sz w:val="21"/>
                <w:szCs w:val="21"/>
                <w:bCs w:val="0"/>
                <w:i w:val="0"/>
                <w:iCs w:val="0"/>
              </w:rPr>
              <w:t>Reference for paired RetiESS test</w:t>
            </w:r>
          </w:p>
        </w:tc>
      </w:tr>
      <w:tr>
        <w:trPr>
          <w:cantSplit/>
        </w:trPr>
        <w:tc>
          <w:tcPr>
            <w:tcW w:type="dxa" w:w="2016"/>
            <w:vAlign w:val="center"/>
            <w:tcMar>
              <w:top w:w="60" w:type="dxa"/>
              <w:start w:w="65" w:type="dxa"/>
              <w:bottom w:w="60" w:type="dxa"/>
              <w:end w:w="65" w:type="dxa"/>
            </w:tcMar>
            <w:tcBorders>
              <w:bottom w:val="single" w:sz="3" w:color="B7B7B7"/>
            </w:tcBorders>
            <w:shd w:fill="F6F8FA"/>
          </w:tcPr>
          <w:p>
            <w:pPr>
              <w:spacing w:after="0" w:line="220" w:lineRule="auto" w:before="0"/>
              <w:jc w:val="left"/>
            </w:pPr>
            <w:r>
              <w:rPr>
                <w:rFonts w:ascii="Times New Roman" w:hAnsi="Times New Roman" w:eastAsia="Times New Roman" w:cs="Times New Roman"/>
                <w:b w:val="0"/>
                <w:color w:val="17212B"/>
                <w:sz w:val="21"/>
                <w:szCs w:val="21"/>
                <w:bCs w:val="0"/>
                <w:i w:val="0"/>
                <w:iCs w:val="0"/>
              </w:rPr>
              <w:t>RetiESS-Seg, fixed plain</w:t>
            </w:r>
          </w:p>
        </w:tc>
        <w:tc>
          <w:tcPr>
            <w:tcW w:type="dxa" w:w="1181"/>
            <w:vAlign w:val="center"/>
            <w:tcMar>
              <w:top w:w="60" w:type="dxa"/>
              <w:start w:w="65" w:type="dxa"/>
              <w:bottom w:w="60" w:type="dxa"/>
              <w:end w:w="65" w:type="dxa"/>
            </w:tcMar>
            <w:tcBorders>
              <w:bottom w:val="single" w:sz="3" w:color="B7B7B7"/>
            </w:tcBorders>
            <w:shd w:fill="F6F8FA"/>
          </w:tcPr>
          <w:p>
            <w:pPr>
              <w:spacing w:after="0" w:line="220" w:lineRule="auto" w:before="0"/>
              <w:jc w:val="left"/>
            </w:pPr>
            <w:r>
              <w:rPr>
                <w:rFonts w:ascii="Times New Roman" w:hAnsi="Times New Roman" w:eastAsia="Times New Roman" w:cs="Times New Roman"/>
                <w:b w:val="0"/>
                <w:color w:val="17212B"/>
                <w:sz w:val="21"/>
                <w:szCs w:val="21"/>
                <w:bCs w:val="0"/>
                <w:i w:val="0"/>
                <w:iCs w:val="0"/>
              </w:rPr>
              <w:t>60</w:t>
            </w:r>
          </w:p>
        </w:tc>
        <w:tc>
          <w:tcPr>
            <w:tcW w:type="dxa" w:w="1469"/>
            <w:vAlign w:val="center"/>
            <w:tcMar>
              <w:top w:w="60" w:type="dxa"/>
              <w:start w:w="65" w:type="dxa"/>
              <w:bottom w:w="60" w:type="dxa"/>
              <w:end w:w="65" w:type="dxa"/>
            </w:tcMar>
            <w:tcBorders>
              <w:bottom w:val="single" w:sz="3" w:color="B7B7B7"/>
            </w:tcBorders>
            <w:shd w:fill="F6F8FA"/>
          </w:tcPr>
          <w:p>
            <w:pPr>
              <w:spacing w:after="0" w:line="220" w:lineRule="auto" w:before="0"/>
              <w:jc w:val="left"/>
            </w:pPr>
            <w:r>
              <w:rPr>
                <w:rFonts w:ascii="Times New Roman" w:hAnsi="Times New Roman" w:eastAsia="Times New Roman" w:cs="Times New Roman"/>
                <w:b w:val="0"/>
                <w:color w:val="17212B"/>
                <w:sz w:val="21"/>
                <w:szCs w:val="21"/>
                <w:bCs w:val="0"/>
                <w:i w:val="0"/>
                <w:iCs w:val="0"/>
              </w:rPr>
              <w:t>20260831</w:t>
            </w:r>
          </w:p>
        </w:tc>
        <w:tc>
          <w:tcPr>
            <w:tcW w:type="dxa" w:w="1267"/>
            <w:vAlign w:val="center"/>
            <w:tcMar>
              <w:top w:w="60" w:type="dxa"/>
              <w:start w:w="65" w:type="dxa"/>
              <w:bottom w:w="60" w:type="dxa"/>
              <w:end w:w="65" w:type="dxa"/>
            </w:tcMar>
            <w:tcBorders>
              <w:bottom w:val="single" w:sz="3" w:color="B7B7B7"/>
            </w:tcBorders>
            <w:shd w:fill="F6F8FA"/>
          </w:tcPr>
          <w:p>
            <w:pPr>
              <w:spacing w:after="0" w:line="220" w:lineRule="auto" w:before="0"/>
              <w:jc w:val="left"/>
            </w:pPr>
            <w:r>
              <w:rPr>
                <w:rFonts w:ascii="Times New Roman" w:hAnsi="Times New Roman" w:eastAsia="Times New Roman" w:cs="Times New Roman"/>
                <w:b w:val="0"/>
                <w:color w:val="17212B"/>
                <w:sz w:val="21"/>
                <w:szCs w:val="21"/>
                <w:bCs w:val="0"/>
                <w:i w:val="0"/>
                <w:iCs w:val="0"/>
              </w:rPr>
              <w:t>11.431 ± 4.608</w:t>
            </w:r>
          </w:p>
        </w:tc>
        <w:tc>
          <w:tcPr>
            <w:tcW w:type="dxa" w:w="2952"/>
            <w:vAlign w:val="center"/>
            <w:tcMar>
              <w:top w:w="60" w:type="dxa"/>
              <w:start w:w="65" w:type="dxa"/>
              <w:bottom w:w="60" w:type="dxa"/>
              <w:end w:w="65" w:type="dxa"/>
            </w:tcMar>
            <w:tcBorders>
              <w:bottom w:val="single" w:sz="3" w:color="B7B7B7"/>
            </w:tcBorders>
            <w:shd w:fill="F6F8FA"/>
          </w:tcPr>
          <w:p>
            <w:pPr>
              <w:spacing w:after="0" w:line="220" w:lineRule="auto" w:before="0"/>
              <w:jc w:val="left"/>
            </w:pPr>
            <w:r>
              <w:rPr>
                <w:rFonts w:ascii="Times New Roman" w:hAnsi="Times New Roman" w:eastAsia="Times New Roman" w:cs="Times New Roman"/>
                <w:b w:val="0"/>
                <w:color w:val="17212B"/>
                <w:sz w:val="21"/>
                <w:szCs w:val="21"/>
                <w:bCs w:val="0"/>
                <w:i w:val="0"/>
                <w:iCs w:val="0"/>
              </w:rPr>
              <w:t>Difference −0.019 px; not significant</w:t>
            </w:r>
          </w:p>
        </w:tc>
      </w:tr>
      <w:tr>
        <w:trPr>
          <w:cantSplit/>
        </w:trPr>
        <w:tc>
          <w:tcPr>
            <w:tcW w:type="dxa" w:w="2016"/>
            <w:vAlign w:val="center"/>
            <w:tcMar>
              <w:top w:w="60" w:type="dxa"/>
              <w:start w:w="65" w:type="dxa"/>
              <w:bottom w:w="60" w:type="dxa"/>
              <w:end w:w="65" w:type="dxa"/>
            </w:tcMar>
            <w:tcBorders>
              <w:bottom w:val="single" w:sz="3" w:color="B7B7B7"/>
            </w:tcBorders>
            <w:shd w:fill="F3F8FB"/>
          </w:tcPr>
          <w:p>
            <w:pPr>
              <w:spacing w:after="0" w:line="220" w:lineRule="auto" w:before="0"/>
              <w:jc w:val="left"/>
            </w:pPr>
            <w:r>
              <w:rPr>
                <w:rFonts w:ascii="Times New Roman" w:hAnsi="Times New Roman" w:eastAsia="Times New Roman" w:cs="Times New Roman"/>
                <w:b w:val="0"/>
                <w:color w:val="17212B"/>
                <w:sz w:val="21"/>
                <w:szCs w:val="21"/>
                <w:bCs w:val="0"/>
                <w:i w:val="0"/>
                <w:iCs w:val="0"/>
              </w:rPr>
              <w:t>SliceCNN, appearance only</w:t>
            </w:r>
          </w:p>
        </w:tc>
        <w:tc>
          <w:tcPr>
            <w:tcW w:type="dxa" w:w="1181"/>
            <w:vAlign w:val="center"/>
            <w:tcMar>
              <w:top w:w="60" w:type="dxa"/>
              <w:start w:w="65" w:type="dxa"/>
              <w:bottom w:w="60" w:type="dxa"/>
              <w:end w:w="65" w:type="dxa"/>
            </w:tcMar>
            <w:tcBorders>
              <w:bottom w:val="single" w:sz="3" w:color="B7B7B7"/>
            </w:tcBorders>
            <w:shd w:fill="F3F8FB"/>
          </w:tcPr>
          <w:p>
            <w:pPr>
              <w:spacing w:after="0" w:line="220" w:lineRule="auto" w:before="0"/>
              <w:jc w:val="left"/>
            </w:pPr>
            <w:r>
              <w:rPr>
                <w:rFonts w:ascii="Times New Roman" w:hAnsi="Times New Roman" w:eastAsia="Times New Roman" w:cs="Times New Roman"/>
                <w:b w:val="0"/>
                <w:color w:val="17212B"/>
                <w:sz w:val="21"/>
                <w:szCs w:val="21"/>
                <w:bCs w:val="0"/>
                <w:i w:val="0"/>
                <w:iCs w:val="0"/>
              </w:rPr>
              <w:t>120</w:t>
            </w:r>
          </w:p>
        </w:tc>
        <w:tc>
          <w:tcPr>
            <w:tcW w:type="dxa" w:w="1469"/>
            <w:vAlign w:val="center"/>
            <w:tcMar>
              <w:top w:w="60" w:type="dxa"/>
              <w:start w:w="65" w:type="dxa"/>
              <w:bottom w:w="60" w:type="dxa"/>
              <w:end w:w="65" w:type="dxa"/>
            </w:tcMar>
            <w:tcBorders>
              <w:bottom w:val="single" w:sz="3" w:color="B7B7B7"/>
            </w:tcBorders>
            <w:shd w:fill="F3F8FB"/>
          </w:tcPr>
          <w:p>
            <w:pPr>
              <w:spacing w:after="0" w:line="220" w:lineRule="auto" w:before="0"/>
              <w:jc w:val="left"/>
            </w:pPr>
            <w:r>
              <w:rPr>
                <w:rFonts w:ascii="Times New Roman" w:hAnsi="Times New Roman" w:eastAsia="Times New Roman" w:cs="Times New Roman"/>
                <w:b w:val="0"/>
                <w:color w:val="17212B"/>
                <w:sz w:val="21"/>
                <w:szCs w:val="21"/>
                <w:bCs w:val="0"/>
                <w:i w:val="0"/>
                <w:iCs w:val="0"/>
              </w:rPr>
              <w:t>20260831</w:t>
            </w:r>
          </w:p>
        </w:tc>
        <w:tc>
          <w:tcPr>
            <w:tcW w:type="dxa" w:w="1267"/>
            <w:vAlign w:val="center"/>
            <w:tcMar>
              <w:top w:w="60" w:type="dxa"/>
              <w:start w:w="65" w:type="dxa"/>
              <w:bottom w:w="60" w:type="dxa"/>
              <w:end w:w="65" w:type="dxa"/>
            </w:tcMar>
            <w:tcBorders>
              <w:bottom w:val="single" w:sz="3" w:color="B7B7B7"/>
            </w:tcBorders>
            <w:shd w:fill="F3F8FB"/>
          </w:tcPr>
          <w:p>
            <w:pPr>
              <w:spacing w:after="0" w:line="220" w:lineRule="auto" w:before="0"/>
              <w:jc w:val="left"/>
            </w:pPr>
            <w:r>
              <w:rPr>
                <w:rFonts w:ascii="Times New Roman" w:hAnsi="Times New Roman" w:eastAsia="Times New Roman" w:cs="Times New Roman"/>
                <w:b w:val="0"/>
                <w:color w:val="17212B"/>
                <w:sz w:val="21"/>
                <w:szCs w:val="21"/>
                <w:bCs w:val="0"/>
                <w:i w:val="0"/>
                <w:iCs w:val="0"/>
              </w:rPr>
              <w:t>5.758 ± 2.419</w:t>
            </w:r>
          </w:p>
        </w:tc>
        <w:tc>
          <w:tcPr>
            <w:tcW w:type="dxa" w:w="2952"/>
            <w:vAlign w:val="center"/>
            <w:tcMar>
              <w:top w:w="60" w:type="dxa"/>
              <w:start w:w="65" w:type="dxa"/>
              <w:bottom w:w="60" w:type="dxa"/>
              <w:end w:w="65" w:type="dxa"/>
            </w:tcMar>
            <w:tcBorders>
              <w:bottom w:val="single" w:sz="3" w:color="B7B7B7"/>
            </w:tcBorders>
            <w:shd w:fill="F3F8FB"/>
          </w:tcPr>
          <w:p>
            <w:pPr>
              <w:spacing w:after="0" w:line="220" w:lineRule="auto" w:before="0"/>
              <w:jc w:val="left"/>
            </w:pPr>
            <w:r>
              <w:rPr>
                <w:rFonts w:ascii="Times New Roman" w:hAnsi="Times New Roman" w:eastAsia="Times New Roman" w:cs="Times New Roman"/>
                <w:b w:val="0"/>
                <w:color w:val="17212B"/>
                <w:sz w:val="21"/>
                <w:szCs w:val="21"/>
                <w:bCs w:val="0"/>
                <w:i w:val="0"/>
                <w:iCs w:val="0"/>
              </w:rPr>
              <w:t>Fixed augmentation ablation</w:t>
            </w:r>
          </w:p>
        </w:tc>
      </w:tr>
      <w:tr>
        <w:trPr>
          <w:cantSplit/>
        </w:trPr>
        <w:tc>
          <w:tcPr>
            <w:tcW w:type="dxa" w:w="2016"/>
            <w:vAlign w:val="center"/>
            <w:tcMar>
              <w:top w:w="60" w:type="dxa"/>
              <w:start w:w="65" w:type="dxa"/>
              <w:bottom w:w="60" w:type="dxa"/>
              <w:end w:w="65" w:type="dxa"/>
            </w:tcMar>
            <w:tcBorders>
              <w:bottom w:val="single" w:sz="3" w:color="B7B7B7"/>
            </w:tcBorders>
            <w:shd w:fill="F6F8FA"/>
          </w:tcPr>
          <w:p>
            <w:pPr>
              <w:spacing w:after="0" w:line="220" w:lineRule="auto" w:before="0"/>
              <w:jc w:val="left"/>
            </w:pPr>
            <w:r>
              <w:rPr>
                <w:rFonts w:ascii="Times New Roman" w:hAnsi="Times New Roman" w:eastAsia="Times New Roman" w:cs="Times New Roman"/>
                <w:b w:val="0"/>
                <w:color w:val="17212B"/>
                <w:sz w:val="21"/>
                <w:szCs w:val="21"/>
                <w:bCs w:val="0"/>
                <w:i w:val="0"/>
                <w:iCs w:val="0"/>
              </w:rPr>
              <w:t>RetiESS-Seg, appearance only</w:t>
            </w:r>
          </w:p>
        </w:tc>
        <w:tc>
          <w:tcPr>
            <w:tcW w:type="dxa" w:w="1181"/>
            <w:vAlign w:val="center"/>
            <w:tcMar>
              <w:top w:w="60" w:type="dxa"/>
              <w:start w:w="65" w:type="dxa"/>
              <w:bottom w:w="60" w:type="dxa"/>
              <w:end w:w="65" w:type="dxa"/>
            </w:tcMar>
            <w:tcBorders>
              <w:bottom w:val="single" w:sz="3" w:color="B7B7B7"/>
            </w:tcBorders>
            <w:shd w:fill="F6F8FA"/>
          </w:tcPr>
          <w:p>
            <w:pPr>
              <w:spacing w:after="0" w:line="220" w:lineRule="auto" w:before="0"/>
              <w:jc w:val="left"/>
            </w:pPr>
            <w:r>
              <w:rPr>
                <w:rFonts w:ascii="Times New Roman" w:hAnsi="Times New Roman" w:eastAsia="Times New Roman" w:cs="Times New Roman"/>
                <w:b w:val="0"/>
                <w:color w:val="17212B"/>
                <w:sz w:val="21"/>
                <w:szCs w:val="21"/>
                <w:bCs w:val="0"/>
                <w:i w:val="0"/>
                <w:iCs w:val="0"/>
              </w:rPr>
              <w:t>120</w:t>
            </w:r>
          </w:p>
        </w:tc>
        <w:tc>
          <w:tcPr>
            <w:tcW w:type="dxa" w:w="1469"/>
            <w:vAlign w:val="center"/>
            <w:tcMar>
              <w:top w:w="60" w:type="dxa"/>
              <w:start w:w="65" w:type="dxa"/>
              <w:bottom w:w="60" w:type="dxa"/>
              <w:end w:w="65" w:type="dxa"/>
            </w:tcMar>
            <w:tcBorders>
              <w:bottom w:val="single" w:sz="3" w:color="B7B7B7"/>
            </w:tcBorders>
            <w:shd w:fill="F6F8FA"/>
          </w:tcPr>
          <w:p>
            <w:pPr>
              <w:spacing w:after="0" w:line="220" w:lineRule="auto" w:before="0"/>
              <w:jc w:val="left"/>
            </w:pPr>
            <w:r>
              <w:rPr>
                <w:rFonts w:ascii="Times New Roman" w:hAnsi="Times New Roman" w:eastAsia="Times New Roman" w:cs="Times New Roman"/>
                <w:b w:val="0"/>
                <w:color w:val="17212B"/>
                <w:sz w:val="21"/>
                <w:szCs w:val="21"/>
                <w:bCs w:val="0"/>
                <w:i w:val="0"/>
                <w:iCs w:val="0"/>
              </w:rPr>
              <w:t>20260831</w:t>
            </w:r>
          </w:p>
        </w:tc>
        <w:tc>
          <w:tcPr>
            <w:tcW w:type="dxa" w:w="1267"/>
            <w:vAlign w:val="center"/>
            <w:tcMar>
              <w:top w:w="60" w:type="dxa"/>
              <w:start w:w="65" w:type="dxa"/>
              <w:bottom w:w="60" w:type="dxa"/>
              <w:end w:w="65" w:type="dxa"/>
            </w:tcMar>
            <w:tcBorders>
              <w:bottom w:val="single" w:sz="3" w:color="B7B7B7"/>
            </w:tcBorders>
            <w:shd w:fill="F6F8FA"/>
          </w:tcPr>
          <w:p>
            <w:pPr>
              <w:spacing w:after="0" w:line="220" w:lineRule="auto" w:before="0"/>
              <w:jc w:val="left"/>
            </w:pPr>
            <w:r>
              <w:rPr>
                <w:rFonts w:ascii="Times New Roman" w:hAnsi="Times New Roman" w:eastAsia="Times New Roman" w:cs="Times New Roman"/>
                <w:b w:val="0"/>
                <w:color w:val="17212B"/>
                <w:sz w:val="21"/>
                <w:szCs w:val="21"/>
                <w:bCs w:val="0"/>
                <w:i w:val="0"/>
                <w:iCs w:val="0"/>
              </w:rPr>
              <w:t>5.746 ± 2.404</w:t>
            </w:r>
          </w:p>
        </w:tc>
        <w:tc>
          <w:tcPr>
            <w:tcW w:type="dxa" w:w="2952"/>
            <w:vAlign w:val="center"/>
            <w:tcMar>
              <w:top w:w="60" w:type="dxa"/>
              <w:start w:w="65" w:type="dxa"/>
              <w:bottom w:w="60" w:type="dxa"/>
              <w:end w:w="65" w:type="dxa"/>
            </w:tcMar>
            <w:tcBorders>
              <w:bottom w:val="single" w:sz="3" w:color="B7B7B7"/>
            </w:tcBorders>
            <w:shd w:fill="F6F8FA"/>
          </w:tcPr>
          <w:p>
            <w:pPr>
              <w:spacing w:after="0" w:line="220" w:lineRule="auto" w:before="0"/>
              <w:jc w:val="left"/>
            </w:pPr>
            <w:r>
              <w:rPr>
                <w:rFonts w:ascii="Times New Roman" w:hAnsi="Times New Roman" w:eastAsia="Times New Roman" w:cs="Times New Roman"/>
                <w:b w:val="0"/>
                <w:color w:val="17212B"/>
                <w:sz w:val="21"/>
                <w:szCs w:val="21"/>
                <w:bCs w:val="0"/>
                <w:i w:val="0"/>
                <w:iCs w:val="0"/>
              </w:rPr>
              <w:t>Near-identical to matched CNN</w:t>
            </w:r>
          </w:p>
        </w:tc>
      </w:tr>
      <w:tr>
        <w:trPr>
          <w:cantSplit/>
        </w:trPr>
        <w:tc>
          <w:tcPr>
            <w:tcW w:type="dxa" w:w="2016"/>
            <w:vAlign w:val="center"/>
            <w:tcMar>
              <w:top w:w="60" w:type="dxa"/>
              <w:start w:w="65" w:type="dxa"/>
              <w:bottom w:w="60" w:type="dxa"/>
              <w:end w:w="65" w:type="dxa"/>
            </w:tcMar>
            <w:tcBorders>
              <w:bottom w:val="single" w:sz="3" w:color="B7B7B7"/>
            </w:tcBorders>
            <w:shd w:fill="F3F8FB"/>
          </w:tcPr>
          <w:p>
            <w:pPr>
              <w:spacing w:after="0" w:line="220" w:lineRule="auto" w:before="0"/>
              <w:jc w:val="left"/>
            </w:pPr>
            <w:r>
              <w:rPr>
                <w:rFonts w:ascii="Times New Roman" w:hAnsi="Times New Roman" w:eastAsia="Times New Roman" w:cs="Times New Roman"/>
                <w:b w:val="0"/>
                <w:color w:val="17212B"/>
                <w:sz w:val="21"/>
                <w:szCs w:val="21"/>
                <w:bCs w:val="0"/>
                <w:i w:val="0"/>
                <w:iCs w:val="0"/>
              </w:rPr>
              <w:t>SliceCNN, shift only</w:t>
            </w:r>
          </w:p>
        </w:tc>
        <w:tc>
          <w:tcPr>
            <w:tcW w:type="dxa" w:w="1181"/>
            <w:vAlign w:val="center"/>
            <w:tcMar>
              <w:top w:w="60" w:type="dxa"/>
              <w:start w:w="65" w:type="dxa"/>
              <w:bottom w:w="60" w:type="dxa"/>
              <w:end w:w="65" w:type="dxa"/>
            </w:tcMar>
            <w:tcBorders>
              <w:bottom w:val="single" w:sz="3" w:color="B7B7B7"/>
            </w:tcBorders>
            <w:shd w:fill="F3F8FB"/>
          </w:tcPr>
          <w:p>
            <w:pPr>
              <w:spacing w:after="0" w:line="220" w:lineRule="auto" w:before="0"/>
              <w:jc w:val="left"/>
            </w:pPr>
            <w:r>
              <w:rPr>
                <w:rFonts w:ascii="Times New Roman" w:hAnsi="Times New Roman" w:eastAsia="Times New Roman" w:cs="Times New Roman"/>
                <w:b w:val="0"/>
                <w:color w:val="17212B"/>
                <w:sz w:val="21"/>
                <w:szCs w:val="21"/>
                <w:bCs w:val="0"/>
                <w:i w:val="0"/>
                <w:iCs w:val="0"/>
              </w:rPr>
              <w:t>120</w:t>
            </w:r>
          </w:p>
        </w:tc>
        <w:tc>
          <w:tcPr>
            <w:tcW w:type="dxa" w:w="1469"/>
            <w:vAlign w:val="center"/>
            <w:tcMar>
              <w:top w:w="60" w:type="dxa"/>
              <w:start w:w="65" w:type="dxa"/>
              <w:bottom w:w="60" w:type="dxa"/>
              <w:end w:w="65" w:type="dxa"/>
            </w:tcMar>
            <w:tcBorders>
              <w:bottom w:val="single" w:sz="3" w:color="B7B7B7"/>
            </w:tcBorders>
            <w:shd w:fill="F3F8FB"/>
          </w:tcPr>
          <w:p>
            <w:pPr>
              <w:spacing w:after="0" w:line="220" w:lineRule="auto" w:before="0"/>
              <w:jc w:val="left"/>
            </w:pPr>
            <w:r>
              <w:rPr>
                <w:rFonts w:ascii="Times New Roman" w:hAnsi="Times New Roman" w:eastAsia="Times New Roman" w:cs="Times New Roman"/>
                <w:b w:val="0"/>
                <w:color w:val="17212B"/>
                <w:sz w:val="21"/>
                <w:szCs w:val="21"/>
                <w:bCs w:val="0"/>
                <w:i w:val="0"/>
                <w:iCs w:val="0"/>
              </w:rPr>
              <w:t>20260831</w:t>
            </w:r>
          </w:p>
        </w:tc>
        <w:tc>
          <w:tcPr>
            <w:tcW w:type="dxa" w:w="1267"/>
            <w:vAlign w:val="center"/>
            <w:tcMar>
              <w:top w:w="60" w:type="dxa"/>
              <w:start w:w="65" w:type="dxa"/>
              <w:bottom w:w="60" w:type="dxa"/>
              <w:end w:w="65" w:type="dxa"/>
            </w:tcMar>
            <w:tcBorders>
              <w:bottom w:val="single" w:sz="3" w:color="B7B7B7"/>
            </w:tcBorders>
            <w:shd w:fill="F3F8FB"/>
          </w:tcPr>
          <w:p>
            <w:pPr>
              <w:spacing w:after="0" w:line="220" w:lineRule="auto" w:before="0"/>
              <w:jc w:val="left"/>
            </w:pPr>
            <w:r>
              <w:rPr>
                <w:rFonts w:ascii="Times New Roman" w:hAnsi="Times New Roman" w:eastAsia="Times New Roman" w:cs="Times New Roman"/>
                <w:b w:val="0"/>
                <w:color w:val="17212B"/>
                <w:sz w:val="21"/>
                <w:szCs w:val="21"/>
                <w:bCs w:val="0"/>
                <w:i w:val="0"/>
                <w:iCs w:val="0"/>
              </w:rPr>
              <w:t>6.043 ± 1.510</w:t>
            </w:r>
          </w:p>
        </w:tc>
        <w:tc>
          <w:tcPr>
            <w:tcW w:type="dxa" w:w="2952"/>
            <w:vAlign w:val="center"/>
            <w:tcMar>
              <w:top w:w="60" w:type="dxa"/>
              <w:start w:w="65" w:type="dxa"/>
              <w:bottom w:w="60" w:type="dxa"/>
              <w:end w:w="65" w:type="dxa"/>
            </w:tcMar>
            <w:tcBorders>
              <w:bottom w:val="single" w:sz="3" w:color="B7B7B7"/>
            </w:tcBorders>
            <w:shd w:fill="F3F8FB"/>
          </w:tcPr>
          <w:p>
            <w:pPr>
              <w:spacing w:after="0" w:line="220" w:lineRule="auto" w:before="0"/>
              <w:jc w:val="left"/>
            </w:pPr>
            <w:r>
              <w:rPr>
                <w:rFonts w:ascii="Times New Roman" w:hAnsi="Times New Roman" w:eastAsia="Times New Roman" w:cs="Times New Roman"/>
                <w:b w:val="0"/>
                <w:color w:val="17212B"/>
                <w:sz w:val="21"/>
                <w:szCs w:val="21"/>
                <w:bCs w:val="0"/>
                <w:i w:val="0"/>
                <w:iCs w:val="0"/>
              </w:rPr>
              <w:t>Fixed geometry ablation</w:t>
            </w:r>
          </w:p>
        </w:tc>
      </w:tr>
      <w:tr>
        <w:trPr>
          <w:cantSplit/>
        </w:trPr>
        <w:tc>
          <w:tcPr>
            <w:tcW w:type="dxa" w:w="2016"/>
            <w:vAlign w:val="center"/>
            <w:tcMar>
              <w:top w:w="60" w:type="dxa"/>
              <w:start w:w="65" w:type="dxa"/>
              <w:bottom w:w="60" w:type="dxa"/>
              <w:end w:w="65" w:type="dxa"/>
            </w:tcMar>
            <w:tcBorders>
              <w:bottom w:val="single" w:sz="3" w:color="B7B7B7"/>
            </w:tcBorders>
            <w:shd w:fill="F6F8FA"/>
          </w:tcPr>
          <w:p>
            <w:pPr>
              <w:spacing w:after="0" w:line="220" w:lineRule="auto" w:before="0"/>
              <w:jc w:val="left"/>
            </w:pPr>
            <w:r>
              <w:rPr>
                <w:rFonts w:ascii="Times New Roman" w:hAnsi="Times New Roman" w:eastAsia="Times New Roman" w:cs="Times New Roman"/>
                <w:b w:val="0"/>
                <w:color w:val="17212B"/>
                <w:sz w:val="21"/>
                <w:szCs w:val="21"/>
                <w:bCs w:val="0"/>
                <w:i w:val="0"/>
                <w:iCs w:val="0"/>
              </w:rPr>
              <w:t>RetiESS-Seg, shift only</w:t>
            </w:r>
          </w:p>
        </w:tc>
        <w:tc>
          <w:tcPr>
            <w:tcW w:type="dxa" w:w="1181"/>
            <w:vAlign w:val="center"/>
            <w:tcMar>
              <w:top w:w="60" w:type="dxa"/>
              <w:start w:w="65" w:type="dxa"/>
              <w:bottom w:w="60" w:type="dxa"/>
              <w:end w:w="65" w:type="dxa"/>
            </w:tcMar>
            <w:tcBorders>
              <w:bottom w:val="single" w:sz="3" w:color="B7B7B7"/>
            </w:tcBorders>
            <w:shd w:fill="F6F8FA"/>
          </w:tcPr>
          <w:p>
            <w:pPr>
              <w:spacing w:after="0" w:line="220" w:lineRule="auto" w:before="0"/>
              <w:jc w:val="left"/>
            </w:pPr>
            <w:r>
              <w:rPr>
                <w:rFonts w:ascii="Times New Roman" w:hAnsi="Times New Roman" w:eastAsia="Times New Roman" w:cs="Times New Roman"/>
                <w:b w:val="0"/>
                <w:color w:val="17212B"/>
                <w:sz w:val="21"/>
                <w:szCs w:val="21"/>
                <w:bCs w:val="0"/>
                <w:i w:val="0"/>
                <w:iCs w:val="0"/>
              </w:rPr>
              <w:t>120</w:t>
            </w:r>
          </w:p>
        </w:tc>
        <w:tc>
          <w:tcPr>
            <w:tcW w:type="dxa" w:w="1469"/>
            <w:vAlign w:val="center"/>
            <w:tcMar>
              <w:top w:w="60" w:type="dxa"/>
              <w:start w:w="65" w:type="dxa"/>
              <w:bottom w:w="60" w:type="dxa"/>
              <w:end w:w="65" w:type="dxa"/>
            </w:tcMar>
            <w:tcBorders>
              <w:bottom w:val="single" w:sz="3" w:color="B7B7B7"/>
            </w:tcBorders>
            <w:shd w:fill="F6F8FA"/>
          </w:tcPr>
          <w:p>
            <w:pPr>
              <w:spacing w:after="0" w:line="220" w:lineRule="auto" w:before="0"/>
              <w:jc w:val="left"/>
            </w:pPr>
            <w:r>
              <w:rPr>
                <w:rFonts w:ascii="Times New Roman" w:hAnsi="Times New Roman" w:eastAsia="Times New Roman" w:cs="Times New Roman"/>
                <w:b w:val="0"/>
                <w:color w:val="17212B"/>
                <w:sz w:val="21"/>
                <w:szCs w:val="21"/>
                <w:bCs w:val="0"/>
                <w:i w:val="0"/>
                <w:iCs w:val="0"/>
              </w:rPr>
              <w:t>20260831</w:t>
            </w:r>
          </w:p>
        </w:tc>
        <w:tc>
          <w:tcPr>
            <w:tcW w:type="dxa" w:w="1267"/>
            <w:vAlign w:val="center"/>
            <w:tcMar>
              <w:top w:w="60" w:type="dxa"/>
              <w:start w:w="65" w:type="dxa"/>
              <w:bottom w:w="60" w:type="dxa"/>
              <w:end w:w="65" w:type="dxa"/>
            </w:tcMar>
            <w:tcBorders>
              <w:bottom w:val="single" w:sz="3" w:color="B7B7B7"/>
            </w:tcBorders>
            <w:shd w:fill="F6F8FA"/>
          </w:tcPr>
          <w:p>
            <w:pPr>
              <w:spacing w:after="0" w:line="220" w:lineRule="auto" w:before="0"/>
              <w:jc w:val="left"/>
            </w:pPr>
            <w:r>
              <w:rPr>
                <w:rFonts w:ascii="Times New Roman" w:hAnsi="Times New Roman" w:eastAsia="Times New Roman" w:cs="Times New Roman"/>
                <w:b w:val="0"/>
                <w:color w:val="17212B"/>
                <w:sz w:val="21"/>
                <w:szCs w:val="21"/>
                <w:bCs w:val="0"/>
                <w:i w:val="0"/>
                <w:iCs w:val="0"/>
              </w:rPr>
              <w:t>6.031 ± 1.491</w:t>
            </w:r>
          </w:p>
        </w:tc>
        <w:tc>
          <w:tcPr>
            <w:tcW w:type="dxa" w:w="2952"/>
            <w:vAlign w:val="center"/>
            <w:tcMar>
              <w:top w:w="60" w:type="dxa"/>
              <w:start w:w="65" w:type="dxa"/>
              <w:bottom w:w="60" w:type="dxa"/>
              <w:end w:w="65" w:type="dxa"/>
            </w:tcMar>
            <w:tcBorders>
              <w:bottom w:val="single" w:sz="3" w:color="B7B7B7"/>
            </w:tcBorders>
            <w:shd w:fill="F6F8FA"/>
          </w:tcPr>
          <w:p>
            <w:pPr>
              <w:spacing w:after="0" w:line="220" w:lineRule="auto" w:before="0"/>
              <w:jc w:val="left"/>
            </w:pPr>
            <w:r>
              <w:rPr>
                <w:rFonts w:ascii="Times New Roman" w:hAnsi="Times New Roman" w:eastAsia="Times New Roman" w:cs="Times New Roman"/>
                <w:b w:val="0"/>
                <w:color w:val="17212B"/>
                <w:sz w:val="21"/>
                <w:szCs w:val="21"/>
                <w:bCs w:val="0"/>
                <w:i w:val="0"/>
                <w:iCs w:val="0"/>
              </w:rPr>
              <w:t>Near-identical to matched CNN</w:t>
            </w:r>
          </w:p>
        </w:tc>
      </w:tr>
      <w:tr>
        <w:trPr>
          <w:cantSplit/>
        </w:trPr>
        <w:tc>
          <w:tcPr>
            <w:tcW w:type="dxa" w:w="2016"/>
            <w:vAlign w:val="center"/>
            <w:tcMar>
              <w:top w:w="60" w:type="dxa"/>
              <w:start w:w="65" w:type="dxa"/>
              <w:bottom w:w="60" w:type="dxa"/>
              <w:end w:w="65" w:type="dxa"/>
            </w:tcMar>
            <w:tcBorders>
              <w:bottom w:val="single" w:sz="3" w:color="B7B7B7"/>
            </w:tcBorders>
            <w:shd w:fill="F3F8FB"/>
          </w:tcPr>
          <w:p>
            <w:pPr>
              <w:spacing w:after="0" w:line="220" w:lineRule="auto" w:before="0"/>
              <w:jc w:val="left"/>
            </w:pPr>
            <w:r>
              <w:rPr>
                <w:rFonts w:ascii="Times New Roman" w:hAnsi="Times New Roman" w:eastAsia="Times New Roman" w:cs="Times New Roman"/>
                <w:b w:val="0"/>
                <w:color w:val="17212B"/>
                <w:sz w:val="21"/>
                <w:szCs w:val="21"/>
                <w:bCs w:val="0"/>
                <w:i w:val="0"/>
                <w:iCs w:val="0"/>
              </w:rPr>
              <w:t>Nested selected</w:t>
            </w:r>
          </w:p>
        </w:tc>
        <w:tc>
          <w:tcPr>
            <w:tcW w:type="dxa" w:w="1181"/>
            <w:vAlign w:val="center"/>
            <w:tcMar>
              <w:top w:w="60" w:type="dxa"/>
              <w:start w:w="65" w:type="dxa"/>
              <w:bottom w:w="60" w:type="dxa"/>
              <w:end w:w="65" w:type="dxa"/>
            </w:tcMar>
            <w:tcBorders>
              <w:bottom w:val="single" w:sz="3" w:color="B7B7B7"/>
            </w:tcBorders>
            <w:shd w:fill="F3F8FB"/>
          </w:tcPr>
          <w:p>
            <w:pPr>
              <w:spacing w:after="0" w:line="220" w:lineRule="auto" w:before="0"/>
              <w:jc w:val="left"/>
            </w:pPr>
            <w:r>
              <w:rPr>
                <w:rFonts w:ascii="Times New Roman" w:hAnsi="Times New Roman" w:eastAsia="Times New Roman" w:cs="Times New Roman"/>
                <w:b w:val="0"/>
                <w:color w:val="17212B"/>
                <w:sz w:val="21"/>
                <w:szCs w:val="21"/>
                <w:bCs w:val="0"/>
                <w:i w:val="0"/>
                <w:iCs w:val="0"/>
              </w:rPr>
              <w:t>60 inner / 120 refit</w:t>
            </w:r>
          </w:p>
        </w:tc>
        <w:tc>
          <w:tcPr>
            <w:tcW w:type="dxa" w:w="1469"/>
            <w:vAlign w:val="center"/>
            <w:tcMar>
              <w:top w:w="60" w:type="dxa"/>
              <w:start w:w="65" w:type="dxa"/>
              <w:bottom w:w="60" w:type="dxa"/>
              <w:end w:w="65" w:type="dxa"/>
            </w:tcMar>
            <w:tcBorders>
              <w:bottom w:val="single" w:sz="3" w:color="B7B7B7"/>
            </w:tcBorders>
            <w:shd w:fill="F3F8FB"/>
          </w:tcPr>
          <w:p>
            <w:pPr>
              <w:spacing w:after="0" w:line="220" w:lineRule="auto" w:before="0"/>
              <w:jc w:val="left"/>
            </w:pPr>
            <w:r>
              <w:rPr>
                <w:rFonts w:ascii="Times New Roman" w:hAnsi="Times New Roman" w:eastAsia="Times New Roman" w:cs="Times New Roman"/>
                <w:b w:val="0"/>
                <w:color w:val="17212B"/>
                <w:sz w:val="21"/>
                <w:szCs w:val="21"/>
                <w:bCs w:val="0"/>
                <w:i w:val="0"/>
                <w:iCs w:val="0"/>
              </w:rPr>
              <w:t>20260831</w:t>
            </w:r>
          </w:p>
        </w:tc>
        <w:tc>
          <w:tcPr>
            <w:tcW w:type="dxa" w:w="1267"/>
            <w:vAlign w:val="center"/>
            <w:tcMar>
              <w:top w:w="60" w:type="dxa"/>
              <w:start w:w="65" w:type="dxa"/>
              <w:bottom w:w="60" w:type="dxa"/>
              <w:end w:w="65" w:type="dxa"/>
            </w:tcMar>
            <w:tcBorders>
              <w:bottom w:val="single" w:sz="3" w:color="B7B7B7"/>
            </w:tcBorders>
            <w:shd w:fill="F3F8FB"/>
          </w:tcPr>
          <w:p>
            <w:pPr>
              <w:spacing w:after="0" w:line="220" w:lineRule="auto" w:before="0"/>
              <w:jc w:val="left"/>
            </w:pPr>
            <w:r>
              <w:rPr>
                <w:rFonts w:ascii="Times New Roman" w:hAnsi="Times New Roman" w:eastAsia="Times New Roman" w:cs="Times New Roman"/>
                <w:b w:val="0"/>
                <w:color w:val="17212B"/>
                <w:sz w:val="21"/>
                <w:szCs w:val="21"/>
                <w:bCs w:val="0"/>
                <w:i w:val="0"/>
                <w:iCs w:val="0"/>
              </w:rPr>
              <w:t>6.101 ± 2.770</w:t>
            </w:r>
          </w:p>
        </w:tc>
        <w:tc>
          <w:tcPr>
            <w:tcW w:type="dxa" w:w="2952"/>
            <w:vAlign w:val="center"/>
            <w:tcMar>
              <w:top w:w="60" w:type="dxa"/>
              <w:start w:w="65" w:type="dxa"/>
              <w:bottom w:w="60" w:type="dxa"/>
              <w:end w:w="65" w:type="dxa"/>
            </w:tcMar>
            <w:tcBorders>
              <w:bottom w:val="single" w:sz="3" w:color="B7B7B7"/>
            </w:tcBorders>
            <w:shd w:fill="F3F8FB"/>
          </w:tcPr>
          <w:p>
            <w:pPr>
              <w:spacing w:after="0" w:line="220" w:lineRule="auto" w:before="0"/>
              <w:jc w:val="left"/>
            </w:pPr>
            <w:r>
              <w:rPr>
                <w:rFonts w:ascii="Times New Roman" w:hAnsi="Times New Roman" w:eastAsia="Times New Roman" w:cs="Times New Roman"/>
                <w:b w:val="0"/>
                <w:color w:val="17212B"/>
                <w:sz w:val="21"/>
                <w:szCs w:val="21"/>
                <w:bCs w:val="0"/>
                <w:i w:val="0"/>
                <w:iCs w:val="0"/>
              </w:rPr>
              <w:t>Augmentation selected 7/10</w:t>
            </w:r>
          </w:p>
        </w:tc>
      </w:tr>
      <w:tr>
        <w:trPr>
          <w:cantSplit/>
        </w:trPr>
        <w:tc>
          <w:tcPr>
            <w:tcW w:type="dxa" w:w="2016"/>
            <w:vAlign w:val="center"/>
            <w:tcMar>
              <w:top w:w="60" w:type="dxa"/>
              <w:start w:w="65" w:type="dxa"/>
              <w:bottom w:w="60" w:type="dxa"/>
              <w:end w:w="65" w:type="dxa"/>
            </w:tcMar>
            <w:tcBorders>
              <w:bottom w:val="single" w:sz="3" w:color="B7B7B7"/>
            </w:tcBorders>
            <w:shd w:fill="F6F8FA"/>
          </w:tcPr>
          <w:p>
            <w:pPr>
              <w:spacing w:after="0" w:line="220" w:lineRule="auto" w:before="0"/>
              <w:jc w:val="left"/>
            </w:pPr>
            <w:r>
              <w:rPr>
                <w:rFonts w:ascii="Times New Roman" w:hAnsi="Times New Roman" w:eastAsia="Times New Roman" w:cs="Times New Roman"/>
                <w:b w:val="0"/>
                <w:color w:val="17212B"/>
                <w:sz w:val="21"/>
                <w:szCs w:val="21"/>
                <w:bCs w:val="0"/>
                <w:i w:val="0"/>
                <w:iCs w:val="0"/>
              </w:rPr>
              <w:t>Nested selected</w:t>
            </w:r>
          </w:p>
        </w:tc>
        <w:tc>
          <w:tcPr>
            <w:tcW w:type="dxa" w:w="1181"/>
            <w:vAlign w:val="center"/>
            <w:tcMar>
              <w:top w:w="60" w:type="dxa"/>
              <w:start w:w="65" w:type="dxa"/>
              <w:bottom w:w="60" w:type="dxa"/>
              <w:end w:w="65" w:type="dxa"/>
            </w:tcMar>
            <w:tcBorders>
              <w:bottom w:val="single" w:sz="3" w:color="B7B7B7"/>
            </w:tcBorders>
            <w:shd w:fill="F6F8FA"/>
          </w:tcPr>
          <w:p>
            <w:pPr>
              <w:spacing w:after="0" w:line="220" w:lineRule="auto" w:before="0"/>
              <w:jc w:val="left"/>
            </w:pPr>
            <w:r>
              <w:rPr>
                <w:rFonts w:ascii="Times New Roman" w:hAnsi="Times New Roman" w:eastAsia="Times New Roman" w:cs="Times New Roman"/>
                <w:b w:val="0"/>
                <w:color w:val="17212B"/>
                <w:sz w:val="21"/>
                <w:szCs w:val="21"/>
                <w:bCs w:val="0"/>
                <w:i w:val="0"/>
                <w:iCs w:val="0"/>
              </w:rPr>
              <w:t>60 inner / 120 refit</w:t>
            </w:r>
          </w:p>
        </w:tc>
        <w:tc>
          <w:tcPr>
            <w:tcW w:type="dxa" w:w="1469"/>
            <w:vAlign w:val="center"/>
            <w:tcMar>
              <w:top w:w="60" w:type="dxa"/>
              <w:start w:w="65" w:type="dxa"/>
              <w:bottom w:w="60" w:type="dxa"/>
              <w:end w:w="65" w:type="dxa"/>
            </w:tcMar>
            <w:tcBorders>
              <w:bottom w:val="single" w:sz="3" w:color="B7B7B7"/>
            </w:tcBorders>
            <w:shd w:fill="F6F8FA"/>
          </w:tcPr>
          <w:p>
            <w:pPr>
              <w:spacing w:after="0" w:line="220" w:lineRule="auto" w:before="0"/>
              <w:jc w:val="left"/>
            </w:pPr>
            <w:r>
              <w:rPr>
                <w:rFonts w:ascii="Times New Roman" w:hAnsi="Times New Roman" w:eastAsia="Times New Roman" w:cs="Times New Roman"/>
                <w:b w:val="0"/>
                <w:color w:val="17212B"/>
                <w:sz w:val="21"/>
                <w:szCs w:val="21"/>
                <w:bCs w:val="0"/>
                <w:i w:val="0"/>
                <w:iCs w:val="0"/>
              </w:rPr>
              <w:t>20260901</w:t>
            </w:r>
          </w:p>
        </w:tc>
        <w:tc>
          <w:tcPr>
            <w:tcW w:type="dxa" w:w="1267"/>
            <w:vAlign w:val="center"/>
            <w:tcMar>
              <w:top w:w="60" w:type="dxa"/>
              <w:start w:w="65" w:type="dxa"/>
              <w:bottom w:w="60" w:type="dxa"/>
              <w:end w:w="65" w:type="dxa"/>
            </w:tcMar>
            <w:tcBorders>
              <w:bottom w:val="single" w:sz="3" w:color="B7B7B7"/>
            </w:tcBorders>
            <w:shd w:fill="F6F8FA"/>
          </w:tcPr>
          <w:p>
            <w:pPr>
              <w:spacing w:after="0" w:line="220" w:lineRule="auto" w:before="0"/>
              <w:jc w:val="left"/>
            </w:pPr>
            <w:r>
              <w:rPr>
                <w:rFonts w:ascii="Times New Roman" w:hAnsi="Times New Roman" w:eastAsia="Times New Roman" w:cs="Times New Roman"/>
                <w:b w:val="0"/>
                <w:color w:val="17212B"/>
                <w:sz w:val="21"/>
                <w:szCs w:val="21"/>
                <w:bCs w:val="0"/>
                <w:i w:val="0"/>
                <w:iCs w:val="0"/>
              </w:rPr>
              <w:t>5.929 ± 2.121</w:t>
            </w:r>
          </w:p>
        </w:tc>
        <w:tc>
          <w:tcPr>
            <w:tcW w:type="dxa" w:w="2952"/>
            <w:vAlign w:val="center"/>
            <w:tcMar>
              <w:top w:w="60" w:type="dxa"/>
              <w:start w:w="65" w:type="dxa"/>
              <w:bottom w:w="60" w:type="dxa"/>
              <w:end w:w="65" w:type="dxa"/>
            </w:tcMar>
            <w:tcBorders>
              <w:bottom w:val="single" w:sz="3" w:color="B7B7B7"/>
            </w:tcBorders>
            <w:shd w:fill="F6F8FA"/>
          </w:tcPr>
          <w:p>
            <w:pPr>
              <w:spacing w:after="0" w:line="220" w:lineRule="auto" w:before="0"/>
              <w:jc w:val="left"/>
            </w:pPr>
            <w:r>
              <w:rPr>
                <w:rFonts w:ascii="Times New Roman" w:hAnsi="Times New Roman" w:eastAsia="Times New Roman" w:cs="Times New Roman"/>
                <w:b w:val="0"/>
                <w:color w:val="17212B"/>
                <w:sz w:val="21"/>
                <w:szCs w:val="21"/>
                <w:bCs w:val="0"/>
                <w:i w:val="0"/>
                <w:iCs w:val="0"/>
              </w:rPr>
              <w:t>Augmentation selected 5/10</w:t>
            </w:r>
          </w:p>
        </w:tc>
      </w:tr>
      <w:tr>
        <w:trPr>
          <w:cantSplit/>
        </w:trPr>
        <w:tc>
          <w:tcPr>
            <w:tcW w:type="dxa" w:w="2016"/>
            <w:vAlign w:val="center"/>
            <w:tcMar>
              <w:top w:w="60" w:type="dxa"/>
              <w:start w:w="65" w:type="dxa"/>
              <w:bottom w:w="60" w:type="dxa"/>
              <w:end w:w="65" w:type="dxa"/>
            </w:tcMar>
            <w:tcBorders>
              <w:bottom w:val="single" w:sz="3" w:color="B7B7B7"/>
            </w:tcBorders>
            <w:shd w:fill="F3F8FB"/>
          </w:tcPr>
          <w:p>
            <w:pPr>
              <w:spacing w:after="0" w:line="220" w:lineRule="auto" w:before="0"/>
              <w:jc w:val="left"/>
            </w:pPr>
            <w:r>
              <w:rPr>
                <w:rFonts w:ascii="Times New Roman" w:hAnsi="Times New Roman" w:eastAsia="Times New Roman" w:cs="Times New Roman"/>
                <w:b w:val="0"/>
                <w:color w:val="17212B"/>
                <w:sz w:val="21"/>
                <w:szCs w:val="21"/>
                <w:bCs w:val="0"/>
                <w:i w:val="0"/>
                <w:iCs w:val="0"/>
              </w:rPr>
              <w:t>Nested selected</w:t>
            </w:r>
          </w:p>
        </w:tc>
        <w:tc>
          <w:tcPr>
            <w:tcW w:type="dxa" w:w="1181"/>
            <w:vAlign w:val="center"/>
            <w:tcMar>
              <w:top w:w="60" w:type="dxa"/>
              <w:start w:w="65" w:type="dxa"/>
              <w:bottom w:w="60" w:type="dxa"/>
              <w:end w:w="65" w:type="dxa"/>
            </w:tcMar>
            <w:tcBorders>
              <w:bottom w:val="single" w:sz="3" w:color="B7B7B7"/>
            </w:tcBorders>
            <w:shd w:fill="F3F8FB"/>
          </w:tcPr>
          <w:p>
            <w:pPr>
              <w:spacing w:after="0" w:line="220" w:lineRule="auto" w:before="0"/>
              <w:jc w:val="left"/>
            </w:pPr>
            <w:r>
              <w:rPr>
                <w:rFonts w:ascii="Times New Roman" w:hAnsi="Times New Roman" w:eastAsia="Times New Roman" w:cs="Times New Roman"/>
                <w:b w:val="0"/>
                <w:color w:val="17212B"/>
                <w:sz w:val="21"/>
                <w:szCs w:val="21"/>
                <w:bCs w:val="0"/>
                <w:i w:val="0"/>
                <w:iCs w:val="0"/>
              </w:rPr>
              <w:t>60 inner / 120 refit</w:t>
            </w:r>
          </w:p>
        </w:tc>
        <w:tc>
          <w:tcPr>
            <w:tcW w:type="dxa" w:w="1469"/>
            <w:vAlign w:val="center"/>
            <w:tcMar>
              <w:top w:w="60" w:type="dxa"/>
              <w:start w:w="65" w:type="dxa"/>
              <w:bottom w:w="60" w:type="dxa"/>
              <w:end w:w="65" w:type="dxa"/>
            </w:tcMar>
            <w:tcBorders>
              <w:bottom w:val="single" w:sz="3" w:color="B7B7B7"/>
            </w:tcBorders>
            <w:shd w:fill="F3F8FB"/>
          </w:tcPr>
          <w:p>
            <w:pPr>
              <w:spacing w:after="0" w:line="220" w:lineRule="auto" w:before="0"/>
              <w:jc w:val="left"/>
            </w:pPr>
            <w:r>
              <w:rPr>
                <w:rFonts w:ascii="Times New Roman" w:hAnsi="Times New Roman" w:eastAsia="Times New Roman" w:cs="Times New Roman"/>
                <w:b w:val="0"/>
                <w:color w:val="17212B"/>
                <w:sz w:val="21"/>
                <w:szCs w:val="21"/>
                <w:bCs w:val="0"/>
                <w:i w:val="0"/>
                <w:iCs w:val="0"/>
              </w:rPr>
              <w:t>20260902</w:t>
            </w:r>
          </w:p>
        </w:tc>
        <w:tc>
          <w:tcPr>
            <w:tcW w:type="dxa" w:w="1267"/>
            <w:vAlign w:val="center"/>
            <w:tcMar>
              <w:top w:w="60" w:type="dxa"/>
              <w:start w:w="65" w:type="dxa"/>
              <w:bottom w:w="60" w:type="dxa"/>
              <w:end w:w="65" w:type="dxa"/>
            </w:tcMar>
            <w:tcBorders>
              <w:bottom w:val="single" w:sz="3" w:color="B7B7B7"/>
            </w:tcBorders>
            <w:shd w:fill="F3F8FB"/>
          </w:tcPr>
          <w:p>
            <w:pPr>
              <w:spacing w:after="0" w:line="220" w:lineRule="auto" w:before="0"/>
              <w:jc w:val="left"/>
            </w:pPr>
            <w:r>
              <w:rPr>
                <w:rFonts w:ascii="Times New Roman" w:hAnsi="Times New Roman" w:eastAsia="Times New Roman" w:cs="Times New Roman"/>
                <w:b w:val="0"/>
                <w:color w:val="17212B"/>
                <w:sz w:val="21"/>
                <w:szCs w:val="21"/>
                <w:bCs w:val="0"/>
                <w:i w:val="0"/>
                <w:iCs w:val="0"/>
              </w:rPr>
              <w:t>5.778 ± 1.766</w:t>
            </w:r>
          </w:p>
        </w:tc>
        <w:tc>
          <w:tcPr>
            <w:tcW w:type="dxa" w:w="2952"/>
            <w:vAlign w:val="center"/>
            <w:tcMar>
              <w:top w:w="60" w:type="dxa"/>
              <w:start w:w="65" w:type="dxa"/>
              <w:bottom w:w="60" w:type="dxa"/>
              <w:end w:w="65" w:type="dxa"/>
            </w:tcMar>
            <w:tcBorders>
              <w:bottom w:val="single" w:sz="3" w:color="B7B7B7"/>
            </w:tcBorders>
            <w:shd w:fill="F3F8FB"/>
          </w:tcPr>
          <w:p>
            <w:pPr>
              <w:spacing w:after="0" w:line="220" w:lineRule="auto" w:before="0"/>
              <w:jc w:val="left"/>
            </w:pPr>
            <w:r>
              <w:rPr>
                <w:rFonts w:ascii="Times New Roman" w:hAnsi="Times New Roman" w:eastAsia="Times New Roman" w:cs="Times New Roman"/>
                <w:b w:val="0"/>
                <w:color w:val="17212B"/>
                <w:sz w:val="21"/>
                <w:szCs w:val="21"/>
                <w:bCs w:val="0"/>
                <w:i w:val="0"/>
                <w:iCs w:val="0"/>
              </w:rPr>
              <w:t>Augmentation selected 4/10</w:t>
            </w:r>
          </w:p>
        </w:tc>
      </w:tr>
      <w:tr>
        <w:trPr>
          <w:cantSplit/>
        </w:trPr>
        <w:tc>
          <w:tcPr>
            <w:tcW w:type="dxa" w:w="2016"/>
            <w:vAlign w:val="center"/>
            <w:tcMar>
              <w:top w:w="60" w:type="dxa"/>
              <w:start w:w="65" w:type="dxa"/>
              <w:bottom w:w="60" w:type="dxa"/>
              <w:end w:w="65" w:type="dxa"/>
            </w:tcMar>
            <w:tcBorders>
              <w:bottom w:val="single" w:sz="10" w:color="333333"/>
            </w:tcBorders>
            <w:shd w:fill="F6F8FA"/>
          </w:tcPr>
          <w:p>
            <w:pPr>
              <w:spacing w:after="0" w:line="220" w:lineRule="auto" w:before="0"/>
              <w:jc w:val="left"/>
            </w:pPr>
            <w:r>
              <w:rPr>
                <w:rFonts w:ascii="Times New Roman" w:hAnsi="Times New Roman" w:eastAsia="Times New Roman" w:cs="Times New Roman"/>
                <w:b w:val="0"/>
                <w:color w:val="17212B"/>
                <w:sz w:val="21"/>
                <w:szCs w:val="21"/>
                <w:bCs w:val="0"/>
                <w:i w:val="0"/>
                <w:iCs w:val="0"/>
              </w:rPr>
              <w:t>Nested cross-seed mean</w:t>
            </w:r>
          </w:p>
        </w:tc>
        <w:tc>
          <w:tcPr>
            <w:tcW w:type="dxa" w:w="1181"/>
            <w:vAlign w:val="center"/>
            <w:tcMar>
              <w:top w:w="60" w:type="dxa"/>
              <w:start w:w="65" w:type="dxa"/>
              <w:bottom w:w="60" w:type="dxa"/>
              <w:end w:w="65" w:type="dxa"/>
            </w:tcMar>
            <w:tcBorders>
              <w:bottom w:val="single" w:sz="10" w:color="333333"/>
            </w:tcBorders>
            <w:shd w:fill="F6F8FA"/>
          </w:tcPr>
          <w:p>
            <w:pPr>
              <w:spacing w:after="0" w:line="220" w:lineRule="auto" w:before="0"/>
              <w:jc w:val="left"/>
            </w:pPr>
            <w:r>
              <w:rPr>
                <w:rFonts w:ascii="Times New Roman" w:hAnsi="Times New Roman" w:eastAsia="Times New Roman" w:cs="Times New Roman"/>
                <w:b w:val="0"/>
                <w:color w:val="17212B"/>
                <w:sz w:val="21"/>
                <w:szCs w:val="21"/>
                <w:bCs w:val="0"/>
                <w:i w:val="0"/>
                <w:iCs w:val="0"/>
              </w:rPr>
              <w:t>Same</w:t>
            </w:r>
          </w:p>
        </w:tc>
        <w:tc>
          <w:tcPr>
            <w:tcW w:type="dxa" w:w="1469"/>
            <w:vAlign w:val="center"/>
            <w:tcMar>
              <w:top w:w="60" w:type="dxa"/>
              <w:start w:w="65" w:type="dxa"/>
              <w:bottom w:w="60" w:type="dxa"/>
              <w:end w:w="65" w:type="dxa"/>
            </w:tcMar>
            <w:tcBorders>
              <w:bottom w:val="single" w:sz="10" w:color="333333"/>
            </w:tcBorders>
            <w:shd w:fill="F6F8FA"/>
          </w:tcPr>
          <w:p>
            <w:pPr>
              <w:spacing w:after="0" w:line="220" w:lineRule="auto" w:before="0"/>
              <w:jc w:val="left"/>
            </w:pPr>
            <w:r>
              <w:rPr>
                <w:rFonts w:ascii="Times New Roman" w:hAnsi="Times New Roman" w:eastAsia="Times New Roman" w:cs="Times New Roman"/>
                <w:b w:val="0"/>
                <w:color w:val="17212B"/>
                <w:sz w:val="21"/>
                <w:szCs w:val="21"/>
                <w:bCs w:val="0"/>
                <w:i w:val="0"/>
                <w:iCs w:val="0"/>
              </w:rPr>
              <w:t>3 seeds</w:t>
            </w:r>
          </w:p>
        </w:tc>
        <w:tc>
          <w:tcPr>
            <w:tcW w:type="dxa" w:w="1267"/>
            <w:vAlign w:val="center"/>
            <w:tcMar>
              <w:top w:w="60" w:type="dxa"/>
              <w:start w:w="65" w:type="dxa"/>
              <w:bottom w:w="60" w:type="dxa"/>
              <w:end w:w="65" w:type="dxa"/>
            </w:tcMar>
            <w:tcBorders>
              <w:bottom w:val="single" w:sz="10" w:color="333333"/>
            </w:tcBorders>
            <w:shd w:fill="F6F8FA"/>
          </w:tcPr>
          <w:p>
            <w:pPr>
              <w:spacing w:after="0" w:line="220" w:lineRule="auto" w:before="0"/>
              <w:jc w:val="left"/>
            </w:pPr>
            <w:r>
              <w:rPr>
                <w:rFonts w:ascii="Times New Roman" w:hAnsi="Times New Roman" w:eastAsia="Times New Roman" w:cs="Times New Roman"/>
                <w:b w:val="0"/>
                <w:color w:val="17212B"/>
                <w:sz w:val="21"/>
                <w:szCs w:val="21"/>
                <w:bCs w:val="0"/>
                <w:i w:val="0"/>
                <w:iCs w:val="0"/>
              </w:rPr>
              <w:t>5.936; seed SD 0.162</w:t>
            </w:r>
          </w:p>
        </w:tc>
        <w:tc>
          <w:tcPr>
            <w:tcW w:type="dxa" w:w="2952"/>
            <w:vAlign w:val="center"/>
            <w:tcMar>
              <w:top w:w="60" w:type="dxa"/>
              <w:start w:w="65" w:type="dxa"/>
              <w:bottom w:w="60" w:type="dxa"/>
              <w:end w:w="65" w:type="dxa"/>
            </w:tcMar>
            <w:tcBorders>
              <w:bottom w:val="single" w:sz="10" w:color="333333"/>
            </w:tcBorders>
            <w:shd w:fill="F6F8FA"/>
          </w:tcPr>
          <w:p>
            <w:pPr>
              <w:spacing w:after="0" w:line="220" w:lineRule="auto" w:before="0"/>
              <w:jc w:val="left"/>
            </w:pPr>
            <w:r>
              <w:rPr>
                <w:rFonts w:ascii="Times New Roman" w:hAnsi="Times New Roman" w:eastAsia="Times New Roman" w:cs="Times New Roman"/>
                <w:b w:val="0"/>
                <w:color w:val="17212B"/>
                <w:sz w:val="21"/>
                <w:szCs w:val="21"/>
                <w:bCs w:val="0"/>
                <w:i w:val="0"/>
                <w:iCs w:val="0"/>
              </w:rPr>
              <w:t>Selection-and-refit estimate; not an isolated augmentation effect</w:t>
            </w:r>
          </w:p>
        </w:tc>
      </w:tr>
    </w:tbl>
    <w:p>
      <w:pPr>
        <w:spacing w:after="40" w:line="240" w:lineRule="auto"/>
      </w:pPr>
    </w:p>
    <w:p>
      <w:pPr>
        <w:pStyle w:val="4"/>
      </w:pPr>
      <w:r>
        <w:rPr>
          <w:rFonts w:ascii="Times New Roman" w:hAnsi="Times New Roman" w:eastAsia="Times New Roman" w:cs="Times New Roman"/>
          <w:b w:val="1"/>
          <w:sz w:val="28"/>
          <w:szCs w:val="28"/>
          <w:bCs w:val="1"/>
          <w:i w:val="0"/>
          <w:iCs w:val="0"/>
        </w:rPr>
        <w:t>3.3 Boundary-specific error and redundancy accounting</w:t>
      </w:r>
    </w:p>
    <w:p>
      <w:pPr>
        <w:keepNext w:val="0"/>
        <w:spacing w:after="80" w:line="240" w:lineRule="auto"/>
        <w:jc w:val="both"/>
      </w:pPr>
      <w:r>
        <w:rPr>
          <w:rFonts w:ascii="Times New Roman" w:hAnsi="Times New Roman" w:eastAsia="Times New Roman"/>
          <w:color w:val="17212B"/>
          <w:sz w:val="20"/>
        </w:rPr>
        <w:t>Under the exact nested-selected protocol, mean errors for boundaries 1–8 were 5.423, 6.757, 5.121, 5.153, 4.950, 6.097, 6.922, and 8.387 native pixels (Fig. 2C). Error was therefore distributed across the retinal profile, with the two outermost indexed boundaries hardest. These values remain above the approximately one-pixel unsigned error reported for the original graph-based OCTRIMA3D procedure [1]; the present compact CNN is a vehicle for the statistical experiment and not a state-of-the-art replacement.</w:t>
      </w:r>
    </w:p>
    <w:p>
      <w:pPr>
        <w:keepNext w:val="0"/>
        <w:spacing w:after="80" w:line="240" w:lineRule="auto"/>
        <w:jc w:val="both"/>
      </w:pPr>
      <w:r>
        <w:rPr>
          <w:rFonts w:ascii="Times New Roman" w:hAnsi="Times New Roman" w:eastAsia="Times New Roman"/>
          <w:color w:val="17212B"/>
          <w:sz w:val="20"/>
        </w:rPr>
        <w:t>The perturbation result was more decisive mechanistically. Exact duplication of every B-scan doubled nominal count from 10 to 20, but mean ESS changed only from 1.536 to 1.519. Appending one exact copy gave 1.536; both five-slice thinning rules remained near 1.56 (Fig. 2D and Table 4). Thus the statistic treated copied observations as redundant rather than as independent evidence. Its narrow range is not an accuracy metric and does not demonstrate missing-slice robustness.</w:t>
      </w:r>
    </w:p>
    <w:p>
      <w:pPr>
        <w:spacing w:before="80" w:after="40"/>
        <w:jc w:val="center"/>
      </w:pPr>
      <w:r>
        <w:drawing>
          <wp:inline xmlns:a="http://schemas.openxmlformats.org/drawingml/2006/main" xmlns:pic="http://schemas.openxmlformats.org/drawingml/2006/picture">
            <wp:extent cx="5166360" cy="3630200"/>
            <wp:docPr id="6" name="Picture 6" descr="Four-panel quantitative results: paired MAE, nested outer tests, boundary MAE, and ESS redundancy audit." title="Four-panel quantitative results: paired MAE, nested outer tests, boundary MAE, and ESS redundancy audit."/>
            <wp:cNvGraphicFramePr>
              <a:graphicFrameLocks noChangeAspect="1"/>
            </wp:cNvGraphicFramePr>
            <a:graphic>
              <a:graphicData uri="http://schemas.openxmlformats.org/drawingml/2006/picture">
                <pic:pic>
                  <pic:nvPicPr>
                    <pic:cNvPr id="0" name="figure2_quantitative_enhanced.png"/>
                    <pic:cNvPicPr/>
                  </pic:nvPicPr>
                  <pic:blipFill>
                    <a:blip r:embed="rId27"/>
                    <a:stretch>
                      <a:fillRect/>
                    </a:stretch>
                  </pic:blipFill>
                  <pic:spPr>
                    <a:xfrm>
                      <a:off x="0" y="0"/>
                      <a:ext cx="5166360" cy="3630200"/>
                    </a:xfrm>
                    <a:prstGeom prst="rect"/>
                  </pic:spPr>
                </pic:pic>
              </a:graphicData>
            </a:graphic>
          </wp:inline>
        </w:drawing>
      </w:r>
    </w:p>
    <w:p>
      <w:pPr>
        <w:spacing w:before="40" w:after="120"/>
        <w:jc w:val="both"/>
      </w:pPr>
      <w:r>
        <w:rPr>
          <w:rFonts w:ascii="Times New Roman" w:hAnsi="Times New Roman" w:eastAsia="Times New Roman" w:cs="Times New Roman"/>
          <w:sz w:val="24"/>
          <w:szCs w:val="24"/>
          <w:b w:val="1"/>
          <w:bCs w:val="1"/>
          <w:i w:val="0"/>
          <w:iCs w:val="0"/>
        </w:rPr>
        <w:t xml:space="preserve">Figure 2. </w:t>
      </w:r>
      <w:r>
        <w:rPr>
          <w:rFonts w:ascii="Times New Roman" w:hAnsi="Times New Roman" w:eastAsia="Times New Roman" w:cs="Times New Roman"/>
          <w:sz w:val="24"/>
          <w:szCs w:val="24"/>
          <w:b w:val="0"/>
          <w:bCs w:val="0"/>
          <w:i w:val="0"/>
          <w:iCs w:val="0"/>
        </w:rPr>
        <w:t>Coherent quantitative evidence from the full Tian analysis. (A) Paired held-out MAE in the fixed 60-epoch comparison; the 95% bootstrap interval of the mean paired difference crosses zero. (B) The 30 outer tests generated by three repeated nested protocols, with each point denoting one held-out volume. (C) Boundary-resolved nested-test error (mean ± SD across 10 held-out volumes). (D) Raw slice count changes fourfold under deterministic perturbation, whereas correlation-aware ESS remains near 1.5; exact copies therefore do not create independent evidence.</w:t>
      </w:r>
    </w:p>
    <w:p>
      <w:pPr>
        <w:keepNext/>
        <w:spacing w:before="120" w:after="80" w:line="240" w:lineRule="auto"/>
        <w:jc w:val="both"/>
      </w:pPr>
      <w:r>
        <w:rPr>
          <w:rFonts w:ascii="Times New Roman" w:hAnsi="Times New Roman" w:eastAsia="Times New Roman" w:cs="Times New Roman"/>
          <w:sz w:val="24"/>
          <w:szCs w:val="24"/>
          <w:b w:val="1"/>
          <w:bCs w:val="1"/>
          <w:i w:val="0"/>
          <w:iCs w:val="0"/>
        </w:rPr>
        <w:t xml:space="preserve">Table 4. </w:t>
      </w:r>
      <w:r>
        <w:rPr>
          <w:rFonts w:ascii="Times New Roman" w:hAnsi="Times New Roman" w:eastAsia="Times New Roman" w:cs="Times New Roman"/>
          <w:sz w:val="24"/>
          <w:szCs w:val="24"/>
          <w:b w:val="0"/>
          <w:bCs w:val="0"/>
          <w:i w:val="0"/>
          <w:iCs w:val="0"/>
        </w:rPr>
        <w:t>Label-free RetiESS perturbation audit over all 10 Tian volumes. The statistic is evaluated independently of segmentation labels and predictions.</w:t>
      </w:r>
    </w:p>
    <w:tbl>
      <w:tblPr>
        <w:tblStyle w:val="21"/>
        <w:tblW w:type="auto" w:w="0"/>
        <w:jc w:val="center"/>
        <w:tblLayout w:type="fixed"/>
        <w:tblLook w:firstColumn="1" w:firstRow="1" w:lastColumn="0" w:lastRow="0" w:noHBand="0" w:noVBand="1" w:val="04A0"/>
      </w:tblPr>
      <w:tblGrid>
        <w:gridCol w:w="1661"/>
        <w:gridCol w:w="1661"/>
        <w:gridCol w:w="1661"/>
        <w:gridCol w:w="1661"/>
        <w:gridCol w:w="1661"/>
      </w:tblGrid>
      <w:tr>
        <w:trPr>
          <w:tblHeader w:val="true"/>
          <w:tblHeader w:val="true"/>
          <w:cantSplit/>
        </w:trPr>
        <w:tc>
          <w:tcPr>
            <w:tcW w:type="dxa" w:w="1584"/>
            <w:vAlign w:val="center"/>
            <w:tcMar>
              <w:top w:w="60" w:type="dxa"/>
              <w:start w:w="65" w:type="dxa"/>
              <w:bottom w:w="60" w:type="dxa"/>
              <w:end w:w="65" w:type="dxa"/>
            </w:tcMar>
            <w:tcBorders>
              <w:top w:val="single" w:sz="12" w:color="333333"/>
              <w:bottom w:val="single" w:sz="8" w:color="333333"/>
            </w:tcBorders>
            <w:shd w:fill="124E78"/>
          </w:tcPr>
          <w:p>
            <w:pPr>
              <w:spacing w:after="0" w:line="220" w:lineRule="auto" w:before="0"/>
              <w:jc w:val="center"/>
            </w:pPr>
            <w:r>
              <w:rPr>
                <w:rFonts w:ascii="Times New Roman" w:hAnsi="Times New Roman" w:eastAsia="Times New Roman" w:cs="Times New Roman"/>
                <w:b w:val="1"/>
                <w:color w:val="FFFFFF"/>
                <w:sz w:val="21"/>
                <w:szCs w:val="21"/>
                <w:bCs w:val="1"/>
                <w:i w:val="0"/>
                <w:iCs w:val="0"/>
              </w:rPr>
              <w:t>Variant</w:t>
            </w:r>
          </w:p>
        </w:tc>
        <w:tc>
          <w:tcPr>
            <w:tcW w:type="dxa" w:w="1656"/>
            <w:vAlign w:val="center"/>
            <w:tcMar>
              <w:top w:w="60" w:type="dxa"/>
              <w:start w:w="65" w:type="dxa"/>
              <w:bottom w:w="60" w:type="dxa"/>
              <w:end w:w="65" w:type="dxa"/>
            </w:tcMar>
            <w:tcBorders>
              <w:top w:val="single" w:sz="12" w:color="333333"/>
              <w:bottom w:val="single" w:sz="8" w:color="333333"/>
            </w:tcBorders>
            <w:shd w:fill="124E78"/>
          </w:tcPr>
          <w:p>
            <w:pPr>
              <w:spacing w:after="0" w:line="220" w:lineRule="auto" w:before="0"/>
              <w:jc w:val="center"/>
            </w:pPr>
            <w:r>
              <w:rPr>
                <w:rFonts w:ascii="Times New Roman" w:hAnsi="Times New Roman" w:eastAsia="Times New Roman" w:cs="Times New Roman"/>
                <w:b w:val="1"/>
                <w:color w:val="FFFFFF"/>
                <w:sz w:val="21"/>
                <w:szCs w:val="21"/>
                <w:bCs w:val="1"/>
                <w:i w:val="0"/>
                <w:iCs w:val="0"/>
              </w:rPr>
              <w:t>Raw B-scans</w:t>
            </w:r>
          </w:p>
        </w:tc>
        <w:tc>
          <w:tcPr>
            <w:tcW w:type="dxa" w:w="1584"/>
            <w:vAlign w:val="center"/>
            <w:tcMar>
              <w:top w:w="60" w:type="dxa"/>
              <w:start w:w="65" w:type="dxa"/>
              <w:bottom w:w="60" w:type="dxa"/>
              <w:end w:w="65" w:type="dxa"/>
            </w:tcMar>
            <w:tcBorders>
              <w:top w:val="single" w:sz="12" w:color="333333"/>
              <w:bottom w:val="single" w:sz="8" w:color="333333"/>
            </w:tcBorders>
            <w:shd w:fill="124E78"/>
          </w:tcPr>
          <w:p>
            <w:pPr>
              <w:spacing w:after="0" w:line="220" w:lineRule="auto" w:before="0"/>
              <w:jc w:val="center"/>
            </w:pPr>
            <w:r>
              <w:rPr>
                <w:rFonts w:ascii="Times New Roman" w:hAnsi="Times New Roman" w:eastAsia="Times New Roman" w:cs="Times New Roman"/>
                <w:b w:val="1"/>
                <w:color w:val="FFFFFF"/>
                <w:sz w:val="21"/>
                <w:szCs w:val="21"/>
                <w:bCs w:val="1"/>
                <w:i w:val="0"/>
                <w:iCs w:val="0"/>
              </w:rPr>
              <w:t>ESS mean ± SD</w:t>
            </w:r>
          </w:p>
        </w:tc>
        <w:tc>
          <w:tcPr>
            <w:tcW w:type="dxa" w:w="1757"/>
            <w:vAlign w:val="center"/>
            <w:tcMar>
              <w:top w:w="60" w:type="dxa"/>
              <w:start w:w="65" w:type="dxa"/>
              <w:bottom w:w="60" w:type="dxa"/>
              <w:end w:w="65" w:type="dxa"/>
            </w:tcMar>
            <w:tcBorders>
              <w:top w:val="single" w:sz="12" w:color="333333"/>
              <w:bottom w:val="single" w:sz="8" w:color="333333"/>
            </w:tcBorders>
            <w:shd w:fill="124E78"/>
          </w:tcPr>
          <w:p>
            <w:pPr>
              <w:spacing w:after="0" w:line="220" w:lineRule="auto" w:before="0"/>
              <w:jc w:val="center"/>
            </w:pPr>
            <w:r>
              <w:rPr>
                <w:rFonts w:ascii="Times New Roman" w:hAnsi="Times New Roman" w:eastAsia="Times New Roman" w:cs="Times New Roman"/>
                <w:b w:val="1"/>
                <w:color w:val="FFFFFF"/>
                <w:sz w:val="21"/>
                <w:szCs w:val="21"/>
                <w:bCs w:val="1"/>
                <w:i w:val="0"/>
                <w:iCs w:val="0"/>
              </w:rPr>
              <w:t>Change in raw count</w:t>
            </w:r>
          </w:p>
        </w:tc>
        <w:tc>
          <w:tcPr>
            <w:tcW w:type="dxa" w:w="2304"/>
            <w:vAlign w:val="center"/>
            <w:tcMar>
              <w:top w:w="60" w:type="dxa"/>
              <w:start w:w="65" w:type="dxa"/>
              <w:bottom w:w="60" w:type="dxa"/>
              <w:end w:w="65" w:type="dxa"/>
            </w:tcMar>
            <w:tcBorders>
              <w:top w:val="single" w:sz="12" w:color="333333"/>
              <w:bottom w:val="single" w:sz="8" w:color="333333"/>
            </w:tcBorders>
            <w:shd w:fill="124E78"/>
          </w:tcPr>
          <w:p>
            <w:pPr>
              <w:spacing w:after="0" w:line="220" w:lineRule="auto" w:before="0"/>
              <w:jc w:val="center"/>
            </w:pPr>
            <w:r>
              <w:rPr>
                <w:rFonts w:ascii="Times New Roman" w:hAnsi="Times New Roman" w:eastAsia="Times New Roman" w:cs="Times New Roman"/>
                <w:b w:val="1"/>
                <w:color w:val="FFFFFF"/>
                <w:sz w:val="21"/>
                <w:szCs w:val="21"/>
                <w:bCs w:val="1"/>
                <w:i w:val="0"/>
                <w:iCs w:val="0"/>
              </w:rPr>
              <w:t>Scientific reading</w:t>
            </w:r>
          </w:p>
        </w:tc>
      </w:tr>
      <w:tr>
        <w:trPr>
          <w:cantSplit/>
        </w:trPr>
        <w:tc>
          <w:tcPr>
            <w:tcW w:type="dxa" w:w="1584"/>
            <w:vAlign w:val="center"/>
            <w:tcMar>
              <w:top w:w="60" w:type="dxa"/>
              <w:start w:w="65" w:type="dxa"/>
              <w:bottom w:w="60" w:type="dxa"/>
              <w:end w:w="65" w:type="dxa"/>
            </w:tcMar>
            <w:tcBorders>
              <w:bottom w:val="single" w:sz="3" w:color="B7B7B7"/>
            </w:tcBorders>
            <w:shd w:fill="F3F8FB"/>
          </w:tcPr>
          <w:p>
            <w:pPr>
              <w:spacing w:after="0" w:line="220" w:lineRule="auto" w:before="0"/>
              <w:jc w:val="left"/>
            </w:pPr>
            <w:r>
              <w:rPr>
                <w:rFonts w:ascii="Times New Roman" w:hAnsi="Times New Roman" w:eastAsia="Times New Roman" w:cs="Times New Roman"/>
                <w:b w:val="0"/>
                <w:color w:val="17212B"/>
                <w:sz w:val="21"/>
                <w:szCs w:val="21"/>
                <w:bCs w:val="0"/>
                <w:i w:val="0"/>
                <w:iCs w:val="0"/>
              </w:rPr>
              <w:t>Original</w:t>
            </w:r>
          </w:p>
        </w:tc>
        <w:tc>
          <w:tcPr>
            <w:tcW w:type="dxa" w:w="1656"/>
            <w:vAlign w:val="center"/>
            <w:tcMar>
              <w:top w:w="60" w:type="dxa"/>
              <w:start w:w="65" w:type="dxa"/>
              <w:bottom w:w="60" w:type="dxa"/>
              <w:end w:w="65" w:type="dxa"/>
            </w:tcMar>
            <w:tcBorders>
              <w:bottom w:val="single" w:sz="3" w:color="B7B7B7"/>
            </w:tcBorders>
            <w:shd w:fill="F3F8FB"/>
          </w:tcPr>
          <w:p>
            <w:pPr>
              <w:spacing w:after="0" w:line="220" w:lineRule="auto" w:before="0"/>
              <w:jc w:val="left"/>
            </w:pPr>
            <w:r>
              <w:rPr>
                <w:rFonts w:ascii="Times New Roman" w:hAnsi="Times New Roman" w:eastAsia="Times New Roman" w:cs="Times New Roman"/>
                <w:b w:val="0"/>
                <w:color w:val="17212B"/>
                <w:sz w:val="21"/>
                <w:szCs w:val="21"/>
                <w:bCs w:val="0"/>
                <w:i w:val="0"/>
                <w:iCs w:val="0"/>
              </w:rPr>
              <w:t>10</w:t>
            </w:r>
          </w:p>
        </w:tc>
        <w:tc>
          <w:tcPr>
            <w:tcW w:type="dxa" w:w="1584"/>
            <w:vAlign w:val="center"/>
            <w:tcMar>
              <w:top w:w="60" w:type="dxa"/>
              <w:start w:w="65" w:type="dxa"/>
              <w:bottom w:w="60" w:type="dxa"/>
              <w:end w:w="65" w:type="dxa"/>
            </w:tcMar>
            <w:tcBorders>
              <w:bottom w:val="single" w:sz="3" w:color="B7B7B7"/>
            </w:tcBorders>
            <w:shd w:fill="F3F8FB"/>
          </w:tcPr>
          <w:p>
            <w:pPr>
              <w:spacing w:after="0" w:line="220" w:lineRule="auto" w:before="0"/>
              <w:jc w:val="left"/>
            </w:pPr>
            <w:r>
              <w:rPr>
                <w:rFonts w:ascii="Times New Roman" w:hAnsi="Times New Roman" w:eastAsia="Times New Roman" w:cs="Times New Roman"/>
                <w:b w:val="0"/>
                <w:color w:val="17212B"/>
                <w:sz w:val="21"/>
                <w:szCs w:val="21"/>
                <w:bCs w:val="0"/>
                <w:i w:val="0"/>
                <w:iCs w:val="0"/>
              </w:rPr>
              <w:t>1.536 ± 0.064</w:t>
            </w:r>
          </w:p>
        </w:tc>
        <w:tc>
          <w:tcPr>
            <w:tcW w:type="dxa" w:w="1757"/>
            <w:vAlign w:val="center"/>
            <w:tcMar>
              <w:top w:w="60" w:type="dxa"/>
              <w:start w:w="65" w:type="dxa"/>
              <w:bottom w:w="60" w:type="dxa"/>
              <w:end w:w="65" w:type="dxa"/>
            </w:tcMar>
            <w:tcBorders>
              <w:bottom w:val="single" w:sz="3" w:color="B7B7B7"/>
            </w:tcBorders>
            <w:shd w:fill="F3F8FB"/>
          </w:tcPr>
          <w:p>
            <w:pPr>
              <w:spacing w:after="0" w:line="220" w:lineRule="auto" w:before="0"/>
              <w:jc w:val="left"/>
            </w:pPr>
            <w:r>
              <w:rPr>
                <w:rFonts w:ascii="Times New Roman" w:hAnsi="Times New Roman" w:eastAsia="Times New Roman" w:cs="Times New Roman"/>
                <w:b w:val="0"/>
                <w:color w:val="17212B"/>
                <w:sz w:val="21"/>
                <w:szCs w:val="21"/>
                <w:bCs w:val="0"/>
                <w:i w:val="0"/>
                <w:iCs w:val="0"/>
              </w:rPr>
              <w:t>Reference</w:t>
            </w:r>
          </w:p>
        </w:tc>
        <w:tc>
          <w:tcPr>
            <w:tcW w:type="dxa" w:w="2304"/>
            <w:vAlign w:val="center"/>
            <w:tcMar>
              <w:top w:w="60" w:type="dxa"/>
              <w:start w:w="65" w:type="dxa"/>
              <w:bottom w:w="60" w:type="dxa"/>
              <w:end w:w="65" w:type="dxa"/>
            </w:tcMar>
            <w:tcBorders>
              <w:bottom w:val="single" w:sz="3" w:color="B7B7B7"/>
            </w:tcBorders>
            <w:shd w:fill="F3F8FB"/>
          </w:tcPr>
          <w:p>
            <w:pPr>
              <w:spacing w:after="0" w:line="220" w:lineRule="auto" w:before="0"/>
              <w:jc w:val="left"/>
            </w:pPr>
            <w:r>
              <w:rPr>
                <w:rFonts w:ascii="Times New Roman" w:hAnsi="Times New Roman" w:eastAsia="Times New Roman" w:cs="Times New Roman"/>
                <w:b w:val="0"/>
                <w:color w:val="17212B"/>
                <w:sz w:val="21"/>
                <w:szCs w:val="21"/>
                <w:bCs w:val="0"/>
                <w:i w:val="0"/>
                <w:iCs w:val="0"/>
              </w:rPr>
              <w:t>Correlated baseline</w:t>
            </w:r>
          </w:p>
        </w:tc>
      </w:tr>
      <w:tr>
        <w:trPr>
          <w:cantSplit/>
        </w:trPr>
        <w:tc>
          <w:tcPr>
            <w:tcW w:type="dxa" w:w="1584"/>
            <w:vAlign w:val="center"/>
            <w:tcMar>
              <w:top w:w="60" w:type="dxa"/>
              <w:start w:w="65" w:type="dxa"/>
              <w:bottom w:w="60" w:type="dxa"/>
              <w:end w:w="65" w:type="dxa"/>
            </w:tcMar>
            <w:tcBorders>
              <w:bottom w:val="single" w:sz="3" w:color="B7B7B7"/>
            </w:tcBorders>
            <w:shd w:fill="F6F8FA"/>
          </w:tcPr>
          <w:p>
            <w:pPr>
              <w:spacing w:after="0" w:line="220" w:lineRule="auto" w:before="0"/>
              <w:jc w:val="left"/>
            </w:pPr>
            <w:r>
              <w:rPr>
                <w:rFonts w:ascii="Times New Roman" w:hAnsi="Times New Roman" w:eastAsia="Times New Roman" w:cs="Times New Roman"/>
                <w:b w:val="0"/>
                <w:color w:val="17212B"/>
                <w:sz w:val="21"/>
                <w:szCs w:val="21"/>
                <w:bCs w:val="0"/>
                <w:i w:val="0"/>
                <w:iCs w:val="0"/>
              </w:rPr>
              <w:t>Append one exact copy</w:t>
            </w:r>
          </w:p>
        </w:tc>
        <w:tc>
          <w:tcPr>
            <w:tcW w:type="dxa" w:w="1656"/>
            <w:vAlign w:val="center"/>
            <w:tcMar>
              <w:top w:w="60" w:type="dxa"/>
              <w:start w:w="65" w:type="dxa"/>
              <w:bottom w:w="60" w:type="dxa"/>
              <w:end w:w="65" w:type="dxa"/>
            </w:tcMar>
            <w:tcBorders>
              <w:bottom w:val="single" w:sz="3" w:color="B7B7B7"/>
            </w:tcBorders>
            <w:shd w:fill="F6F8FA"/>
          </w:tcPr>
          <w:p>
            <w:pPr>
              <w:spacing w:after="0" w:line="220" w:lineRule="auto" w:before="0"/>
              <w:jc w:val="left"/>
            </w:pPr>
            <w:r>
              <w:rPr>
                <w:rFonts w:ascii="Times New Roman" w:hAnsi="Times New Roman" w:eastAsia="Times New Roman" w:cs="Times New Roman"/>
                <w:b w:val="0"/>
                <w:color w:val="17212B"/>
                <w:sz w:val="21"/>
                <w:szCs w:val="21"/>
                <w:bCs w:val="0"/>
                <w:i w:val="0"/>
                <w:iCs w:val="0"/>
              </w:rPr>
              <w:t>11</w:t>
            </w:r>
          </w:p>
        </w:tc>
        <w:tc>
          <w:tcPr>
            <w:tcW w:type="dxa" w:w="1584"/>
            <w:vAlign w:val="center"/>
            <w:tcMar>
              <w:top w:w="60" w:type="dxa"/>
              <w:start w:w="65" w:type="dxa"/>
              <w:bottom w:w="60" w:type="dxa"/>
              <w:end w:w="65" w:type="dxa"/>
            </w:tcMar>
            <w:tcBorders>
              <w:bottom w:val="single" w:sz="3" w:color="B7B7B7"/>
            </w:tcBorders>
            <w:shd w:fill="F6F8FA"/>
          </w:tcPr>
          <w:p>
            <w:pPr>
              <w:spacing w:after="0" w:line="220" w:lineRule="auto" w:before="0"/>
              <w:jc w:val="left"/>
            </w:pPr>
            <w:r>
              <w:rPr>
                <w:rFonts w:ascii="Times New Roman" w:hAnsi="Times New Roman" w:eastAsia="Times New Roman" w:cs="Times New Roman"/>
                <w:b w:val="0"/>
                <w:color w:val="17212B"/>
                <w:sz w:val="21"/>
                <w:szCs w:val="21"/>
                <w:bCs w:val="0"/>
                <w:i w:val="0"/>
                <w:iCs w:val="0"/>
              </w:rPr>
              <w:t>1.536 ± 0.070</w:t>
            </w:r>
          </w:p>
        </w:tc>
        <w:tc>
          <w:tcPr>
            <w:tcW w:type="dxa" w:w="1757"/>
            <w:vAlign w:val="center"/>
            <w:tcMar>
              <w:top w:w="60" w:type="dxa"/>
              <w:start w:w="65" w:type="dxa"/>
              <w:bottom w:w="60" w:type="dxa"/>
              <w:end w:w="65" w:type="dxa"/>
            </w:tcMar>
            <w:tcBorders>
              <w:bottom w:val="single" w:sz="3" w:color="B7B7B7"/>
            </w:tcBorders>
            <w:shd w:fill="F6F8FA"/>
          </w:tcPr>
          <w:p>
            <w:pPr>
              <w:spacing w:after="0" w:line="220" w:lineRule="auto" w:before="0"/>
              <w:jc w:val="left"/>
            </w:pPr>
            <w:r>
              <w:rPr>
                <w:rFonts w:ascii="Times New Roman" w:hAnsi="Times New Roman" w:eastAsia="Times New Roman" w:cs="Times New Roman"/>
                <w:b w:val="0"/>
                <w:color w:val="17212B"/>
                <w:sz w:val="21"/>
                <w:szCs w:val="21"/>
                <w:bCs w:val="0"/>
                <w:i w:val="0"/>
                <w:iCs w:val="0"/>
              </w:rPr>
              <w:t>+10%</w:t>
            </w:r>
          </w:p>
        </w:tc>
        <w:tc>
          <w:tcPr>
            <w:tcW w:type="dxa" w:w="2304"/>
            <w:vAlign w:val="center"/>
            <w:tcMar>
              <w:top w:w="60" w:type="dxa"/>
              <w:start w:w="65" w:type="dxa"/>
              <w:bottom w:w="60" w:type="dxa"/>
              <w:end w:w="65" w:type="dxa"/>
            </w:tcMar>
            <w:tcBorders>
              <w:bottom w:val="single" w:sz="3" w:color="B7B7B7"/>
            </w:tcBorders>
            <w:shd w:fill="F6F8FA"/>
          </w:tcPr>
          <w:p>
            <w:pPr>
              <w:spacing w:after="0" w:line="220" w:lineRule="auto" w:before="0"/>
              <w:jc w:val="left"/>
            </w:pPr>
            <w:r>
              <w:rPr>
                <w:rFonts w:ascii="Times New Roman" w:hAnsi="Times New Roman" w:eastAsia="Times New Roman" w:cs="Times New Roman"/>
                <w:b w:val="0"/>
                <w:color w:val="17212B"/>
                <w:sz w:val="21"/>
                <w:szCs w:val="21"/>
                <w:bCs w:val="0"/>
                <w:i w:val="0"/>
                <w:iCs w:val="0"/>
              </w:rPr>
              <w:t>No independent evidence added</w:t>
            </w:r>
          </w:p>
        </w:tc>
      </w:tr>
      <w:tr>
        <w:trPr>
          <w:cantSplit/>
        </w:trPr>
        <w:tc>
          <w:tcPr>
            <w:tcW w:type="dxa" w:w="1584"/>
            <w:vAlign w:val="center"/>
            <w:tcMar>
              <w:top w:w="60" w:type="dxa"/>
              <w:start w:w="65" w:type="dxa"/>
              <w:bottom w:w="60" w:type="dxa"/>
              <w:end w:w="65" w:type="dxa"/>
            </w:tcMar>
            <w:tcBorders>
              <w:bottom w:val="single" w:sz="3" w:color="B7B7B7"/>
            </w:tcBorders>
            <w:shd w:fill="F3F8FB"/>
          </w:tcPr>
          <w:p>
            <w:pPr>
              <w:spacing w:after="0" w:line="220" w:lineRule="auto" w:before="0"/>
              <w:jc w:val="left"/>
            </w:pPr>
            <w:r>
              <w:rPr>
                <w:rFonts w:ascii="Times New Roman" w:hAnsi="Times New Roman" w:eastAsia="Times New Roman" w:cs="Times New Roman"/>
                <w:b w:val="0"/>
                <w:color w:val="17212B"/>
                <w:sz w:val="21"/>
                <w:szCs w:val="21"/>
                <w:bCs w:val="0"/>
                <w:i w:val="0"/>
                <w:iCs w:val="0"/>
              </w:rPr>
              <w:t>Duplicate every scan</w:t>
            </w:r>
          </w:p>
        </w:tc>
        <w:tc>
          <w:tcPr>
            <w:tcW w:type="dxa" w:w="1656"/>
            <w:vAlign w:val="center"/>
            <w:tcMar>
              <w:top w:w="60" w:type="dxa"/>
              <w:start w:w="65" w:type="dxa"/>
              <w:bottom w:w="60" w:type="dxa"/>
              <w:end w:w="65" w:type="dxa"/>
            </w:tcMar>
            <w:tcBorders>
              <w:bottom w:val="single" w:sz="3" w:color="B7B7B7"/>
            </w:tcBorders>
            <w:shd w:fill="F3F8FB"/>
          </w:tcPr>
          <w:p>
            <w:pPr>
              <w:spacing w:after="0" w:line="220" w:lineRule="auto" w:before="0"/>
              <w:jc w:val="left"/>
            </w:pPr>
            <w:r>
              <w:rPr>
                <w:rFonts w:ascii="Times New Roman" w:hAnsi="Times New Roman" w:eastAsia="Times New Roman" w:cs="Times New Roman"/>
                <w:b w:val="0"/>
                <w:color w:val="17212B"/>
                <w:sz w:val="21"/>
                <w:szCs w:val="21"/>
                <w:bCs w:val="0"/>
                <w:i w:val="0"/>
                <w:iCs w:val="0"/>
              </w:rPr>
              <w:t>20</w:t>
            </w:r>
          </w:p>
        </w:tc>
        <w:tc>
          <w:tcPr>
            <w:tcW w:type="dxa" w:w="1584"/>
            <w:vAlign w:val="center"/>
            <w:tcMar>
              <w:top w:w="60" w:type="dxa"/>
              <w:start w:w="65" w:type="dxa"/>
              <w:bottom w:w="60" w:type="dxa"/>
              <w:end w:w="65" w:type="dxa"/>
            </w:tcMar>
            <w:tcBorders>
              <w:bottom w:val="single" w:sz="3" w:color="B7B7B7"/>
            </w:tcBorders>
            <w:shd w:fill="F3F8FB"/>
          </w:tcPr>
          <w:p>
            <w:pPr>
              <w:spacing w:after="0" w:line="220" w:lineRule="auto" w:before="0"/>
              <w:jc w:val="left"/>
            </w:pPr>
            <w:r>
              <w:rPr>
                <w:rFonts w:ascii="Times New Roman" w:hAnsi="Times New Roman" w:eastAsia="Times New Roman" w:cs="Times New Roman"/>
                <w:b w:val="0"/>
                <w:color w:val="17212B"/>
                <w:sz w:val="21"/>
                <w:szCs w:val="21"/>
                <w:bCs w:val="0"/>
                <w:i w:val="0"/>
                <w:iCs w:val="0"/>
              </w:rPr>
              <w:t>1.519 ± 0.063</w:t>
            </w:r>
          </w:p>
        </w:tc>
        <w:tc>
          <w:tcPr>
            <w:tcW w:type="dxa" w:w="1757"/>
            <w:vAlign w:val="center"/>
            <w:tcMar>
              <w:top w:w="60" w:type="dxa"/>
              <w:start w:w="65" w:type="dxa"/>
              <w:bottom w:w="60" w:type="dxa"/>
              <w:end w:w="65" w:type="dxa"/>
            </w:tcMar>
            <w:tcBorders>
              <w:bottom w:val="single" w:sz="3" w:color="B7B7B7"/>
            </w:tcBorders>
            <w:shd w:fill="F3F8FB"/>
          </w:tcPr>
          <w:p>
            <w:pPr>
              <w:spacing w:after="0" w:line="220" w:lineRule="auto" w:before="0"/>
              <w:jc w:val="left"/>
            </w:pPr>
            <w:r>
              <w:rPr>
                <w:rFonts w:ascii="Times New Roman" w:hAnsi="Times New Roman" w:eastAsia="Times New Roman" w:cs="Times New Roman"/>
                <w:b w:val="0"/>
                <w:color w:val="17212B"/>
                <w:sz w:val="21"/>
                <w:szCs w:val="21"/>
                <w:bCs w:val="0"/>
                <w:i w:val="0"/>
                <w:iCs w:val="0"/>
              </w:rPr>
              <w:t>+100%</w:t>
            </w:r>
          </w:p>
        </w:tc>
        <w:tc>
          <w:tcPr>
            <w:tcW w:type="dxa" w:w="2304"/>
            <w:vAlign w:val="center"/>
            <w:tcMar>
              <w:top w:w="60" w:type="dxa"/>
              <w:start w:w="65" w:type="dxa"/>
              <w:bottom w:w="60" w:type="dxa"/>
              <w:end w:w="65" w:type="dxa"/>
            </w:tcMar>
            <w:tcBorders>
              <w:bottom w:val="single" w:sz="3" w:color="B7B7B7"/>
            </w:tcBorders>
            <w:shd w:fill="F3F8FB"/>
          </w:tcPr>
          <w:p>
            <w:pPr>
              <w:spacing w:after="0" w:line="220" w:lineRule="auto" w:before="0"/>
              <w:jc w:val="left"/>
            </w:pPr>
            <w:r>
              <w:rPr>
                <w:rFonts w:ascii="Times New Roman" w:hAnsi="Times New Roman" w:eastAsia="Times New Roman" w:cs="Times New Roman"/>
                <w:b w:val="0"/>
                <w:color w:val="17212B"/>
                <w:sz w:val="21"/>
                <w:szCs w:val="21"/>
                <w:bCs w:val="0"/>
                <w:i w:val="0"/>
                <w:iCs w:val="0"/>
              </w:rPr>
              <w:t>Copies remain redundant</w:t>
            </w:r>
          </w:p>
        </w:tc>
      </w:tr>
      <w:tr>
        <w:trPr>
          <w:cantSplit/>
        </w:trPr>
        <w:tc>
          <w:tcPr>
            <w:tcW w:type="dxa" w:w="1584"/>
            <w:vAlign w:val="center"/>
            <w:tcMar>
              <w:top w:w="60" w:type="dxa"/>
              <w:start w:w="65" w:type="dxa"/>
              <w:bottom w:w="60" w:type="dxa"/>
              <w:end w:w="65" w:type="dxa"/>
            </w:tcMar>
            <w:tcBorders>
              <w:bottom w:val="single" w:sz="3" w:color="B7B7B7"/>
            </w:tcBorders>
            <w:shd w:fill="F6F8FA"/>
          </w:tcPr>
          <w:p>
            <w:pPr>
              <w:spacing w:after="0" w:line="220" w:lineRule="auto" w:before="0"/>
              <w:jc w:val="left"/>
            </w:pPr>
            <w:r>
              <w:rPr>
                <w:rFonts w:ascii="Times New Roman" w:hAnsi="Times New Roman" w:eastAsia="Times New Roman" w:cs="Times New Roman"/>
                <w:b w:val="0"/>
                <w:color w:val="17212B"/>
                <w:sz w:val="21"/>
                <w:szCs w:val="21"/>
                <w:bCs w:val="0"/>
                <w:i w:val="0"/>
                <w:iCs w:val="0"/>
              </w:rPr>
              <w:t>Keep alternate scans</w:t>
            </w:r>
          </w:p>
        </w:tc>
        <w:tc>
          <w:tcPr>
            <w:tcW w:type="dxa" w:w="1656"/>
            <w:vAlign w:val="center"/>
            <w:tcMar>
              <w:top w:w="60" w:type="dxa"/>
              <w:start w:w="65" w:type="dxa"/>
              <w:bottom w:w="60" w:type="dxa"/>
              <w:end w:w="65" w:type="dxa"/>
            </w:tcMar>
            <w:tcBorders>
              <w:bottom w:val="single" w:sz="3" w:color="B7B7B7"/>
            </w:tcBorders>
            <w:shd w:fill="F6F8FA"/>
          </w:tcPr>
          <w:p>
            <w:pPr>
              <w:spacing w:after="0" w:line="220" w:lineRule="auto" w:before="0"/>
              <w:jc w:val="left"/>
            </w:pPr>
            <w:r>
              <w:rPr>
                <w:rFonts w:ascii="Times New Roman" w:hAnsi="Times New Roman" w:eastAsia="Times New Roman" w:cs="Times New Roman"/>
                <w:b w:val="0"/>
                <w:color w:val="17212B"/>
                <w:sz w:val="21"/>
                <w:szCs w:val="21"/>
                <w:bCs w:val="0"/>
                <w:i w:val="0"/>
                <w:iCs w:val="0"/>
              </w:rPr>
              <w:t>5</w:t>
            </w:r>
          </w:p>
        </w:tc>
        <w:tc>
          <w:tcPr>
            <w:tcW w:type="dxa" w:w="1584"/>
            <w:vAlign w:val="center"/>
            <w:tcMar>
              <w:top w:w="60" w:type="dxa"/>
              <w:start w:w="65" w:type="dxa"/>
              <w:bottom w:w="60" w:type="dxa"/>
              <w:end w:w="65" w:type="dxa"/>
            </w:tcMar>
            <w:tcBorders>
              <w:bottom w:val="single" w:sz="3" w:color="B7B7B7"/>
            </w:tcBorders>
            <w:shd w:fill="F6F8FA"/>
          </w:tcPr>
          <w:p>
            <w:pPr>
              <w:spacing w:after="0" w:line="220" w:lineRule="auto" w:before="0"/>
              <w:jc w:val="left"/>
            </w:pPr>
            <w:r>
              <w:rPr>
                <w:rFonts w:ascii="Times New Roman" w:hAnsi="Times New Roman" w:eastAsia="Times New Roman" w:cs="Times New Roman"/>
                <w:b w:val="0"/>
                <w:color w:val="17212B"/>
                <w:sz w:val="21"/>
                <w:szCs w:val="21"/>
                <w:bCs w:val="0"/>
                <w:i w:val="0"/>
                <w:iCs w:val="0"/>
              </w:rPr>
              <w:t>1.562 ± 0.055</w:t>
            </w:r>
          </w:p>
        </w:tc>
        <w:tc>
          <w:tcPr>
            <w:tcW w:type="dxa" w:w="1757"/>
            <w:vAlign w:val="center"/>
            <w:tcMar>
              <w:top w:w="60" w:type="dxa"/>
              <w:start w:w="65" w:type="dxa"/>
              <w:bottom w:w="60" w:type="dxa"/>
              <w:end w:w="65" w:type="dxa"/>
            </w:tcMar>
            <w:tcBorders>
              <w:bottom w:val="single" w:sz="3" w:color="B7B7B7"/>
            </w:tcBorders>
            <w:shd w:fill="F6F8FA"/>
          </w:tcPr>
          <w:p>
            <w:pPr>
              <w:spacing w:after="0" w:line="220" w:lineRule="auto" w:before="0"/>
              <w:jc w:val="left"/>
            </w:pPr>
            <w:r>
              <w:rPr>
                <w:rFonts w:ascii="Times New Roman" w:hAnsi="Times New Roman" w:eastAsia="Times New Roman" w:cs="Times New Roman"/>
                <w:b w:val="0"/>
                <w:color w:val="17212B"/>
                <w:sz w:val="21"/>
                <w:szCs w:val="21"/>
                <w:bCs w:val="0"/>
                <w:i w:val="0"/>
                <w:iCs w:val="0"/>
              </w:rPr>
              <w:t>−50%</w:t>
            </w:r>
          </w:p>
        </w:tc>
        <w:tc>
          <w:tcPr>
            <w:tcW w:type="dxa" w:w="2304"/>
            <w:vAlign w:val="center"/>
            <w:tcMar>
              <w:top w:w="60" w:type="dxa"/>
              <w:start w:w="65" w:type="dxa"/>
              <w:bottom w:w="60" w:type="dxa"/>
              <w:end w:w="65" w:type="dxa"/>
            </w:tcMar>
            <w:tcBorders>
              <w:bottom w:val="single" w:sz="3" w:color="B7B7B7"/>
            </w:tcBorders>
            <w:shd w:fill="F6F8FA"/>
          </w:tcPr>
          <w:p>
            <w:pPr>
              <w:spacing w:after="0" w:line="220" w:lineRule="auto" w:before="0"/>
              <w:jc w:val="left"/>
            </w:pPr>
            <w:r>
              <w:rPr>
                <w:rFonts w:ascii="Times New Roman" w:hAnsi="Times New Roman" w:eastAsia="Times New Roman" w:cs="Times New Roman"/>
                <w:b w:val="0"/>
                <w:color w:val="17212B"/>
                <w:sz w:val="21"/>
                <w:szCs w:val="21"/>
                <w:bCs w:val="0"/>
                <w:i w:val="0"/>
                <w:iCs w:val="0"/>
              </w:rPr>
              <w:t>Lower count, similar ESS</w:t>
            </w:r>
          </w:p>
        </w:tc>
      </w:tr>
      <w:tr>
        <w:trPr>
          <w:cantSplit/>
        </w:trPr>
        <w:tc>
          <w:tcPr>
            <w:tcW w:type="dxa" w:w="1584"/>
            <w:vAlign w:val="center"/>
            <w:tcMar>
              <w:top w:w="60" w:type="dxa"/>
              <w:start w:w="65" w:type="dxa"/>
              <w:bottom w:w="60" w:type="dxa"/>
              <w:end w:w="65" w:type="dxa"/>
            </w:tcMar>
            <w:tcBorders>
              <w:bottom w:val="single" w:sz="10" w:color="333333"/>
            </w:tcBorders>
            <w:shd w:fill="F3F8FB"/>
          </w:tcPr>
          <w:p>
            <w:pPr>
              <w:spacing w:after="0" w:line="220" w:lineRule="auto" w:before="0"/>
              <w:jc w:val="left"/>
            </w:pPr>
            <w:r>
              <w:rPr>
                <w:rFonts w:ascii="Times New Roman" w:hAnsi="Times New Roman" w:eastAsia="Times New Roman" w:cs="Times New Roman"/>
                <w:b w:val="0"/>
                <w:color w:val="17212B"/>
                <w:sz w:val="21"/>
                <w:szCs w:val="21"/>
                <w:bCs w:val="0"/>
                <w:i w:val="0"/>
                <w:iCs w:val="0"/>
              </w:rPr>
              <w:t>Remove central block</w:t>
            </w:r>
          </w:p>
        </w:tc>
        <w:tc>
          <w:tcPr>
            <w:tcW w:type="dxa" w:w="1656"/>
            <w:vAlign w:val="center"/>
            <w:tcMar>
              <w:top w:w="60" w:type="dxa"/>
              <w:start w:w="65" w:type="dxa"/>
              <w:bottom w:w="60" w:type="dxa"/>
              <w:end w:w="65" w:type="dxa"/>
            </w:tcMar>
            <w:tcBorders>
              <w:bottom w:val="single" w:sz="10" w:color="333333"/>
            </w:tcBorders>
            <w:shd w:fill="F3F8FB"/>
          </w:tcPr>
          <w:p>
            <w:pPr>
              <w:spacing w:after="0" w:line="220" w:lineRule="auto" w:before="0"/>
              <w:jc w:val="left"/>
            </w:pPr>
            <w:r>
              <w:rPr>
                <w:rFonts w:ascii="Times New Roman" w:hAnsi="Times New Roman" w:eastAsia="Times New Roman" w:cs="Times New Roman"/>
                <w:b w:val="0"/>
                <w:color w:val="17212B"/>
                <w:sz w:val="21"/>
                <w:szCs w:val="21"/>
                <w:bCs w:val="0"/>
                <w:i w:val="0"/>
                <w:iCs w:val="0"/>
              </w:rPr>
              <w:t>5</w:t>
            </w:r>
          </w:p>
        </w:tc>
        <w:tc>
          <w:tcPr>
            <w:tcW w:type="dxa" w:w="1584"/>
            <w:vAlign w:val="center"/>
            <w:tcMar>
              <w:top w:w="60" w:type="dxa"/>
              <w:start w:w="65" w:type="dxa"/>
              <w:bottom w:w="60" w:type="dxa"/>
              <w:end w:w="65" w:type="dxa"/>
            </w:tcMar>
            <w:tcBorders>
              <w:bottom w:val="single" w:sz="10" w:color="333333"/>
            </w:tcBorders>
            <w:shd w:fill="F3F8FB"/>
          </w:tcPr>
          <w:p>
            <w:pPr>
              <w:spacing w:after="0" w:line="220" w:lineRule="auto" w:before="0"/>
              <w:jc w:val="left"/>
            </w:pPr>
            <w:r>
              <w:rPr>
                <w:rFonts w:ascii="Times New Roman" w:hAnsi="Times New Roman" w:eastAsia="Times New Roman" w:cs="Times New Roman"/>
                <w:b w:val="0"/>
                <w:color w:val="17212B"/>
                <w:sz w:val="21"/>
                <w:szCs w:val="21"/>
                <w:bCs w:val="0"/>
                <w:i w:val="0"/>
                <w:iCs w:val="0"/>
              </w:rPr>
              <w:t>1.557 ± 0.067</w:t>
            </w:r>
          </w:p>
        </w:tc>
        <w:tc>
          <w:tcPr>
            <w:tcW w:type="dxa" w:w="1757"/>
            <w:vAlign w:val="center"/>
            <w:tcMar>
              <w:top w:w="60" w:type="dxa"/>
              <w:start w:w="65" w:type="dxa"/>
              <w:bottom w:w="60" w:type="dxa"/>
              <w:end w:w="65" w:type="dxa"/>
            </w:tcMar>
            <w:tcBorders>
              <w:bottom w:val="single" w:sz="10" w:color="333333"/>
            </w:tcBorders>
            <w:shd w:fill="F3F8FB"/>
          </w:tcPr>
          <w:p>
            <w:pPr>
              <w:spacing w:after="0" w:line="220" w:lineRule="auto" w:before="0"/>
              <w:jc w:val="left"/>
            </w:pPr>
            <w:r>
              <w:rPr>
                <w:rFonts w:ascii="Times New Roman" w:hAnsi="Times New Roman" w:eastAsia="Times New Roman" w:cs="Times New Roman"/>
                <w:b w:val="0"/>
                <w:color w:val="17212B"/>
                <w:sz w:val="21"/>
                <w:szCs w:val="21"/>
                <w:bCs w:val="0"/>
                <w:i w:val="0"/>
                <w:iCs w:val="0"/>
              </w:rPr>
              <w:t>−50%</w:t>
            </w:r>
          </w:p>
        </w:tc>
        <w:tc>
          <w:tcPr>
            <w:tcW w:type="dxa" w:w="2304"/>
            <w:vAlign w:val="center"/>
            <w:tcMar>
              <w:top w:w="60" w:type="dxa"/>
              <w:start w:w="65" w:type="dxa"/>
              <w:bottom w:w="60" w:type="dxa"/>
              <w:end w:w="65" w:type="dxa"/>
            </w:tcMar>
            <w:tcBorders>
              <w:bottom w:val="single" w:sz="10" w:color="333333"/>
            </w:tcBorders>
            <w:shd w:fill="F3F8FB"/>
          </w:tcPr>
          <w:p>
            <w:pPr>
              <w:spacing w:after="0" w:line="220" w:lineRule="auto" w:before="0"/>
              <w:jc w:val="left"/>
            </w:pPr>
            <w:r>
              <w:rPr>
                <w:rFonts w:ascii="Times New Roman" w:hAnsi="Times New Roman" w:eastAsia="Times New Roman" w:cs="Times New Roman"/>
                <w:b w:val="0"/>
                <w:color w:val="17212B"/>
                <w:sz w:val="21"/>
                <w:szCs w:val="21"/>
                <w:bCs w:val="0"/>
                <w:i w:val="0"/>
                <w:iCs w:val="0"/>
              </w:rPr>
              <w:t>Lower count, similar ESS</w:t>
            </w:r>
          </w:p>
        </w:tc>
      </w:tr>
    </w:tbl>
    <w:p>
      <w:pPr>
        <w:spacing w:after="40" w:line="240" w:lineRule="auto"/>
      </w:pPr>
    </w:p>
    <w:p>
      <w:pPr>
        <w:pStyle w:val="4"/>
      </w:pPr>
      <w:r>
        <w:rPr>
          <w:rFonts w:ascii="Times New Roman" w:hAnsi="Times New Roman" w:eastAsia="Times New Roman" w:cs="Times New Roman"/>
          <w:b w:val="1"/>
          <w:sz w:val="28"/>
          <w:szCs w:val="28"/>
          <w:bCs w:val="1"/>
          <w:i w:val="0"/>
          <w:iCs w:val="0"/>
        </w:rPr>
        <w:t>3.4 Programmatically selected held-out cases</w:t>
      </w:r>
    </w:p>
    <w:p>
      <w:pPr>
        <w:keepNext w:val="0"/>
        <w:spacing w:after="120" w:line="276" w:lineRule="auto"/>
        <w:jc w:val="both"/>
      </w:pPr>
      <w:r>
        <w:rPr>
          <w:rFonts w:ascii="Times New Roman" w:hAnsi="Times New Roman" w:eastAsia="Times New Roman"/>
          <w:sz w:val="24"/>
        </w:rPr>
        <w:t>To avoid visual cherry-picking, the qualitative panel was generated from the minimum- and maximum-error outer folds of the same nested run. Subject1 had 3.70-pixel MAE and Subject2 had 12.54-pixel MAE. The lower-error case follows the consensus traces closely over most A-scan positions, whereas the higher-error case shows larger deviations around curved inner boundaries and lower retinal surfaces. Figure 3 presents these programmatically selected cases, which illustrate the observed spread rather than two manually chosen successes.</w:t>
      </w:r>
    </w:p>
    <w:p>
      <w:pPr>
        <w:keepNext/>
        <w:spacing w:before="100" w:after="40"/>
        <w:jc w:val="center"/>
      </w:pPr>
      <w:r>
        <w:drawing>
          <wp:inline xmlns:a="http://schemas.openxmlformats.org/drawingml/2006/main" xmlns:pic="http://schemas.openxmlformats.org/drawingml/2006/picture">
            <wp:extent cx="5166360" cy="2169417"/>
            <wp:docPr id="3" name="Picture 3" descr="Figure 3: Programmatically selected outer-test cases. Orange curves are consensus manual boundaries and dashed blue curves are predictions from the nested-selected model. The minimum- and maximum-MAE held-out volumes were selected automatically from the outer-fold table; no visual case was manually chosen." title="Figure 3"/>
            <wp:cNvGraphicFramePr>
              <a:graphicFrameLocks noChangeAspect="1"/>
            </wp:cNvGraphicFramePr>
            <a:graphic>
              <a:graphicData uri="http://schemas.openxmlformats.org/drawingml/2006/picture">
                <pic:pic>
                  <pic:nvPicPr>
                    <pic:cNvPr id="0" name="tian_heldout_cases.png"/>
                    <pic:cNvPicPr/>
                  </pic:nvPicPr>
                  <pic:blipFill>
                    <a:blip r:embed="rId24"/>
                    <a:stretch>
                      <a:fillRect/>
                    </a:stretch>
                  </pic:blipFill>
                  <pic:spPr>
                    <a:xfrm>
                      <a:off x="0" y="0"/>
                      <a:ext cx="5166360" cy="2169417"/>
                    </a:xfrm>
                    <a:prstGeom prst="rect"/>
                  </pic:spPr>
                </pic:pic>
              </a:graphicData>
            </a:graphic>
          </wp:inline>
        </w:drawing>
      </w:r>
    </w:p>
    <w:p>
      <w:pPr>
        <w:keepLines/>
        <w:spacing w:before="40" w:after="120" w:line="240" w:lineRule="auto"/>
        <w:jc w:val="both"/>
      </w:pPr>
      <w:r>
        <w:rPr>
          <w:rFonts w:ascii="Times New Roman" w:hAnsi="Times New Roman" w:eastAsia="Times New Roman" w:cs="Times New Roman"/>
          <w:sz w:val="24"/>
          <w:szCs w:val="24"/>
          <w:b w:val="1"/>
          <w:bCs w:val="1"/>
          <w:i w:val="0"/>
          <w:iCs w:val="0"/>
        </w:rPr>
        <w:t xml:space="preserve">Figure 3. </w:t>
      </w:r>
      <w:r>
        <w:rPr>
          <w:rFonts w:ascii="Times New Roman" w:hAnsi="Times New Roman" w:eastAsia="Times New Roman" w:cs="Times New Roman"/>
          <w:sz w:val="24"/>
          <w:szCs w:val="24"/>
          <w:b w:val="0"/>
          <w:bCs w:val="0"/>
          <w:i w:val="0"/>
          <w:iCs w:val="0"/>
        </w:rPr>
        <w:t>Programmatically selected held-out qualitative cases from the same nested run as Fig. 2B–C. Orange curves are consensus manual boundaries and dashed blue curves are nested-selected predictions. Subject1 (3.70 px) and Subject2 (12.54 px) are respectively the minimum- and maximum-MAE outer folds; no case was selected by visual inspection. The panel illustrates the observed error range rather than a cherry-picked success.</w:t>
      </w:r>
    </w:p>
    <w:p>
      <w:pPr>
        <w:pStyle w:val="4"/>
      </w:pPr>
      <w:r>
        <w:rPr>
          <w:rFonts w:ascii="Times New Roman" w:hAnsi="Times New Roman" w:eastAsia="Times New Roman" w:cs="Times New Roman"/>
          <w:b w:val="1"/>
          <w:sz w:val="28"/>
          <w:szCs w:val="28"/>
          <w:bCs w:val="1"/>
          <w:i w:val="0"/>
          <w:iCs w:val="0"/>
        </w:rPr>
        <w:t>3.5 Exploratory paired-image extension</w:t>
      </w:r>
    </w:p>
    <w:p>
      <w:pPr>
        <w:keepNext w:val="0"/>
        <w:spacing w:after="80" w:line="240" w:lineRule="auto"/>
        <w:jc w:val="both"/>
      </w:pPr>
      <w:r>
        <w:rPr>
          <w:rFonts w:ascii="Times New Roman" w:hAnsi="Times New Roman" w:eastAsia="Times New Roman"/>
          <w:color w:val="17212B"/>
          <w:sz w:val="20"/>
        </w:rPr>
        <w:t>Across three seeds, fundus-only, OCT-only, and concatenated fusion probes obtained balanced accuracy of 0.437 ± 0.044, 0.519 ± 0.017, and 0.542 ± 0.032, respectively. Macro F1 was 0.369 ± 0.034, 0.453 ± 0.030, and 0.485 ± 0.021. Figure 4 displays seed-level values as well as the data and claim boundary, and Table 5 provides the corresponding three-seed summary. Fusion had the highest mean scores, but 49 records from 26 patients are insufficient for a superiority claim, and some patient folds lack every class. The extension only demonstrates that complete-data and patient-disjoint principles can be retained in a separate 2D multimodal task.</w:t>
      </w:r>
    </w:p>
    <w:p>
      <w:pPr>
        <w:spacing w:before="80" w:after="40"/>
        <w:jc w:val="center"/>
      </w:pPr>
      <w:r>
        <w:drawing>
          <wp:inline xmlns:a="http://schemas.openxmlformats.org/drawingml/2006/main" xmlns:pic="http://schemas.openxmlformats.org/drawingml/2006/picture">
            <wp:extent cx="5166360" cy="1918797"/>
            <wp:docPr id="7" name="Picture 7" descr="AFIO exploratory multimodal figure: three seed scores and analysis boundary for 49 pairs from 26 patients." title="AFIO exploratory multimodal figure: three seed scores and analysis boundary for 49 pairs from 26 patients."/>
            <wp:cNvGraphicFramePr>
              <a:graphicFrameLocks noChangeAspect="1"/>
            </wp:cNvGraphicFramePr>
            <a:graphic>
              <a:graphicData uri="http://schemas.openxmlformats.org/drawingml/2006/picture">
                <pic:pic>
                  <pic:nvPicPr>
                    <pic:cNvPr id="0" name="figure4_afio_enhanced.png"/>
                    <pic:cNvPicPr/>
                  </pic:nvPicPr>
                  <pic:blipFill>
                    <a:blip r:embed="rId28"/>
                    <a:stretch>
                      <a:fillRect/>
                    </a:stretch>
                  </pic:blipFill>
                  <pic:spPr>
                    <a:xfrm>
                      <a:off x="0" y="0"/>
                      <a:ext cx="5166360" cy="1918797"/>
                    </a:xfrm>
                    <a:prstGeom prst="rect"/>
                  </pic:spPr>
                </pic:pic>
              </a:graphicData>
            </a:graphic>
          </wp:inline>
        </w:drawing>
      </w:r>
    </w:p>
    <w:p>
      <w:pPr>
        <w:spacing w:before="40" w:after="120"/>
        <w:jc w:val="both"/>
      </w:pPr>
      <w:r>
        <w:rPr>
          <w:rFonts w:ascii="Times New Roman" w:hAnsi="Times New Roman" w:eastAsia="Times New Roman" w:cs="Times New Roman"/>
          <w:sz w:val="24"/>
          <w:szCs w:val="24"/>
          <w:b w:val="1"/>
          <w:bCs w:val="1"/>
          <w:i w:val="0"/>
          <w:iCs w:val="0"/>
        </w:rPr>
        <w:t xml:space="preserve">Figure 4. </w:t>
      </w:r>
      <w:r>
        <w:rPr>
          <w:rFonts w:ascii="Times New Roman" w:hAnsi="Times New Roman" w:eastAsia="Times New Roman" w:cs="Times New Roman"/>
          <w:sz w:val="24"/>
          <w:szCs w:val="24"/>
          <w:b w:val="0"/>
          <w:bCs w:val="0"/>
          <w:i w:val="0"/>
          <w:iCs w:val="0"/>
        </w:rPr>
        <w:t>AFIO exploratory paired-image extension. (A) Patient-disjoint five-fold balanced accuracy and macro F1 over three seeds, with individual seed values shown. The dashed line is a three-class chance reference, not a clinical benchmark. (B) Complete-data audit, group-disjoint splitting, training budget, and claim boundary. AFIO is a 2D multimodal feasibility extension and is not external validation of Tian 3D boundary segmentation.</w:t>
      </w:r>
    </w:p>
    <w:p>
      <w:pPr>
        <w:keepNext/>
        <w:spacing w:before="120" w:after="80" w:line="240" w:lineRule="auto"/>
        <w:jc w:val="both"/>
      </w:pPr>
      <w:r>
        <w:rPr>
          <w:rFonts w:ascii="Times New Roman" w:hAnsi="Times New Roman" w:eastAsia="Times New Roman" w:cs="Times New Roman"/>
          <w:sz w:val="24"/>
          <w:szCs w:val="24"/>
          <w:b w:val="1"/>
          <w:bCs w:val="1"/>
          <w:i w:val="0"/>
          <w:iCs w:val="0"/>
        </w:rPr>
        <w:t xml:space="preserve">Table 5. </w:t>
      </w:r>
      <w:r>
        <w:rPr>
          <w:rFonts w:ascii="Times New Roman" w:hAnsi="Times New Roman" w:eastAsia="Times New Roman" w:cs="Times New Roman"/>
          <w:sz w:val="24"/>
          <w:szCs w:val="24"/>
          <w:b w:val="0"/>
          <w:bCs w:val="0"/>
          <w:i w:val="0"/>
          <w:iCs w:val="0"/>
        </w:rPr>
        <w:t>AFIO patient-disjoint five-fold results summarized across three seeds. Values demonstrate feasibility only and should not be interpreted as external Tian segmentation validation.</w:t>
      </w:r>
    </w:p>
    <w:tbl>
      <w:tblPr>
        <w:tblW w:type="auto" w:w="0"/>
        <w:jc w:val="center"/>
        <w:tblLayout w:type="fixed"/>
        <w:tblLook w:firstColumn="1" w:firstRow="1" w:lastColumn="0" w:lastRow="0" w:noHBand="0" w:noVBand="1" w:val="04A0"/>
      </w:tblPr>
      <w:tblGrid>
        <w:gridCol w:w="1661"/>
        <w:gridCol w:w="1661"/>
        <w:gridCol w:w="1661"/>
        <w:gridCol w:w="1661"/>
        <w:gridCol w:w="1661"/>
      </w:tblGrid>
      <w:tr>
        <w:trPr>
          <w:tblHeader w:val="true"/>
          <w:cantSplit/>
        </w:trPr>
        <w:tc>
          <w:tcPr>
            <w:tcW w:type="dxa" w:w="1584"/>
            <w:vAlign w:val="center"/>
            <w:tcMar>
              <w:top w:w="45" w:type="dxa"/>
              <w:start w:w="55" w:type="dxa"/>
              <w:bottom w:w="45" w:type="dxa"/>
              <w:end w:w="55" w:type="dxa"/>
            </w:tcMar>
            <w:tcBorders>
              <w:top w:val="single" w:sz="12" w:color="333333"/>
              <w:bottom w:val="single" w:sz="8" w:color="333333"/>
            </w:tcBorders>
          </w:tcPr>
          <w:p>
            <w:pPr>
              <w:spacing w:after="0" w:line="220" w:lineRule="auto" w:before="0"/>
              <w:jc w:val="center"/>
            </w:pPr>
            <w:r>
              <w:rPr>
                <w:rFonts w:ascii="Times New Roman" w:hAnsi="Times New Roman" w:eastAsia="Times New Roman" w:cs="Times New Roman"/>
                <w:b w:val="1"/>
                <w:sz w:val="21"/>
                <w:szCs w:val="21"/>
                <w:bCs w:val="1"/>
                <w:i w:val="0"/>
                <w:iCs w:val="0"/>
              </w:rPr>
              <w:t>Input</w:t>
            </w:r>
          </w:p>
        </w:tc>
        <w:tc>
          <w:tcPr>
            <w:tcW w:type="dxa" w:w="1728"/>
            <w:vAlign w:val="center"/>
            <w:tcMar>
              <w:top w:w="45" w:type="dxa"/>
              <w:start w:w="55" w:type="dxa"/>
              <w:bottom w:w="45" w:type="dxa"/>
              <w:end w:w="55" w:type="dxa"/>
            </w:tcMar>
            <w:tcBorders>
              <w:top w:val="single" w:sz="12" w:color="333333"/>
              <w:bottom w:val="single" w:sz="8" w:color="333333"/>
            </w:tcBorders>
          </w:tcPr>
          <w:p>
            <w:pPr>
              <w:spacing w:after="0" w:line="220" w:lineRule="auto" w:before="0"/>
              <w:jc w:val="center"/>
            </w:pPr>
            <w:r>
              <w:rPr>
                <w:rFonts w:ascii="Times New Roman" w:hAnsi="Times New Roman" w:eastAsia="Times New Roman" w:cs="Times New Roman"/>
                <w:b w:val="1"/>
                <w:sz w:val="21"/>
                <w:szCs w:val="21"/>
                <w:bCs w:val="1"/>
                <w:i w:val="0"/>
                <w:iCs w:val="0"/>
              </w:rPr>
              <w:t>Balanced accuracy</w:t>
            </w:r>
          </w:p>
        </w:tc>
        <w:tc>
          <w:tcPr>
            <w:tcW w:type="dxa" w:w="1584"/>
            <w:vAlign w:val="center"/>
            <w:tcMar>
              <w:top w:w="45" w:type="dxa"/>
              <w:start w:w="55" w:type="dxa"/>
              <w:bottom w:w="45" w:type="dxa"/>
              <w:end w:w="55" w:type="dxa"/>
            </w:tcMar>
            <w:tcBorders>
              <w:top w:val="single" w:sz="12" w:color="333333"/>
              <w:bottom w:val="single" w:sz="8" w:color="333333"/>
            </w:tcBorders>
          </w:tcPr>
          <w:p>
            <w:pPr>
              <w:spacing w:after="0" w:line="220" w:lineRule="auto" w:before="0"/>
              <w:jc w:val="center"/>
            </w:pPr>
            <w:r>
              <w:rPr>
                <w:rFonts w:ascii="Times New Roman" w:hAnsi="Times New Roman" w:eastAsia="Times New Roman" w:cs="Times New Roman"/>
                <w:b w:val="1"/>
                <w:sz w:val="21"/>
                <w:szCs w:val="21"/>
                <w:bCs w:val="1"/>
                <w:i w:val="0"/>
                <w:iCs w:val="0"/>
              </w:rPr>
              <w:t>Macro F1</w:t>
            </w:r>
          </w:p>
        </w:tc>
        <w:tc>
          <w:tcPr>
            <w:tcW w:type="dxa" w:w="1368"/>
            <w:vAlign w:val="center"/>
            <w:tcMar>
              <w:top w:w="45" w:type="dxa"/>
              <w:start w:w="55" w:type="dxa"/>
              <w:bottom w:w="45" w:type="dxa"/>
              <w:end w:w="55" w:type="dxa"/>
            </w:tcMar>
            <w:tcBorders>
              <w:top w:val="single" w:sz="12" w:color="333333"/>
              <w:bottom w:val="single" w:sz="8" w:color="333333"/>
            </w:tcBorders>
          </w:tcPr>
          <w:p>
            <w:pPr>
              <w:spacing w:after="0" w:line="220" w:lineRule="auto" w:before="0"/>
              <w:jc w:val="center"/>
            </w:pPr>
            <w:r>
              <w:rPr>
                <w:rFonts w:ascii="Times New Roman" w:hAnsi="Times New Roman" w:eastAsia="Times New Roman" w:cs="Times New Roman"/>
                <w:b w:val="1"/>
                <w:sz w:val="21"/>
                <w:szCs w:val="21"/>
                <w:bCs w:val="1"/>
                <w:i w:val="0"/>
                <w:iCs w:val="0"/>
              </w:rPr>
              <w:t>Feature dimension</w:t>
            </w:r>
          </w:p>
        </w:tc>
        <w:tc>
          <w:tcPr>
            <w:tcW w:type="dxa" w:w="2045"/>
            <w:vAlign w:val="center"/>
            <w:tcMar>
              <w:top w:w="45" w:type="dxa"/>
              <w:start w:w="55" w:type="dxa"/>
              <w:bottom w:w="45" w:type="dxa"/>
              <w:end w:w="55" w:type="dxa"/>
            </w:tcMar>
            <w:tcBorders>
              <w:top w:val="single" w:sz="12" w:color="333333"/>
              <w:bottom w:val="single" w:sz="8" w:color="333333"/>
            </w:tcBorders>
          </w:tcPr>
          <w:p>
            <w:pPr>
              <w:spacing w:after="0" w:line="220" w:lineRule="auto" w:before="0"/>
              <w:jc w:val="center"/>
            </w:pPr>
            <w:r>
              <w:rPr>
                <w:rFonts w:ascii="Times New Roman" w:hAnsi="Times New Roman" w:eastAsia="Times New Roman" w:cs="Times New Roman"/>
                <w:b w:val="1"/>
                <w:sz w:val="21"/>
                <w:szCs w:val="21"/>
                <w:bCs w:val="1"/>
                <w:i w:val="0"/>
                <w:iCs w:val="0"/>
              </w:rPr>
              <w:t>Claim boundary</w:t>
            </w:r>
          </w:p>
        </w:tc>
      </w:tr>
      <w:tr>
        <w:trPr>
          <w:cantSplit/>
        </w:trPr>
        <w:tc>
          <w:tcPr>
            <w:tcW w:type="dxa" w:w="1584"/>
            <w:vAlign w:val="center"/>
            <w:tcMar>
              <w:top w:w="45" w:type="dxa"/>
              <w:start w:w="55" w:type="dxa"/>
              <w:bottom w:w="45" w:type="dxa"/>
              <w:end w:w="55" w:type="dxa"/>
            </w:tcMar>
            <w:tcBorders>
              <w:bottom w:val="single" w:sz="3" w:color="B7B7B7"/>
            </w:tcBorders>
          </w:tcPr>
          <w:p>
            <w:pPr>
              <w:spacing w:after="0" w:line="220" w:lineRule="auto" w:before="0"/>
              <w:jc w:val="left"/>
            </w:pPr>
            <w:r>
              <w:rPr>
                <w:rFonts w:ascii="Times New Roman" w:hAnsi="Times New Roman" w:eastAsia="Times New Roman" w:cs="Times New Roman"/>
                <w:sz w:val="21"/>
                <w:szCs w:val="21"/>
                <w:b w:val="0"/>
                <w:bCs w:val="0"/>
                <w:i w:val="0"/>
                <w:iCs w:val="0"/>
              </w:rPr>
              <w:t>Fundus</w:t>
            </w:r>
          </w:p>
        </w:tc>
        <w:tc>
          <w:tcPr>
            <w:tcW w:type="dxa" w:w="1728"/>
            <w:vAlign w:val="center"/>
            <w:tcMar>
              <w:top w:w="45" w:type="dxa"/>
              <w:start w:w="55" w:type="dxa"/>
              <w:bottom w:w="45" w:type="dxa"/>
              <w:end w:w="55" w:type="dxa"/>
            </w:tcMar>
            <w:tcBorders>
              <w:bottom w:val="single" w:sz="3" w:color="B7B7B7"/>
            </w:tcBorders>
          </w:tcPr>
          <w:p>
            <w:pPr>
              <w:spacing w:after="0" w:line="220" w:lineRule="auto" w:before="0"/>
              <w:jc w:val="center"/>
            </w:pPr>
            <w:r>
              <w:rPr>
                <w:rFonts w:ascii="Times New Roman" w:hAnsi="Times New Roman" w:eastAsia="Times New Roman" w:cs="Times New Roman"/>
                <w:sz w:val="21"/>
                <w:szCs w:val="21"/>
                <w:b w:val="0"/>
                <w:bCs w:val="0"/>
                <w:i w:val="0"/>
                <w:iCs w:val="0"/>
              </w:rPr>
              <w:t>0.437 ± 0.044</w:t>
            </w:r>
          </w:p>
        </w:tc>
        <w:tc>
          <w:tcPr>
            <w:tcW w:type="dxa" w:w="1584"/>
            <w:vAlign w:val="center"/>
            <w:tcMar>
              <w:top w:w="45" w:type="dxa"/>
              <w:start w:w="55" w:type="dxa"/>
              <w:bottom w:w="45" w:type="dxa"/>
              <w:end w:w="55" w:type="dxa"/>
            </w:tcMar>
            <w:tcBorders>
              <w:bottom w:val="single" w:sz="3" w:color="B7B7B7"/>
            </w:tcBorders>
          </w:tcPr>
          <w:p>
            <w:pPr>
              <w:spacing w:after="0" w:line="220" w:lineRule="auto" w:before="0"/>
              <w:jc w:val="center"/>
            </w:pPr>
            <w:r>
              <w:rPr>
                <w:rFonts w:ascii="Times New Roman" w:hAnsi="Times New Roman" w:eastAsia="Times New Roman" w:cs="Times New Roman"/>
                <w:sz w:val="21"/>
                <w:szCs w:val="21"/>
                <w:b w:val="0"/>
                <w:bCs w:val="0"/>
                <w:i w:val="0"/>
                <w:iCs w:val="0"/>
              </w:rPr>
              <w:t>0.369 ± 0.034</w:t>
            </w:r>
          </w:p>
        </w:tc>
        <w:tc>
          <w:tcPr>
            <w:tcW w:type="dxa" w:w="1368"/>
            <w:vAlign w:val="center"/>
            <w:tcMar>
              <w:top w:w="45" w:type="dxa"/>
              <w:start w:w="55" w:type="dxa"/>
              <w:bottom w:w="45" w:type="dxa"/>
              <w:end w:w="55" w:type="dxa"/>
            </w:tcMar>
            <w:tcBorders>
              <w:bottom w:val="single" w:sz="3" w:color="B7B7B7"/>
            </w:tcBorders>
          </w:tcPr>
          <w:p>
            <w:pPr>
              <w:spacing w:after="0" w:line="220" w:lineRule="auto" w:before="0"/>
              <w:jc w:val="center"/>
            </w:pPr>
            <w:r>
              <w:rPr>
                <w:rFonts w:ascii="Times New Roman" w:hAnsi="Times New Roman" w:eastAsia="Times New Roman" w:cs="Times New Roman"/>
                <w:sz w:val="21"/>
                <w:szCs w:val="21"/>
                <w:b w:val="0"/>
                <w:bCs w:val="0"/>
                <w:i w:val="0"/>
                <w:iCs w:val="0"/>
              </w:rPr>
              <w:t>512</w:t>
            </w:r>
          </w:p>
        </w:tc>
        <w:tc>
          <w:tcPr>
            <w:tcW w:type="dxa" w:w="2045"/>
            <w:vAlign w:val="center"/>
            <w:tcMar>
              <w:top w:w="45" w:type="dxa"/>
              <w:start w:w="55" w:type="dxa"/>
              <w:bottom w:w="45" w:type="dxa"/>
              <w:end w:w="55" w:type="dxa"/>
            </w:tcMar>
            <w:tcBorders>
              <w:bottom w:val="single" w:sz="3" w:color="B7B7B7"/>
            </w:tcBorders>
          </w:tcPr>
          <w:p>
            <w:pPr>
              <w:spacing w:after="0" w:line="220" w:lineRule="auto" w:before="0"/>
              <w:jc w:val="left"/>
            </w:pPr>
            <w:r>
              <w:rPr>
                <w:rFonts w:ascii="Times New Roman" w:hAnsi="Times New Roman" w:eastAsia="Times New Roman" w:cs="Times New Roman"/>
                <w:sz w:val="21"/>
                <w:szCs w:val="21"/>
                <w:b w:val="0"/>
                <w:bCs w:val="0"/>
                <w:i w:val="0"/>
                <w:iCs w:val="0"/>
              </w:rPr>
              <w:t>Exploratory unimodal</w:t>
            </w:r>
          </w:p>
        </w:tc>
      </w:tr>
      <w:tr>
        <w:trPr>
          <w:cantSplit/>
        </w:trPr>
        <w:tc>
          <w:tcPr>
            <w:tcW w:type="dxa" w:w="1584"/>
            <w:vAlign w:val="center"/>
            <w:tcMar>
              <w:top w:w="45" w:type="dxa"/>
              <w:start w:w="55" w:type="dxa"/>
              <w:bottom w:w="45" w:type="dxa"/>
              <w:end w:w="55" w:type="dxa"/>
            </w:tcMar>
            <w:tcBorders>
              <w:bottom w:val="single" w:sz="3" w:color="B7B7B7"/>
            </w:tcBorders>
          </w:tcPr>
          <w:p>
            <w:pPr>
              <w:spacing w:after="0" w:line="220" w:lineRule="auto" w:before="0"/>
              <w:jc w:val="left"/>
            </w:pPr>
            <w:r>
              <w:rPr>
                <w:rFonts w:ascii="Times New Roman" w:hAnsi="Times New Roman" w:eastAsia="Times New Roman" w:cs="Times New Roman"/>
                <w:sz w:val="21"/>
                <w:szCs w:val="21"/>
                <w:b w:val="0"/>
                <w:bCs w:val="0"/>
                <w:i w:val="0"/>
                <w:iCs w:val="0"/>
              </w:rPr>
              <w:t>OCT</w:t>
            </w:r>
          </w:p>
        </w:tc>
        <w:tc>
          <w:tcPr>
            <w:tcW w:type="dxa" w:w="1728"/>
            <w:vAlign w:val="center"/>
            <w:tcMar>
              <w:top w:w="45" w:type="dxa"/>
              <w:start w:w="55" w:type="dxa"/>
              <w:bottom w:w="45" w:type="dxa"/>
              <w:end w:w="55" w:type="dxa"/>
            </w:tcMar>
            <w:tcBorders>
              <w:bottom w:val="single" w:sz="3" w:color="B7B7B7"/>
            </w:tcBorders>
          </w:tcPr>
          <w:p>
            <w:pPr>
              <w:spacing w:after="0" w:line="220" w:lineRule="auto" w:before="0"/>
              <w:jc w:val="center"/>
            </w:pPr>
            <w:r>
              <w:rPr>
                <w:rFonts w:ascii="Times New Roman" w:hAnsi="Times New Roman" w:eastAsia="Times New Roman" w:cs="Times New Roman"/>
                <w:sz w:val="21"/>
                <w:szCs w:val="21"/>
                <w:b w:val="0"/>
                <w:bCs w:val="0"/>
                <w:i w:val="0"/>
                <w:iCs w:val="0"/>
              </w:rPr>
              <w:t>0.519 ± 0.017</w:t>
            </w:r>
          </w:p>
        </w:tc>
        <w:tc>
          <w:tcPr>
            <w:tcW w:type="dxa" w:w="1584"/>
            <w:vAlign w:val="center"/>
            <w:tcMar>
              <w:top w:w="45" w:type="dxa"/>
              <w:start w:w="55" w:type="dxa"/>
              <w:bottom w:w="45" w:type="dxa"/>
              <w:end w:w="55" w:type="dxa"/>
            </w:tcMar>
            <w:tcBorders>
              <w:bottom w:val="single" w:sz="3" w:color="B7B7B7"/>
            </w:tcBorders>
          </w:tcPr>
          <w:p>
            <w:pPr>
              <w:spacing w:after="0" w:line="220" w:lineRule="auto" w:before="0"/>
              <w:jc w:val="center"/>
            </w:pPr>
            <w:r>
              <w:rPr>
                <w:rFonts w:ascii="Times New Roman" w:hAnsi="Times New Roman" w:eastAsia="Times New Roman" w:cs="Times New Roman"/>
                <w:sz w:val="21"/>
                <w:szCs w:val="21"/>
                <w:b w:val="0"/>
                <w:bCs w:val="0"/>
                <w:i w:val="0"/>
                <w:iCs w:val="0"/>
              </w:rPr>
              <w:t>0.453 ± 0.030</w:t>
            </w:r>
          </w:p>
        </w:tc>
        <w:tc>
          <w:tcPr>
            <w:tcW w:type="dxa" w:w="1368"/>
            <w:vAlign w:val="center"/>
            <w:tcMar>
              <w:top w:w="45" w:type="dxa"/>
              <w:start w:w="55" w:type="dxa"/>
              <w:bottom w:w="45" w:type="dxa"/>
              <w:end w:w="55" w:type="dxa"/>
            </w:tcMar>
            <w:tcBorders>
              <w:bottom w:val="single" w:sz="3" w:color="B7B7B7"/>
            </w:tcBorders>
          </w:tcPr>
          <w:p>
            <w:pPr>
              <w:spacing w:after="0" w:line="220" w:lineRule="auto" w:before="0"/>
              <w:jc w:val="center"/>
            </w:pPr>
            <w:r>
              <w:rPr>
                <w:rFonts w:ascii="Times New Roman" w:hAnsi="Times New Roman" w:eastAsia="Times New Roman" w:cs="Times New Roman"/>
                <w:sz w:val="21"/>
                <w:szCs w:val="21"/>
                <w:b w:val="0"/>
                <w:bCs w:val="0"/>
                <w:i w:val="0"/>
                <w:iCs w:val="0"/>
              </w:rPr>
              <w:t>512</w:t>
            </w:r>
          </w:p>
        </w:tc>
        <w:tc>
          <w:tcPr>
            <w:tcW w:type="dxa" w:w="2045"/>
            <w:vAlign w:val="center"/>
            <w:tcMar>
              <w:top w:w="45" w:type="dxa"/>
              <w:start w:w="55" w:type="dxa"/>
              <w:bottom w:w="45" w:type="dxa"/>
              <w:end w:w="55" w:type="dxa"/>
            </w:tcMar>
            <w:tcBorders>
              <w:bottom w:val="single" w:sz="3" w:color="B7B7B7"/>
            </w:tcBorders>
          </w:tcPr>
          <w:p>
            <w:pPr>
              <w:spacing w:after="0" w:line="220" w:lineRule="auto" w:before="0"/>
              <w:jc w:val="left"/>
            </w:pPr>
            <w:r>
              <w:rPr>
                <w:rFonts w:ascii="Times New Roman" w:hAnsi="Times New Roman" w:eastAsia="Times New Roman" w:cs="Times New Roman"/>
                <w:sz w:val="21"/>
                <w:szCs w:val="21"/>
                <w:b w:val="0"/>
                <w:bCs w:val="0"/>
                <w:i w:val="0"/>
                <w:iCs w:val="0"/>
              </w:rPr>
              <w:t>Exploratory unimodal</w:t>
            </w:r>
          </w:p>
        </w:tc>
      </w:tr>
      <w:tr>
        <w:trPr>
          <w:cantSplit/>
        </w:trPr>
        <w:tc>
          <w:tcPr>
            <w:tcW w:type="dxa" w:w="1584"/>
            <w:vAlign w:val="center"/>
            <w:tcMar>
              <w:top w:w="45" w:type="dxa"/>
              <w:start w:w="55" w:type="dxa"/>
              <w:bottom w:w="45" w:type="dxa"/>
              <w:end w:w="55" w:type="dxa"/>
            </w:tcMar>
            <w:tcBorders>
              <w:bottom w:val="single" w:sz="10" w:color="333333"/>
            </w:tcBorders>
          </w:tcPr>
          <w:p>
            <w:pPr>
              <w:spacing w:after="0" w:line="220" w:lineRule="auto" w:before="0"/>
              <w:jc w:val="left"/>
            </w:pPr>
            <w:r>
              <w:rPr>
                <w:rFonts w:ascii="Times New Roman" w:hAnsi="Times New Roman" w:eastAsia="Times New Roman" w:cs="Times New Roman"/>
                <w:sz w:val="21"/>
                <w:szCs w:val="21"/>
                <w:b w:val="0"/>
                <w:bCs w:val="0"/>
                <w:i w:val="0"/>
                <w:iCs w:val="0"/>
              </w:rPr>
              <w:t>Feature fusion</w:t>
            </w:r>
          </w:p>
        </w:tc>
        <w:tc>
          <w:tcPr>
            <w:tcW w:type="dxa" w:w="1728"/>
            <w:vAlign w:val="center"/>
            <w:tcMar>
              <w:top w:w="45" w:type="dxa"/>
              <w:start w:w="55" w:type="dxa"/>
              <w:bottom w:w="45" w:type="dxa"/>
              <w:end w:w="55" w:type="dxa"/>
            </w:tcMar>
            <w:tcBorders>
              <w:bottom w:val="single" w:sz="10" w:color="333333"/>
            </w:tcBorders>
          </w:tcPr>
          <w:p>
            <w:pPr>
              <w:spacing w:after="0" w:line="220" w:lineRule="auto" w:before="0"/>
              <w:jc w:val="center"/>
            </w:pPr>
            <w:r>
              <w:rPr>
                <w:rFonts w:ascii="Times New Roman" w:hAnsi="Times New Roman" w:eastAsia="Times New Roman" w:cs="Times New Roman"/>
                <w:sz w:val="21"/>
                <w:szCs w:val="21"/>
                <w:b w:val="0"/>
                <w:bCs w:val="0"/>
                <w:i w:val="0"/>
                <w:iCs w:val="0"/>
              </w:rPr>
              <w:t>0.542 ± 0.032</w:t>
            </w:r>
          </w:p>
        </w:tc>
        <w:tc>
          <w:tcPr>
            <w:tcW w:type="dxa" w:w="1584"/>
            <w:vAlign w:val="center"/>
            <w:tcMar>
              <w:top w:w="45" w:type="dxa"/>
              <w:start w:w="55" w:type="dxa"/>
              <w:bottom w:w="45" w:type="dxa"/>
              <w:end w:w="55" w:type="dxa"/>
            </w:tcMar>
            <w:tcBorders>
              <w:bottom w:val="single" w:sz="10" w:color="333333"/>
            </w:tcBorders>
          </w:tcPr>
          <w:p>
            <w:pPr>
              <w:spacing w:after="0" w:line="220" w:lineRule="auto" w:before="0"/>
              <w:jc w:val="center"/>
            </w:pPr>
            <w:r>
              <w:rPr>
                <w:rFonts w:ascii="Times New Roman" w:hAnsi="Times New Roman" w:eastAsia="Times New Roman" w:cs="Times New Roman"/>
                <w:sz w:val="21"/>
                <w:szCs w:val="21"/>
                <w:b w:val="0"/>
                <w:bCs w:val="0"/>
                <w:i w:val="0"/>
                <w:iCs w:val="0"/>
              </w:rPr>
              <w:t>0.485 ± 0.021</w:t>
            </w:r>
          </w:p>
        </w:tc>
        <w:tc>
          <w:tcPr>
            <w:tcW w:type="dxa" w:w="1368"/>
            <w:vAlign w:val="center"/>
            <w:tcMar>
              <w:top w:w="45" w:type="dxa"/>
              <w:start w:w="55" w:type="dxa"/>
              <w:bottom w:w="45" w:type="dxa"/>
              <w:end w:w="55" w:type="dxa"/>
            </w:tcMar>
            <w:tcBorders>
              <w:bottom w:val="single" w:sz="10" w:color="333333"/>
            </w:tcBorders>
          </w:tcPr>
          <w:p>
            <w:pPr>
              <w:spacing w:after="0" w:line="220" w:lineRule="auto" w:before="0"/>
              <w:jc w:val="center"/>
            </w:pPr>
            <w:r>
              <w:rPr>
                <w:rFonts w:ascii="Times New Roman" w:hAnsi="Times New Roman" w:eastAsia="Times New Roman" w:cs="Times New Roman"/>
                <w:sz w:val="21"/>
                <w:szCs w:val="21"/>
                <w:b w:val="0"/>
                <w:bCs w:val="0"/>
                <w:i w:val="0"/>
                <w:iCs w:val="0"/>
              </w:rPr>
              <w:t>1024</w:t>
            </w:r>
          </w:p>
        </w:tc>
        <w:tc>
          <w:tcPr>
            <w:tcW w:type="dxa" w:w="2045"/>
            <w:vAlign w:val="center"/>
            <w:tcMar>
              <w:top w:w="45" w:type="dxa"/>
              <w:start w:w="55" w:type="dxa"/>
              <w:bottom w:w="45" w:type="dxa"/>
              <w:end w:w="55" w:type="dxa"/>
            </w:tcMar>
            <w:tcBorders>
              <w:bottom w:val="single" w:sz="10" w:color="333333"/>
            </w:tcBorders>
          </w:tcPr>
          <w:p>
            <w:pPr>
              <w:spacing w:after="0" w:line="220" w:lineRule="auto" w:before="0"/>
              <w:jc w:val="left"/>
            </w:pPr>
            <w:r>
              <w:rPr>
                <w:rFonts w:ascii="Times New Roman" w:hAnsi="Times New Roman" w:eastAsia="Times New Roman" w:cs="Times New Roman"/>
                <w:sz w:val="21"/>
                <w:szCs w:val="21"/>
                <w:b w:val="0"/>
                <w:bCs w:val="0"/>
                <w:i w:val="0"/>
                <w:iCs w:val="0"/>
              </w:rPr>
              <w:t>Highest mean; no superiority claim</w:t>
            </w:r>
          </w:p>
        </w:tc>
      </w:tr>
    </w:tbl>
    <w:p>
      <w:pPr>
        <w:spacing w:after="40" w:line="240" w:lineRule="auto"/>
      </w:pPr>
    </w:p>
    <w:p>
      <w:pPr>
        <w:pStyle w:val="3"/>
      </w:pPr>
      <w:r>
        <w:rPr>
          <w:rFonts w:ascii="Times New Roman" w:hAnsi="Times New Roman" w:eastAsia="Times New Roman"/>
          <w:b/>
          <w:sz w:val="28"/>
        </w:rPr>
        <w:t>4. Discussion</w:t>
      </w:r>
    </w:p>
    <w:p>
      <w:pPr>
        <w:pStyle w:val="4"/>
      </w:pPr>
      <w:r>
        <w:rPr>
          <w:rFonts w:ascii="Times New Roman" w:hAnsi="Times New Roman" w:eastAsia="Times New Roman" w:cs="Times New Roman"/>
          <w:b w:val="1"/>
          <w:sz w:val="28"/>
          <w:szCs w:val="28"/>
          <w:bCs w:val="1"/>
          <w:i w:val="0"/>
          <w:iCs w:val="0"/>
        </w:rPr>
        <w:t>4.1 Principal finding</w:t>
      </w:r>
    </w:p>
    <w:p>
      <w:pPr>
        <w:keepNext w:val="0"/>
        <w:spacing w:after="120" w:line="276" w:lineRule="auto"/>
        <w:jc w:val="both"/>
      </w:pPr>
      <w:r>
        <w:rPr>
          <w:rFonts w:ascii="Times New Roman" w:hAnsi="Times New Roman" w:eastAsia="Times New Roman"/>
          <w:sz w:val="24"/>
        </w:rPr>
        <w:t>The central result is statistical rather than diagnostic: a raw stack length is not an independent sample count. On the complete Tian release, a fourfold range of raw B-scan counts produced an ESS range of only 1.519-1.562. Exact copies did not create evidence. This behavior is the intended property of the quadratic correlation model and directly addresses a common small-data ambiguity: a dataset can contain many images while having very few patient-level units.</w:t>
      </w:r>
    </w:p>
    <w:p>
      <w:pPr>
        <w:pStyle w:val="4"/>
      </w:pPr>
      <w:r>
        <w:rPr>
          <w:rFonts w:ascii="Times New Roman" w:hAnsi="Times New Roman" w:eastAsia="Times New Roman" w:cs="Times New Roman"/>
          <w:b w:val="1"/>
          <w:sz w:val="28"/>
          <w:szCs w:val="28"/>
          <w:bCs w:val="1"/>
          <w:i w:val="0"/>
          <w:iCs w:val="0"/>
        </w:rPr>
        <w:t>4.2 Why the negative accuracy result matters</w:t>
      </w:r>
    </w:p>
    <w:p>
      <w:pPr>
        <w:keepNext w:val="0"/>
        <w:spacing w:after="80" w:line="240" w:lineRule="auto"/>
        <w:jc w:val="both"/>
      </w:pPr>
      <w:r>
        <w:rPr>
          <w:rFonts w:ascii="Times New Roman" w:hAnsi="Times New Roman" w:eastAsia="Times New Roman"/>
          <w:color w:val="17212B"/>
          <w:sz w:val="20"/>
        </w:rPr>
        <w:t>The ESS-scaled cross-slice derivative loss changed MAE by only −0.019 pixels, with a confidence interval spanning zero. Reporting that result prevents a mechanistic statistic from being relabeled as an accuracy innovation. The regularizer may be too weak when the ESS-to-slice-count ratio is near 0.15, the compact model may already learn local continuity, and the healthy ten-volume release may not contain enough structural diversity to reveal a benefit. A future method should be judged by an independently powered pathological-volume study, not by additional tuning on the same ten subjects.</w:t>
      </w:r>
    </w:p>
    <w:p>
      <w:pPr>
        <w:pStyle w:val="4"/>
      </w:pPr>
      <w:r>
        <w:rPr>
          <w:rFonts w:ascii="Times New Roman" w:hAnsi="Times New Roman" w:eastAsia="Times New Roman" w:cs="Times New Roman"/>
          <w:b w:val="1"/>
          <w:sz w:val="28"/>
          <w:szCs w:val="28"/>
          <w:bCs w:val="1"/>
          <w:i w:val="0"/>
          <w:iCs w:val="0"/>
        </w:rPr>
        <w:t>4.3 What the model-development experiment showed</w:t>
      </w:r>
    </w:p>
    <w:p>
      <w:pPr>
        <w:keepNext w:val="0"/>
        <w:spacing w:after="120" w:line="276" w:lineRule="auto"/>
        <w:jc w:val="both"/>
      </w:pPr>
      <w:r>
        <w:rPr>
          <w:rFonts w:ascii="Times New Roman" w:hAnsi="Times New Roman" w:eastAsia="Times New Roman"/>
          <w:sz w:val="24"/>
        </w:rPr>
        <w:t>Nested selection preserved an untouched outer estimate, and the selected candidates were refitted for 120 epochs. The most favorable fixed 120-epoch ablation was contrast plus noise, suggesting that exposure and speckle variation may be more limiting than simple vertical translation. However, the nested result cannot isolate augmentation from the longer refit duration because no plain 120-epoch nested control was run. The original OCTRIMA3D graph algorithm remains substantially more accurate on this healthy dataset [1]. The value of the present pipeline is the strict separation of data unit, model development, and evidence accounting.</w:t>
      </w:r>
    </w:p>
    <w:p>
      <w:pPr>
        <w:pStyle w:val="4"/>
      </w:pPr>
      <w:r>
        <w:rPr>
          <w:rFonts w:ascii="Times New Roman" w:hAnsi="Times New Roman" w:eastAsia="Times New Roman" w:cs="Times New Roman"/>
          <w:b w:val="1"/>
          <w:sz w:val="28"/>
          <w:szCs w:val="28"/>
          <w:bCs w:val="1"/>
          <w:i w:val="0"/>
          <w:iCs w:val="0"/>
        </w:rPr>
        <w:t>4.4 Relation to volumetric and multimodal retinal artificial intelligence</w:t>
      </w:r>
    </w:p>
    <w:p>
      <w:pPr>
        <w:keepNext w:val="0"/>
        <w:spacing w:after="120" w:line="276" w:lineRule="auto"/>
        <w:jc w:val="both"/>
      </w:pPr>
      <w:r>
        <w:rPr>
          <w:rFonts w:ascii="Times New Roman" w:hAnsi="Times New Roman" w:eastAsia="Times New Roman"/>
          <w:sz w:val="24"/>
        </w:rPr>
        <w:t>Recent retinal artificial intelligence (AI) research demonstrates that full OCT volumes can outperform central-slice analysis and that fundus–OCT combinations can add complementary information [4–7,19]. Those studies usually rely on orders of magnitude more patients or in-domain pretraining. Our result addresses a narrower corner case: when only a complete but very small release is available, correlations must be handled explicitly and all model choices must remain inside grouped validation. The AFIO extension follows the same grouping discipline but cannot repair the absence of pathological 3D external validation.</w:t>
      </w:r>
    </w:p>
    <w:p>
      <w:pPr>
        <w:pStyle w:val="4"/>
      </w:pPr>
      <w:r>
        <w:rPr>
          <w:rFonts w:ascii="Times New Roman" w:hAnsi="Times New Roman" w:eastAsia="Times New Roman" w:cs="Times New Roman"/>
          <w:b w:val="1"/>
          <w:sz w:val="28"/>
          <w:szCs w:val="28"/>
          <w:bCs w:val="1"/>
          <w:i w:val="0"/>
          <w:iCs w:val="0"/>
        </w:rPr>
        <w:t>4.5 Intended use of RetiESS</w:t>
      </w:r>
    </w:p>
    <w:p>
      <w:pPr>
        <w:keepNext w:val="0"/>
        <w:spacing w:after="120" w:line="276" w:lineRule="auto"/>
        <w:jc w:val="both"/>
      </w:pPr>
      <w:r>
        <w:rPr>
          <w:rFonts w:ascii="Times New Roman" w:hAnsi="Times New Roman" w:eastAsia="Times New Roman"/>
          <w:sz w:val="24"/>
        </w:rPr>
        <w:t>RetiESS is best treated as a reporting or loss-scaling primitive. It can accompany a volumetric model to state that 20 highly similar slices do not equal 20 independent observations, and it can help define study-level sampling summaries. It should not be interpreted as confidence, calibration, referral priority, or disease evidence without a separate validation that relates ESS to those endpoints. This restrained role is particularly compatible with biomedical statistics, where the number of independent experimental units matters more than the number of derived images.</w:t>
      </w:r>
    </w:p>
    <w:p>
      <w:pPr>
        <w:pStyle w:val="3"/>
      </w:pPr>
      <w:r>
        <w:rPr>
          <w:rFonts w:ascii="Times New Roman" w:hAnsi="Times New Roman" w:eastAsia="Times New Roman"/>
          <w:b/>
          <w:sz w:val="28"/>
        </w:rPr>
        <w:t>5. Limitations</w:t>
      </w:r>
    </w:p>
    <w:p>
      <w:pPr>
        <w:keepNext w:val="0"/>
        <w:spacing w:after="120" w:line="276" w:lineRule="auto"/>
        <w:jc w:val="both"/>
      </w:pPr>
      <w:r>
        <w:rPr>
          <w:rFonts w:ascii="Times New Roman" w:hAnsi="Times New Roman" w:eastAsia="Times New Roman"/>
          <w:sz w:val="24"/>
        </w:rPr>
        <w:t>The primary dataset contains only 10 healthy volumes and 100 selected B-scans. It is suitable for a proof-of-concept statistical audit but cannot establish robustness to retinal pathology, scanner shift, or clinical acquisition artifacts. The position/appearance kernel, bandwidths, and loss coefficient were fixed in a small development sequence and require prospective confirmation. The perturbations are synthetic and test redundancy accounting, not real missingness. Bootstrap and Wilcoxon summaries at n=10 have limited resolution. The compact CNN is inferior to the original graph-based result on this release and should not be framed as a clinical segmentation system. AFIO contains only 49 unique pairs and uncertain labels; the linear-probe results are highly exploratory. Finally, no independent 3D pathological dataset with matching eight-boundary annotations was used, so external validation remains the critical next step.</w:t>
      </w:r>
    </w:p>
    <w:p>
      <w:pPr>
        <w:pStyle w:val="3"/>
      </w:pPr>
      <w:r>
        <w:rPr>
          <w:rFonts w:ascii="Times New Roman" w:hAnsi="Times New Roman" w:eastAsia="Times New Roman"/>
          <w:b/>
          <w:sz w:val="28"/>
        </w:rPr>
        <w:t>6. Conclusion</w:t>
      </w:r>
    </w:p>
    <w:p>
      <w:pPr>
        <w:keepNext w:val="0"/>
        <w:spacing w:after="120" w:line="276" w:lineRule="auto"/>
        <w:jc w:val="both"/>
      </w:pPr>
      <w:r>
        <w:rPr>
          <w:rFonts w:ascii="Times New Roman" w:hAnsi="Times New Roman" w:eastAsia="Times New Roman"/>
          <w:sz w:val="24"/>
        </w:rPr>
        <w:t>RetiESS-Seg provides a correlation-aware effective sample size audit for small-sample 3D retinal OCT segmentation. Exact duplication increased the nominal B-scan count without increasing effective evidence, while the ESS-scaled derivative loss did not significantly improve boundary MAE. A separate nested selection-and-refit experiment produced lower outer MAE, but the design did not isolate augmentation from refit duration and the result must not be attributed to RetiESS. The work therefore supports a narrow and testable contribution: explicit redundancy accounting can make small-volume OCT experiments statistically more honest. Pathological external validation and a stronger volumetric backbone are required before journal-level or clinical claims are appropriate.</w:t>
      </w:r>
    </w:p>
    <w:p>
      <w:pPr>
        <w:pStyle w:val="3"/>
      </w:pPr>
      <w:r>
        <w:rPr>
          <w:rFonts w:ascii="Times New Roman" w:hAnsi="Times New Roman" w:eastAsia="Times New Roman"/>
          <w:b/>
          <w:sz w:val="28"/>
        </w:rPr>
        <w:t>Declarations</w:t>
      </w:r>
    </w:p>
    <w:p>
      <w:pPr>
        <w:pStyle w:val="4"/>
      </w:pPr>
      <w:r>
        <w:rPr>
          <w:rFonts w:ascii="Times New Roman" w:hAnsi="Times New Roman" w:eastAsia="Times New Roman" w:cs="Times New Roman"/>
          <w:b w:val="1"/>
          <w:sz w:val="28"/>
          <w:szCs w:val="28"/>
          <w:bCs w:val="1"/>
          <w:i w:val="0"/>
          <w:iCs w:val="0"/>
        </w:rPr>
        <w:t>Data Availability</w:t>
      </w:r>
    </w:p>
    <w:p>
      <w:pPr>
        <w:keepNext w:val="0"/>
        <w:spacing w:after="120" w:line="276" w:lineRule="auto"/>
        <w:jc w:val="both"/>
      </w:pPr>
      <w:r>
        <w:rPr>
          <w:rFonts w:ascii="Times New Roman" w:hAnsi="Times New Roman" w:eastAsia="Times New Roman"/>
          <w:sz w:val="24"/>
        </w:rPr>
        <w:t>The complete Tian OCTRIMA data are available as Supporting Information to Tian et al. at https://doi.org/10.1371/journal.pone.0133908.s002. The complete paired AFIO data are available from Mendeley Data at https://doi.org/10.17632/2rnnz5nz74.2. No gated or approval-controlled dataset or model weight was used.</w:t>
      </w:r>
    </w:p>
    <w:p>
      <w:pPr>
        <w:pStyle w:val="4"/>
      </w:pPr>
      <w:r>
        <w:rPr>
          <w:rFonts w:ascii="Times New Roman" w:hAnsi="Times New Roman" w:eastAsia="Times New Roman" w:cs="Times New Roman"/>
          <w:b w:val="1"/>
          <w:sz w:val="28"/>
          <w:szCs w:val="28"/>
          <w:bCs w:val="1"/>
          <w:i w:val="0"/>
          <w:iCs w:val="0"/>
        </w:rPr>
        <w:t>Code Availability</w:t>
      </w:r>
    </w:p>
    <w:p>
      <w:pPr>
        <w:keepNext w:val="0"/>
        <w:spacing w:after="120" w:line="276" w:lineRule="auto"/>
        <w:jc w:val="both"/>
      </w:pPr>
      <w:r>
        <w:rPr>
          <w:rFonts w:ascii="Times New Roman" w:hAnsi="Times New Roman" w:eastAsia="Times New Roman"/>
          <w:sz w:val="24"/>
        </w:rPr>
        <w:t xml:space="preserve">The repository contains dataset audits, group-disjoint split files, training scripts, fold-level outputs, statistical summaries, and figure builders. Code and reproducibility materials are available at </w:t>
      </w:r>
      <w:hyperlink r:id="rId29" w:history="1">
        <w:r>
          <w:rPr>
            <w:rFonts w:ascii="Times New Roman" w:hAnsi="Times New Roman" w:eastAsia="Times New Roman"/>
            <w:color w:val="0563C1"/>
            <w:u w:val="single"/>
            <w:sz w:val="24"/>
          </w:rPr>
          <w:t>https://github.com/kobayashi0512/RetiESS-Seg</w:t>
        </w:r>
      </w:hyperlink>
      <w:r>
        <w:rPr>
          <w:rFonts w:ascii="Times New Roman" w:hAnsi="Times New Roman" w:eastAsia="Times New Roman"/>
          <w:sz w:val="24"/>
        </w:rPr>
        <w:t>.</w:t>
      </w:r>
    </w:p>
    <w:p>
      <w:pPr>
        <w:pStyle w:val="4"/>
      </w:pPr>
      <w:r>
        <w:rPr>
          <w:rFonts w:ascii="Times New Roman" w:hAnsi="Times New Roman" w:eastAsia="Times New Roman" w:cs="Times New Roman"/>
          <w:b w:val="1"/>
          <w:sz w:val="28"/>
          <w:szCs w:val="28"/>
          <w:bCs w:val="1"/>
          <w:i w:val="0"/>
          <w:iCs w:val="0"/>
        </w:rPr>
        <w:t>Author Contributions</w:t>
      </w:r>
    </w:p>
    <w:p>
      <w:pPr>
        <w:keepNext w:val="0"/>
        <w:spacing w:after="120" w:line="276" w:lineRule="auto"/>
        <w:jc w:val="both"/>
      </w:pPr>
      <w:r>
        <w:rPr>
          <w:rFonts w:ascii="Times New Roman" w:hAnsi="Times New Roman" w:eastAsia="Times New Roman"/>
          <w:sz w:val="24"/>
        </w:rPr>
        <w:t>K.D.: Conceptualization, methodology, software, investigation, data curation, formal analysis, visualization, and writing - original draft. L.L.: Supervision, project administration, resources, and writing - review and editing.</w:t>
      </w:r>
    </w:p>
    <w:p>
      <w:pPr>
        <w:pStyle w:val="4"/>
      </w:pPr>
      <w:r>
        <w:rPr>
          <w:rFonts w:ascii="Times New Roman" w:hAnsi="Times New Roman" w:eastAsia="Times New Roman" w:cs="Times New Roman"/>
          <w:b w:val="1"/>
          <w:sz w:val="28"/>
          <w:szCs w:val="28"/>
          <w:bCs w:val="1"/>
          <w:i w:val="0"/>
          <w:iCs w:val="0"/>
        </w:rPr>
        <w:t>Conflicts of Interest</w:t>
      </w:r>
    </w:p>
    <w:p>
      <w:pPr>
        <w:keepNext w:val="0"/>
        <w:spacing w:after="120" w:line="276" w:lineRule="auto"/>
        <w:jc w:val="both"/>
      </w:pPr>
      <w:r>
        <w:rPr>
          <w:rFonts w:ascii="Times New Roman" w:hAnsi="Times New Roman" w:eastAsia="Times New Roman"/>
          <w:sz w:val="24"/>
        </w:rPr>
        <w:t>The authors declare no known competing financial interests or personal relationships that could have influenced the work reported in this study.</w:t>
      </w:r>
    </w:p>
    <w:p>
      <w:pPr>
        <w:pStyle w:val="4"/>
      </w:pPr>
      <w:r>
        <w:rPr>
          <w:rFonts w:ascii="Times New Roman" w:hAnsi="Times New Roman" w:eastAsia="Times New Roman" w:cs="Times New Roman"/>
          <w:b w:val="1"/>
          <w:sz w:val="28"/>
          <w:szCs w:val="28"/>
          <w:bCs w:val="1"/>
          <w:i w:val="0"/>
          <w:iCs w:val="0"/>
        </w:rPr>
        <w:t>Ethics Statement</w:t>
      </w:r>
    </w:p>
    <w:p>
      <w:pPr>
        <w:keepNext w:val="0"/>
        <w:spacing w:after="120" w:line="276" w:lineRule="auto"/>
        <w:jc w:val="both"/>
      </w:pPr>
      <w:r>
        <w:rPr>
          <w:rFonts w:ascii="Times New Roman" w:hAnsi="Times New Roman" w:eastAsia="Times New Roman"/>
          <w:sz w:val="24"/>
        </w:rPr>
        <w:t>This retrospective computational study used de-identified, publicly released datasets and involved no new participant recruitment, intervention, or data collection. Ethical approvals and consent procedures for the source datasets are described in the corresponding source publications.</w:t>
      </w:r>
    </w:p>
    <w:p>
      <w:pPr>
        <w:pStyle w:val="3"/>
      </w:pPr>
      <w:r>
        <w:rPr>
          <w:rFonts w:ascii="Times New Roman" w:hAnsi="Times New Roman" w:eastAsia="Times New Roman"/>
          <w:b/>
          <w:sz w:val="28"/>
        </w:rPr>
        <w:t>References</w:t>
      </w:r>
    </w:p>
    <w:p>
      <w:pPr>
        <w:spacing w:after="30" w:line="240" w:lineRule="auto"/>
        <w:ind w:left="351" w:hanging="351"/>
        <w:jc w:val="both"/>
      </w:pPr>
      <w:r>
        <w:rPr>
          <w:rFonts w:ascii="Times New Roman" w:hAnsi="Times New Roman" w:eastAsia="Times New Roman"/>
          <w:color w:val="17212B"/>
          <w:sz w:val="18"/>
        </w:rPr>
        <w:t>[1] Tian J, Varga B, Somfai GM, et al. Real-Time Automatic Segmentation of Optical Coherence Tomography Volume Data of the Macular Region. PLoS One. 2015;10(8):e0133908. doi:10.1371/journal.pone.0133908.</w:t>
      </w:r>
    </w:p>
    <w:p>
      <w:pPr>
        <w:spacing w:after="30" w:line="240" w:lineRule="auto"/>
        <w:ind w:left="351" w:hanging="351"/>
        <w:jc w:val="both"/>
      </w:pPr>
      <w:r>
        <w:rPr>
          <w:rFonts w:ascii="Times New Roman" w:hAnsi="Times New Roman" w:eastAsia="Times New Roman"/>
          <w:color w:val="17212B"/>
          <w:sz w:val="18"/>
        </w:rPr>
        <w:t>[2] Chiu SJ, Li XT, Nicholas P, et al. Automatic segmentation of seven retinal layers in SDOCT images congruent with expert manual segmentation. Opt Express. 2010;18(18):19413-19428. doi:10.1364/OE.18.019413.</w:t>
      </w:r>
    </w:p>
    <w:p>
      <w:pPr>
        <w:spacing w:after="30" w:line="240" w:lineRule="auto"/>
        <w:ind w:left="351" w:hanging="351"/>
        <w:jc w:val="both"/>
      </w:pPr>
      <w:r>
        <w:rPr>
          <w:rFonts w:ascii="Times New Roman" w:hAnsi="Times New Roman" w:eastAsia="Times New Roman"/>
          <w:color w:val="17212B"/>
          <w:sz w:val="18"/>
        </w:rPr>
        <w:t>[3] Chen X, Wang J, Qian T, et al. An artificial intelligence cloud platform for OCT-based retinal anomalies screening system in real clinical environments. npj Digit Med. 2025;8:559. doi:10.1038/s41746-025-01959-7.</w:t>
      </w:r>
    </w:p>
    <w:p>
      <w:pPr>
        <w:spacing w:after="30" w:line="240" w:lineRule="auto"/>
        <w:ind w:left="351" w:hanging="351"/>
        <w:jc w:val="both"/>
      </w:pPr>
      <w:r>
        <w:rPr>
          <w:rFonts w:ascii="Times New Roman" w:hAnsi="Times New Roman" w:eastAsia="Times New Roman"/>
          <w:color w:val="17212B"/>
          <w:sz w:val="18"/>
        </w:rPr>
        <w:t>[4] Judkiewicz R, Berkowitz E, Meisel M, et al. Shifting the retinal foundation models paradigm from slices to volumes for optical coherence tomography. npj Digit Med. 2026;9:314. doi:10.1038/s41746-026-02496-7.</w:t>
      </w:r>
    </w:p>
    <w:p>
      <w:pPr>
        <w:spacing w:after="30" w:line="240" w:lineRule="auto"/>
        <w:ind w:left="351" w:hanging="351"/>
        <w:jc w:val="both"/>
      </w:pPr>
      <w:r>
        <w:rPr>
          <w:rFonts w:ascii="Times New Roman" w:hAnsi="Times New Roman" w:eastAsia="Times New Roman"/>
          <w:color w:val="17212B"/>
          <w:sz w:val="18"/>
        </w:rPr>
        <w:t>[5] Zhou Y, Chia MA, Wagner SK, et al. A foundation model for generalizable disease detection from retinal images. Nature. 2023;622(7981):156-163. doi:10.1038/s41586-023-06555-x.</w:t>
      </w:r>
    </w:p>
    <w:p>
      <w:pPr>
        <w:spacing w:after="30" w:line="240" w:lineRule="auto"/>
        <w:ind w:left="351" w:hanging="351"/>
        <w:jc w:val="both"/>
      </w:pPr>
      <w:r>
        <w:rPr>
          <w:rFonts w:ascii="Times New Roman" w:hAnsi="Times New Roman" w:eastAsia="Times New Roman"/>
          <w:color w:val="17212B"/>
          <w:sz w:val="18"/>
        </w:rPr>
        <w:t>[6] Yoshida M, Murakami T, Ishihara K, et al. Explainable Artificial Intelligence-Assisted Exploration of Clinically Significant Diabetic Retinal Neurodegeneration on OCT Images. Ophthalmol Sci. 2025;5(5):100804. doi:10.1016/j.xops.2025.100804.</w:t>
      </w:r>
    </w:p>
    <w:p>
      <w:pPr>
        <w:spacing w:after="30" w:line="240" w:lineRule="auto"/>
        <w:ind w:left="351" w:hanging="351"/>
        <w:jc w:val="both"/>
      </w:pPr>
      <w:r>
        <w:rPr>
          <w:rFonts w:ascii="Times New Roman" w:hAnsi="Times New Roman" w:eastAsia="Times New Roman"/>
          <w:color w:val="17212B"/>
          <w:sz w:val="18"/>
        </w:rPr>
        <w:t>[7] Mukherjee S, Wu D, von der Emde L, et al. ReticularNet: Automated Pixel-Level Segmentation of Reticular Pseudodrusen on Near-Infrared Reflectance Images by Deep Learning. Ophthalmol Sci. 2026;6(2):101038. doi:10.1016/j.xops.2025.101038.</w:t>
      </w:r>
    </w:p>
    <w:p>
      <w:pPr>
        <w:spacing w:after="30" w:line="240" w:lineRule="auto"/>
        <w:ind w:left="351" w:hanging="351"/>
        <w:jc w:val="both"/>
      </w:pPr>
      <w:r>
        <w:rPr>
          <w:rFonts w:ascii="Times New Roman" w:hAnsi="Times New Roman" w:eastAsia="Times New Roman"/>
          <w:color w:val="17212B"/>
          <w:sz w:val="18"/>
        </w:rPr>
        <w:t>[8] Varoquaux G. Cross-validation failure: Small sample sizes lead to large error bars. Neuroimage. 2018;180:68-77. doi:10.1016/j.neuroimage.2017.06.061.</w:t>
      </w:r>
    </w:p>
    <w:p>
      <w:pPr>
        <w:spacing w:after="30" w:line="240" w:lineRule="auto"/>
        <w:ind w:left="351" w:hanging="351"/>
        <w:jc w:val="both"/>
      </w:pPr>
      <w:r>
        <w:rPr>
          <w:rFonts w:ascii="Times New Roman" w:hAnsi="Times New Roman" w:eastAsia="Times New Roman"/>
          <w:color w:val="17212B"/>
          <w:sz w:val="18"/>
        </w:rPr>
        <w:t>[9] Bengio Y, Grandvalet Y. No Unbiased Estimator of the Variance of K-Fold Cross-Validation. J Mach Learn Res. 2004;5:1089–1105. Available from: https://www.jmlr.org/papers/v5/grandvalet04a.html.</w:t>
      </w:r>
    </w:p>
    <w:p>
      <w:pPr>
        <w:spacing w:after="30" w:line="240" w:lineRule="auto"/>
        <w:ind w:left="351" w:hanging="351"/>
        <w:jc w:val="both"/>
      </w:pPr>
      <w:r>
        <w:rPr>
          <w:rFonts w:ascii="Times New Roman" w:hAnsi="Times New Roman" w:eastAsia="Times New Roman"/>
          <w:color w:val="17212B"/>
          <w:sz w:val="18"/>
        </w:rPr>
        <w:t>[10] Shorten C, Khoshgoftaar TM. A survey on image data augmentation for deep learning. J Big Data. 2019;6(1):60. doi:10.1186/s40537-019-0197-0.</w:t>
      </w:r>
    </w:p>
    <w:p>
      <w:pPr>
        <w:spacing w:after="30" w:line="240" w:lineRule="auto"/>
        <w:ind w:left="351" w:hanging="351"/>
        <w:jc w:val="both"/>
      </w:pPr>
      <w:r>
        <w:rPr>
          <w:rFonts w:ascii="Times New Roman" w:hAnsi="Times New Roman" w:eastAsia="Times New Roman"/>
          <w:color w:val="17212B"/>
          <w:sz w:val="18"/>
        </w:rPr>
        <w:t>[11] Kish L. Survey Sampling. New York, NY: John Wiley &amp; Sons; 1965. ISBN: 9780471109495. Available from: https://www.wiley.com/en-us/Survey+Sampling-p-9780471109495.</w:t>
      </w:r>
    </w:p>
    <w:p>
      <w:pPr>
        <w:spacing w:after="30" w:line="240" w:lineRule="auto"/>
        <w:ind w:left="351" w:hanging="351"/>
        <w:jc w:val="both"/>
      </w:pPr>
      <w:r>
        <w:rPr>
          <w:rFonts w:ascii="Times New Roman" w:hAnsi="Times New Roman" w:eastAsia="Times New Roman"/>
          <w:color w:val="17212B"/>
          <w:sz w:val="18"/>
        </w:rPr>
        <w:t>[12] Raja H, Akram MU, Khawaja SG, et al. Data on OCT and fundus images for the detection of glaucoma. Data Brief. 2020;29:105342. doi:10.1016/j.dib.2020.105342.</w:t>
      </w:r>
    </w:p>
    <w:p>
      <w:pPr>
        <w:spacing w:after="30" w:line="240" w:lineRule="auto"/>
        <w:ind w:left="351" w:hanging="351"/>
        <w:jc w:val="both"/>
      </w:pPr>
      <w:r>
        <w:rPr>
          <w:rFonts w:ascii="Times New Roman" w:hAnsi="Times New Roman" w:eastAsia="Times New Roman"/>
          <w:color w:val="17212B"/>
          <w:sz w:val="18"/>
        </w:rPr>
        <w:t>[13] Ronneberger O, Fischer P, Brox T. U-Net: Convolutional Networks for Biomedical Image Segmentation. In: Medical Image Computing and Computer-Assisted Intervention—MICCAI 2015. Lecture Notes in Computer Science. 2015;9351:234–241. doi:10.1007/978-3-319-24574-4_28.</w:t>
      </w:r>
    </w:p>
    <w:p>
      <w:pPr>
        <w:spacing w:after="30" w:line="240" w:lineRule="auto"/>
        <w:ind w:left="351" w:hanging="351"/>
        <w:jc w:val="both"/>
      </w:pPr>
      <w:r>
        <w:rPr>
          <w:rFonts w:ascii="Times New Roman" w:hAnsi="Times New Roman" w:eastAsia="Times New Roman"/>
          <w:color w:val="17212B"/>
          <w:sz w:val="18"/>
        </w:rPr>
        <w:t>[14] Litjens G, Kooi T, Bejnordi BE, et al. A survey on deep learning in medical image analysis. Med Image Anal. 2017;42:60–88. doi:10.1016/j.media.2017.07.005.</w:t>
      </w:r>
    </w:p>
    <w:p>
      <w:pPr>
        <w:spacing w:after="30" w:line="240" w:lineRule="auto"/>
        <w:ind w:left="351" w:hanging="351"/>
        <w:jc w:val="both"/>
      </w:pPr>
      <w:r>
        <w:rPr>
          <w:rFonts w:ascii="Times New Roman" w:hAnsi="Times New Roman" w:eastAsia="Times New Roman"/>
          <w:color w:val="17212B"/>
          <w:sz w:val="18"/>
        </w:rPr>
        <w:t>[15] Loshchilov I, Hutter F. Decoupled Weight Decay Regularization. In: 7th International Conference on Learning Representations (ICLR). 2019. Available from: https://openreview.net/forum?id=Bkg6RiCqY7.</w:t>
      </w:r>
    </w:p>
    <w:p>
      <w:pPr>
        <w:spacing w:after="30" w:line="240" w:lineRule="auto"/>
        <w:ind w:left="351" w:hanging="351"/>
        <w:jc w:val="both"/>
      </w:pPr>
      <w:r>
        <w:rPr>
          <w:rFonts w:ascii="Times New Roman" w:hAnsi="Times New Roman" w:eastAsia="Times New Roman"/>
          <w:color w:val="17212B"/>
          <w:sz w:val="18"/>
        </w:rPr>
        <w:t>[16] Efron B, Tibshirani RJ. An Introduction to the Bootstrap. New York, NY: Chapman &amp; Hall/CRC; 1993. doi:10.1201/9780429246593.</w:t>
      </w:r>
    </w:p>
    <w:p>
      <w:pPr>
        <w:spacing w:after="30" w:line="240" w:lineRule="auto"/>
        <w:ind w:left="351" w:hanging="351"/>
        <w:jc w:val="both"/>
      </w:pPr>
      <w:r>
        <w:rPr>
          <w:rFonts w:ascii="Times New Roman" w:hAnsi="Times New Roman" w:eastAsia="Times New Roman"/>
          <w:color w:val="17212B"/>
          <w:sz w:val="18"/>
        </w:rPr>
        <w:t>[17] Wilcoxon F. Individual Comparisons by Ranking Methods. Biometrics Bulletin. 1945;1(6):80–83. doi:10.2307/3001968.</w:t>
      </w:r>
    </w:p>
    <w:p>
      <w:pPr>
        <w:spacing w:after="30" w:line="240" w:lineRule="auto"/>
        <w:ind w:left="351" w:hanging="351"/>
        <w:jc w:val="both"/>
      </w:pPr>
      <w:r>
        <w:rPr>
          <w:rFonts w:ascii="Times New Roman" w:hAnsi="Times New Roman" w:eastAsia="Times New Roman"/>
          <w:color w:val="17212B"/>
          <w:sz w:val="18"/>
        </w:rPr>
        <w:t>[18] He K, Zhang X, Ren S, Sun J. Deep Residual Learning for Image Recognition. In: Proceedings of the IEEE Conference on Computer Vision and Pattern Recognition. 2016:770–778. doi:10.1109/CVPR.2016.90.</w:t>
      </w:r>
    </w:p>
    <w:p>
      <w:pPr>
        <w:spacing w:after="30" w:line="240" w:lineRule="auto"/>
        <w:ind w:left="351" w:hanging="351"/>
        <w:jc w:val="both"/>
      </w:pPr>
      <w:r>
        <w:rPr>
          <w:rFonts w:ascii="Times New Roman" w:hAnsi="Times New Roman" w:eastAsia="Times New Roman"/>
          <w:color w:val="17212B"/>
          <w:sz w:val="18"/>
        </w:rPr>
        <w:t>[19] Chuter B, Joshi V, Hallaj S, et al. A Novel Multimodal Implementation of a Foundation Artificial Intelligence Model Using Optic Nerve Head Fundus Photographs and OCT Imaging for Glaucoma Detection. Ophthalmol Sci. 2026;6(2):101012. doi:10.1016/j.xops.2025.101012.</w:t>
      </w:r>
    </w:p>
    <w:sectPr>
      <w:headerReference r:id="rId7" w:type="first"/>
      <w:footerReference r:id="rId10" w:type="first"/>
      <w:headerReference r:id="rId5" w:type="default"/>
      <w:footerReference r:id="rId8" w:type="default"/>
      <w:headerReference r:id="rId6" w:type="even"/>
      <w:footerReference r:id="rId9" w:type="even"/>
      <w:pgSz w:w="11906" w:h="16838"/>
      <w:pgMar w:top="1440" w:right="1800" w:bottom="1440" w:left="1800" w:header="851" w:footer="992" w:gutter="0"/>
      <w:pgBorders>
        <w:top w:val="none" w:sz="0" w:space="0"/>
        <w:left w:val="none" w:sz="0" w:space="0"/>
        <w:bottom w:val="none" w:sz="0" w:space="0"/>
        <w:right w:val="none" w:sz="0" w:space="0"/>
      </w:pgBorders>
      <w:cols w:space="425" w:num="1"/>
      <w:docGrid w:type="lines" w:linePitch="312" w:charSpace="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endnote w:type="separator" w:id="0">
    <w:p>
      <w:pPr>
        <w:spacing w:line="240" w:lineRule="auto"/>
      </w:pPr>
      <w:r>
        <w:separator/>
      </w:r>
    </w:p>
  </w:endnote>
  <w:endnote w:type="continuationSeparator" w:id="1">
    <w:p>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altName w:val="汉仪书宋二KW"/>
    <w:panose1 w:val="00000000000000000000"/>
    <w:charset w:val="00"/>
    <w:family w:val="auto"/>
    <w:pitch w:val="default"/>
    <w:sig w:usb0="00000000" w:usb1="00000000" w:usb2="00000000" w:usb3="00000000" w:csb0="00000000" w:csb1="00000000"/>
  </w:font>
  <w:font w:name="Wingdings">
    <w:panose1 w:val="05000000000000000000"/>
    <w:charset w:val="02"/>
    <w:family w:val="auto"/>
    <w:pitch w:val="default"/>
    <w:sig w:usb0="00000000" w:usb1="00000000" w:usb2="00000000" w:usb3="00000000" w:csb0="80000000" w:csb1="00000000"/>
  </w:font>
  <w:font w:name="Arial">
    <w:panose1 w:val="020B0604020202090204"/>
    <w:charset w:val="01"/>
    <w:family w:val="swiss"/>
    <w:pitch w:val="default"/>
    <w:sig w:usb0="E0000AFF" w:usb1="00007843" w:usb2="00000001" w:usb3="00000000" w:csb0="400001BF" w:csb1="DFF70000"/>
  </w:font>
  <w:font w:name="黑体">
    <w:altName w:val="汉仪中黑KW"/>
    <w:panose1 w:val="02010609060101010101"/>
    <w:charset w:val="86"/>
    <w:family w:val="auto"/>
    <w:pitch w:val="default"/>
    <w:sig w:usb0="800002BF" w:usb1="38CF7CFA" w:usb2="00000016" w:usb3="00000000" w:csb0="00040001" w:csb1="00000000"/>
  </w:font>
  <w:font w:name="Courier New">
    <w:panose1 w:val="02070609020205090404"/>
    <w:charset w:val="01"/>
    <w:family w:val="modern"/>
    <w:pitch w:val="default"/>
    <w:sig w:usb0="E0000AFF" w:usb1="40007843" w:usb2="00000001" w:usb3="00000000" w:csb0="400001BF" w:csb1="DFF70000"/>
  </w:font>
  <w:font w:name="Symbol">
    <w:altName w:val="Kingsoft Sign"/>
    <w:panose1 w:val="05050102010706020507"/>
    <w:charset w:val="02"/>
    <w:family w:val="roman"/>
    <w:pitch w:val="default"/>
    <w:sig w:usb0="00000000" w:usb1="00000000" w:usb2="00000000" w:usb3="00000000" w:csb0="80000000" w:csb1="00000000"/>
  </w:font>
  <w:font w:name="Calibri">
    <w:altName w:val="Helvetica Neue"/>
    <w:panose1 w:val="020F0502020204030204"/>
    <w:charset w:val="00"/>
    <w:family w:val="swiss"/>
    <w:pitch w:val="default"/>
    <w:sig w:usb0="00000000" w:usb1="00000000" w:usb2="00000001" w:usb3="00000000" w:csb0="0000019F" w:csb1="00000000"/>
  </w:font>
  <w:font w:name="汉仪书宋二KW">
    <w:panose1 w:val="00020600040101010101"/>
    <w:charset w:val="86"/>
    <w:family w:val="auto"/>
    <w:pitch w:val="default"/>
    <w:sig w:usb0="A00002BF" w:usb1="18EF7CFA" w:usb2="00000016" w:usb3="00000000" w:csb0="00040000" w:csb1="00000000"/>
  </w:font>
  <w:font w:name="等线">
    <w:altName w:val="汉仪中等线KW"/>
    <w:panose1 w:val="02010600030101010101"/>
    <w:charset w:val="86"/>
    <w:family w:val="auto"/>
    <w:pitch w:val="default"/>
    <w:sig w:usb0="00000000" w:usb1="00000000" w:usb2="00000016" w:usb3="00000000" w:csb0="0004000F" w:csb1="00000000"/>
  </w:font>
  <w:font w:name="汉仪中等线KW">
    <w:panose1 w:val="01010104010101010101"/>
    <w:charset w:val="86"/>
    <w:family w:val="auto"/>
    <w:pitch w:val="default"/>
    <w:sig w:usb0="800002BF" w:usb1="004F7CFA" w:usb2="00000000" w:usb3="00000000" w:csb0="00040001" w:csb1="00000000"/>
  </w:font>
  <w:font w:name="等线 Light">
    <w:altName w:val="汉仪中等线KW"/>
    <w:panose1 w:val="02010600030101010101"/>
    <w:charset w:val="86"/>
    <w:family w:val="auto"/>
    <w:pitch w:val="default"/>
    <w:sig w:usb0="00000000" w:usb1="00000000" w:usb2="00000016" w:usb3="00000000" w:csb0="0004000F" w:csb1="00000000"/>
  </w:font>
  <w:font w:name="汉仪中黑KW">
    <w:panose1 w:val="00020600040101010101"/>
    <w:charset w:val="86"/>
    <w:family w:val="auto"/>
    <w:pitch w:val="default"/>
    <w:sig w:usb0="A00002BF" w:usb1="18EF7CFA" w:usb2="00000016" w:usb3="00000000" w:csb0="00040000" w:csb1="00000000"/>
  </w:font>
  <w:font w:name="微软雅黑">
    <w:altName w:val="方正雅意黑 GB18030L2"/>
    <w:panose1 w:val="020B0503020204020204"/>
    <w:charset w:val="86"/>
    <w:family w:val="swiss"/>
    <w:pitch w:val="default"/>
    <w:sig w:usb0="00000000" w:usb1="00000000" w:usb2="00000016" w:usb3="00000000" w:csb0="0004001F" w:csb1="00000000"/>
  </w:font>
  <w:font w:name="方正雅意黑 GB18030L2">
    <w:panose1 w:val="02000500000000000000"/>
    <w:charset w:val="86"/>
    <w:family w:val="auto"/>
    <w:pitch w:val="default"/>
    <w:sig w:usb0="E00002FF" w:usb1="38CFFCFB" w:usb2="00000016" w:usb3="00000000" w:csb0="6004019F" w:csb1="DFD70000"/>
  </w:font>
  <w:font w:name="Times New Roman Bold">
    <w:panose1 w:val="02020603050405020304"/>
    <w:charset w:val="00"/>
    <w:family w:val="auto"/>
    <w:pitch w:val="default"/>
    <w:sig w:usb0="E0002AEF" w:usb1="C0007841" w:usb2="00000009" w:usb3="00000000" w:csb0="400001FF" w:csb1="FFFF0000"/>
  </w:font>
  <w:font w:name="等线">
    <w:altName w:val="汉仪中等线KW"/>
    <w:panose1 w:val="00000000000000000000"/>
    <w:charset w:val="00"/>
    <w:family w:val="auto"/>
    <w:pitch w:val="default"/>
    <w:sig w:usb0="00000000" w:usb1="00000000" w:usb2="00000000" w:usb3="00000000" w:csb0="00000000" w:csb1="00000000"/>
  </w:font>
  <w:font w:name="等线 Light">
    <w:altName w:val="汉仪中等线KW"/>
    <w:panose1 w:val="00000000000000000000"/>
    <w:charset w:val="00"/>
    <w:family w:val="auto"/>
    <w:pitch w:val="default"/>
    <w:sig w:usb0="00000000" w:usb1="00000000" w:usb2="00000000" w:usb3="00000000" w:csb0="00000000" w:csb1="00000000"/>
  </w:font>
  <w:font w:name="Kingsoft Sign">
    <w:panose1 w:val="05050102010706020507"/>
    <w:charset w:val="00"/>
    <w:family w:val="auto"/>
    <w:pitch w:val="default"/>
    <w:sig w:usb0="00000000" w:usb1="10000000" w:usb2="00000000" w:usb3="00000000" w:csb0="00000001" w:csb1="00000000"/>
  </w:font>
  <w:font w:name="宋体-简">
    <w:panose1 w:val="02010800040101010101"/>
    <w:charset w:val="86"/>
    <w:family w:val="auto"/>
    <w:pitch w:val="default"/>
    <w:sig w:usb0="00000001" w:usb1="080F0000" w:usb2="00000000" w:usb3="00000000" w:csb0="00040000" w:csb1="00000000"/>
  </w:font>
  <w:font w:name="DejaVu Math TeX Gyre">
    <w:panose1 w:val="02000503000000000000"/>
    <w:charset w:val="00"/>
    <w:family w:val="auto"/>
    <w:pitch w:val="default"/>
    <w:sig w:usb0="A10000EF" w:usb1="4201F9EE" w:usb2="02000000" w:usb3="00000000" w:csb0="60000193" w:csb1="0DD40000"/>
  </w:font>
  <w:font w:name="Arial Unicode MS">
    <w:panose1 w:val="020B0604020202020204"/>
    <w:charset w:val="86"/>
    <w:family w:val="auto"/>
    <w:pitch w:val="default"/>
    <w:sig w:usb0="FFFFFFFF" w:usb1="E9FFFFFF" w:usb2="0000003F" w:usb3="00000000" w:csb0="603F01FF" w:csb1="FFFF0000"/>
  </w:font>
  <w:font w:name="Helvetica Neue">
    <w:panose1 w:val="02000503000000020004"/>
    <w:charset w:val="00"/>
    <w:family w:val="auto"/>
    <w:pitch w:val="default"/>
    <w:sig w:usb0="E50002FF" w:usb1="500079DB" w:usb2="00000010" w:usb3="00000000" w:csb0="00000000" w:csb1="0000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6D9D3E70"/>
</w:ftr>
</file>

<file path=word/footer2.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5EFE32C8"/>
</w:ftr>
</file>

<file path=word/footer3.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2CBDB70A"/>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footnote w:type="separator" w:id="0">
    <w:p>
      <w:pPr>
        <w:spacing w:before="0" w:after="0" w:line="276" w:lineRule="auto"/>
      </w:pPr>
      <w:r>
        <w:separator/>
      </w:r>
    </w:p>
  </w:footnote>
  <w:footnote w:type="continuationSeparator" w:id="1">
    <w:p>
      <w:pPr>
        <w:spacing w:before="0" w:after="0" w:line="276" w:lineRule="auto"/>
      </w:pP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54492679"/>
</w:hdr>
</file>

<file path=word/header2.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557D6161"/>
</w:hdr>
</file>

<file path=word/header3.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1E592C2F"/>
</w:hdr>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200"/>
  <w:bordersDoNotSurroundHeader w:val="0"/>
  <w:bordersDoNotSurroundFooter w:val="0"/>
  <w:documentProtection w:enforcement="0"/>
  <w:defaultTabStop w:val="420"/>
  <w:drawingGridVerticalSpacing w:val="156"/>
  <w:displayHorizontalDrawingGridEvery w:val="1"/>
  <w:displayVerticalDrawingGridEvery w:val="1"/>
  <w:noPunctuationKerning w:val="1"/>
  <w:characterSpacingControl w:val="compressPunctuation"/>
  <w:footnotePr>
    <w:footnote w:id="0"/>
    <w:footnote w:id="1"/>
  </w:footnotePr>
  <w:endnotePr>
    <w:endnote w:id="0"/>
    <w:endnote w:id="1"/>
  </w:endnotePr>
  <w:compat>
    <w:spaceForUL/>
    <w:balanceSingleByteDoubleByteWidth/>
    <w:doNotLeaveBackslashAlone/>
    <w:ulTrailSpace/>
    <w:doNotExpandShiftReturn/>
    <w:adjustLineHeightInTable/>
    <w:doNotWrapTextWithPunct/>
    <w:doNotUseEastAsianBreakRules/>
    <w:useFELayout/>
    <w:doNotUseIndentAsNumberingTabStop/>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docVars>
    <w:docVar w:name="commondata" w:val="eyJoZGlkIjoiZGVlNzdkMDVhZGMxNTQwMWU4YTQxMDA1MzRhN2QwZDAifQ=="/>
  </w:docVars>
  <w:rsids>
    <w:rsidRoot w:val="008A20A0"/>
    <w:rsid w:val="0000191C"/>
    <w:rsid w:val="00001CB0"/>
    <w:rsid w:val="00003034"/>
    <w:rsid w:val="00005A3E"/>
    <w:rsid w:val="0000762A"/>
    <w:rsid w:val="0001024C"/>
    <w:rsid w:val="000124F8"/>
    <w:rsid w:val="00014A2C"/>
    <w:rsid w:val="0001643B"/>
    <w:rsid w:val="00017C89"/>
    <w:rsid w:val="00022472"/>
    <w:rsid w:val="00024555"/>
    <w:rsid w:val="000273DF"/>
    <w:rsid w:val="00027448"/>
    <w:rsid w:val="00031648"/>
    <w:rsid w:val="00035F05"/>
    <w:rsid w:val="00041D81"/>
    <w:rsid w:val="00046B62"/>
    <w:rsid w:val="00053A0A"/>
    <w:rsid w:val="00053EA3"/>
    <w:rsid w:val="00055170"/>
    <w:rsid w:val="00056CC2"/>
    <w:rsid w:val="00056F9E"/>
    <w:rsid w:val="00057A3D"/>
    <w:rsid w:val="00060F25"/>
    <w:rsid w:val="00061968"/>
    <w:rsid w:val="00062B59"/>
    <w:rsid w:val="000705F1"/>
    <w:rsid w:val="0007263A"/>
    <w:rsid w:val="0007784E"/>
    <w:rsid w:val="00081CA8"/>
    <w:rsid w:val="000851C3"/>
    <w:rsid w:val="00087258"/>
    <w:rsid w:val="0009007B"/>
    <w:rsid w:val="00091BED"/>
    <w:rsid w:val="00092371"/>
    <w:rsid w:val="00092F70"/>
    <w:rsid w:val="00094035"/>
    <w:rsid w:val="00094DFF"/>
    <w:rsid w:val="00096F8C"/>
    <w:rsid w:val="00097567"/>
    <w:rsid w:val="00097BEB"/>
    <w:rsid w:val="000A0D15"/>
    <w:rsid w:val="000A1756"/>
    <w:rsid w:val="000A49EC"/>
    <w:rsid w:val="000A5207"/>
    <w:rsid w:val="000A722A"/>
    <w:rsid w:val="000B1FBD"/>
    <w:rsid w:val="000B456D"/>
    <w:rsid w:val="000B6E38"/>
    <w:rsid w:val="000C2A79"/>
    <w:rsid w:val="000C3FE7"/>
    <w:rsid w:val="000D128D"/>
    <w:rsid w:val="000D2209"/>
    <w:rsid w:val="000D3DE0"/>
    <w:rsid w:val="000D5997"/>
    <w:rsid w:val="000E0A26"/>
    <w:rsid w:val="000E0EE1"/>
    <w:rsid w:val="000E2971"/>
    <w:rsid w:val="000E30C9"/>
    <w:rsid w:val="000F5B2B"/>
    <w:rsid w:val="00100052"/>
    <w:rsid w:val="00101975"/>
    <w:rsid w:val="00103630"/>
    <w:rsid w:val="00103EBC"/>
    <w:rsid w:val="00104057"/>
    <w:rsid w:val="00105076"/>
    <w:rsid w:val="00105E6F"/>
    <w:rsid w:val="001070B9"/>
    <w:rsid w:val="00115019"/>
    <w:rsid w:val="00117358"/>
    <w:rsid w:val="00120547"/>
    <w:rsid w:val="0012071D"/>
    <w:rsid w:val="0012120D"/>
    <w:rsid w:val="00123C6A"/>
    <w:rsid w:val="001259EC"/>
    <w:rsid w:val="00126E54"/>
    <w:rsid w:val="00133442"/>
    <w:rsid w:val="00134C52"/>
    <w:rsid w:val="00135258"/>
    <w:rsid w:val="00135328"/>
    <w:rsid w:val="00135DC1"/>
    <w:rsid w:val="00136801"/>
    <w:rsid w:val="001377C7"/>
    <w:rsid w:val="00140317"/>
    <w:rsid w:val="00140606"/>
    <w:rsid w:val="00143E87"/>
    <w:rsid w:val="00145AA0"/>
    <w:rsid w:val="0015281A"/>
    <w:rsid w:val="0015610F"/>
    <w:rsid w:val="0016742A"/>
    <w:rsid w:val="00167D01"/>
    <w:rsid w:val="0017082C"/>
    <w:rsid w:val="00171B95"/>
    <w:rsid w:val="001740AC"/>
    <w:rsid w:val="00175C5E"/>
    <w:rsid w:val="00176061"/>
    <w:rsid w:val="00176A01"/>
    <w:rsid w:val="00177494"/>
    <w:rsid w:val="00180595"/>
    <w:rsid w:val="00183FC4"/>
    <w:rsid w:val="00184225"/>
    <w:rsid w:val="001869CC"/>
    <w:rsid w:val="00190032"/>
    <w:rsid w:val="00195573"/>
    <w:rsid w:val="00195C19"/>
    <w:rsid w:val="001A6835"/>
    <w:rsid w:val="001B037E"/>
    <w:rsid w:val="001B1364"/>
    <w:rsid w:val="001B1FDB"/>
    <w:rsid w:val="001B20E2"/>
    <w:rsid w:val="001B7CEB"/>
    <w:rsid w:val="001C0752"/>
    <w:rsid w:val="001C0DE7"/>
    <w:rsid w:val="001C0F69"/>
    <w:rsid w:val="001C3CD7"/>
    <w:rsid w:val="001C5AD5"/>
    <w:rsid w:val="001D1144"/>
    <w:rsid w:val="001D2CF5"/>
    <w:rsid w:val="001D4493"/>
    <w:rsid w:val="001D6B9E"/>
    <w:rsid w:val="001E011D"/>
    <w:rsid w:val="001E2CF2"/>
    <w:rsid w:val="001F4398"/>
    <w:rsid w:val="001F45B0"/>
    <w:rsid w:val="001F4931"/>
    <w:rsid w:val="001F5826"/>
    <w:rsid w:val="001F6543"/>
    <w:rsid w:val="001F6D3F"/>
    <w:rsid w:val="001F7B21"/>
    <w:rsid w:val="0020004D"/>
    <w:rsid w:val="0020131D"/>
    <w:rsid w:val="00201A18"/>
    <w:rsid w:val="00204853"/>
    <w:rsid w:val="00210D7A"/>
    <w:rsid w:val="00216232"/>
    <w:rsid w:val="002169A7"/>
    <w:rsid w:val="00216E08"/>
    <w:rsid w:val="00217D6A"/>
    <w:rsid w:val="002207AA"/>
    <w:rsid w:val="00220939"/>
    <w:rsid w:val="002219AB"/>
    <w:rsid w:val="00222B38"/>
    <w:rsid w:val="0022362A"/>
    <w:rsid w:val="00225378"/>
    <w:rsid w:val="00227BD9"/>
    <w:rsid w:val="00230829"/>
    <w:rsid w:val="00230D9D"/>
    <w:rsid w:val="00232465"/>
    <w:rsid w:val="00232ECA"/>
    <w:rsid w:val="002357DB"/>
    <w:rsid w:val="0023592E"/>
    <w:rsid w:val="00240E9C"/>
    <w:rsid w:val="00242BE1"/>
    <w:rsid w:val="00243E21"/>
    <w:rsid w:val="002524A9"/>
    <w:rsid w:val="00253428"/>
    <w:rsid w:val="00253E83"/>
    <w:rsid w:val="00256BD7"/>
    <w:rsid w:val="00257382"/>
    <w:rsid w:val="00266C91"/>
    <w:rsid w:val="00270D14"/>
    <w:rsid w:val="00273DEF"/>
    <w:rsid w:val="00274893"/>
    <w:rsid w:val="00277AA6"/>
    <w:rsid w:val="00281659"/>
    <w:rsid w:val="00282242"/>
    <w:rsid w:val="002835B6"/>
    <w:rsid w:val="002848C6"/>
    <w:rsid w:val="002921EF"/>
    <w:rsid w:val="00292606"/>
    <w:rsid w:val="00292E8A"/>
    <w:rsid w:val="0029377A"/>
    <w:rsid w:val="0029401B"/>
    <w:rsid w:val="00294D15"/>
    <w:rsid w:val="00295599"/>
    <w:rsid w:val="002A2249"/>
    <w:rsid w:val="002A2792"/>
    <w:rsid w:val="002C0E7E"/>
    <w:rsid w:val="002C23D1"/>
    <w:rsid w:val="002C297E"/>
    <w:rsid w:val="002C2D80"/>
    <w:rsid w:val="002D34B1"/>
    <w:rsid w:val="002E05D2"/>
    <w:rsid w:val="002E183B"/>
    <w:rsid w:val="002E1DA0"/>
    <w:rsid w:val="002E48C2"/>
    <w:rsid w:val="002E6298"/>
    <w:rsid w:val="002E7373"/>
    <w:rsid w:val="00301E7C"/>
    <w:rsid w:val="00304950"/>
    <w:rsid w:val="00307DFD"/>
    <w:rsid w:val="003115D8"/>
    <w:rsid w:val="00316107"/>
    <w:rsid w:val="00316388"/>
    <w:rsid w:val="00327ADC"/>
    <w:rsid w:val="00330D94"/>
    <w:rsid w:val="00334D3B"/>
    <w:rsid w:val="003365DB"/>
    <w:rsid w:val="003418EE"/>
    <w:rsid w:val="00342BBE"/>
    <w:rsid w:val="00343591"/>
    <w:rsid w:val="00344646"/>
    <w:rsid w:val="00345295"/>
    <w:rsid w:val="00347B5D"/>
    <w:rsid w:val="003509B6"/>
    <w:rsid w:val="003576EC"/>
    <w:rsid w:val="0036137D"/>
    <w:rsid w:val="0036210C"/>
    <w:rsid w:val="00362B82"/>
    <w:rsid w:val="00371584"/>
    <w:rsid w:val="00372E40"/>
    <w:rsid w:val="003733DC"/>
    <w:rsid w:val="00373B02"/>
    <w:rsid w:val="00375389"/>
    <w:rsid w:val="00375F4D"/>
    <w:rsid w:val="00383ACE"/>
    <w:rsid w:val="00384065"/>
    <w:rsid w:val="00393944"/>
    <w:rsid w:val="00396315"/>
    <w:rsid w:val="0039647A"/>
    <w:rsid w:val="00396CCA"/>
    <w:rsid w:val="003A1398"/>
    <w:rsid w:val="003A7805"/>
    <w:rsid w:val="003B2180"/>
    <w:rsid w:val="003B3D7E"/>
    <w:rsid w:val="003B52B9"/>
    <w:rsid w:val="003B6778"/>
    <w:rsid w:val="003C470B"/>
    <w:rsid w:val="003C5A28"/>
    <w:rsid w:val="003C5F0F"/>
    <w:rsid w:val="003D661A"/>
    <w:rsid w:val="003E04DD"/>
    <w:rsid w:val="003E268D"/>
    <w:rsid w:val="003E2A7C"/>
    <w:rsid w:val="003E2A8A"/>
    <w:rsid w:val="003E4DC0"/>
    <w:rsid w:val="003F5C0E"/>
    <w:rsid w:val="00403CB5"/>
    <w:rsid w:val="004053FD"/>
    <w:rsid w:val="004054A5"/>
    <w:rsid w:val="004068D7"/>
    <w:rsid w:val="00410C13"/>
    <w:rsid w:val="0041128C"/>
    <w:rsid w:val="00412A1D"/>
    <w:rsid w:val="00412D26"/>
    <w:rsid w:val="00413DB3"/>
    <w:rsid w:val="0042225C"/>
    <w:rsid w:val="004222CD"/>
    <w:rsid w:val="004237A5"/>
    <w:rsid w:val="0043166E"/>
    <w:rsid w:val="00434DD5"/>
    <w:rsid w:val="00434E46"/>
    <w:rsid w:val="004414E4"/>
    <w:rsid w:val="0044328A"/>
    <w:rsid w:val="0044483A"/>
    <w:rsid w:val="004561FB"/>
    <w:rsid w:val="00462A4B"/>
    <w:rsid w:val="004674C0"/>
    <w:rsid w:val="00467ABC"/>
    <w:rsid w:val="00467BFA"/>
    <w:rsid w:val="00472AA1"/>
    <w:rsid w:val="00472DAE"/>
    <w:rsid w:val="004758CF"/>
    <w:rsid w:val="004775C8"/>
    <w:rsid w:val="00480956"/>
    <w:rsid w:val="00480A29"/>
    <w:rsid w:val="004818AB"/>
    <w:rsid w:val="0048214B"/>
    <w:rsid w:val="00493527"/>
    <w:rsid w:val="00493685"/>
    <w:rsid w:val="004A013B"/>
    <w:rsid w:val="004A7B1B"/>
    <w:rsid w:val="004B6261"/>
    <w:rsid w:val="004C0BBE"/>
    <w:rsid w:val="004C1C7B"/>
    <w:rsid w:val="004C282B"/>
    <w:rsid w:val="004C4EEB"/>
    <w:rsid w:val="004C713D"/>
    <w:rsid w:val="004D2C83"/>
    <w:rsid w:val="004D7E7F"/>
    <w:rsid w:val="004E2CCB"/>
    <w:rsid w:val="004E366B"/>
    <w:rsid w:val="004E39BE"/>
    <w:rsid w:val="004F4DE9"/>
    <w:rsid w:val="004F5E7D"/>
    <w:rsid w:val="005020D6"/>
    <w:rsid w:val="005039D9"/>
    <w:rsid w:val="005076A7"/>
    <w:rsid w:val="005121F5"/>
    <w:rsid w:val="0051770E"/>
    <w:rsid w:val="0052375C"/>
    <w:rsid w:val="00524A08"/>
    <w:rsid w:val="00526522"/>
    <w:rsid w:val="0053363C"/>
    <w:rsid w:val="00534B5B"/>
    <w:rsid w:val="0053580A"/>
    <w:rsid w:val="00540422"/>
    <w:rsid w:val="00542EF7"/>
    <w:rsid w:val="00554041"/>
    <w:rsid w:val="005567DB"/>
    <w:rsid w:val="00556AFD"/>
    <w:rsid w:val="00557368"/>
    <w:rsid w:val="0056180C"/>
    <w:rsid w:val="00564A0B"/>
    <w:rsid w:val="00567D15"/>
    <w:rsid w:val="00570173"/>
    <w:rsid w:val="00580919"/>
    <w:rsid w:val="005823FD"/>
    <w:rsid w:val="00583209"/>
    <w:rsid w:val="00584A80"/>
    <w:rsid w:val="00585433"/>
    <w:rsid w:val="005907C6"/>
    <w:rsid w:val="00592A1E"/>
    <w:rsid w:val="00595298"/>
    <w:rsid w:val="005954F9"/>
    <w:rsid w:val="00595F2F"/>
    <w:rsid w:val="005978D4"/>
    <w:rsid w:val="005979A5"/>
    <w:rsid w:val="005A2AAA"/>
    <w:rsid w:val="005A2CAF"/>
    <w:rsid w:val="005A6C90"/>
    <w:rsid w:val="005B0732"/>
    <w:rsid w:val="005B4D5B"/>
    <w:rsid w:val="005B4E0C"/>
    <w:rsid w:val="005B6089"/>
    <w:rsid w:val="005C70CB"/>
    <w:rsid w:val="005D536E"/>
    <w:rsid w:val="005D57F0"/>
    <w:rsid w:val="005E06B8"/>
    <w:rsid w:val="005E73CC"/>
    <w:rsid w:val="005F0600"/>
    <w:rsid w:val="005F201C"/>
    <w:rsid w:val="005F5BE3"/>
    <w:rsid w:val="005F70D6"/>
    <w:rsid w:val="0060422E"/>
    <w:rsid w:val="00604DB9"/>
    <w:rsid w:val="00606F1B"/>
    <w:rsid w:val="00607686"/>
    <w:rsid w:val="0061130F"/>
    <w:rsid w:val="00612652"/>
    <w:rsid w:val="00612D85"/>
    <w:rsid w:val="00614993"/>
    <w:rsid w:val="00614E8B"/>
    <w:rsid w:val="00616F5D"/>
    <w:rsid w:val="00630E74"/>
    <w:rsid w:val="00632DB2"/>
    <w:rsid w:val="00634C6A"/>
    <w:rsid w:val="00636016"/>
    <w:rsid w:val="006370E6"/>
    <w:rsid w:val="0063760D"/>
    <w:rsid w:val="00642304"/>
    <w:rsid w:val="00642612"/>
    <w:rsid w:val="006455AC"/>
    <w:rsid w:val="00647468"/>
    <w:rsid w:val="006529A1"/>
    <w:rsid w:val="00653357"/>
    <w:rsid w:val="006534EB"/>
    <w:rsid w:val="006542BC"/>
    <w:rsid w:val="006565C5"/>
    <w:rsid w:val="00656A9F"/>
    <w:rsid w:val="00657B38"/>
    <w:rsid w:val="006600C0"/>
    <w:rsid w:val="0066091F"/>
    <w:rsid w:val="006610A2"/>
    <w:rsid w:val="0066178C"/>
    <w:rsid w:val="0066443E"/>
    <w:rsid w:val="006707E1"/>
    <w:rsid w:val="00670C59"/>
    <w:rsid w:val="006751FF"/>
    <w:rsid w:val="00683CB8"/>
    <w:rsid w:val="00686A8A"/>
    <w:rsid w:val="006877F9"/>
    <w:rsid w:val="00696624"/>
    <w:rsid w:val="006A0223"/>
    <w:rsid w:val="006A03B6"/>
    <w:rsid w:val="006A23C0"/>
    <w:rsid w:val="006A6958"/>
    <w:rsid w:val="006B6926"/>
    <w:rsid w:val="006C075C"/>
    <w:rsid w:val="006C2E29"/>
    <w:rsid w:val="006C583D"/>
    <w:rsid w:val="006C6091"/>
    <w:rsid w:val="006D06F7"/>
    <w:rsid w:val="006D1A0C"/>
    <w:rsid w:val="006E1196"/>
    <w:rsid w:val="006E2C24"/>
    <w:rsid w:val="006E682D"/>
    <w:rsid w:val="006F10FF"/>
    <w:rsid w:val="006F227D"/>
    <w:rsid w:val="006F22BC"/>
    <w:rsid w:val="006F2986"/>
    <w:rsid w:val="006F2ACB"/>
    <w:rsid w:val="006F4980"/>
    <w:rsid w:val="006F7543"/>
    <w:rsid w:val="007017CE"/>
    <w:rsid w:val="007019AF"/>
    <w:rsid w:val="00701C70"/>
    <w:rsid w:val="007033DF"/>
    <w:rsid w:val="00704015"/>
    <w:rsid w:val="0070515F"/>
    <w:rsid w:val="0070551A"/>
    <w:rsid w:val="00707389"/>
    <w:rsid w:val="00711B99"/>
    <w:rsid w:val="00713421"/>
    <w:rsid w:val="007155CA"/>
    <w:rsid w:val="00716493"/>
    <w:rsid w:val="0071799E"/>
    <w:rsid w:val="00717BDA"/>
    <w:rsid w:val="00721C56"/>
    <w:rsid w:val="00723959"/>
    <w:rsid w:val="0072667B"/>
    <w:rsid w:val="00727891"/>
    <w:rsid w:val="00730348"/>
    <w:rsid w:val="00732DBD"/>
    <w:rsid w:val="00733F7E"/>
    <w:rsid w:val="007352E2"/>
    <w:rsid w:val="00744FE5"/>
    <w:rsid w:val="007469BB"/>
    <w:rsid w:val="00747A62"/>
    <w:rsid w:val="007546CA"/>
    <w:rsid w:val="00756C61"/>
    <w:rsid w:val="00762621"/>
    <w:rsid w:val="0076734F"/>
    <w:rsid w:val="00767B70"/>
    <w:rsid w:val="00777E4C"/>
    <w:rsid w:val="00777FC9"/>
    <w:rsid w:val="00787980"/>
    <w:rsid w:val="00793771"/>
    <w:rsid w:val="00796EB9"/>
    <w:rsid w:val="00797849"/>
    <w:rsid w:val="007A3BAD"/>
    <w:rsid w:val="007A55E8"/>
    <w:rsid w:val="007B2AAE"/>
    <w:rsid w:val="007B5429"/>
    <w:rsid w:val="007B6D60"/>
    <w:rsid w:val="007B72C6"/>
    <w:rsid w:val="007C068F"/>
    <w:rsid w:val="007C075B"/>
    <w:rsid w:val="007C29FC"/>
    <w:rsid w:val="007C3BDC"/>
    <w:rsid w:val="007C70AA"/>
    <w:rsid w:val="007D1D9E"/>
    <w:rsid w:val="007D2035"/>
    <w:rsid w:val="007D4FF8"/>
    <w:rsid w:val="007D5C57"/>
    <w:rsid w:val="007E0C9F"/>
    <w:rsid w:val="007E4086"/>
    <w:rsid w:val="007E511E"/>
    <w:rsid w:val="007F6F88"/>
    <w:rsid w:val="007F7FF7"/>
    <w:rsid w:val="0080063C"/>
    <w:rsid w:val="00800AD7"/>
    <w:rsid w:val="008022A0"/>
    <w:rsid w:val="0080239C"/>
    <w:rsid w:val="008042C7"/>
    <w:rsid w:val="00804916"/>
    <w:rsid w:val="0080511B"/>
    <w:rsid w:val="00807167"/>
    <w:rsid w:val="00816249"/>
    <w:rsid w:val="0082055B"/>
    <w:rsid w:val="00821F73"/>
    <w:rsid w:val="00822493"/>
    <w:rsid w:val="00823A36"/>
    <w:rsid w:val="00824811"/>
    <w:rsid w:val="0082677E"/>
    <w:rsid w:val="00827004"/>
    <w:rsid w:val="00827C6D"/>
    <w:rsid w:val="008301CE"/>
    <w:rsid w:val="00831B4F"/>
    <w:rsid w:val="00832A78"/>
    <w:rsid w:val="00836546"/>
    <w:rsid w:val="00844D71"/>
    <w:rsid w:val="00851A26"/>
    <w:rsid w:val="00851ACA"/>
    <w:rsid w:val="00854781"/>
    <w:rsid w:val="008556E1"/>
    <w:rsid w:val="008571B1"/>
    <w:rsid w:val="00863C51"/>
    <w:rsid w:val="0086438F"/>
    <w:rsid w:val="00865812"/>
    <w:rsid w:val="008710C6"/>
    <w:rsid w:val="008717C2"/>
    <w:rsid w:val="00871BAB"/>
    <w:rsid w:val="008726EA"/>
    <w:rsid w:val="008742A0"/>
    <w:rsid w:val="008778B7"/>
    <w:rsid w:val="00877AA3"/>
    <w:rsid w:val="00880CC4"/>
    <w:rsid w:val="00883297"/>
    <w:rsid w:val="00887A1E"/>
    <w:rsid w:val="008926E6"/>
    <w:rsid w:val="008935FA"/>
    <w:rsid w:val="008A1393"/>
    <w:rsid w:val="008A19D6"/>
    <w:rsid w:val="008A20A0"/>
    <w:rsid w:val="008A3DA9"/>
    <w:rsid w:val="008A4238"/>
    <w:rsid w:val="008A6C9E"/>
    <w:rsid w:val="008B3B6C"/>
    <w:rsid w:val="008B67F7"/>
    <w:rsid w:val="008B726E"/>
    <w:rsid w:val="008B7299"/>
    <w:rsid w:val="008C0107"/>
    <w:rsid w:val="008C1BEE"/>
    <w:rsid w:val="008C4478"/>
    <w:rsid w:val="008C5843"/>
    <w:rsid w:val="008C5945"/>
    <w:rsid w:val="008D0B83"/>
    <w:rsid w:val="008D0F3D"/>
    <w:rsid w:val="008D2900"/>
    <w:rsid w:val="008D3047"/>
    <w:rsid w:val="008D503B"/>
    <w:rsid w:val="008D6E8A"/>
    <w:rsid w:val="008E0A5A"/>
    <w:rsid w:val="008E498A"/>
    <w:rsid w:val="008E628E"/>
    <w:rsid w:val="008F1C14"/>
    <w:rsid w:val="008F352C"/>
    <w:rsid w:val="008F4EBD"/>
    <w:rsid w:val="0090466E"/>
    <w:rsid w:val="00905719"/>
    <w:rsid w:val="00916140"/>
    <w:rsid w:val="00916BC5"/>
    <w:rsid w:val="00921C8D"/>
    <w:rsid w:val="00924B25"/>
    <w:rsid w:val="00926B52"/>
    <w:rsid w:val="00926CD3"/>
    <w:rsid w:val="009509F1"/>
    <w:rsid w:val="00953465"/>
    <w:rsid w:val="00957F64"/>
    <w:rsid w:val="00961962"/>
    <w:rsid w:val="00970AF1"/>
    <w:rsid w:val="00975A65"/>
    <w:rsid w:val="00982AE2"/>
    <w:rsid w:val="009854E4"/>
    <w:rsid w:val="00985C1C"/>
    <w:rsid w:val="00986EFE"/>
    <w:rsid w:val="00997538"/>
    <w:rsid w:val="009975A6"/>
    <w:rsid w:val="009A2BEC"/>
    <w:rsid w:val="009A6456"/>
    <w:rsid w:val="009B2E04"/>
    <w:rsid w:val="009B6E75"/>
    <w:rsid w:val="009C0016"/>
    <w:rsid w:val="009D0F76"/>
    <w:rsid w:val="009D11AF"/>
    <w:rsid w:val="009D4208"/>
    <w:rsid w:val="009E1F05"/>
    <w:rsid w:val="009E216C"/>
    <w:rsid w:val="009E3C15"/>
    <w:rsid w:val="009E69AF"/>
    <w:rsid w:val="009F316B"/>
    <w:rsid w:val="009F6171"/>
    <w:rsid w:val="00A0001D"/>
    <w:rsid w:val="00A02662"/>
    <w:rsid w:val="00A05B40"/>
    <w:rsid w:val="00A07566"/>
    <w:rsid w:val="00A10EC6"/>
    <w:rsid w:val="00A11A7A"/>
    <w:rsid w:val="00A11E57"/>
    <w:rsid w:val="00A15707"/>
    <w:rsid w:val="00A15DFD"/>
    <w:rsid w:val="00A175E8"/>
    <w:rsid w:val="00A23715"/>
    <w:rsid w:val="00A27C84"/>
    <w:rsid w:val="00A30AA6"/>
    <w:rsid w:val="00A356F7"/>
    <w:rsid w:val="00A430AB"/>
    <w:rsid w:val="00A5125D"/>
    <w:rsid w:val="00A53CD4"/>
    <w:rsid w:val="00A56382"/>
    <w:rsid w:val="00A60817"/>
    <w:rsid w:val="00A6697E"/>
    <w:rsid w:val="00A70104"/>
    <w:rsid w:val="00A702C0"/>
    <w:rsid w:val="00A72883"/>
    <w:rsid w:val="00A73943"/>
    <w:rsid w:val="00A75EED"/>
    <w:rsid w:val="00A77E12"/>
    <w:rsid w:val="00A77FDB"/>
    <w:rsid w:val="00A8595C"/>
    <w:rsid w:val="00A87698"/>
    <w:rsid w:val="00A87B8F"/>
    <w:rsid w:val="00A9310F"/>
    <w:rsid w:val="00A9684E"/>
    <w:rsid w:val="00A97140"/>
    <w:rsid w:val="00AA0472"/>
    <w:rsid w:val="00AB234E"/>
    <w:rsid w:val="00AB2FD7"/>
    <w:rsid w:val="00AB565D"/>
    <w:rsid w:val="00AC51A7"/>
    <w:rsid w:val="00AD6470"/>
    <w:rsid w:val="00AE5074"/>
    <w:rsid w:val="00AE6521"/>
    <w:rsid w:val="00AF1E74"/>
    <w:rsid w:val="00AF574D"/>
    <w:rsid w:val="00B007B9"/>
    <w:rsid w:val="00B00C87"/>
    <w:rsid w:val="00B00E9F"/>
    <w:rsid w:val="00B12793"/>
    <w:rsid w:val="00B13A00"/>
    <w:rsid w:val="00B205DB"/>
    <w:rsid w:val="00B23C26"/>
    <w:rsid w:val="00B246B7"/>
    <w:rsid w:val="00B2490E"/>
    <w:rsid w:val="00B24A95"/>
    <w:rsid w:val="00B263B9"/>
    <w:rsid w:val="00B27AEA"/>
    <w:rsid w:val="00B304A0"/>
    <w:rsid w:val="00B305AF"/>
    <w:rsid w:val="00B310EF"/>
    <w:rsid w:val="00B316DA"/>
    <w:rsid w:val="00B31A19"/>
    <w:rsid w:val="00B36451"/>
    <w:rsid w:val="00B3670B"/>
    <w:rsid w:val="00B41965"/>
    <w:rsid w:val="00B43FA0"/>
    <w:rsid w:val="00B4695B"/>
    <w:rsid w:val="00B475B7"/>
    <w:rsid w:val="00B50912"/>
    <w:rsid w:val="00B50D28"/>
    <w:rsid w:val="00B51292"/>
    <w:rsid w:val="00B52539"/>
    <w:rsid w:val="00B60266"/>
    <w:rsid w:val="00B61ABD"/>
    <w:rsid w:val="00B6505F"/>
    <w:rsid w:val="00B751A4"/>
    <w:rsid w:val="00B75BBA"/>
    <w:rsid w:val="00B7668E"/>
    <w:rsid w:val="00B82E61"/>
    <w:rsid w:val="00B83B9C"/>
    <w:rsid w:val="00B84611"/>
    <w:rsid w:val="00B87BE8"/>
    <w:rsid w:val="00B934CB"/>
    <w:rsid w:val="00BA0CB4"/>
    <w:rsid w:val="00BA6F36"/>
    <w:rsid w:val="00BB179D"/>
    <w:rsid w:val="00BB41C4"/>
    <w:rsid w:val="00BB64FA"/>
    <w:rsid w:val="00BB75A3"/>
    <w:rsid w:val="00BC2901"/>
    <w:rsid w:val="00BD0A7C"/>
    <w:rsid w:val="00BD0FD2"/>
    <w:rsid w:val="00BD5549"/>
    <w:rsid w:val="00BD79F4"/>
    <w:rsid w:val="00BE20DA"/>
    <w:rsid w:val="00BE2537"/>
    <w:rsid w:val="00BE4BDB"/>
    <w:rsid w:val="00BF721D"/>
    <w:rsid w:val="00C03077"/>
    <w:rsid w:val="00C052C2"/>
    <w:rsid w:val="00C06C57"/>
    <w:rsid w:val="00C06D1D"/>
    <w:rsid w:val="00C06EC5"/>
    <w:rsid w:val="00C100A8"/>
    <w:rsid w:val="00C105B2"/>
    <w:rsid w:val="00C1770C"/>
    <w:rsid w:val="00C22998"/>
    <w:rsid w:val="00C2424E"/>
    <w:rsid w:val="00C2471F"/>
    <w:rsid w:val="00C25812"/>
    <w:rsid w:val="00C2705B"/>
    <w:rsid w:val="00C30F2F"/>
    <w:rsid w:val="00C32836"/>
    <w:rsid w:val="00C360D1"/>
    <w:rsid w:val="00C37A65"/>
    <w:rsid w:val="00C4075B"/>
    <w:rsid w:val="00C41D6D"/>
    <w:rsid w:val="00C4213F"/>
    <w:rsid w:val="00C46FFB"/>
    <w:rsid w:val="00C52E1B"/>
    <w:rsid w:val="00C540E2"/>
    <w:rsid w:val="00C5560D"/>
    <w:rsid w:val="00C60C47"/>
    <w:rsid w:val="00C60CBB"/>
    <w:rsid w:val="00C61A4F"/>
    <w:rsid w:val="00C67C78"/>
    <w:rsid w:val="00C72AAC"/>
    <w:rsid w:val="00C74170"/>
    <w:rsid w:val="00C75DD7"/>
    <w:rsid w:val="00C81AC7"/>
    <w:rsid w:val="00C85B04"/>
    <w:rsid w:val="00C93FC3"/>
    <w:rsid w:val="00C96917"/>
    <w:rsid w:val="00CA0375"/>
    <w:rsid w:val="00CA2649"/>
    <w:rsid w:val="00CA3204"/>
    <w:rsid w:val="00CA62B1"/>
    <w:rsid w:val="00CA793C"/>
    <w:rsid w:val="00CA7C58"/>
    <w:rsid w:val="00CB1923"/>
    <w:rsid w:val="00CB2534"/>
    <w:rsid w:val="00CB3082"/>
    <w:rsid w:val="00CB6DB2"/>
    <w:rsid w:val="00CB7E9C"/>
    <w:rsid w:val="00CD40BC"/>
    <w:rsid w:val="00CD7419"/>
    <w:rsid w:val="00CE6FF9"/>
    <w:rsid w:val="00CF0349"/>
    <w:rsid w:val="00CF0423"/>
    <w:rsid w:val="00CF1979"/>
    <w:rsid w:val="00CF305B"/>
    <w:rsid w:val="00CF4523"/>
    <w:rsid w:val="00CF64BB"/>
    <w:rsid w:val="00CF67C5"/>
    <w:rsid w:val="00CF6EE9"/>
    <w:rsid w:val="00D025BB"/>
    <w:rsid w:val="00D07237"/>
    <w:rsid w:val="00D10FC3"/>
    <w:rsid w:val="00D165C6"/>
    <w:rsid w:val="00D16688"/>
    <w:rsid w:val="00D20C2C"/>
    <w:rsid w:val="00D22476"/>
    <w:rsid w:val="00D23D7F"/>
    <w:rsid w:val="00D24BDF"/>
    <w:rsid w:val="00D24DC7"/>
    <w:rsid w:val="00D25F5B"/>
    <w:rsid w:val="00D2799C"/>
    <w:rsid w:val="00D27AB6"/>
    <w:rsid w:val="00D304F9"/>
    <w:rsid w:val="00D3417B"/>
    <w:rsid w:val="00D41148"/>
    <w:rsid w:val="00D428DD"/>
    <w:rsid w:val="00D512C6"/>
    <w:rsid w:val="00D52E05"/>
    <w:rsid w:val="00D57CF5"/>
    <w:rsid w:val="00D6001C"/>
    <w:rsid w:val="00D638E1"/>
    <w:rsid w:val="00D702A2"/>
    <w:rsid w:val="00D72330"/>
    <w:rsid w:val="00D74070"/>
    <w:rsid w:val="00D76B64"/>
    <w:rsid w:val="00D82116"/>
    <w:rsid w:val="00D85407"/>
    <w:rsid w:val="00D92F08"/>
    <w:rsid w:val="00D930FA"/>
    <w:rsid w:val="00DA42C9"/>
    <w:rsid w:val="00DB2CB9"/>
    <w:rsid w:val="00DC7331"/>
    <w:rsid w:val="00DD0C66"/>
    <w:rsid w:val="00DD1208"/>
    <w:rsid w:val="00DD63B5"/>
    <w:rsid w:val="00DD6903"/>
    <w:rsid w:val="00DE0364"/>
    <w:rsid w:val="00DE106B"/>
    <w:rsid w:val="00DE35D0"/>
    <w:rsid w:val="00DE3F32"/>
    <w:rsid w:val="00DF1AFF"/>
    <w:rsid w:val="00DF7A32"/>
    <w:rsid w:val="00E00510"/>
    <w:rsid w:val="00E035D1"/>
    <w:rsid w:val="00E03FDD"/>
    <w:rsid w:val="00E123E9"/>
    <w:rsid w:val="00E17C1C"/>
    <w:rsid w:val="00E223F3"/>
    <w:rsid w:val="00E26543"/>
    <w:rsid w:val="00E31381"/>
    <w:rsid w:val="00E34E68"/>
    <w:rsid w:val="00E400BF"/>
    <w:rsid w:val="00E44B0C"/>
    <w:rsid w:val="00E463B7"/>
    <w:rsid w:val="00E50F7C"/>
    <w:rsid w:val="00E52353"/>
    <w:rsid w:val="00E54D68"/>
    <w:rsid w:val="00E619F4"/>
    <w:rsid w:val="00E62440"/>
    <w:rsid w:val="00E647ED"/>
    <w:rsid w:val="00E658A6"/>
    <w:rsid w:val="00E66B49"/>
    <w:rsid w:val="00E717B6"/>
    <w:rsid w:val="00E72BD2"/>
    <w:rsid w:val="00E73B3F"/>
    <w:rsid w:val="00E75725"/>
    <w:rsid w:val="00E77A54"/>
    <w:rsid w:val="00E77DD3"/>
    <w:rsid w:val="00E84D16"/>
    <w:rsid w:val="00E84ED4"/>
    <w:rsid w:val="00E854B3"/>
    <w:rsid w:val="00E87475"/>
    <w:rsid w:val="00E924D5"/>
    <w:rsid w:val="00E92AF7"/>
    <w:rsid w:val="00E9365D"/>
    <w:rsid w:val="00EA06FE"/>
    <w:rsid w:val="00EA0AA1"/>
    <w:rsid w:val="00EA1F01"/>
    <w:rsid w:val="00EA1F3D"/>
    <w:rsid w:val="00EA7AA9"/>
    <w:rsid w:val="00EA7BC8"/>
    <w:rsid w:val="00EB058A"/>
    <w:rsid w:val="00EB7905"/>
    <w:rsid w:val="00EC095A"/>
    <w:rsid w:val="00EC1AAD"/>
    <w:rsid w:val="00EC6158"/>
    <w:rsid w:val="00EC64F5"/>
    <w:rsid w:val="00ED2062"/>
    <w:rsid w:val="00ED2AAE"/>
    <w:rsid w:val="00ED3EA6"/>
    <w:rsid w:val="00ED44BA"/>
    <w:rsid w:val="00ED51B2"/>
    <w:rsid w:val="00EE37AA"/>
    <w:rsid w:val="00EF6C59"/>
    <w:rsid w:val="00EF7BB1"/>
    <w:rsid w:val="00F0157E"/>
    <w:rsid w:val="00F036B9"/>
    <w:rsid w:val="00F0398C"/>
    <w:rsid w:val="00F05ACC"/>
    <w:rsid w:val="00F10DE0"/>
    <w:rsid w:val="00F12D77"/>
    <w:rsid w:val="00F13BD8"/>
    <w:rsid w:val="00F13C7B"/>
    <w:rsid w:val="00F2450D"/>
    <w:rsid w:val="00F26C7D"/>
    <w:rsid w:val="00F33DB0"/>
    <w:rsid w:val="00F436F8"/>
    <w:rsid w:val="00F45A9E"/>
    <w:rsid w:val="00F60DF4"/>
    <w:rsid w:val="00F622F4"/>
    <w:rsid w:val="00F62EBA"/>
    <w:rsid w:val="00F631FB"/>
    <w:rsid w:val="00F6664A"/>
    <w:rsid w:val="00F67467"/>
    <w:rsid w:val="00F7039A"/>
    <w:rsid w:val="00F73156"/>
    <w:rsid w:val="00F7573F"/>
    <w:rsid w:val="00F800A7"/>
    <w:rsid w:val="00F87F5F"/>
    <w:rsid w:val="00F90895"/>
    <w:rsid w:val="00F93339"/>
    <w:rsid w:val="00F950D1"/>
    <w:rsid w:val="00FA0D3D"/>
    <w:rsid w:val="00FA2FE3"/>
    <w:rsid w:val="00FA503A"/>
    <w:rsid w:val="00FA5404"/>
    <w:rsid w:val="00FB55CD"/>
    <w:rsid w:val="00FB61A2"/>
    <w:rsid w:val="00FC10FA"/>
    <w:rsid w:val="00FC1B41"/>
    <w:rsid w:val="00FC2077"/>
    <w:rsid w:val="00FC35E0"/>
    <w:rsid w:val="00FC4C56"/>
    <w:rsid w:val="00FC4E6F"/>
    <w:rsid w:val="00FD0CB7"/>
    <w:rsid w:val="00FD1A47"/>
    <w:rsid w:val="00FD5BD5"/>
    <w:rsid w:val="00FE60DE"/>
    <w:rsid w:val="00FE6538"/>
    <w:rsid w:val="00FE6D34"/>
    <w:rsid w:val="00FE72DA"/>
    <w:rsid w:val="00FF1D8D"/>
    <w:rsid w:val="00FF365F"/>
    <w:rsid w:val="00FF4DBC"/>
    <w:rsid w:val="01944FA6"/>
    <w:rsid w:val="01E52B01"/>
    <w:rsid w:val="02FA438B"/>
    <w:rsid w:val="043B2EAD"/>
    <w:rsid w:val="06085010"/>
    <w:rsid w:val="09120680"/>
    <w:rsid w:val="09616F12"/>
    <w:rsid w:val="096B153F"/>
    <w:rsid w:val="0A8729A8"/>
    <w:rsid w:val="0AB07EF3"/>
    <w:rsid w:val="0B287FDA"/>
    <w:rsid w:val="0B4D3BF1"/>
    <w:rsid w:val="0F696D55"/>
    <w:rsid w:val="0F816A09"/>
    <w:rsid w:val="124F64A1"/>
    <w:rsid w:val="128B4FFF"/>
    <w:rsid w:val="12E52961"/>
    <w:rsid w:val="136D0CB7"/>
    <w:rsid w:val="138C54D3"/>
    <w:rsid w:val="145322CC"/>
    <w:rsid w:val="17A34B99"/>
    <w:rsid w:val="18C82B09"/>
    <w:rsid w:val="1B2F50C2"/>
    <w:rsid w:val="1B8C2514"/>
    <w:rsid w:val="1CD83537"/>
    <w:rsid w:val="1CDA2E0B"/>
    <w:rsid w:val="20A538CC"/>
    <w:rsid w:val="20EC135F"/>
    <w:rsid w:val="22D8603F"/>
    <w:rsid w:val="22FB24E9"/>
    <w:rsid w:val="23A45F21"/>
    <w:rsid w:val="2529423B"/>
    <w:rsid w:val="252A41DB"/>
    <w:rsid w:val="25EF6030"/>
    <w:rsid w:val="2685028B"/>
    <w:rsid w:val="2725436D"/>
    <w:rsid w:val="28B73F08"/>
    <w:rsid w:val="28B91EAF"/>
    <w:rsid w:val="2B485D2C"/>
    <w:rsid w:val="2B9439A5"/>
    <w:rsid w:val="2C1125C1"/>
    <w:rsid w:val="2D03015C"/>
    <w:rsid w:val="2D92328E"/>
    <w:rsid w:val="2ED2428A"/>
    <w:rsid w:val="2EE30809"/>
    <w:rsid w:val="2F013C21"/>
    <w:rsid w:val="31B47C77"/>
    <w:rsid w:val="31FF6116"/>
    <w:rsid w:val="396B623F"/>
    <w:rsid w:val="39D23390"/>
    <w:rsid w:val="39D42FB8"/>
    <w:rsid w:val="3B974891"/>
    <w:rsid w:val="3C683B38"/>
    <w:rsid w:val="3D6A38DF"/>
    <w:rsid w:val="3E3208A1"/>
    <w:rsid w:val="3EAD6241"/>
    <w:rsid w:val="40442B0E"/>
    <w:rsid w:val="428B295C"/>
    <w:rsid w:val="45185755"/>
    <w:rsid w:val="4550415C"/>
    <w:rsid w:val="46780E1B"/>
    <w:rsid w:val="46E110B6"/>
    <w:rsid w:val="46E93C0E"/>
    <w:rsid w:val="47264D1B"/>
    <w:rsid w:val="47C6395D"/>
    <w:rsid w:val="498D0F3C"/>
    <w:rsid w:val="4A954692"/>
    <w:rsid w:val="4B3F246F"/>
    <w:rsid w:val="50545D7C"/>
    <w:rsid w:val="50BE7D72"/>
    <w:rsid w:val="51F07922"/>
    <w:rsid w:val="53745BA9"/>
    <w:rsid w:val="53C25DCC"/>
    <w:rsid w:val="54E81862"/>
    <w:rsid w:val="54EA382C"/>
    <w:rsid w:val="5514178A"/>
    <w:rsid w:val="554B4B6E"/>
    <w:rsid w:val="566939A9"/>
    <w:rsid w:val="58663669"/>
    <w:rsid w:val="59172716"/>
    <w:rsid w:val="593E7CA2"/>
    <w:rsid w:val="5A5D475D"/>
    <w:rsid w:val="5B3A26EB"/>
    <w:rsid w:val="5CCC3E80"/>
    <w:rsid w:val="5D5C103F"/>
    <w:rsid w:val="5E056FE1"/>
    <w:rsid w:val="61127051"/>
    <w:rsid w:val="637F5A87"/>
    <w:rsid w:val="649B069F"/>
    <w:rsid w:val="64E02555"/>
    <w:rsid w:val="65534AD5"/>
    <w:rsid w:val="656D6B0C"/>
    <w:rsid w:val="65D84624"/>
    <w:rsid w:val="678E5AAE"/>
    <w:rsid w:val="67F71B53"/>
    <w:rsid w:val="6A21549A"/>
    <w:rsid w:val="6B8B300B"/>
    <w:rsid w:val="6CC70ACA"/>
    <w:rsid w:val="6D480C85"/>
    <w:rsid w:val="6E7206C2"/>
    <w:rsid w:val="6ED07C19"/>
    <w:rsid w:val="6FAE205B"/>
    <w:rsid w:val="703674CE"/>
    <w:rsid w:val="74FC791C"/>
    <w:rsid w:val="76DF1A6F"/>
    <w:rsid w:val="76F1414E"/>
    <w:rsid w:val="77CE3802"/>
    <w:rsid w:val="77D201AA"/>
    <w:rsid w:val="78717BF6"/>
    <w:rsid w:val="78FF6FF6"/>
    <w:rsid w:val="7A340F22"/>
    <w:rsid w:val="7B015DC2"/>
    <w:rsid w:val="7C06069C"/>
    <w:rsid w:val="7C3156F1"/>
    <w:rsid w:val="7D5B4A17"/>
    <w:rsid w:val="7F030EC3"/>
    <w:rsid w:val="7FD141E4"/>
    <w:rsid w:val="B71EB7DB"/>
    <w:rsid w:val="EBE61269"/>
    <w:rsid w:val="EEBF5EAC"/>
    <w:rsid w:val="F4CE8F6A"/>
    <w:rsid w:val="F6FFBE0A"/>
    <w:rsid w:val="F7DFCEE4"/>
    <w:rsid w:val="FF6F7219"/>
    <w:rsid w:val="FF9F58FA"/>
  </w:rsids>
  <w:doNotAutoCompressPictures/>
  <w:themeFontLang w:val="en-US" w:eastAsia="zh-CN"/>
  <w:clrSchemeMapping w:bg1="light1" w:t1="dark1" w:bg2="light2" w:t2="dark2" w:accent1="accent1" w:accent2="accent2" w:accent3="accent3" w:accent4="accent4" w:accent5="accent5" w:accent6="accent6" w:hyperlink="hyperlink" w:followedHyperlink="followedHyperlink"/>
  <w:doNotIncludeSubdocsInStats/>
  <w14:defaultImageDpi w14:val="32767"/>
  <mc:AlternateContent>
    <mc:Choice Requires="wpsCustomData">
      <wpsCustomData:typoFeatureVersion val="1"/>
    </mc:Choice>
  </mc:AlternateContent>
  <m:mathPr>
    <m:mathFont m:val="Cambria Math"/>
    <m:brkBin m:val="before"/>
    <m:brkBinSub m:val="--"/>
    <m:smallFrac m:val="0"/>
    <m:dispDef/>
    <m:lMargin m:val="0"/>
    <m:rMargin m:val="0"/>
    <m:defJc m:val="centerGroup"/>
    <m:wrapIndent m:val="1440"/>
    <m:intLim m:val="subSup"/>
    <m:naryLim m:val="undOvr"/>
  </m:mathPr>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imes New Roman" w:hAnsi="Times New Roman" w:eastAsia="宋体" w:cs="Times New Roman"/>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9" w:semiHidden="0" w:name="heading 1"/>
    <w:lsdException w:qFormat="1" w:uiPriority="9" w:semiHidden="0" w:name="heading 2"/>
    <w:lsdException w:qFormat="1" w:uiPriority="9" w:semiHidden="0" w:name="heading 3"/>
    <w:lsdException w:qFormat="1" w:uiPriority="9" w:semiHidden="0" w:name="heading 4"/>
    <w:lsdException w:qFormat="1" w:uiPriority="9" w:semiHidden="0" w:name="heading 5"/>
    <w:lsdException w:qFormat="1" w:uiPriority="9" w:semiHidden="0" w:name="heading 6"/>
    <w:lsdException w:qFormat="1" w:uiPriority="9" w:semiHidden="0" w:name="heading 7"/>
    <w:lsdException w:qFormat="1" w:uiPriority="9" w:semiHidden="0" w:name="heading 8"/>
    <w:lsdException w:qFormat="1" w:uiPriority="9" w:name="heading 9"/>
    <w:lsdException w:uiPriority="99" w:name="index 1"/>
    <w:lsdException w:uiPriority="99" w:name="index 2"/>
    <w:lsdException w:uiPriority="99" w:name="index 3"/>
    <w:lsdException w:uiPriority="99" w:name="index 4"/>
    <w:lsdException w:uiPriority="99" w:name="index 5"/>
    <w:lsdException w:uiPriority="99" w:name="index 6"/>
    <w:lsdException w:uiPriority="99" w:name="index 7"/>
    <w:lsdException w:uiPriority="99" w:name="index 8"/>
    <w:lsdException w:uiPriority="99" w:name="index 9"/>
    <w:lsdException w:qFormat="1" w:uiPriority="39" w:semiHidden="0" w:name="toc 1"/>
    <w:lsdException w:qFormat="1" w:uiPriority="39" w:semiHidden="0" w:name="toc 2"/>
    <w:lsdException w:qFormat="1" w:uiPriority="39" w:semiHidden="0" w:name="toc 3"/>
    <w:lsdException w:uiPriority="39" w:name="toc 4"/>
    <w:lsdException w:uiPriority="39" w:name="toc 5"/>
    <w:lsdException w:uiPriority="39" w:name="toc 6"/>
    <w:lsdException w:uiPriority="39" w:name="toc 7"/>
    <w:lsdException w:uiPriority="39" w:name="toc 8"/>
    <w:lsdException w:uiPriority="39" w:name="toc 9"/>
    <w:lsdException w:uiPriority="99" w:name="Normal Indent"/>
    <w:lsdException w:uiPriority="99" w:name="footnote text"/>
    <w:lsdException w:qFormat="1" w:uiPriority="99" w:name="annotation text"/>
    <w:lsdException w:qFormat="1" w:uiPriority="99" w:semiHidden="0" w:name="header"/>
    <w:lsdException w:qFormat="1" w:uiPriority="99" w:semiHidden="0" w:name="footer"/>
    <w:lsdException w:uiPriority="99" w:name="index heading"/>
    <w:lsdException w:qFormat="1" w:uiPriority="35" w:semiHidden="0" w:name="caption"/>
    <w:lsdException w:uiPriority="99" w:name="table of figures"/>
    <w:lsdException w:uiPriority="99" w:name="envelope address"/>
    <w:lsdException w:uiPriority="99" w:name="envelope return"/>
    <w:lsdException w:uiPriority="99" w:name="footnote reference"/>
    <w:lsdException w:qFormat="1" w:uiPriority="99" w:name="annotation reference"/>
    <w:lsdException w:uiPriority="99" w:name="line number"/>
    <w:lsdException w:uiPriority="99" w:name="page number"/>
    <w:lsdException w:uiPriority="99" w:name="endnote reference"/>
    <w:lsdException w:uiPriority="99" w:name="endnote text"/>
    <w:lsdException w:uiPriority="99" w:name="table of authorities"/>
    <w:lsdException w:uiPriority="99" w:name="macro"/>
    <w:lsdException w:uiPriority="99" w:name="toa heading"/>
    <w:lsdException w:uiPriority="99" w:name="List"/>
    <w:lsdException w:uiPriority="99" w:name="List Bullet"/>
    <w:lsdException w:uiPriority="99" w:name="List Number"/>
    <w:lsdException w:uiPriority="99" w:name="List 2"/>
    <w:lsdException w:uiPriority="99" w:name="List 3"/>
    <w:lsdException w:uiPriority="99" w:name="List 4"/>
    <w:lsdException w:uiPriority="99" w:name="List 5"/>
    <w:lsdException w:uiPriority="99" w:name="List Bullet 2"/>
    <w:lsdException w:uiPriority="99" w:name="List Bullet 3"/>
    <w:lsdException w:uiPriority="99" w:name="List Bullet 4"/>
    <w:lsdException w:uiPriority="99" w:name="List Bullet 5"/>
    <w:lsdException w:uiPriority="99" w:name="List Number 2"/>
    <w:lsdException w:uiPriority="99" w:name="List Number 3"/>
    <w:lsdException w:uiPriority="99" w:name="List Number 4"/>
    <w:lsdException w:uiPriority="99" w:name="List Number 5"/>
    <w:lsdException w:qFormat="1" w:unhideWhenUsed="0" w:uiPriority="10" w:semiHidden="0" w:name="Title"/>
    <w:lsdException w:uiPriority="99" w:name="Closing"/>
    <w:lsdException w:uiPriority="99" w:name="Signature"/>
    <w:lsdException w:qFormat="1" w:uiPriority="1" w:semiHidden="0" w:name="Default Paragraph Font"/>
    <w:lsdException w:uiPriority="99" w:name="Body Text"/>
    <w:lsdException w:uiPriority="99" w:name="Body Text Indent"/>
    <w:lsdException w:uiPriority="99" w:name="List Continue"/>
    <w:lsdException w:uiPriority="99" w:name="List Continue 2"/>
    <w:lsdException w:uiPriority="99" w:name="List Continue 3"/>
    <w:lsdException w:uiPriority="99" w:name="List Continue 4"/>
    <w:lsdException w:uiPriority="99" w:name="List Continue 5"/>
    <w:lsdException w:uiPriority="99" w:name="Message Header"/>
    <w:lsdException w:qFormat="1" w:unhideWhenUsed="0" w:uiPriority="11" w:semiHidden="0" w:name="Subtitle"/>
    <w:lsdException w:uiPriority="99" w:name="Salutation"/>
    <w:lsdException w:uiPriority="99" w:name="Date"/>
    <w:lsdException w:uiPriority="99" w:name="Body Text First Indent"/>
    <w:lsdException w:uiPriority="99" w:name="Body Text First Indent 2"/>
    <w:lsdException w:uiPriority="99" w:name="Note Heading"/>
    <w:lsdException w:uiPriority="99" w:name="Body Text 2"/>
    <w:lsdException w:uiPriority="99" w:name="Body Text 3"/>
    <w:lsdException w:uiPriority="99" w:name="Body Text Indent 2"/>
    <w:lsdException w:uiPriority="99" w:name="Body Text Indent 3"/>
    <w:lsdException w:uiPriority="99" w:name="Block Text"/>
    <w:lsdException w:qFormat="1" w:uiPriority="99" w:semiHidden="0" w:name="Hyperlink"/>
    <w:lsdException w:uiPriority="99" w:name="FollowedHyperlink"/>
    <w:lsdException w:qFormat="1" w:unhideWhenUsed="0" w:uiPriority="22" w:semiHidden="0" w:name="Strong"/>
    <w:lsdException w:qFormat="1" w:unhideWhenUsed="0" w:uiPriority="20" w:semiHidden="0" w:name="Emphasis"/>
    <w:lsdException w:uiPriority="99" w:name="Document Map"/>
    <w:lsdException w:uiPriority="99" w:name="Plain Text"/>
    <w:lsdException w:uiPriority="99" w:name="E-mail Signature"/>
    <w:lsdException w:qFormat="1" w:uiPriority="99" w:semiHidden="0" w:name="Normal (Web)"/>
    <w:lsdException w:uiPriority="99" w:name="HTML Acronym"/>
    <w:lsdException w:uiPriority="99" w:name="HTML Address"/>
    <w:lsdException w:uiPriority="99" w:name="HTML Cite"/>
    <w:lsdException w:qFormat="1" w:uiPriority="99" w:name="HTML Code"/>
    <w:lsdException w:uiPriority="99" w:name="HTML Definition"/>
    <w:lsdException w:uiPriority="99" w:name="HTML Keyboard"/>
    <w:lsdException w:qFormat="1" w:uiPriority="99" w:semiHidden="0" w:name="HTML Preformatted"/>
    <w:lsdException w:uiPriority="99" w:name="HTML Sample"/>
    <w:lsdException w:uiPriority="99" w:name="HTML Typewriter"/>
    <w:lsdException w:uiPriority="99" w:name="HTML Variable"/>
    <w:lsdException w:qFormat="1" w:uiPriority="99" w:name="Normal Table"/>
    <w:lsdException w:qFormat="1" w:uiPriority="99" w:name="annotation subject"/>
    <w:lsdException w:uiPriority="99" w:name="Table Simple 1"/>
    <w:lsdException w:uiPriority="99" w:name="Table Simple 2"/>
    <w:lsdException w:uiPriority="99" w:name="Table Simple 3"/>
    <w:lsdException w:uiPriority="99" w:name="Table Classic 1"/>
    <w:lsdException w:uiPriority="99" w:name="Table Classic 2"/>
    <w:lsdException w:uiPriority="99" w:name="Table Classic 3"/>
    <w:lsdException w:uiPriority="99" w:name="Table Classic 4"/>
    <w:lsdException w:uiPriority="99" w:name="Table Colorful 1"/>
    <w:lsdException w:uiPriority="99" w:name="Table Colorful 2"/>
    <w:lsdException w:uiPriority="99" w:name="Table Colorful 3"/>
    <w:lsdException w:uiPriority="99" w:name="Table Columns 1"/>
    <w:lsdException w:uiPriority="99" w:name="Table Columns 2"/>
    <w:lsdException w:uiPriority="99" w:name="Table Columns 3"/>
    <w:lsdException w:uiPriority="99" w:name="Table Columns 4"/>
    <w:lsdException w:uiPriority="99" w:name="Table Columns 5"/>
    <w:lsdException w:uiPriority="99" w:name="Table Grid 1"/>
    <w:lsdException w:uiPriority="99" w:name="Table Grid 2"/>
    <w:lsdException w:uiPriority="99" w:name="Table Grid 3"/>
    <w:lsdException w:uiPriority="99" w:name="Table Grid 4"/>
    <w:lsdException w:uiPriority="99" w:name="Table Grid 5"/>
    <w:lsdException w:uiPriority="99" w:name="Table Grid 6"/>
    <w:lsdException w:uiPriority="99" w:name="Table Grid 7"/>
    <w:lsdException w:uiPriority="99" w:name="Table Grid 8"/>
    <w:lsdException w:uiPriority="99" w:name="Table List 1"/>
    <w:lsdException w:uiPriority="99" w:name="Table List 2"/>
    <w:lsdException w:uiPriority="99" w:name="Table List 3"/>
    <w:lsdException w:uiPriority="99" w:name="Table List 4"/>
    <w:lsdException w:uiPriority="99" w:name="Table List 5"/>
    <w:lsdException w:uiPriority="99" w:name="Table List 6"/>
    <w:lsdException w:uiPriority="99" w:name="Table List 7"/>
    <w:lsdException w:uiPriority="99" w:name="Table List 8"/>
    <w:lsdException w:uiPriority="99" w:name="Table 3D effects 1"/>
    <w:lsdException w:uiPriority="99" w:name="Table 3D effects 2"/>
    <w:lsdException w:uiPriority="99" w:name="Table 3D effects 3"/>
    <w:lsdException w:uiPriority="99" w:name="Table Contemporary"/>
    <w:lsdException w:uiPriority="99" w:name="Table Elegant"/>
    <w:lsdException w:uiPriority="99" w:name="Table Professional"/>
    <w:lsdException w:uiPriority="99" w:name="Table Subtle 1"/>
    <w:lsdException w:uiPriority="99" w:name="Table Subtle 2"/>
    <w:lsdException w:uiPriority="99" w:name="Table Web 1"/>
    <w:lsdException w:uiPriority="99" w:name="Table Web 2"/>
    <w:lsdException w:uiPriority="99" w:name="Table Web 3"/>
    <w:lsdException w:uiPriority="99" w:name="Balloon Text"/>
    <w:lsdException w:qFormat="1" w:unhideWhenUsed="0" w:uiPriority="39" w:semiHidden="0" w:name="Table Grid"/>
    <w:lsdException w:uiPriority="99" w:name="Table Theme"/>
    <w:lsdException w:qFormat="1" w:unhideWhenUsed="0" w:uiPriority="99" w:name="Placeholder Text"/>
    <w:lsdException w:unhideWhenUsed="0" w:uiPriority="60" w:semiHidden="0" w:name="Light Shading"/>
    <w:lsdException w:qFormat="1"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qFormat="1" w:unhideWhenUsed="0" w:uiPriority="34" w:semiHidden="0" w:name="List Paragraph"/>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autoRedefine/>
    <w:qFormat/>
    <w:uiPriority w:val="0"/>
    <w:pPr>
      <w:widowControl w:val="0"/>
      <w:spacing w:after="120" w:line="276" w:lineRule="auto"/>
      <w:jc w:val="both"/>
    </w:pPr>
    <w:rPr>
      <w:rFonts w:ascii="Times New Roman" w:hAnsi="Times New Roman" w:eastAsiaTheme="minorAscii" w:cstheme="minorBidi" w:eastAsia="Times New Roman"/>
      <w:color w:val="000000"/>
      <w:kern w:val="2"/>
      <w:sz w:val="24"/>
      <w:szCs w:val="28"/>
      <w:lang w:val="en-US" w:eastAsia="zh-CN" w:bidi="ar-SA"/>
    </w:rPr>
  </w:style>
  <w:style w:type="paragraph" w:styleId="2">
    <w:name w:val="heading 1"/>
    <w:basedOn w:val="1"/>
    <w:next w:val="1"/>
    <w:link w:val="33"/>
    <w:autoRedefine/>
    <w:qFormat/>
    <w:uiPriority w:val="9"/>
    <w:pPr>
      <w:keepNext/>
      <w:keepLines/>
      <w:spacing w:before="200" w:after="120" w:line="240" w:lineRule="auto"/>
      <w:outlineLvl w:val="0"/>
    </w:pPr>
    <w:rPr>
      <w:rFonts w:eastAsia="Times New Roman" w:cs="Times New Roman" w:asciiTheme="minorAscii" w:hAnsiTheme="minorAscii"/>
      <w:b/>
      <w:bCs/>
      <w:color w:val="000000"/>
      <w:kern w:val="44"/>
      <w:sz w:val="28"/>
      <w:szCs w:val="32"/>
    </w:rPr>
  </w:style>
  <w:style w:type="paragraph" w:styleId="3">
    <w:name w:val="heading 2"/>
    <w:basedOn w:val="1"/>
    <w:next w:val="1"/>
    <w:link w:val="29"/>
    <w:autoRedefine/>
    <w:unhideWhenUsed/>
    <w:qFormat/>
    <w:uiPriority w:val="9"/>
    <w:pPr>
      <w:keepNext/>
      <w:widowControl/>
      <w:spacing w:before="200" w:after="120"/>
      <w:outlineLvl w:val="1"/>
    </w:pPr>
    <w:rPr>
      <w:rFonts w:ascii="Times New Roman" w:hAnsi="Times New Roman" w:eastAsia="Times New Roman" w:cs="Times New Roman"/>
      <w:b/>
      <w:color w:val="000000"/>
      <w:sz w:val="28"/>
    </w:rPr>
  </w:style>
  <w:style w:type="paragraph" w:styleId="4">
    <w:name w:val="heading 3"/>
    <w:basedOn w:val="1"/>
    <w:next w:val="1"/>
    <w:link w:val="30"/>
    <w:unhideWhenUsed/>
    <w:qFormat/>
    <w:uiPriority w:val="9"/>
    <w:pPr>
      <w:keepNext/>
      <w:keepLines/>
      <w:adjustRightInd w:val="0"/>
      <w:spacing w:before="200" w:after="120" w:line="288" w:lineRule="auto"/>
      <w:outlineLvl w:val="2"/>
    </w:pPr>
    <w:rPr>
      <w:rFonts w:ascii="Times New Roman" w:hAnsi="Times New Roman" w:eastAsia="Times New Roman" w:cs="Times New Roman"/>
      <w:b/>
      <w:bCs/>
      <w:color w:val="000000"/>
      <w:sz w:val="28"/>
    </w:rPr>
  </w:style>
  <w:style w:type="paragraph" w:styleId="5">
    <w:name w:val="heading 4"/>
    <w:basedOn w:val="1"/>
    <w:next w:val="1"/>
    <w:unhideWhenUsed/>
    <w:qFormat/>
    <w:uiPriority w:val="9"/>
    <w:pPr>
      <w:spacing w:beforeAutospacing="1" w:afterAutospacing="1"/>
      <w:jc w:val="left"/>
      <w:outlineLvl w:val="3"/>
    </w:pPr>
    <w:rPr>
      <w:rFonts w:hint="eastAsia" w:ascii="Times New Roman" w:hAnsi="Times New Roman" w:eastAsia="宋体" w:cs="Times New Roman"/>
      <w:b/>
      <w:bCs/>
      <w:kern w:val="0"/>
      <w:sz w:val="24"/>
      <w:szCs w:val="24"/>
    </w:rPr>
  </w:style>
  <w:style w:type="paragraph" w:styleId="6">
    <w:name w:val="heading 5"/>
    <w:basedOn w:val="1"/>
    <w:next w:val="1"/>
    <w:autoRedefine/>
    <w:unhideWhenUsed/>
    <w:qFormat/>
    <w:uiPriority w:val="9"/>
    <w:pPr>
      <w:spacing w:beforeAutospacing="1" w:afterAutospacing="1"/>
      <w:jc w:val="left"/>
      <w:outlineLvl w:val="4"/>
    </w:pPr>
    <w:rPr>
      <w:rFonts w:hint="eastAsia" w:ascii="Times New Roman" w:hAnsi="Times New Roman" w:eastAsia="宋体" w:cs="Times New Roman"/>
      <w:b/>
      <w:bCs/>
      <w:kern w:val="0"/>
      <w:sz w:val="20"/>
      <w:szCs w:val="20"/>
    </w:rPr>
  </w:style>
  <w:style w:type="paragraph" w:styleId="7">
    <w:name w:val="heading 6"/>
    <w:basedOn w:val="1"/>
    <w:next w:val="1"/>
    <w:link w:val="48"/>
    <w:autoRedefine/>
    <w:unhideWhenUsed/>
    <w:qFormat/>
    <w:uiPriority w:val="9"/>
    <w:pPr>
      <w:keepNext/>
      <w:keepLines/>
      <w:spacing w:before="240" w:after="64" w:line="320" w:lineRule="auto"/>
      <w:outlineLvl w:val="5"/>
    </w:pPr>
    <w:rPr>
      <w:rFonts w:asciiTheme="majorHAnsi" w:hAnsiTheme="majorHAnsi" w:eastAsiaTheme="majorEastAsia" w:cstheme="majorBidi"/>
      <w:b/>
      <w:bCs/>
      <w:sz w:val="24"/>
      <w:szCs w:val="24"/>
    </w:rPr>
  </w:style>
  <w:style w:type="paragraph" w:styleId="8">
    <w:name w:val="heading 7"/>
    <w:basedOn w:val="1"/>
    <w:next w:val="1"/>
    <w:link w:val="49"/>
    <w:autoRedefine/>
    <w:unhideWhenUsed/>
    <w:qFormat/>
    <w:uiPriority w:val="9"/>
    <w:pPr>
      <w:keepNext/>
      <w:keepLines/>
      <w:spacing w:before="240" w:after="64" w:line="320" w:lineRule="auto"/>
      <w:outlineLvl w:val="6"/>
    </w:pPr>
    <w:rPr>
      <w:rFonts w:ascii="Times New Roman" w:hAnsi="Times New Roman" w:cs="Times New Roman"/>
      <w:b/>
      <w:bCs/>
      <w:sz w:val="24"/>
      <w:szCs w:val="24"/>
    </w:rPr>
  </w:style>
  <w:style w:type="paragraph" w:styleId="9">
    <w:name w:val="heading 8"/>
    <w:basedOn w:val="1"/>
    <w:next w:val="1"/>
    <w:link w:val="50"/>
    <w:unhideWhenUsed/>
    <w:qFormat/>
    <w:uiPriority w:val="9"/>
    <w:pPr>
      <w:keepNext/>
      <w:keepLines/>
      <w:spacing w:before="240" w:after="64" w:line="320" w:lineRule="auto"/>
      <w:outlineLvl w:val="7"/>
    </w:pPr>
    <w:rPr>
      <w:rFonts w:asciiTheme="majorHAnsi" w:hAnsiTheme="majorHAnsi" w:eastAsiaTheme="majorEastAsia" w:cstheme="majorBidi"/>
      <w:sz w:val="24"/>
      <w:szCs w:val="24"/>
    </w:rPr>
  </w:style>
  <w:style w:type="character" w:default="1" w:styleId="23">
    <w:name w:val="Default Paragraph Font"/>
    <w:autoRedefine/>
    <w:unhideWhenUsed/>
    <w:qFormat/>
    <w:uiPriority w:val="1"/>
    <w:rPr>
      <w:rFonts w:ascii="Times New Roman" w:hAnsi="Times New Roman" w:cs="Times New Roman"/>
    </w:rPr>
  </w:style>
  <w:style w:type="table" w:default="1" w:styleId="20">
    <w:name w:val="Normal Table"/>
    <w:autoRedefine/>
    <w:semiHidden/>
    <w:unhideWhenUsed/>
    <w:qFormat/>
    <w:uiPriority w:val="99"/>
    <w:rPr>
      <w:rFonts w:ascii="Times New Roman" w:hAnsi="Times New Roman" w:cs="Times New Roman"/>
    </w:rPr>
    <w:tblPr>
      <w:tblCellMar>
        <w:top w:w="0" w:type="dxa"/>
        <w:left w:w="108" w:type="dxa"/>
        <w:bottom w:w="0" w:type="dxa"/>
        <w:right w:w="108" w:type="dxa"/>
      </w:tblCellMar>
    </w:tblPr>
  </w:style>
  <w:style w:type="paragraph" w:styleId="10">
    <w:name w:val="caption"/>
    <w:basedOn w:val="1"/>
    <w:next w:val="1"/>
    <w:autoRedefine/>
    <w:unhideWhenUsed/>
    <w:qFormat/>
    <w:uiPriority w:val="35"/>
    <w:pPr>
      <w:spacing w:before="50" w:beforeLines="50"/>
      <w:ind w:firstLine="200" w:firstLineChars="200"/>
    </w:pPr>
    <w:rPr>
      <w:rFonts w:eastAsia="黑体" w:asciiTheme="majorHAnsi" w:hAnsiTheme="majorHAnsi" w:cstheme="majorBidi"/>
      <w:sz w:val="20"/>
      <w:szCs w:val="20"/>
    </w:rPr>
  </w:style>
  <w:style w:type="paragraph" w:styleId="11">
    <w:name w:val="annotation text"/>
    <w:basedOn w:val="1"/>
    <w:link w:val="42"/>
    <w:autoRedefine/>
    <w:semiHidden/>
    <w:unhideWhenUsed/>
    <w:qFormat/>
    <w:uiPriority w:val="99"/>
    <w:pPr>
      <w:jc w:val="left"/>
    </w:pPr>
    <w:rPr>
      <w:rFonts w:ascii="Times New Roman" w:hAnsi="Times New Roman" w:cs="Times New Roman"/>
    </w:rPr>
  </w:style>
  <w:style w:type="paragraph" w:styleId="12">
    <w:name w:val="toc 3"/>
    <w:basedOn w:val="1"/>
    <w:next w:val="1"/>
    <w:autoRedefine/>
    <w:unhideWhenUsed/>
    <w:qFormat/>
    <w:uiPriority w:val="39"/>
    <w:pPr>
      <w:widowControl/>
      <w:spacing w:after="100" w:line="259" w:lineRule="auto"/>
      <w:ind w:left="440"/>
      <w:jc w:val="left"/>
    </w:pPr>
    <w:rPr>
      <w:rFonts w:ascii="Times New Roman" w:hAnsi="Times New Roman" w:cs="Times New Roman"/>
      <w:kern w:val="0"/>
      <w:sz w:val="22"/>
    </w:rPr>
  </w:style>
  <w:style w:type="paragraph" w:styleId="13">
    <w:name w:val="footer"/>
    <w:basedOn w:val="1"/>
    <w:link w:val="35"/>
    <w:unhideWhenUsed/>
    <w:qFormat/>
    <w:uiPriority w:val="99"/>
    <w:pPr>
      <w:tabs>
        <w:tab w:val="center" w:pos="4153"/>
        <w:tab w:val="right" w:pos="8306"/>
      </w:tabs>
      <w:snapToGrid w:val="0"/>
      <w:jc w:val="left"/>
    </w:pPr>
    <w:rPr>
      <w:rFonts w:ascii="Times New Roman" w:hAnsi="Times New Roman" w:cs="Times New Roman"/>
      <w:sz w:val="18"/>
      <w:szCs w:val="18"/>
    </w:rPr>
  </w:style>
  <w:style w:type="paragraph" w:styleId="14">
    <w:name w:val="header"/>
    <w:basedOn w:val="1"/>
    <w:link w:val="34"/>
    <w:autoRedefine/>
    <w:unhideWhenUsed/>
    <w:qFormat/>
    <w:uiPriority w:val="99"/>
    <w:pPr>
      <w:tabs>
        <w:tab w:val="center" w:pos="4153"/>
        <w:tab w:val="right" w:pos="8306"/>
      </w:tabs>
      <w:snapToGrid w:val="0"/>
      <w:jc w:val="center"/>
    </w:pPr>
    <w:rPr>
      <w:rFonts w:ascii="Times New Roman" w:hAnsi="Times New Roman" w:cs="Times New Roman"/>
      <w:sz w:val="18"/>
      <w:szCs w:val="18"/>
    </w:rPr>
  </w:style>
  <w:style w:type="paragraph" w:styleId="15">
    <w:name w:val="toc 1"/>
    <w:basedOn w:val="1"/>
    <w:next w:val="1"/>
    <w:autoRedefine/>
    <w:unhideWhenUsed/>
    <w:qFormat/>
    <w:uiPriority w:val="39"/>
    <w:pPr>
      <w:widowControl/>
      <w:spacing w:after="100" w:line="259" w:lineRule="auto"/>
      <w:jc w:val="left"/>
    </w:pPr>
    <w:rPr>
      <w:rFonts w:ascii="Times New Roman" w:hAnsi="Times New Roman" w:cs="Times New Roman"/>
      <w:kern w:val="0"/>
      <w:sz w:val="22"/>
    </w:rPr>
  </w:style>
  <w:style w:type="paragraph" w:styleId="16">
    <w:name w:val="toc 2"/>
    <w:basedOn w:val="1"/>
    <w:next w:val="1"/>
    <w:autoRedefine/>
    <w:unhideWhenUsed/>
    <w:qFormat/>
    <w:uiPriority w:val="39"/>
    <w:pPr>
      <w:widowControl/>
      <w:spacing w:after="100" w:line="259" w:lineRule="auto"/>
      <w:ind w:left="220"/>
      <w:jc w:val="left"/>
    </w:pPr>
    <w:rPr>
      <w:rFonts w:ascii="Times New Roman" w:hAnsi="Times New Roman" w:cs="Times New Roman"/>
      <w:kern w:val="0"/>
      <w:sz w:val="22"/>
    </w:rPr>
  </w:style>
  <w:style w:type="paragraph" w:styleId="17">
    <w:name w:val="HTML Preformatted"/>
    <w:basedOn w:val="1"/>
    <w:link w:val="39"/>
    <w:autoRedefine/>
    <w:unhideWhenUsed/>
    <w:qFormat/>
    <w:uiPriority w:val="99"/>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pPr>
    <w:rPr>
      <w:rFonts w:ascii="Times New Roman" w:hAnsi="Times New Roman" w:eastAsia="宋体" w:cs="Times New Roman"/>
      <w:kern w:val="0"/>
      <w:sz w:val="24"/>
      <w:szCs w:val="24"/>
    </w:rPr>
  </w:style>
  <w:style w:type="paragraph" w:styleId="18">
    <w:name w:val="Normal (Web)"/>
    <w:basedOn w:val="1"/>
    <w:link w:val="53"/>
    <w:unhideWhenUsed/>
    <w:qFormat/>
    <w:uiPriority w:val="99"/>
    <w:pPr>
      <w:widowControl/>
      <w:spacing w:before="100" w:beforeAutospacing="1" w:after="120" w:afterAutospacing="1" w:line="276" w:lineRule="auto"/>
      <w:jc w:val="both"/>
    </w:pPr>
    <w:rPr>
      <w:rFonts w:ascii="Times New Roman" w:hAnsi="Times New Roman" w:eastAsia="Times New Roman" w:cs="Times New Roman"/>
      <w:color w:val="000000"/>
      <w:kern w:val="0"/>
      <w:sz w:val="24"/>
      <w:szCs w:val="28"/>
    </w:rPr>
  </w:style>
  <w:style w:type="paragraph" w:styleId="19">
    <w:name w:val="annotation subject"/>
    <w:basedOn w:val="11"/>
    <w:next w:val="11"/>
    <w:link w:val="43"/>
    <w:semiHidden/>
    <w:unhideWhenUsed/>
    <w:qFormat/>
    <w:uiPriority w:val="99"/>
    <w:rPr>
      <w:rFonts w:ascii="Times New Roman" w:hAnsi="Times New Roman" w:cs="Times New Roman"/>
      <w:b/>
      <w:bCs/>
    </w:rPr>
  </w:style>
  <w:style w:type="table" w:styleId="21">
    <w:name w:val="Table Grid"/>
    <w:basedOn w:val="20"/>
    <w:qFormat/>
    <w:uiPriority w:val="39"/>
    <w:pPr>
      <w:widowControl w:val="0"/>
      <w:jc w:val="both"/>
    </w:pPr>
    <w:rPr>
      <w:rFonts w:ascii="Times New Roman" w:hAnsi="Times New Roman" w:cs="Times New Roman"/>
    </w:rPr>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
  </w:style>
  <w:style w:type="table" w:styleId="22">
    <w:name w:val="Light List"/>
    <w:basedOn w:val="20"/>
    <w:qFormat/>
    <w:uiPriority w:val="61"/>
    <w:rPr>
      <w:rFonts w:ascii="Times New Roman" w:hAnsi="Times New Roman" w:cs="Times New Roman"/>
      <w:sz w:val="22"/>
    </w:rPr>
    <w:tblPr>
      <w:tblBorders>
        <w:top w:val="single" w:color="000000" w:themeColor="text1" w:sz="8" w:space="0"/>
        <w:left w:val="single" w:color="000000" w:themeColor="text1" w:sz="8" w:space="0"/>
        <w:bottom w:val="single" w:color="000000" w:themeColor="text1" w:sz="8" w:space="0"/>
        <w:right w:val="single" w:color="000000" w:themeColor="text1" w:sz="8" w:space="0"/>
      </w:tblBorders>
    </w:tblPr>
    <w:tblStylePr w:type="firstRow">
      <w:pPr>
        <w:spacing w:before="0" w:after="0" w:line="240" w:lineRule="auto"/>
      </w:pPr>
      <w:rPr>
        <w:b/>
        <w:bCs/>
        <w:color w:val="FFFFFF" w:themeColor="background1"/>
        <w14:textFill>
          <w14:solidFill>
            <w14:schemeClr w14:val="bg1"/>
          </w14:solidFill>
        </w14:textFill>
      </w:rPr>
      <w:tblPr/>
      <w:tcPr>
        <w:shd w:val="clear" w:color="auto" w:fill="000000" w:themeFill="text1"/>
      </w:tcPr>
    </w:tblStylePr>
    <w:tblStylePr w:type="lastRow">
      <w:pPr>
        <w:spacing w:before="0" w:after="0" w:line="240" w:lineRule="auto"/>
      </w:pPr>
      <w:rPr>
        <w:b/>
        <w:bCs/>
      </w:rPr>
      <w:tblPr/>
      <w:tcPr>
        <w:tcBorders>
          <w:top w:val="double" w:color="000000" w:themeColor="text1" w:sz="6" w:space="0"/>
          <w:left w:val="single" w:color="000000" w:themeColor="text1" w:sz="8" w:space="0"/>
          <w:bottom w:val="single" w:color="000000" w:themeColor="text1" w:sz="8" w:space="0"/>
          <w:right w:val="single" w:color="000000" w:themeColor="text1" w:sz="8" w:space="0"/>
        </w:tcBorders>
      </w:tcPr>
    </w:tblStylePr>
    <w:tblStylePr w:type="firstCol">
      <w:rPr>
        <w:b/>
        <w:bCs/>
      </w:rPr>
    </w:tblStylePr>
    <w:tblStylePr w:type="lastCol">
      <w:rPr>
        <w:b/>
        <w:bCs/>
      </w:rPr>
    </w:tblStylePr>
    <w:tblStylePr w:type="band1Vert">
      <w:tblPr/>
      <w:tcPr>
        <w:tcBorders>
          <w:top w:val="single" w:color="000000" w:themeColor="text1" w:sz="8" w:space="0"/>
          <w:left w:val="single" w:color="000000" w:themeColor="text1" w:sz="8" w:space="0"/>
          <w:bottom w:val="single" w:color="000000" w:themeColor="text1" w:sz="8" w:space="0"/>
          <w:right w:val="single" w:color="000000" w:themeColor="text1" w:sz="8" w:space="0"/>
        </w:tcBorders>
      </w:tcPr>
    </w:tblStylePr>
    <w:tblStylePr w:type="band1Horz">
      <w:tblPr/>
      <w:tcPr>
        <w:tcBorders>
          <w:top w:val="single" w:color="000000" w:themeColor="text1" w:sz="8" w:space="0"/>
          <w:left w:val="single" w:color="000000" w:themeColor="text1" w:sz="8" w:space="0"/>
          <w:bottom w:val="single" w:color="000000" w:themeColor="text1" w:sz="8" w:space="0"/>
          <w:right w:val="single" w:color="000000" w:themeColor="text1" w:sz="8" w:space="0"/>
        </w:tcBorders>
      </w:tcPr>
    </w:tblStylePr>
  </w:style>
  <w:style w:type="character" w:styleId="24">
    <w:name w:val="Strong"/>
    <w:basedOn w:val="23"/>
    <w:qFormat/>
    <w:uiPriority w:val="22"/>
    <w:rPr>
      <w:rFonts w:ascii="Times New Roman" w:hAnsi="Times New Roman" w:cs="Times New Roman"/>
      <w:b/>
      <w:bCs/>
    </w:rPr>
  </w:style>
  <w:style w:type="character" w:styleId="25">
    <w:name w:val="Emphasis"/>
    <w:basedOn w:val="23"/>
    <w:qFormat/>
    <w:uiPriority w:val="20"/>
    <w:rPr>
      <w:rFonts w:ascii="Times New Roman" w:hAnsi="Times New Roman" w:cs="Times New Roman"/>
      <w:i/>
    </w:rPr>
  </w:style>
  <w:style w:type="character" w:styleId="26">
    <w:name w:val="Hyperlink"/>
    <w:basedOn w:val="23"/>
    <w:autoRedefine/>
    <w:unhideWhenUsed/>
    <w:qFormat/>
    <w:uiPriority w:val="99"/>
    <w:rPr>
      <w:rFonts w:ascii="Times New Roman" w:hAnsi="Times New Roman" w:cs="Times New Roman"/>
      <w:color w:val="0000FF"/>
      <w:u w:val="single"/>
    </w:rPr>
  </w:style>
  <w:style w:type="character" w:styleId="27">
    <w:name w:val="HTML Code"/>
    <w:basedOn w:val="23"/>
    <w:autoRedefine/>
    <w:semiHidden/>
    <w:unhideWhenUsed/>
    <w:qFormat/>
    <w:uiPriority w:val="99"/>
    <w:rPr>
      <w:rFonts w:ascii="Times New Roman" w:hAnsi="Times New Roman" w:cs="Times New Roman"/>
      <w:sz w:val="20"/>
    </w:rPr>
  </w:style>
  <w:style w:type="character" w:styleId="28">
    <w:name w:val="annotation reference"/>
    <w:basedOn w:val="23"/>
    <w:autoRedefine/>
    <w:semiHidden/>
    <w:unhideWhenUsed/>
    <w:qFormat/>
    <w:uiPriority w:val="99"/>
    <w:rPr>
      <w:rFonts w:ascii="Times New Roman" w:hAnsi="Times New Roman" w:cs="Times New Roman"/>
      <w:sz w:val="21"/>
      <w:szCs w:val="21"/>
    </w:rPr>
  </w:style>
  <w:style w:type="character" w:customStyle="1" w:styleId="29">
    <w:name w:val="标题 2 字符"/>
    <w:link w:val="3"/>
    <w:autoRedefine/>
    <w:qFormat/>
    <w:uiPriority w:val="9"/>
    <w:rPr>
      <w:rFonts w:ascii="Times New Roman" w:hAnsi="Times New Roman" w:eastAsiaTheme="minorAscii" w:cstheme="minorBidi"/>
      <w:b/>
      <w:kern w:val="2"/>
      <w:sz w:val="32"/>
      <w:szCs w:val="28"/>
      <w:lang w:val="en-US" w:eastAsia="zh-CN" w:bidi="ar-SA"/>
    </w:rPr>
  </w:style>
  <w:style w:type="character" w:customStyle="1" w:styleId="30">
    <w:name w:val="标题 3 字符"/>
    <w:link w:val="4"/>
    <w:autoRedefine/>
    <w:qFormat/>
    <w:uiPriority w:val="9"/>
    <w:rPr>
      <w:rFonts w:ascii="Times New Roman" w:hAnsi="Times New Roman" w:eastAsia="宋体" w:cs="Times New Roman"/>
      <w:b/>
      <w:bCs/>
      <w:color w:val="000000"/>
      <w:kern w:val="2"/>
      <w:sz w:val="28"/>
      <w:szCs w:val="28"/>
      <w:lang w:val="en-US" w:eastAsia="zh-CN" w:bidi="ar-SA"/>
    </w:rPr>
  </w:style>
  <w:style w:type="paragraph" w:customStyle="1" w:styleId="31">
    <w:name w:val="正文2"/>
    <w:link w:val="32"/>
    <w:autoRedefine/>
    <w:qFormat/>
    <w:uiPriority w:val="0"/>
    <w:pPr>
      <w:jc w:val="both"/>
    </w:pPr>
    <w:rPr>
      <w:rFonts w:ascii="Times New Roman" w:hAnsi="Times New Roman" w:eastAsia="Times New Roman" w:cs="Times New Roman"/>
      <w:color w:val="222222"/>
      <w:kern w:val="2"/>
      <w:sz w:val="21"/>
      <w:szCs w:val="21"/>
      <w:lang w:val="en-US" w:eastAsia="zh-CN" w:bidi="ar-SA"/>
    </w:rPr>
  </w:style>
  <w:style w:type="character" w:customStyle="1" w:styleId="32">
    <w:name w:val="正文2 Char"/>
    <w:link w:val="31"/>
    <w:autoRedefine/>
    <w:qFormat/>
    <w:uiPriority w:val="0"/>
    <w:rPr>
      <w:rFonts w:ascii="Times New Roman" w:hAnsi="Times New Roman" w:eastAsia="Times New Roman" w:cs="Times New Roman"/>
      <w:color w:val="222222"/>
      <w:szCs w:val="21"/>
    </w:rPr>
  </w:style>
  <w:style w:type="character" w:customStyle="1" w:styleId="33">
    <w:name w:val="标题 1 字符"/>
    <w:basedOn w:val="23"/>
    <w:link w:val="2"/>
    <w:autoRedefine/>
    <w:qFormat/>
    <w:uiPriority w:val="9"/>
    <w:rPr>
      <w:rFonts w:cs="Times New Roman" w:asciiTheme="minorAscii" w:hAnsiTheme="minorAscii" w:eastAsiaTheme="minorEastAsia"/>
      <w:b/>
      <w:bCs/>
      <w:kern w:val="44"/>
      <w:sz w:val="32"/>
      <w:szCs w:val="32"/>
    </w:rPr>
  </w:style>
  <w:style w:type="character" w:customStyle="1" w:styleId="34">
    <w:name w:val="页眉 字符"/>
    <w:basedOn w:val="23"/>
    <w:link w:val="14"/>
    <w:qFormat/>
    <w:uiPriority w:val="99"/>
    <w:rPr>
      <w:rFonts w:ascii="Times New Roman" w:hAnsi="Times New Roman" w:cs="Times New Roman"/>
      <w:sz w:val="18"/>
      <w:szCs w:val="18"/>
    </w:rPr>
  </w:style>
  <w:style w:type="character" w:customStyle="1" w:styleId="35">
    <w:name w:val="页脚 字符"/>
    <w:basedOn w:val="23"/>
    <w:link w:val="13"/>
    <w:qFormat/>
    <w:uiPriority w:val="99"/>
    <w:rPr>
      <w:rFonts w:ascii="Times New Roman" w:hAnsi="Times New Roman" w:cs="Times New Roman"/>
      <w:sz w:val="18"/>
      <w:szCs w:val="18"/>
    </w:rPr>
  </w:style>
  <w:style w:type="character" w:styleId="36">
    <w:name w:val="Placeholder Text"/>
    <w:basedOn w:val="23"/>
    <w:semiHidden/>
    <w:qFormat/>
    <w:uiPriority w:val="99"/>
    <w:rPr>
      <w:rFonts w:ascii="Times New Roman" w:hAnsi="Times New Roman" w:cs="Times New Roman"/>
      <w:color w:val="666666"/>
    </w:rPr>
  </w:style>
  <w:style w:type="table" w:customStyle="1" w:styleId="37">
    <w:name w:val="网格型12"/>
    <w:basedOn w:val="20"/>
    <w:qFormat/>
    <w:uiPriority w:val="39"/>
    <w:rPr>
      <w:rFonts w:ascii="Times New Roman" w:hAnsi="Times New Roman" w:eastAsia="微软雅黑" w:cs="Times New Roman"/>
      <w:color w:val="222222"/>
    </w:rPr>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
  </w:style>
  <w:style w:type="paragraph" w:styleId="38">
    <w:name w:val="List Paragraph"/>
    <w:basedOn w:val="1"/>
    <w:qFormat/>
    <w:uiPriority w:val="34"/>
    <w:pPr>
      <w:ind w:firstLine="420" w:firstLineChars="200"/>
    </w:pPr>
    <w:rPr>
      <w:rFonts w:ascii="Times New Roman" w:hAnsi="Times New Roman" w:cs="Times New Roman"/>
    </w:rPr>
  </w:style>
  <w:style w:type="character" w:customStyle="1" w:styleId="39">
    <w:name w:val="HTML 预设格式 字符"/>
    <w:basedOn w:val="23"/>
    <w:link w:val="17"/>
    <w:autoRedefine/>
    <w:qFormat/>
    <w:uiPriority w:val="99"/>
    <w:rPr>
      <w:rFonts w:ascii="Times New Roman" w:hAnsi="Times New Roman" w:eastAsia="宋体" w:cs="Times New Roman"/>
      <w:kern w:val="0"/>
      <w:sz w:val="24"/>
      <w:szCs w:val="24"/>
    </w:rPr>
  </w:style>
  <w:style w:type="paragraph" w:customStyle="1" w:styleId="40">
    <w:name w:val="EndNote Bibliography"/>
    <w:basedOn w:val="1"/>
    <w:link w:val="41"/>
    <w:qFormat/>
    <w:uiPriority w:val="0"/>
    <w:rPr>
      <w:rFonts w:ascii="Times New Roman" w:hAnsi="Times New Roman" w:eastAsia="宋体" w:cs="Times New Roman"/>
      <w:sz w:val="20"/>
    </w:rPr>
  </w:style>
  <w:style w:type="character" w:customStyle="1" w:styleId="41">
    <w:name w:val="EndNote Bibliography 字符"/>
    <w:link w:val="40"/>
    <w:qFormat/>
    <w:uiPriority w:val="0"/>
    <w:rPr>
      <w:rFonts w:ascii="Times New Roman" w:hAnsi="Times New Roman" w:eastAsia="宋体" w:cs="Times New Roman"/>
      <w:sz w:val="20"/>
    </w:rPr>
  </w:style>
  <w:style w:type="character" w:customStyle="1" w:styleId="42">
    <w:name w:val="批注文字 字符"/>
    <w:basedOn w:val="23"/>
    <w:link w:val="11"/>
    <w:autoRedefine/>
    <w:semiHidden/>
    <w:qFormat/>
    <w:uiPriority w:val="99"/>
    <w:rPr>
      <w:rFonts w:ascii="Times New Roman" w:hAnsi="Times New Roman" w:cs="Times New Roman"/>
    </w:rPr>
  </w:style>
  <w:style w:type="character" w:customStyle="1" w:styleId="43">
    <w:name w:val="批注主题 字符"/>
    <w:basedOn w:val="42"/>
    <w:link w:val="19"/>
    <w:semiHidden/>
    <w:qFormat/>
    <w:uiPriority w:val="99"/>
    <w:rPr>
      <w:rFonts w:ascii="Times New Roman" w:hAnsi="Times New Roman" w:cs="Times New Roman"/>
      <w:b/>
      <w:bCs/>
    </w:rPr>
  </w:style>
  <w:style w:type="character" w:customStyle="1" w:styleId="44">
    <w:name w:val="text_csco8"/>
    <w:basedOn w:val="23"/>
    <w:autoRedefine/>
    <w:qFormat/>
    <w:uiPriority w:val="0"/>
    <w:rPr>
      <w:rFonts w:ascii="Times New Roman" w:hAnsi="Times New Roman" w:cs="Times New Roman"/>
    </w:rPr>
  </w:style>
  <w:style w:type="character" w:customStyle="1" w:styleId="45">
    <w:name w:val="未处理的提及1"/>
    <w:basedOn w:val="23"/>
    <w:autoRedefine/>
    <w:semiHidden/>
    <w:unhideWhenUsed/>
    <w:qFormat/>
    <w:uiPriority w:val="99"/>
    <w:rPr>
      <w:rFonts w:ascii="Times New Roman" w:hAnsi="Times New Roman" w:cs="Times New Roman"/>
      <w:color w:val="605E5C"/>
      <w:shd w:val="clear" w:color="auto" w:fill="E1DFDD"/>
    </w:rPr>
  </w:style>
  <w:style w:type="paragraph" w:customStyle="1" w:styleId="46">
    <w:name w:val="Authors"/>
    <w:qFormat/>
    <w:uiPriority w:val="0"/>
    <w:pPr>
      <w:spacing w:after="113"/>
      <w:ind w:left="1418"/>
    </w:pPr>
    <w:rPr>
      <w:rFonts w:ascii="Times New Roman" w:hAnsi="Times New Roman" w:cs="Times New Roman" w:eastAsiaTheme="minorEastAsia"/>
      <w:b/>
      <w:sz w:val="22"/>
      <w:szCs w:val="22"/>
      <w:lang w:val="en-GB" w:eastAsia="en-US" w:bidi="ar-SA"/>
    </w:rPr>
  </w:style>
  <w:style w:type="paragraph" w:customStyle="1" w:styleId="47">
    <w:name w:val="Addresses"/>
    <w:autoRedefine/>
    <w:qFormat/>
    <w:uiPriority w:val="0"/>
    <w:pPr>
      <w:spacing w:after="454"/>
      <w:ind w:left="1418"/>
    </w:pPr>
    <w:rPr>
      <w:rFonts w:ascii="Times New Roman" w:hAnsi="Times New Roman" w:cs="Times New Roman" w:eastAsiaTheme="minorEastAsia"/>
      <w:sz w:val="22"/>
      <w:szCs w:val="22"/>
      <w:lang w:val="en-GB" w:eastAsia="en-US" w:bidi="ar-SA"/>
    </w:rPr>
  </w:style>
  <w:style w:type="character" w:customStyle="1" w:styleId="48">
    <w:name w:val="标题 6 字符"/>
    <w:basedOn w:val="23"/>
    <w:link w:val="7"/>
    <w:autoRedefine/>
    <w:qFormat/>
    <w:uiPriority w:val="9"/>
    <w:rPr>
      <w:rFonts w:asciiTheme="majorHAnsi" w:hAnsiTheme="majorHAnsi" w:eastAsiaTheme="majorEastAsia" w:cstheme="majorBidi"/>
      <w:b/>
      <w:bCs/>
      <w:kern w:val="2"/>
      <w:sz w:val="24"/>
      <w:szCs w:val="24"/>
    </w:rPr>
  </w:style>
  <w:style w:type="character" w:customStyle="1" w:styleId="49">
    <w:name w:val="标题 7 字符"/>
    <w:basedOn w:val="23"/>
    <w:link w:val="8"/>
    <w:autoRedefine/>
    <w:qFormat/>
    <w:uiPriority w:val="9"/>
    <w:rPr>
      <w:rFonts w:asciiTheme="minorHAnsi" w:hAnsiTheme="minorHAnsi" w:eastAsiaTheme="minorEastAsia" w:cstheme="minorBidi"/>
      <w:b/>
      <w:bCs/>
      <w:kern w:val="2"/>
      <w:sz w:val="24"/>
      <w:szCs w:val="24"/>
    </w:rPr>
  </w:style>
  <w:style w:type="character" w:customStyle="1" w:styleId="50">
    <w:name w:val="标题 8 字符"/>
    <w:basedOn w:val="23"/>
    <w:link w:val="9"/>
    <w:autoRedefine/>
    <w:qFormat/>
    <w:uiPriority w:val="9"/>
    <w:rPr>
      <w:rFonts w:asciiTheme="majorHAnsi" w:hAnsiTheme="majorHAnsi" w:eastAsiaTheme="majorEastAsia" w:cstheme="majorBidi"/>
      <w:kern w:val="2"/>
      <w:sz w:val="24"/>
      <w:szCs w:val="24"/>
    </w:rPr>
  </w:style>
  <w:style w:type="paragraph" w:customStyle="1" w:styleId="51">
    <w:name w:val="71e7dc79-1ff7-45e8-997d-0ebda3762b91"/>
    <w:basedOn w:val="3"/>
    <w:next w:val="52"/>
    <w:link w:val="54"/>
    <w:autoRedefine/>
    <w:qFormat/>
    <w:uiPriority w:val="0"/>
    <w:pPr>
      <w:shd w:val="clear" w:color="auto" w:fill="FFFFFF"/>
      <w:adjustRightInd w:val="0"/>
      <w:spacing w:before="0" w:after="0" w:line="288" w:lineRule="auto"/>
      <w:jc w:val="left"/>
    </w:pPr>
    <w:rPr>
      <w:rFonts w:ascii="Times New Roman" w:hAnsi="Times New Roman" w:eastAsia="微软雅黑" w:cs="Times New Roman"/>
      <w:color w:val="000000"/>
      <w:sz w:val="28"/>
      <w:szCs w:val="28"/>
      <w:shd w:val="clear" w:color="auto" w:fill="FFFFFF"/>
    </w:rPr>
  </w:style>
  <w:style w:type="paragraph" w:customStyle="1" w:styleId="52">
    <w:name w:val="acbfdd8b-e11b-4d36-88ff-6049b138f862"/>
    <w:basedOn w:val="1"/>
    <w:link w:val="55"/>
    <w:autoRedefine/>
    <w:qFormat/>
    <w:uiPriority w:val="0"/>
    <w:pPr>
      <w:shd w:val="clear" w:color="auto" w:fill="FFFFFF"/>
      <w:adjustRightInd w:val="0"/>
      <w:spacing w:line="288" w:lineRule="auto"/>
      <w:jc w:val="left"/>
    </w:pPr>
    <w:rPr>
      <w:rFonts w:ascii="Times New Roman" w:hAnsi="Times New Roman" w:eastAsia="微软雅黑" w:cs="Times New Roman"/>
      <w:bCs/>
      <w:color w:val="000000"/>
      <w:sz w:val="22"/>
      <w:szCs w:val="28"/>
      <w:shd w:val="clear" w:color="auto" w:fill="FFFFFF"/>
    </w:rPr>
  </w:style>
  <w:style w:type="character" w:customStyle="1" w:styleId="53">
    <w:name w:val="普通(网站) 字符"/>
    <w:basedOn w:val="23"/>
    <w:link w:val="18"/>
    <w:qFormat/>
    <w:uiPriority w:val="99"/>
    <w:rPr>
      <w:rFonts w:ascii="Times New Roman" w:hAnsi="Times New Roman" w:eastAsia="宋体" w:cs="Times New Roman"/>
      <w:sz w:val="28"/>
      <w:szCs w:val="28"/>
    </w:rPr>
  </w:style>
  <w:style w:type="character" w:customStyle="1" w:styleId="54">
    <w:name w:val="71e7dc79-1ff7-45e8-997d-0ebda3762b91 字符"/>
    <w:basedOn w:val="53"/>
    <w:link w:val="51"/>
    <w:autoRedefine/>
    <w:qFormat/>
    <w:uiPriority w:val="0"/>
    <w:rPr>
      <w:rFonts w:ascii="Times New Roman" w:hAnsi="Times New Roman" w:eastAsia="微软雅黑" w:cstheme="majorBidi"/>
      <w:b/>
      <w:color w:val="000000"/>
      <w:kern w:val="2"/>
      <w:sz w:val="28"/>
      <w:szCs w:val="28"/>
      <w:shd w:val="clear" w:color="auto" w:fill="FFFFFF"/>
    </w:rPr>
  </w:style>
  <w:style w:type="character" w:customStyle="1" w:styleId="55">
    <w:name w:val="acbfdd8b-e11b-4d36-88ff-6049b138f862 字符"/>
    <w:basedOn w:val="53"/>
    <w:link w:val="52"/>
    <w:autoRedefine/>
    <w:qFormat/>
    <w:uiPriority w:val="0"/>
    <w:rPr>
      <w:rFonts w:ascii="Times New Roman" w:hAnsi="Times New Roman" w:eastAsia="微软雅黑" w:cstheme="minorBidi"/>
      <w:bCs/>
      <w:color w:val="000000"/>
      <w:kern w:val="2"/>
      <w:sz w:val="22"/>
      <w:szCs w:val="28"/>
      <w:shd w:val="clear" w:color="auto" w:fill="FFFFFF"/>
    </w:rPr>
  </w:style>
  <w:style w:type="paragraph" w:customStyle="1" w:styleId="56">
    <w:name w:val="b63ee27f-4cf3-414c-9275-d88e3f90795e"/>
    <w:basedOn w:val="4"/>
    <w:next w:val="52"/>
    <w:link w:val="57"/>
    <w:autoRedefine/>
    <w:qFormat/>
    <w:uiPriority w:val="0"/>
    <w:pPr>
      <w:jc w:val="left"/>
    </w:pPr>
    <w:rPr>
      <w:rFonts w:ascii="Times New Roman" w:hAnsi="Times New Roman" w:eastAsia="微软雅黑" w:cs="Times New Roman"/>
      <w:sz w:val="26"/>
    </w:rPr>
  </w:style>
  <w:style w:type="character" w:customStyle="1" w:styleId="57">
    <w:name w:val="b63ee27f-4cf3-414c-9275-d88e3f90795e 字符"/>
    <w:basedOn w:val="54"/>
    <w:link w:val="56"/>
    <w:autoRedefine/>
    <w:qFormat/>
    <w:uiPriority w:val="0"/>
    <w:rPr>
      <w:rFonts w:ascii="Times New Roman" w:hAnsi="Times New Roman" w:eastAsia="微软雅黑" w:cstheme="minorBidi"/>
      <w:bCs/>
      <w:color w:val="000000"/>
      <w:kern w:val="2"/>
      <w:sz w:val="26"/>
      <w:szCs w:val="32"/>
      <w:shd w:val="clear" w:color="auto" w:fill="FFFFFF"/>
    </w:rPr>
  </w:style>
  <w:style w:type="paragraph" w:customStyle="1" w:styleId="58">
    <w:name w:val="21bc9c4b-6a32-43e5-beaa-fd2d792c5735"/>
    <w:basedOn w:val="2"/>
    <w:next w:val="52"/>
    <w:link w:val="59"/>
    <w:qFormat/>
    <w:uiPriority w:val="0"/>
    <w:pPr>
      <w:shd w:val="clear" w:color="auto" w:fill="FFFFFF"/>
      <w:adjustRightInd w:val="0"/>
      <w:spacing w:before="0" w:after="0" w:line="288" w:lineRule="auto"/>
      <w:jc w:val="left"/>
    </w:pPr>
    <w:rPr>
      <w:rFonts w:ascii="Times New Roman" w:hAnsi="Times New Roman" w:eastAsia="微软雅黑" w:cs="Times New Roman"/>
      <w:bCs w:val="0"/>
      <w:color w:val="000000"/>
      <w:sz w:val="32"/>
      <w:szCs w:val="36"/>
    </w:rPr>
  </w:style>
  <w:style w:type="character" w:customStyle="1" w:styleId="59">
    <w:name w:val="21bc9c4b-6a32-43e5-beaa-fd2d792c5735 字符"/>
    <w:basedOn w:val="53"/>
    <w:link w:val="58"/>
    <w:qFormat/>
    <w:uiPriority w:val="0"/>
    <w:rPr>
      <w:rFonts w:ascii="Times New Roman" w:hAnsi="Times New Roman" w:eastAsia="微软雅黑" w:cstheme="minorBidi"/>
      <w:b/>
      <w:color w:val="000000"/>
      <w:kern w:val="44"/>
      <w:sz w:val="32"/>
      <w:szCs w:val="36"/>
      <w:shd w:val="clear" w:color="auto" w:fill="FFFFFF"/>
    </w:rPr>
  </w:style>
  <w:style w:type="character" w:customStyle="1" w:styleId="60">
    <w:name w:val="未处理的提及2"/>
    <w:basedOn w:val="23"/>
    <w:autoRedefine/>
    <w:semiHidden/>
    <w:unhideWhenUsed/>
    <w:qFormat/>
    <w:uiPriority w:val="99"/>
    <w:rPr>
      <w:rFonts w:ascii="Times New Roman" w:hAnsi="Times New Roman" w:cs="Times New Roman"/>
      <w:color w:val="605E5C"/>
      <w:shd w:val="clear" w:color="auto" w:fill="E1DFDD"/>
    </w:rPr>
  </w:style>
  <w:style w:type="paragraph" w:customStyle="1" w:styleId="61">
    <w:name w:val="TOC 标题1"/>
    <w:basedOn w:val="2"/>
    <w:next w:val="1"/>
    <w:autoRedefine/>
    <w:unhideWhenUsed/>
    <w:qFormat/>
    <w:uiPriority w:val="39"/>
    <w:pPr>
      <w:widowControl/>
      <w:spacing w:before="240" w:after="0" w:line="259" w:lineRule="auto"/>
      <w:jc w:val="left"/>
      <w:outlineLvl w:val="9"/>
    </w:pPr>
    <w:rPr>
      <w:rFonts w:asciiTheme="majorHAnsi" w:hAnsiTheme="majorHAnsi" w:eastAsiaTheme="majorEastAsia" w:cstheme="majorBidi"/>
      <w:b w:val="0"/>
      <w:bCs w:val="0"/>
      <w:color w:val="2F5597" w:themeColor="accent1" w:themeShade="BF"/>
      <w:kern w:val="0"/>
      <w:sz w:val="32"/>
      <w:szCs w:val="32"/>
    </w:rPr>
  </w:style>
  <w:style w:type="paragraph" w:customStyle="1" w:styleId="62">
    <w:name w:val="ng-star-inserted"/>
    <w:basedOn w:val="1"/>
    <w:autoRedefine/>
    <w:qFormat/>
    <w:uiPriority w:val="0"/>
    <w:pPr>
      <w:widowControl/>
      <w:spacing w:before="100" w:beforeAutospacing="1" w:after="100" w:afterAutospacing="1"/>
      <w:jc w:val="left"/>
    </w:pPr>
    <w:rPr>
      <w:rFonts w:ascii="Times New Roman" w:hAnsi="Times New Roman" w:eastAsia="宋体" w:cs="Times New Roman"/>
      <w:kern w:val="0"/>
      <w:sz w:val="24"/>
      <w:szCs w:val="24"/>
    </w:rPr>
  </w:style>
  <w:style w:type="character" w:customStyle="1" w:styleId="63">
    <w:name w:val="ng-star-inserted1"/>
    <w:basedOn w:val="23"/>
    <w:autoRedefine/>
    <w:qFormat/>
    <w:uiPriority w:val="0"/>
    <w:rPr>
      <w:rFonts w:ascii="Times New Roman" w:hAnsi="Times New Roman" w:cs="Times New Roman"/>
    </w:rPr>
  </w:style>
</w:styles>
</file>

<file path=word/_rels/document.xml.rels><?xml version='1.0' encoding='UTF-8' standalone='yes'?>
<Relationships xmlns="http://schemas.openxmlformats.org/package/2006/relationships"><Relationship Id="rId9" Type="http://schemas.openxmlformats.org/officeDocument/2006/relationships/footer" Target="footer2.xml"/><Relationship Id="rId8" Type="http://schemas.openxmlformats.org/officeDocument/2006/relationships/footer" Target="footer1.xml"/><Relationship Id="rId7" Type="http://schemas.openxmlformats.org/officeDocument/2006/relationships/header" Target="header3.xml"/><Relationship Id="rId6" Type="http://schemas.openxmlformats.org/officeDocument/2006/relationships/header" Target="header2.xml"/><Relationship Id="rId5" Type="http://schemas.openxmlformats.org/officeDocument/2006/relationships/header" Target="header1.xml"/><Relationship Id="rId4" Type="http://schemas.openxmlformats.org/officeDocument/2006/relationships/endnotes" Target="endnotes.xml"/><Relationship Id="rId3" Type="http://schemas.openxmlformats.org/officeDocument/2006/relationships/footnotes" Target="footnotes.xml"/><Relationship Id="rId21" Type="http://schemas.openxmlformats.org/officeDocument/2006/relationships/fontTable" Target="fontTable.xml"/><Relationship Id="rId20" Type="http://schemas.openxmlformats.org/officeDocument/2006/relationships/customXml" Target="../customXml/item1.xml"/><Relationship Id="rId2" Type="http://schemas.openxmlformats.org/officeDocument/2006/relationships/settings" Target="settings.xml"/><Relationship Id="rId19" Type="http://schemas.openxmlformats.org/officeDocument/2006/relationships/image" Target="media/image8.png"/><Relationship Id="rId18" Type="http://schemas.openxmlformats.org/officeDocument/2006/relationships/image" Target="media/image7.png"/><Relationship Id="rId17" Type="http://schemas.openxmlformats.org/officeDocument/2006/relationships/image" Target="media/image6.png"/><Relationship Id="rId16" Type="http://schemas.openxmlformats.org/officeDocument/2006/relationships/image" Target="media/image5.png"/><Relationship Id="rId15" Type="http://schemas.openxmlformats.org/officeDocument/2006/relationships/image" Target="media/image4.png"/><Relationship Id="rId14" Type="http://schemas.openxmlformats.org/officeDocument/2006/relationships/image" Target="media/image3.png"/><Relationship Id="rId13" Type="http://schemas.openxmlformats.org/officeDocument/2006/relationships/image" Target="media/image2.png"/><Relationship Id="rId12" Type="http://schemas.openxmlformats.org/officeDocument/2006/relationships/image" Target="media/image1.png"/><Relationship Id="rId11" Type="http://schemas.openxmlformats.org/officeDocument/2006/relationships/theme" Target="theme/theme1.xml"/><Relationship Id="rId10" Type="http://schemas.openxmlformats.org/officeDocument/2006/relationships/footer" Target="footer3.xml"/><Relationship Id="rId1" Type="http://schemas.openxmlformats.org/officeDocument/2006/relationships/styles" Target="styles.xml"/><Relationship Id="rId22" Type="http://schemas.openxmlformats.org/officeDocument/2006/relationships/image" Target="media/image9.png"/><Relationship Id="rId23" Type="http://schemas.openxmlformats.org/officeDocument/2006/relationships/image" Target="media/image10.png"/><Relationship Id="rId24" Type="http://schemas.openxmlformats.org/officeDocument/2006/relationships/image" Target="media/image11.png"/><Relationship Id="rId25" Type="http://schemas.openxmlformats.org/officeDocument/2006/relationships/image" Target="media/image12.png"/><Relationship Id="rId26" Type="http://schemas.openxmlformats.org/officeDocument/2006/relationships/image" Target="media/image13.png"/><Relationship Id="rId27" Type="http://schemas.openxmlformats.org/officeDocument/2006/relationships/image" Target="media/image14.png"/><Relationship Id="rId28" Type="http://schemas.openxmlformats.org/officeDocument/2006/relationships/image" Target="media/image15.png"/><Relationship Id="rId29" Type="http://schemas.openxmlformats.org/officeDocument/2006/relationships/hyperlink" Target="https://github.com/kobayashi0512/RetiESS-Seg" TargetMode="Externa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等线 Light"/>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等线"/>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Version="6" StyleName="APA" SelectedStyle="\APASixthEditionOfficeOnline.xsl"/>
</file>

<file path=customXml/itemProps1.xml><?xml version="1.0" encoding="utf-8"?>
<ds:datastoreItem xmlns:ds="http://schemas.openxmlformats.org/officeDocument/2006/customXml" ds:itemID="{CE9E771D-E1A7-4314-BE9C-56A53D39CCC7}">
  <ds:schemaRefs/>
</ds:datastoreItem>
</file>

<file path=docProps/app.xml><?xml version="1.0" encoding="utf-8"?>
<Properties xmlns="http://schemas.openxmlformats.org/officeDocument/2006/extended-properties" xmlns:vt="http://schemas.openxmlformats.org/officeDocument/2006/docPropsVTypes">
  <Template>Normal</Template>
  <Pages>27</Pages>
  <Words>3157</Words>
  <Characters>21508</Characters>
  <Lines>1</Lines>
  <Paragraphs>1</Paragraphs>
  <TotalTime>3</TotalTime>
  <ScaleCrop>false</ScaleCrop>
  <LinksUpToDate>false</LinksUpToDate>
  <CharactersWithSpaces>24498</CharactersWithSpaces>
  <Application>WPS Office_12.1.26046.26046_F1E327BC-269C-435d-A152-05C5408002CA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2026-01-08T23:41:00Z</dcterms:created>
  <dc:creator>Kaiwen Deng; Liwei Liu</dc:creator>
  <dc:description>All numerical figures regenerated from saved experiment outputs; scope claims intentionally bounded.</dc:description>
  <cp:keywords>OCT, retinal layer segmentation, effective sample size, correlated observations, nested validation</cp:keywords>
  <cp:lastModifiedBy>祁涟柒子衿</cp:lastModifiedBy>
  <dcterms:modified xsi:type="dcterms:W3CDTF">2026-08-20T17:46:23Z</dcterms:modified>
  <dc:subject>Enhanced full conference manuscript with LaTeX-rendered equations and complete experiment evidence</dc:subject>
  <dc:title>RetiESS-Seg: Correlation-Aware Effective Sample Size Audit for Very-Small 3D Retinal OCT Layer Segmentation</dc:title>
  <cp:revision>1</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TemplateDocerSaveRecord">
    <vt:lpwstr>eyJoZGlkIjoiZGVlNzdkMDVhZGMxNTQwMWU4YTQxMDA1MzRhN2QwZDAiLCJ1c2VySWQiOiIxODU4MTE0MzIyIn0=</vt:lpwstr>
  </property>
  <property fmtid="{D5CDD505-2E9C-101B-9397-08002B2CF9AE}" pid="3" name="KSOProductBuildVer">
    <vt:lpwstr>2052-12.1.26046.26046</vt:lpwstr>
  </property>
  <property fmtid="{D5CDD505-2E9C-101B-9397-08002B2CF9AE}" pid="4" name="ICV">
    <vt:lpwstr>045A1AEDA338EDEFF9D97A6AB008C0B9_43</vt:lpwstr>
  </property>
</Properties>
</file>