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36"/>
        </w:rPr>
        <w:t>定稿13统一图表替换稿</w:t>
      </w:r>
    </w:p>
    <w:p>
      <w:pPr>
        <w:spacing w:after="240"/>
        <w:jc w:val="center"/>
      </w:pPr>
      <w:r>
        <w:t>说明：图形采用统一配色、线宽和字号。复制到论文时优先插入SVG；PNG用于兼容。图题保留为Word文本，不嵌入图片。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5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论文组织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图1-1 论文组织结构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1-1 Organization of the Thesis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2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模态特征提取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图2-1 模态特征提取示意图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2-1 Static Extraction of the Three Modalities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_三模态特征编码过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图2-2 三模态特征编码过程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2-2 Encoding Process of the Three Modalities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16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3_多模态可信融合基本过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图2-3 多模态可信融合基本过程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2-3 Basic Process of Trustworthy Multimodal Fusion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19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三模态可观测证据与可信度评估框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图3-1 三模态可观测证据与可信度评估框架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3-1 Observable Evidence and Trustworthiness Assessment Framework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3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三模态可信度评估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图3-2 三模态可信度评估流程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3-2 Trustworthiness Assessment Process of the Three Modalities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3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三模态证据调整与冲突保留融合框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图4-1 三模态证据调整与冲突保留融合框架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4-1 Evidence Adjustment and Conflict-preserving Fusion Framework</w:t>
      </w:r>
    </w:p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3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类别条件共形预测与拒识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图5-1 类别条件共形预测与拒识流程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5-1 Class-conditional Conformal Prediction and Rejection Process</w:t>
      </w:r>
    </w:p>
    <w:p>
      <w:pPr>
        <w:spacing w:after="120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2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冲突处理方式对比_可选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  <w:jc w:val="center"/>
      </w:pPr>
      <w:r>
        <w:rPr>
          <w:rFonts w:ascii="SimSun" w:hAnsi="SimSun" w:eastAsia="宋体"/>
          <w:sz w:val="21"/>
        </w:rPr>
        <w:t>图4-2 Dempster规则与Yager规则的冲突处理方式对比（可选）</w:t>
      </w:r>
    </w:p>
    <w:p>
      <w:pPr>
        <w:keepNext/>
        <w:spacing w:before="0" w:after="0"/>
        <w:jc w:val="center"/>
      </w:pPr>
      <w:r>
        <w:rPr>
          <w:rFonts w:ascii="Times New Roman" w:hAnsi="Times New Roman" w:eastAsia="Times New Roman"/>
          <w:sz w:val="20"/>
        </w:rPr>
        <w:t>Figure 4-2 Comparison of Conflict Handling between the Dempster and Yager Rules (Optional)</w:t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表3-1 三模态可信度评估中的可观测证据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3-1 Observable Evidence for Three-modality Trustworthiness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证据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符号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主要来源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模态可用性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aₘ(x)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解析状态与有效内容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排除不可用模态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模态完整性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qₘ(x)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解析、保留与特征有效性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描述模态信息质量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模型可见比例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vₘ(x)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编码器实际接收范围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刻画输入预算影响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模型可见完整性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eₘ(x)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完整性与可见比例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衡量有效可见信息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结构支持程度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sₐg(x)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API事件与方法节点对应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描述代码侧结构支持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语义支持程度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sₘc(x)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声明与代码安全语义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描述跨源语义支持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双向不一致程度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dₘc(x), dcm(x)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声明与代码语义差异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描述跨源不一致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分支能力先验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Cₘ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校准集分支性能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修正分支整体能力差异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第6章三线表模板（数值留空，填写后使用）</w:t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表6-1 数据集划分与类别分布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6-1 Dataset Splits and Class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</w:trP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数据划分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良性样本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恶意样本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总数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表6-2 主要训练参数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6-2 Main Training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参数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取值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参数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取值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表6-3 不同方法的常规检测结果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6-3 Detection Results of Different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tblHeader w:val="true"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方法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Macro-F1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AUC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AP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Brier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ECE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表6-4 不同可信融合方法的对比结果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6-4 Comparison of Trustworthy Fusion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方法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Macro-F1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AURC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Brier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ECE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表6-5 关键模块分析结果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6-5 Analysis Results of Key 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</w:trP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实验设置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Macro-F1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AURC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ECE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表6-6 自然低可信子集检测结果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6-6 Detection Results on Naturally Low-confidence Subsets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方法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低完整性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低支持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高冲突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低接受度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60" w:after="0"/>
        <w:jc w:val="center"/>
      </w:pPr>
      <w:r>
        <w:rPr>
          <w:rFonts w:ascii="SimSun" w:hAnsi="SimSun" w:eastAsia="宋体"/>
          <w:sz w:val="21"/>
        </w:rPr>
        <w:t>表6-7 类别条件共形拒识结果</w:t>
      </w:r>
    </w:p>
    <w:p>
      <w:pPr>
        <w:keepNext/>
        <w:spacing w:before="60" w:after="0"/>
        <w:jc w:val="center"/>
      </w:pPr>
      <w:r>
        <w:rPr>
          <w:rFonts w:ascii="Times New Roman" w:hAnsi="Times New Roman" w:eastAsia="Times New Roman"/>
          <w:sz w:val="20"/>
        </w:rPr>
        <w:t>Table 6-7 Results of Class-conditional Conformal Rejection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333333"/>
          <w:bottom w:val="single" w:sz="12" w:color="333333"/>
          <w:insideH w:val="nil" w:sz="0" w:color="333333"/>
          <w:left w:val="nil" w:sz="0" w:color="333333"/>
          <w:right w:val="nil" w:sz="0" w:color="333333"/>
          <w:insideV w:val="nil" w:sz="0" w:color="333333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方法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接受率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经验覆盖率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选择性风险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2F2F2"/>
            <w:tcBorders>
              <w:bottom w:val="single" w:sz="8" w:color="333333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b/>
                <w:sz w:val="19"/>
              </w:rPr>
              <w:t>恶意漏报数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SimSun" w:hAnsi="SimSun" w:eastAsia="宋体"/>
                <w:sz w:val="19"/>
              </w:rPr>
              <w:t>—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