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38A" w:rsidRPr="00B3638A" w:rsidRDefault="00B3638A" w:rsidP="00B3638A">
      <w:pPr>
        <w:pStyle w:val="Heading2"/>
        <w:spacing w:after="261" w:line="267" w:lineRule="auto"/>
        <w:ind w:left="35"/>
        <w:jc w:val="center"/>
        <w:rPr>
          <w:sz w:val="24"/>
          <w:szCs w:val="24"/>
        </w:rPr>
      </w:pPr>
      <w:r w:rsidRPr="00B3638A">
        <w:rPr>
          <w:color w:val="009EDE"/>
          <w:sz w:val="24"/>
          <w:szCs w:val="24"/>
        </w:rPr>
        <w:t xml:space="preserve">1.2.2 Role of media to deny 1994 genocide against Tutsi and spreading genocide ideology </w:t>
      </w:r>
    </w:p>
    <w:p w:rsidR="00B3638A" w:rsidRPr="00B3638A" w:rsidRDefault="00B3638A" w:rsidP="00B3638A">
      <w:pPr>
        <w:numPr>
          <w:ilvl w:val="0"/>
          <w:numId w:val="1"/>
        </w:numPr>
        <w:spacing w:after="55" w:line="265" w:lineRule="auto"/>
        <w:ind w:right="11"/>
        <w:rPr>
          <w:szCs w:val="24"/>
        </w:rPr>
      </w:pPr>
      <w:r w:rsidRPr="00B3638A">
        <w:rPr>
          <w:b/>
          <w:szCs w:val="24"/>
        </w:rPr>
        <w:t>Denial of Genocide</w:t>
      </w:r>
      <w:r w:rsidRPr="00B3638A">
        <w:rPr>
          <w:szCs w:val="24"/>
        </w:rPr>
        <w:t xml:space="preserve">: Some media outlets actively denied or downplayed the existence and scale of the genocide, portraying it as a political conflict or civil war rather than systematic mass killings. </w:t>
      </w:r>
    </w:p>
    <w:p w:rsidR="00B3638A" w:rsidRPr="00B3638A" w:rsidRDefault="00B3638A" w:rsidP="00B3638A">
      <w:pPr>
        <w:numPr>
          <w:ilvl w:val="0"/>
          <w:numId w:val="1"/>
        </w:numPr>
        <w:spacing w:after="55" w:line="265" w:lineRule="auto"/>
        <w:ind w:right="11"/>
        <w:rPr>
          <w:szCs w:val="24"/>
        </w:rPr>
      </w:pPr>
      <w:r w:rsidRPr="00B3638A">
        <w:rPr>
          <w:b/>
          <w:szCs w:val="24"/>
        </w:rPr>
        <w:t>Distortion of Facts</w:t>
      </w:r>
      <w:r w:rsidRPr="00B3638A">
        <w:rPr>
          <w:szCs w:val="24"/>
        </w:rPr>
        <w:t xml:space="preserve">: Media spread misinformation and false narratives about the events, often framing Tutsis as aggressors or justifying violence against them. </w:t>
      </w:r>
    </w:p>
    <w:p w:rsidR="00B3638A" w:rsidRPr="00B3638A" w:rsidRDefault="00B3638A" w:rsidP="00B3638A">
      <w:pPr>
        <w:numPr>
          <w:ilvl w:val="0"/>
          <w:numId w:val="1"/>
        </w:numPr>
        <w:spacing w:after="55" w:line="265" w:lineRule="auto"/>
        <w:ind w:right="11"/>
        <w:rPr>
          <w:szCs w:val="24"/>
        </w:rPr>
      </w:pPr>
      <w:r w:rsidRPr="00B3638A">
        <w:rPr>
          <w:b/>
          <w:szCs w:val="24"/>
        </w:rPr>
        <w:t>Hate Speech</w:t>
      </w:r>
      <w:r w:rsidRPr="00B3638A">
        <w:rPr>
          <w:szCs w:val="24"/>
        </w:rPr>
        <w:t xml:space="preserve">: Extremist media outlets like RTLM and </w:t>
      </w:r>
      <w:proofErr w:type="spellStart"/>
      <w:r w:rsidRPr="00B3638A">
        <w:rPr>
          <w:szCs w:val="24"/>
        </w:rPr>
        <w:t>Kangura</w:t>
      </w:r>
      <w:proofErr w:type="spellEnd"/>
      <w:r w:rsidRPr="00B3638A">
        <w:rPr>
          <w:szCs w:val="24"/>
        </w:rPr>
        <w:t xml:space="preserve"> disseminated hate speech, dehumanizing Tutsis and portraying th</w:t>
      </w:r>
      <w:bookmarkStart w:id="0" w:name="_GoBack"/>
      <w:bookmarkEnd w:id="0"/>
      <w:r w:rsidRPr="00B3638A">
        <w:rPr>
          <w:szCs w:val="24"/>
        </w:rPr>
        <w:t xml:space="preserve">em as enemies of the Hutu majority. </w:t>
      </w:r>
    </w:p>
    <w:p w:rsidR="00B3638A" w:rsidRPr="00B3638A" w:rsidRDefault="00B3638A" w:rsidP="00B3638A">
      <w:pPr>
        <w:numPr>
          <w:ilvl w:val="0"/>
          <w:numId w:val="1"/>
        </w:numPr>
        <w:spacing w:after="55" w:line="265" w:lineRule="auto"/>
        <w:ind w:right="11"/>
        <w:rPr>
          <w:szCs w:val="24"/>
        </w:rPr>
      </w:pPr>
      <w:r w:rsidRPr="00B3638A">
        <w:rPr>
          <w:b/>
          <w:szCs w:val="24"/>
        </w:rPr>
        <w:t>Incitement to Violence</w:t>
      </w:r>
      <w:r w:rsidRPr="00B3638A">
        <w:rPr>
          <w:szCs w:val="24"/>
        </w:rPr>
        <w:t xml:space="preserve">: The media played a direct role in inciting violence by broadcasting messages that encouraged Hutus to attack and kill Tutsis. </w:t>
      </w:r>
    </w:p>
    <w:p w:rsidR="00B3638A" w:rsidRPr="00B3638A" w:rsidRDefault="00B3638A" w:rsidP="00B3638A">
      <w:pPr>
        <w:numPr>
          <w:ilvl w:val="0"/>
          <w:numId w:val="1"/>
        </w:numPr>
        <w:spacing w:after="55" w:line="265" w:lineRule="auto"/>
        <w:ind w:right="11"/>
        <w:rPr>
          <w:szCs w:val="24"/>
        </w:rPr>
      </w:pPr>
      <w:r w:rsidRPr="00B3638A">
        <w:rPr>
          <w:b/>
          <w:szCs w:val="24"/>
        </w:rPr>
        <w:t>Propaganda</w:t>
      </w:r>
      <w:r w:rsidRPr="00B3638A">
        <w:rPr>
          <w:szCs w:val="24"/>
        </w:rPr>
        <w:t xml:space="preserve">: Media outlets propagated propaganda that demonized Tutsis, portraying them as a threat to Rwandan society and justifying their extermination. </w:t>
      </w:r>
    </w:p>
    <w:p w:rsidR="00B3638A" w:rsidRPr="00B3638A" w:rsidRDefault="00B3638A" w:rsidP="00B3638A">
      <w:pPr>
        <w:numPr>
          <w:ilvl w:val="0"/>
          <w:numId w:val="1"/>
        </w:numPr>
        <w:spacing w:after="55" w:line="265" w:lineRule="auto"/>
        <w:ind w:right="11"/>
        <w:rPr>
          <w:szCs w:val="24"/>
        </w:rPr>
      </w:pPr>
      <w:r w:rsidRPr="00B3638A">
        <w:rPr>
          <w:b/>
          <w:szCs w:val="24"/>
        </w:rPr>
        <w:t>Censorship</w:t>
      </w:r>
      <w:r w:rsidRPr="00B3638A">
        <w:rPr>
          <w:szCs w:val="24"/>
        </w:rPr>
        <w:t xml:space="preserve">: Media that attempted to report truthfully on the genocide or defend Tutsis were often censored, silenced, or intimidated. </w:t>
      </w:r>
    </w:p>
    <w:p w:rsidR="00B3638A" w:rsidRPr="00B3638A" w:rsidRDefault="00B3638A" w:rsidP="00B3638A">
      <w:pPr>
        <w:numPr>
          <w:ilvl w:val="0"/>
          <w:numId w:val="1"/>
        </w:numPr>
        <w:spacing w:after="55" w:line="265" w:lineRule="auto"/>
        <w:ind w:right="11"/>
        <w:rPr>
          <w:szCs w:val="24"/>
        </w:rPr>
      </w:pPr>
      <w:r w:rsidRPr="00B3638A">
        <w:rPr>
          <w:b/>
          <w:szCs w:val="24"/>
        </w:rPr>
        <w:t>Manipulation of Public Opinion</w:t>
      </w:r>
      <w:r w:rsidRPr="00B3638A">
        <w:rPr>
          <w:szCs w:val="24"/>
        </w:rPr>
        <w:t xml:space="preserve">: The media manipulated public opinion by framing the genocide in ways that favored the Hutu extremists and justified their actions. </w:t>
      </w:r>
    </w:p>
    <w:p w:rsidR="00B3638A" w:rsidRPr="00B3638A" w:rsidRDefault="00B3638A" w:rsidP="00B3638A">
      <w:pPr>
        <w:numPr>
          <w:ilvl w:val="0"/>
          <w:numId w:val="1"/>
        </w:numPr>
        <w:spacing w:after="55" w:line="265" w:lineRule="auto"/>
        <w:ind w:right="11"/>
        <w:rPr>
          <w:szCs w:val="24"/>
        </w:rPr>
      </w:pPr>
      <w:r w:rsidRPr="00B3638A">
        <w:rPr>
          <w:b/>
          <w:szCs w:val="24"/>
        </w:rPr>
        <w:t>Role in Perpetuating Genocide Ideology</w:t>
      </w:r>
      <w:r w:rsidRPr="00B3638A">
        <w:rPr>
          <w:szCs w:val="24"/>
        </w:rPr>
        <w:t xml:space="preserve">: By spreading genocidal rhetoric and promoting ethnic divisions, the media helped perpetuate genocide ideology among the Rwandan population. </w:t>
      </w:r>
    </w:p>
    <w:p w:rsidR="00B3638A" w:rsidRPr="00B3638A" w:rsidRDefault="00B3638A" w:rsidP="00B3638A">
      <w:pPr>
        <w:numPr>
          <w:ilvl w:val="0"/>
          <w:numId w:val="1"/>
        </w:numPr>
        <w:spacing w:after="55" w:line="265" w:lineRule="auto"/>
        <w:ind w:right="11"/>
        <w:rPr>
          <w:szCs w:val="24"/>
        </w:rPr>
      </w:pPr>
      <w:r w:rsidRPr="00B3638A">
        <w:rPr>
          <w:b/>
          <w:szCs w:val="24"/>
        </w:rPr>
        <w:t>Silencing Dissenting Voices</w:t>
      </w:r>
      <w:r w:rsidRPr="00B3638A">
        <w:rPr>
          <w:szCs w:val="24"/>
        </w:rPr>
        <w:t xml:space="preserve">: Journalists and broadcasters who opposed the genocidal agenda were targeted or forced into exile, preventing alternative narratives from being heard. </w:t>
      </w:r>
    </w:p>
    <w:p w:rsidR="00B3638A" w:rsidRPr="00B3638A" w:rsidRDefault="00B3638A" w:rsidP="00B3638A">
      <w:pPr>
        <w:numPr>
          <w:ilvl w:val="0"/>
          <w:numId w:val="1"/>
        </w:numPr>
        <w:spacing w:after="422" w:line="265" w:lineRule="auto"/>
        <w:ind w:right="11"/>
        <w:rPr>
          <w:szCs w:val="24"/>
        </w:rPr>
      </w:pPr>
      <w:r w:rsidRPr="00B3638A">
        <w:rPr>
          <w:b/>
          <w:szCs w:val="24"/>
        </w:rPr>
        <w:t>International Impact</w:t>
      </w:r>
      <w:r w:rsidRPr="00B3638A">
        <w:rPr>
          <w:szCs w:val="24"/>
        </w:rPr>
        <w:t xml:space="preserve">: The media's portrayal of events influenced international perception and response to the genocide, affecting humanitarian intervention and justice processes. </w:t>
      </w:r>
    </w:p>
    <w:p w:rsidR="00AD1A9B" w:rsidRPr="00B3638A" w:rsidRDefault="00AD1A9B" w:rsidP="00AD1A9B">
      <w:pPr>
        <w:pStyle w:val="Heading1"/>
        <w:spacing w:after="39"/>
        <w:rPr>
          <w:sz w:val="24"/>
          <w:szCs w:val="24"/>
        </w:rPr>
      </w:pPr>
      <w:r w:rsidRPr="00B3638A">
        <w:rPr>
          <w:sz w:val="24"/>
          <w:szCs w:val="24"/>
        </w:rPr>
        <w:t>1.3</w:t>
      </w:r>
      <w:r w:rsidRPr="00B3638A">
        <w:rPr>
          <w:rFonts w:ascii="Arial" w:eastAsia="Arial" w:hAnsi="Arial" w:cs="Arial"/>
          <w:sz w:val="24"/>
          <w:szCs w:val="24"/>
        </w:rPr>
        <w:t xml:space="preserve">   </w:t>
      </w:r>
      <w:r w:rsidRPr="00B3638A">
        <w:rPr>
          <w:sz w:val="24"/>
          <w:szCs w:val="24"/>
        </w:rPr>
        <w:t xml:space="preserve">Explanation of the forms of genocide denial in Rwandan society and abroad </w:t>
      </w:r>
    </w:p>
    <w:p w:rsidR="00AD1A9B" w:rsidRPr="00B3638A" w:rsidRDefault="00AD1A9B" w:rsidP="00AD1A9B">
      <w:pPr>
        <w:pStyle w:val="Heading2"/>
        <w:spacing w:after="261" w:line="267" w:lineRule="auto"/>
        <w:ind w:left="35" w:right="35"/>
        <w:rPr>
          <w:sz w:val="24"/>
          <w:szCs w:val="24"/>
        </w:rPr>
      </w:pPr>
      <w:r w:rsidRPr="00B3638A">
        <w:rPr>
          <w:color w:val="009EDE"/>
          <w:sz w:val="24"/>
          <w:szCs w:val="24"/>
        </w:rPr>
        <w:t xml:space="preserve">          1.3.1      Forms of genocide denial in Rwanda </w:t>
      </w:r>
    </w:p>
    <w:p w:rsidR="00AD1A9B" w:rsidRPr="00B3638A" w:rsidRDefault="00AD1A9B" w:rsidP="00AD1A9B">
      <w:pPr>
        <w:numPr>
          <w:ilvl w:val="0"/>
          <w:numId w:val="2"/>
        </w:numPr>
        <w:spacing w:after="305"/>
        <w:rPr>
          <w:szCs w:val="24"/>
        </w:rPr>
      </w:pPr>
      <w:r w:rsidRPr="00B3638A">
        <w:rPr>
          <w:b/>
          <w:szCs w:val="24"/>
        </w:rPr>
        <w:t>Literal genocide denial:</w:t>
      </w:r>
      <w:r w:rsidRPr="00B3638A">
        <w:rPr>
          <w:szCs w:val="24"/>
        </w:rPr>
        <w:t xml:space="preserve"> involves negating the facts of genocide, silencing talk of genocidal plans and killings.  </w:t>
      </w:r>
    </w:p>
    <w:p w:rsidR="00AD1A9B" w:rsidRPr="00B3638A" w:rsidRDefault="00AD1A9B" w:rsidP="00AD1A9B">
      <w:pPr>
        <w:numPr>
          <w:ilvl w:val="0"/>
          <w:numId w:val="2"/>
        </w:numPr>
        <w:spacing w:after="71"/>
        <w:rPr>
          <w:szCs w:val="24"/>
        </w:rPr>
      </w:pPr>
      <w:r w:rsidRPr="00B3638A">
        <w:rPr>
          <w:b/>
          <w:szCs w:val="24"/>
        </w:rPr>
        <w:lastRenderedPageBreak/>
        <w:t>Interpretative genocide denial:</w:t>
      </w:r>
      <w:r w:rsidRPr="00B3638A">
        <w:rPr>
          <w:szCs w:val="24"/>
        </w:rPr>
        <w:t xml:space="preserve"> reframes or </w:t>
      </w:r>
      <w:proofErr w:type="spellStart"/>
      <w:proofErr w:type="gramStart"/>
      <w:r w:rsidRPr="00B3638A">
        <w:rPr>
          <w:szCs w:val="24"/>
        </w:rPr>
        <w:t>relabels</w:t>
      </w:r>
      <w:proofErr w:type="spellEnd"/>
      <w:r w:rsidRPr="00B3638A">
        <w:rPr>
          <w:szCs w:val="24"/>
        </w:rPr>
        <w:t>,</w:t>
      </w:r>
      <w:proofErr w:type="gramEnd"/>
      <w:r w:rsidRPr="00B3638A">
        <w:rPr>
          <w:szCs w:val="24"/>
        </w:rPr>
        <w:t xml:space="preserve"> the events of the genocide, viewing them as part and parcel of civil war, rather than genocide.  </w:t>
      </w:r>
    </w:p>
    <w:p w:rsidR="00AD1A9B" w:rsidRPr="00B3638A" w:rsidRDefault="00AD1A9B" w:rsidP="00AD1A9B">
      <w:pPr>
        <w:numPr>
          <w:ilvl w:val="0"/>
          <w:numId w:val="2"/>
        </w:numPr>
        <w:spacing w:after="307"/>
        <w:rPr>
          <w:szCs w:val="24"/>
        </w:rPr>
      </w:pPr>
      <w:proofErr w:type="spellStart"/>
      <w:r w:rsidRPr="00B3638A">
        <w:rPr>
          <w:b/>
          <w:szCs w:val="24"/>
        </w:rPr>
        <w:t>Implicatory</w:t>
      </w:r>
      <w:proofErr w:type="spellEnd"/>
      <w:r w:rsidRPr="00B3638A">
        <w:rPr>
          <w:b/>
          <w:szCs w:val="24"/>
        </w:rPr>
        <w:t xml:space="preserve"> genocide denial</w:t>
      </w:r>
      <w:r w:rsidRPr="00B3638A">
        <w:rPr>
          <w:szCs w:val="24"/>
        </w:rPr>
        <w:t xml:space="preserve"> becomes prevalent, and involves explicit counter-accusations that genocide was planned by those previously viewed as saving the victims. The Rwandan Patriotic Front (RPF) government is thus accused of planning genocide, not only in Rwanda but also in eastern Congo, now Democratic Republic of Congo (DRC).  </w:t>
      </w:r>
    </w:p>
    <w:p w:rsidR="00AD1A9B" w:rsidRPr="00B3638A" w:rsidRDefault="00AD1A9B" w:rsidP="00AD1A9B">
      <w:pPr>
        <w:spacing w:after="0" w:line="259" w:lineRule="auto"/>
        <w:ind w:left="0" w:right="0" w:firstLine="0"/>
        <w:jc w:val="left"/>
        <w:rPr>
          <w:szCs w:val="24"/>
        </w:rPr>
      </w:pPr>
      <w:r w:rsidRPr="00B3638A">
        <w:rPr>
          <w:szCs w:val="24"/>
        </w:rPr>
        <w:t xml:space="preserve"> </w:t>
      </w:r>
    </w:p>
    <w:p w:rsidR="00AD1A9B" w:rsidRPr="00B3638A" w:rsidRDefault="00AD1A9B" w:rsidP="00AD1A9B">
      <w:pPr>
        <w:pStyle w:val="Heading3"/>
        <w:spacing w:after="2" w:line="273" w:lineRule="auto"/>
        <w:ind w:left="1757" w:right="0" w:hanging="1541"/>
        <w:jc w:val="left"/>
        <w:rPr>
          <w:szCs w:val="24"/>
        </w:rPr>
      </w:pPr>
      <w:r w:rsidRPr="00B3638A">
        <w:rPr>
          <w:color w:val="C45911"/>
          <w:szCs w:val="24"/>
        </w:rPr>
        <w:t>1.4</w:t>
      </w:r>
      <w:r w:rsidRPr="00B3638A">
        <w:rPr>
          <w:rFonts w:ascii="Arial" w:eastAsia="Arial" w:hAnsi="Arial" w:cs="Arial"/>
          <w:color w:val="C45911"/>
          <w:szCs w:val="24"/>
        </w:rPr>
        <w:t xml:space="preserve"> </w:t>
      </w:r>
      <w:r w:rsidRPr="00B3638A">
        <w:rPr>
          <w:color w:val="C45911"/>
          <w:szCs w:val="24"/>
        </w:rPr>
        <w:t>Explanation</w:t>
      </w:r>
      <w:r w:rsidRPr="00B3638A">
        <w:rPr>
          <w:color w:val="C45911"/>
          <w:szCs w:val="24"/>
        </w:rPr>
        <w:t xml:space="preserve"> of ways for preventing different forms and channels of genocide denial and ideology </w:t>
      </w:r>
    </w:p>
    <w:p w:rsidR="00AD1A9B" w:rsidRPr="00B3638A" w:rsidRDefault="00AD1A9B" w:rsidP="00AD1A9B">
      <w:pPr>
        <w:spacing w:after="71" w:line="259" w:lineRule="auto"/>
        <w:ind w:left="85" w:right="0" w:firstLine="0"/>
        <w:jc w:val="center"/>
        <w:rPr>
          <w:szCs w:val="24"/>
        </w:rPr>
      </w:pPr>
      <w:r w:rsidRPr="00B3638A">
        <w:rPr>
          <w:color w:val="009EDE"/>
          <w:szCs w:val="24"/>
        </w:rPr>
        <w:t xml:space="preserve"> </w:t>
      </w:r>
    </w:p>
    <w:p w:rsidR="00AD1A9B" w:rsidRPr="00B3638A" w:rsidRDefault="00AD1A9B" w:rsidP="00AD1A9B">
      <w:pPr>
        <w:pStyle w:val="Heading4"/>
        <w:spacing w:after="294" w:line="267" w:lineRule="auto"/>
        <w:ind w:left="1003" w:hanging="720"/>
        <w:rPr>
          <w:szCs w:val="24"/>
        </w:rPr>
      </w:pPr>
      <w:r w:rsidRPr="00B3638A">
        <w:rPr>
          <w:color w:val="009EDE"/>
          <w:szCs w:val="24"/>
        </w:rPr>
        <w:t>1.4.1</w:t>
      </w:r>
      <w:r w:rsidRPr="00B3638A">
        <w:rPr>
          <w:rFonts w:ascii="Arial" w:eastAsia="Arial" w:hAnsi="Arial" w:cs="Arial"/>
          <w:color w:val="009EDE"/>
          <w:szCs w:val="24"/>
        </w:rPr>
        <w:t xml:space="preserve"> </w:t>
      </w:r>
      <w:r w:rsidRPr="00B3638A">
        <w:rPr>
          <w:color w:val="009EDE"/>
          <w:szCs w:val="24"/>
        </w:rPr>
        <w:t>Ways for preventing different forms and channels of genocide denial and ideology at national level</w:t>
      </w:r>
      <w:r w:rsidRPr="00B3638A">
        <w:rPr>
          <w:b w:val="0"/>
          <w:color w:val="009EDE"/>
          <w:szCs w:val="24"/>
        </w:rPr>
        <w:t xml:space="preserve"> </w:t>
      </w:r>
    </w:p>
    <w:p w:rsidR="00AD1A9B" w:rsidRPr="00B3638A" w:rsidRDefault="00AD1A9B" w:rsidP="00AD1A9B">
      <w:pPr>
        <w:numPr>
          <w:ilvl w:val="0"/>
          <w:numId w:val="3"/>
        </w:numPr>
        <w:spacing w:after="55" w:line="265" w:lineRule="auto"/>
        <w:ind w:right="11"/>
        <w:rPr>
          <w:szCs w:val="24"/>
        </w:rPr>
      </w:pPr>
      <w:r w:rsidRPr="00B3638A">
        <w:rPr>
          <w:b/>
          <w:szCs w:val="24"/>
        </w:rPr>
        <w:t>Legal Enforcement</w:t>
      </w:r>
      <w:r w:rsidRPr="00B3638A">
        <w:rPr>
          <w:szCs w:val="24"/>
        </w:rPr>
        <w:t xml:space="preserve">: Implement and enforce laws that punish individuals guilty of genocide ideology. This includes not only legal penalties but also measures to discourage and deter such behavior. </w:t>
      </w:r>
    </w:p>
    <w:p w:rsidR="00AD1A9B" w:rsidRPr="00B3638A" w:rsidRDefault="00AD1A9B" w:rsidP="00AD1A9B">
      <w:pPr>
        <w:numPr>
          <w:ilvl w:val="0"/>
          <w:numId w:val="3"/>
        </w:numPr>
        <w:spacing w:after="55" w:line="265" w:lineRule="auto"/>
        <w:ind w:right="11"/>
        <w:rPr>
          <w:szCs w:val="24"/>
        </w:rPr>
      </w:pPr>
      <w:r w:rsidRPr="00B3638A">
        <w:rPr>
          <w:b/>
          <w:szCs w:val="24"/>
        </w:rPr>
        <w:t>Sensitization Campaigns</w:t>
      </w:r>
      <w:r w:rsidRPr="00B3638A">
        <w:rPr>
          <w:szCs w:val="24"/>
        </w:rPr>
        <w:t xml:space="preserve">: Conduct widespread awareness and sensitization campaigns to educate the Rwandan population about the dangers and consequences of genocide ideology and denial. Emphasize the negative impact on national unity, reconciliation efforts, and overall development. </w:t>
      </w:r>
    </w:p>
    <w:p w:rsidR="00AD1A9B" w:rsidRPr="00B3638A" w:rsidRDefault="00AD1A9B" w:rsidP="00AD1A9B">
      <w:pPr>
        <w:numPr>
          <w:ilvl w:val="0"/>
          <w:numId w:val="3"/>
        </w:numPr>
        <w:spacing w:after="55" w:line="265" w:lineRule="auto"/>
        <w:ind w:right="11"/>
        <w:rPr>
          <w:szCs w:val="24"/>
        </w:rPr>
      </w:pPr>
      <w:r w:rsidRPr="00B3638A">
        <w:rPr>
          <w:b/>
          <w:szCs w:val="24"/>
        </w:rPr>
        <w:t>Scholarly Engagement</w:t>
      </w:r>
      <w:r w:rsidRPr="00B3638A">
        <w:rPr>
          <w:szCs w:val="24"/>
        </w:rPr>
        <w:t xml:space="preserve">: Engage Rwandan and foreign scholars to actively write and publish works that counter genocide ideology and denial. Utilize various mediums such as media, books, academic journals, and the internet to disseminate accurate historical information and promote reconciliation. </w:t>
      </w:r>
    </w:p>
    <w:p w:rsidR="00AD1A9B" w:rsidRPr="00B3638A" w:rsidRDefault="00AD1A9B" w:rsidP="00AD1A9B">
      <w:pPr>
        <w:numPr>
          <w:ilvl w:val="0"/>
          <w:numId w:val="3"/>
        </w:numPr>
        <w:spacing w:after="326" w:line="265" w:lineRule="auto"/>
        <w:ind w:right="11"/>
        <w:rPr>
          <w:szCs w:val="24"/>
        </w:rPr>
      </w:pPr>
      <w:r w:rsidRPr="00B3638A">
        <w:rPr>
          <w:b/>
          <w:szCs w:val="24"/>
        </w:rPr>
        <w:t>Preservation of Genocide Memorials</w:t>
      </w:r>
      <w:r w:rsidRPr="00B3638A">
        <w:rPr>
          <w:szCs w:val="24"/>
        </w:rPr>
        <w:t xml:space="preserve">: Ensure the preservation and respectful maintenance of existing genocide memorials related to the 1994 genocide against the Tutsi. Additionally, construct new memorials as permanent evidence of the atrocities committed, countering revisionist narratives. </w:t>
      </w:r>
    </w:p>
    <w:p w:rsidR="00AD1A9B" w:rsidRPr="00B3638A" w:rsidRDefault="00AD1A9B" w:rsidP="00AD1A9B">
      <w:pPr>
        <w:pStyle w:val="Heading4"/>
        <w:spacing w:after="124" w:line="274" w:lineRule="auto"/>
        <w:ind w:left="313" w:firstLine="0"/>
        <w:jc w:val="center"/>
        <w:rPr>
          <w:szCs w:val="24"/>
        </w:rPr>
      </w:pPr>
      <w:r w:rsidRPr="00B3638A">
        <w:rPr>
          <w:color w:val="009EDE"/>
          <w:szCs w:val="24"/>
        </w:rPr>
        <w:t>1.4.2 Ways for preventing different forms and channels of genocide denial and ideology at international level</w:t>
      </w:r>
      <w:r w:rsidRPr="00B3638A">
        <w:rPr>
          <w:b w:val="0"/>
          <w:color w:val="009EDE"/>
          <w:szCs w:val="24"/>
        </w:rPr>
        <w:t xml:space="preserve"> </w:t>
      </w:r>
    </w:p>
    <w:p w:rsidR="00AD1A9B" w:rsidRPr="00B3638A" w:rsidRDefault="00AD1A9B" w:rsidP="00AD1A9B">
      <w:pPr>
        <w:pStyle w:val="Heading5"/>
        <w:ind w:left="355" w:right="0"/>
        <w:rPr>
          <w:szCs w:val="24"/>
        </w:rPr>
      </w:pPr>
      <w:r w:rsidRPr="00B3638A">
        <w:rPr>
          <w:szCs w:val="24"/>
        </w:rPr>
        <w:t xml:space="preserve">1. Education and Awareness </w:t>
      </w:r>
    </w:p>
    <w:p w:rsidR="00AD1A9B" w:rsidRPr="00B3638A" w:rsidRDefault="00AD1A9B" w:rsidP="00AD1A9B">
      <w:pPr>
        <w:spacing w:after="170" w:line="265" w:lineRule="auto"/>
        <w:ind w:left="347" w:right="11" w:firstLine="0"/>
        <w:rPr>
          <w:szCs w:val="24"/>
        </w:rPr>
      </w:pPr>
      <w:r w:rsidRPr="00B3638A">
        <w:rPr>
          <w:szCs w:val="24"/>
        </w:rPr>
        <w:t xml:space="preserve"> Promote education on genocide history and prevention through international curricula and educational programs and Organize awareness </w:t>
      </w:r>
      <w:r w:rsidRPr="00B3638A">
        <w:rPr>
          <w:szCs w:val="24"/>
        </w:rPr>
        <w:lastRenderedPageBreak/>
        <w:t xml:space="preserve">campaigns and events to commemorate genocide remembrance days and raise public awareness about the dangers of genocide denial. </w:t>
      </w:r>
    </w:p>
    <w:p w:rsidR="00AD1A9B" w:rsidRPr="00B3638A" w:rsidRDefault="00AD1A9B" w:rsidP="00AD1A9B">
      <w:pPr>
        <w:pStyle w:val="Heading5"/>
        <w:ind w:left="355" w:right="0"/>
        <w:rPr>
          <w:szCs w:val="24"/>
        </w:rPr>
      </w:pPr>
      <w:r w:rsidRPr="00B3638A">
        <w:rPr>
          <w:szCs w:val="24"/>
        </w:rPr>
        <w:t xml:space="preserve">2. Legal Frameworks and Accountability </w:t>
      </w:r>
    </w:p>
    <w:p w:rsidR="00AD1A9B" w:rsidRPr="00B3638A" w:rsidRDefault="00AD1A9B" w:rsidP="00AD1A9B">
      <w:pPr>
        <w:spacing w:after="55" w:line="265" w:lineRule="auto"/>
        <w:ind w:left="347" w:right="11" w:firstLine="0"/>
        <w:rPr>
          <w:szCs w:val="24"/>
        </w:rPr>
      </w:pPr>
      <w:r w:rsidRPr="00B3638A">
        <w:rPr>
          <w:szCs w:val="24"/>
        </w:rPr>
        <w:t xml:space="preserve">Strengthen international laws and conventions criminalizing genocide denial and hate speech and Establish mechanisms for accountability, such as international tribunals and courts, to prosecute individuals and states responsible for genocide and denial. </w:t>
      </w:r>
    </w:p>
    <w:p w:rsidR="00AD1A9B" w:rsidRPr="00B3638A" w:rsidRDefault="00AD1A9B" w:rsidP="00AD1A9B">
      <w:pPr>
        <w:pStyle w:val="Heading5"/>
        <w:ind w:left="355" w:right="0"/>
        <w:rPr>
          <w:szCs w:val="24"/>
        </w:rPr>
      </w:pPr>
      <w:r w:rsidRPr="00B3638A">
        <w:rPr>
          <w:szCs w:val="24"/>
        </w:rPr>
        <w:t xml:space="preserve">3. Countering Online Hate Speech </w:t>
      </w:r>
    </w:p>
    <w:p w:rsidR="00AD1A9B" w:rsidRPr="00B3638A" w:rsidRDefault="00AD1A9B" w:rsidP="00AD1A9B">
      <w:pPr>
        <w:spacing w:after="165" w:line="265" w:lineRule="auto"/>
        <w:ind w:left="357" w:right="11" w:hanging="10"/>
        <w:rPr>
          <w:szCs w:val="24"/>
        </w:rPr>
      </w:pPr>
      <w:r w:rsidRPr="00B3638A">
        <w:rPr>
          <w:szCs w:val="24"/>
        </w:rPr>
        <w:t xml:space="preserve"> Develop and implement effective online content regulation policies to remove hate speech and </w:t>
      </w:r>
      <w:proofErr w:type="spellStart"/>
      <w:r w:rsidRPr="00B3638A">
        <w:rPr>
          <w:szCs w:val="24"/>
        </w:rPr>
        <w:t>denialist</w:t>
      </w:r>
      <w:proofErr w:type="spellEnd"/>
      <w:r w:rsidRPr="00B3638A">
        <w:rPr>
          <w:szCs w:val="24"/>
        </w:rPr>
        <w:t xml:space="preserve"> content from social media platforms. </w:t>
      </w:r>
    </w:p>
    <w:p w:rsidR="00AD1A9B" w:rsidRPr="00B3638A" w:rsidRDefault="00AD1A9B" w:rsidP="00AD1A9B">
      <w:pPr>
        <w:spacing w:after="170" w:line="265" w:lineRule="auto"/>
        <w:ind w:left="347" w:right="11" w:firstLine="0"/>
        <w:rPr>
          <w:szCs w:val="24"/>
        </w:rPr>
      </w:pPr>
      <w:r w:rsidRPr="00B3638A">
        <w:rPr>
          <w:szCs w:val="24"/>
        </w:rPr>
        <w:t xml:space="preserve"> Support civil society organizations and initiatives that counter online hate speech and promote digital literacy. </w:t>
      </w:r>
    </w:p>
    <w:p w:rsidR="00AD1A9B" w:rsidRPr="00B3638A" w:rsidRDefault="00AD1A9B" w:rsidP="00AD1A9B">
      <w:pPr>
        <w:pStyle w:val="Heading5"/>
        <w:ind w:left="355" w:right="0"/>
        <w:rPr>
          <w:szCs w:val="24"/>
        </w:rPr>
      </w:pPr>
      <w:r w:rsidRPr="00B3638A">
        <w:rPr>
          <w:szCs w:val="24"/>
        </w:rPr>
        <w:t xml:space="preserve">4. Diplomatic Engagement and Sanctions </w:t>
      </w:r>
    </w:p>
    <w:p w:rsidR="00AD1A9B" w:rsidRPr="00B3638A" w:rsidRDefault="00AD1A9B" w:rsidP="00AD1A9B">
      <w:pPr>
        <w:spacing w:after="169" w:line="265" w:lineRule="auto"/>
        <w:ind w:left="347" w:right="11" w:firstLine="0"/>
        <w:rPr>
          <w:szCs w:val="24"/>
        </w:rPr>
      </w:pPr>
      <w:r w:rsidRPr="00B3638A">
        <w:rPr>
          <w:szCs w:val="24"/>
        </w:rPr>
        <w:t xml:space="preserve"> Engage in diplomatic efforts to pressure governments and leaders who promote or tolerate genocide denial and ideology. Impose targeted sanctions on individuals and entities responsible for genocide denial and hate speech. </w:t>
      </w:r>
    </w:p>
    <w:p w:rsidR="00AD1A9B" w:rsidRPr="00B3638A" w:rsidRDefault="00AD1A9B" w:rsidP="00AD1A9B">
      <w:pPr>
        <w:pStyle w:val="Heading5"/>
        <w:ind w:left="355" w:right="0"/>
        <w:rPr>
          <w:szCs w:val="24"/>
        </w:rPr>
      </w:pPr>
      <w:r w:rsidRPr="00B3638A">
        <w:rPr>
          <w:szCs w:val="24"/>
        </w:rPr>
        <w:t xml:space="preserve">5. Supporting Survivors and Victims </w:t>
      </w:r>
    </w:p>
    <w:p w:rsidR="00AD1A9B" w:rsidRPr="00B3638A" w:rsidRDefault="00AD1A9B" w:rsidP="00AD1A9B">
      <w:pPr>
        <w:spacing w:after="170" w:line="265" w:lineRule="auto"/>
        <w:ind w:left="347" w:right="11" w:firstLine="0"/>
        <w:rPr>
          <w:szCs w:val="24"/>
        </w:rPr>
      </w:pPr>
      <w:r w:rsidRPr="00B3638A">
        <w:rPr>
          <w:szCs w:val="24"/>
        </w:rPr>
        <w:t xml:space="preserve"> Provide support and protection to survivors and victims of genocide, including access to justice, reparations, and psychological support and amplify the voices and stories of survivors and </w:t>
      </w:r>
      <w:proofErr w:type="spellStart"/>
      <w:r w:rsidRPr="00B3638A">
        <w:rPr>
          <w:szCs w:val="24"/>
        </w:rPr>
        <w:t>victims</w:t>
      </w:r>
      <w:proofErr w:type="spellEnd"/>
      <w:r w:rsidRPr="00B3638A">
        <w:rPr>
          <w:szCs w:val="24"/>
        </w:rPr>
        <w:t xml:space="preserve"> to counter </w:t>
      </w:r>
      <w:proofErr w:type="spellStart"/>
      <w:r w:rsidRPr="00B3638A">
        <w:rPr>
          <w:szCs w:val="24"/>
        </w:rPr>
        <w:t>denialist</w:t>
      </w:r>
      <w:proofErr w:type="spellEnd"/>
      <w:r w:rsidRPr="00B3638A">
        <w:rPr>
          <w:szCs w:val="24"/>
        </w:rPr>
        <w:t xml:space="preserve"> narratives. </w:t>
      </w:r>
    </w:p>
    <w:p w:rsidR="00AD1A9B" w:rsidRPr="00B3638A" w:rsidRDefault="00AD1A9B" w:rsidP="00AD1A9B">
      <w:pPr>
        <w:pStyle w:val="Heading5"/>
        <w:ind w:left="355" w:right="0"/>
        <w:rPr>
          <w:szCs w:val="24"/>
        </w:rPr>
      </w:pPr>
      <w:r w:rsidRPr="00B3638A">
        <w:rPr>
          <w:szCs w:val="24"/>
        </w:rPr>
        <w:t xml:space="preserve">6. Research and Documentation </w:t>
      </w:r>
    </w:p>
    <w:p w:rsidR="00AD1A9B" w:rsidRPr="00B3638A" w:rsidRDefault="00AD1A9B" w:rsidP="00AD1A9B">
      <w:pPr>
        <w:spacing w:after="170" w:line="265" w:lineRule="auto"/>
        <w:ind w:left="357" w:right="11" w:hanging="10"/>
        <w:rPr>
          <w:szCs w:val="24"/>
        </w:rPr>
      </w:pPr>
      <w:r w:rsidRPr="00B3638A">
        <w:rPr>
          <w:szCs w:val="24"/>
        </w:rPr>
        <w:t xml:space="preserve"> Conduct and support research on genocide history, prevention, and denial to provide evidence-based counter-narratives and Document and preserve evidence of genocide and denial to prevent revisionism and distortion. </w:t>
      </w:r>
    </w:p>
    <w:p w:rsidR="00AD1A9B" w:rsidRPr="00B3638A" w:rsidRDefault="00AD1A9B" w:rsidP="00AD1A9B">
      <w:pPr>
        <w:pStyle w:val="Heading5"/>
        <w:ind w:left="355" w:right="0"/>
        <w:rPr>
          <w:szCs w:val="24"/>
        </w:rPr>
      </w:pPr>
      <w:r w:rsidRPr="00B3638A">
        <w:rPr>
          <w:szCs w:val="24"/>
        </w:rPr>
        <w:t xml:space="preserve">7. International Cooperation and Partnerships </w:t>
      </w:r>
    </w:p>
    <w:p w:rsidR="00AD1A9B" w:rsidRPr="00B3638A" w:rsidRDefault="00AD1A9B" w:rsidP="00AD1A9B">
      <w:pPr>
        <w:spacing w:after="170" w:line="265" w:lineRule="auto"/>
        <w:ind w:left="357" w:right="11" w:hanging="10"/>
        <w:rPr>
          <w:szCs w:val="24"/>
        </w:rPr>
      </w:pPr>
      <w:r w:rsidRPr="00B3638A">
        <w:rPr>
          <w:szCs w:val="24"/>
        </w:rPr>
        <w:t xml:space="preserve"> Foster international cooperation and partnerships between governments, civil society, and international organizations to combat genocide denial and ideology and establish joint initiatives and programs to share best practices and expertise in preventing and responding to genocide. </w:t>
      </w:r>
    </w:p>
    <w:p w:rsidR="00AD1A9B" w:rsidRPr="00B3638A" w:rsidRDefault="00AD1A9B" w:rsidP="00AD1A9B">
      <w:pPr>
        <w:pStyle w:val="Heading5"/>
        <w:ind w:left="355" w:right="0"/>
        <w:rPr>
          <w:szCs w:val="24"/>
        </w:rPr>
      </w:pPr>
      <w:r w:rsidRPr="00B3638A">
        <w:rPr>
          <w:szCs w:val="24"/>
        </w:rPr>
        <w:t xml:space="preserve">8. Addressing Root Causes </w:t>
      </w:r>
    </w:p>
    <w:p w:rsidR="00AD1A9B" w:rsidRPr="00B3638A" w:rsidRDefault="00AD1A9B" w:rsidP="00AD1A9B">
      <w:pPr>
        <w:spacing w:after="168" w:line="265" w:lineRule="auto"/>
        <w:ind w:left="347" w:right="11" w:firstLine="0"/>
        <w:rPr>
          <w:szCs w:val="24"/>
        </w:rPr>
      </w:pPr>
      <w:r w:rsidRPr="00B3638A">
        <w:rPr>
          <w:szCs w:val="24"/>
        </w:rPr>
        <w:t xml:space="preserve"> Address the root causes of genocide, including discrimination, inequality, and political instability, through sustainable development and human rights </w:t>
      </w:r>
      <w:r w:rsidRPr="00B3638A">
        <w:rPr>
          <w:szCs w:val="24"/>
        </w:rPr>
        <w:lastRenderedPageBreak/>
        <w:t xml:space="preserve">programs and support inclusive and participatory governance structures to prevent marginalization and exclusion. </w:t>
      </w:r>
    </w:p>
    <w:p w:rsidR="00AD1A9B" w:rsidRPr="00B3638A" w:rsidRDefault="00AD1A9B" w:rsidP="00AD1A9B">
      <w:pPr>
        <w:spacing w:after="15" w:line="259" w:lineRule="auto"/>
        <w:ind w:left="360" w:right="0" w:firstLine="0"/>
        <w:jc w:val="left"/>
        <w:rPr>
          <w:szCs w:val="24"/>
        </w:rPr>
      </w:pPr>
      <w:r w:rsidRPr="00B3638A">
        <w:rPr>
          <w:rFonts w:ascii="Calibri" w:eastAsia="Calibri" w:hAnsi="Calibri" w:cs="Calibri"/>
          <w:szCs w:val="24"/>
        </w:rPr>
        <w:t xml:space="preserve"> </w:t>
      </w:r>
    </w:p>
    <w:p w:rsidR="008D476D" w:rsidRPr="00B3638A" w:rsidRDefault="00AD1A9B" w:rsidP="00AD1A9B">
      <w:pPr>
        <w:spacing w:after="12" w:line="259" w:lineRule="auto"/>
        <w:ind w:left="360" w:right="0" w:firstLine="0"/>
        <w:jc w:val="left"/>
        <w:rPr>
          <w:szCs w:val="24"/>
        </w:rPr>
      </w:pPr>
      <w:r w:rsidRPr="00B3638A">
        <w:rPr>
          <w:rFonts w:ascii="Calibri" w:eastAsia="Calibri" w:hAnsi="Calibri" w:cs="Calibri"/>
          <w:szCs w:val="24"/>
        </w:rPr>
        <w:t xml:space="preserve"> </w:t>
      </w:r>
    </w:p>
    <w:sectPr w:rsidR="008D476D" w:rsidRPr="00B3638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7D2B" w:rsidRDefault="00E27D2B" w:rsidP="00AD1A9B">
      <w:pPr>
        <w:spacing w:after="0" w:line="240" w:lineRule="auto"/>
      </w:pPr>
      <w:r>
        <w:separator/>
      </w:r>
    </w:p>
  </w:endnote>
  <w:endnote w:type="continuationSeparator" w:id="0">
    <w:p w:rsidR="00E27D2B" w:rsidRDefault="00E27D2B" w:rsidP="00AD1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0344760"/>
      <w:docPartObj>
        <w:docPartGallery w:val="Page Numbers (Bottom of Page)"/>
        <w:docPartUnique/>
      </w:docPartObj>
    </w:sdtPr>
    <w:sdtEndPr>
      <w:rPr>
        <w:noProof/>
      </w:rPr>
    </w:sdtEndPr>
    <w:sdtContent>
      <w:p w:rsidR="00AD1A9B" w:rsidRDefault="00AD1A9B">
        <w:pPr>
          <w:pStyle w:val="Footer"/>
          <w:jc w:val="center"/>
        </w:pPr>
        <w:r>
          <w:fldChar w:fldCharType="begin"/>
        </w:r>
        <w:r>
          <w:instrText xml:space="preserve"> PAGE   \* MERGEFORMAT </w:instrText>
        </w:r>
        <w:r>
          <w:fldChar w:fldCharType="separate"/>
        </w:r>
        <w:r w:rsidR="00B3638A">
          <w:rPr>
            <w:noProof/>
          </w:rPr>
          <w:t>1</w:t>
        </w:r>
        <w:r>
          <w:rPr>
            <w:noProof/>
          </w:rPr>
          <w:fldChar w:fldCharType="end"/>
        </w:r>
      </w:p>
    </w:sdtContent>
  </w:sdt>
  <w:p w:rsidR="00AD1A9B" w:rsidRDefault="00AD1A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7D2B" w:rsidRDefault="00E27D2B" w:rsidP="00AD1A9B">
      <w:pPr>
        <w:spacing w:after="0" w:line="240" w:lineRule="auto"/>
      </w:pPr>
      <w:r>
        <w:separator/>
      </w:r>
    </w:p>
  </w:footnote>
  <w:footnote w:type="continuationSeparator" w:id="0">
    <w:p w:rsidR="00E27D2B" w:rsidRDefault="00E27D2B" w:rsidP="00AD1A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638A" w:rsidRDefault="00B3638A" w:rsidP="00B3638A">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02B50"/>
    <w:multiLevelType w:val="hybridMultilevel"/>
    <w:tmpl w:val="B42ECCBC"/>
    <w:lvl w:ilvl="0" w:tplc="C5307A6C">
      <w:start w:val="1"/>
      <w:numFmt w:val="decimal"/>
      <w:lvlText w:val="%1."/>
      <w:lvlJc w:val="left"/>
      <w:pPr>
        <w:ind w:left="37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1" w:tplc="F66E5E6A">
      <w:start w:val="1"/>
      <w:numFmt w:val="lowerLetter"/>
      <w:lvlText w:val="%2"/>
      <w:lvlJc w:val="left"/>
      <w:pPr>
        <w:ind w:left="108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2" w:tplc="7ED2E0AE">
      <w:start w:val="1"/>
      <w:numFmt w:val="lowerRoman"/>
      <w:lvlText w:val="%3"/>
      <w:lvlJc w:val="left"/>
      <w:pPr>
        <w:ind w:left="180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3" w:tplc="F3D25866">
      <w:start w:val="1"/>
      <w:numFmt w:val="decimal"/>
      <w:lvlText w:val="%4"/>
      <w:lvlJc w:val="left"/>
      <w:pPr>
        <w:ind w:left="252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4" w:tplc="C9206520">
      <w:start w:val="1"/>
      <w:numFmt w:val="lowerLetter"/>
      <w:lvlText w:val="%5"/>
      <w:lvlJc w:val="left"/>
      <w:pPr>
        <w:ind w:left="324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5" w:tplc="F3A8FCA8">
      <w:start w:val="1"/>
      <w:numFmt w:val="lowerRoman"/>
      <w:lvlText w:val="%6"/>
      <w:lvlJc w:val="left"/>
      <w:pPr>
        <w:ind w:left="396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6" w:tplc="4FBE9226">
      <w:start w:val="1"/>
      <w:numFmt w:val="decimal"/>
      <w:lvlText w:val="%7"/>
      <w:lvlJc w:val="left"/>
      <w:pPr>
        <w:ind w:left="468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7" w:tplc="350209A6">
      <w:start w:val="1"/>
      <w:numFmt w:val="lowerLetter"/>
      <w:lvlText w:val="%8"/>
      <w:lvlJc w:val="left"/>
      <w:pPr>
        <w:ind w:left="540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8" w:tplc="88EE7804">
      <w:start w:val="1"/>
      <w:numFmt w:val="lowerRoman"/>
      <w:lvlText w:val="%9"/>
      <w:lvlJc w:val="left"/>
      <w:pPr>
        <w:ind w:left="612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abstractNum>
  <w:abstractNum w:abstractNumId="1">
    <w:nsid w:val="5BE232D7"/>
    <w:multiLevelType w:val="hybridMultilevel"/>
    <w:tmpl w:val="22767B06"/>
    <w:lvl w:ilvl="0" w:tplc="04962C18">
      <w:start w:val="1"/>
      <w:numFmt w:val="decimal"/>
      <w:lvlText w:val="%1."/>
      <w:lvlJc w:val="left"/>
      <w:pPr>
        <w:ind w:left="3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9003956">
      <w:start w:val="1"/>
      <w:numFmt w:val="lowerLetter"/>
      <w:lvlText w:val="%2"/>
      <w:lvlJc w:val="left"/>
      <w:pPr>
        <w:ind w:left="11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64CCAAA">
      <w:start w:val="1"/>
      <w:numFmt w:val="lowerRoman"/>
      <w:lvlText w:val="%3"/>
      <w:lvlJc w:val="left"/>
      <w:pPr>
        <w:ind w:left="18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8BE6D34">
      <w:start w:val="1"/>
      <w:numFmt w:val="decimal"/>
      <w:lvlText w:val="%4"/>
      <w:lvlJc w:val="left"/>
      <w:pPr>
        <w:ind w:left="26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CF2474A">
      <w:start w:val="1"/>
      <w:numFmt w:val="lowerLetter"/>
      <w:lvlText w:val="%5"/>
      <w:lvlJc w:val="left"/>
      <w:pPr>
        <w:ind w:left="33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462461C8">
      <w:start w:val="1"/>
      <w:numFmt w:val="lowerRoman"/>
      <w:lvlText w:val="%6"/>
      <w:lvlJc w:val="left"/>
      <w:pPr>
        <w:ind w:left="40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6FEA180">
      <w:start w:val="1"/>
      <w:numFmt w:val="decimal"/>
      <w:lvlText w:val="%7"/>
      <w:lvlJc w:val="left"/>
      <w:pPr>
        <w:ind w:left="47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380AFE4">
      <w:start w:val="1"/>
      <w:numFmt w:val="lowerLetter"/>
      <w:lvlText w:val="%8"/>
      <w:lvlJc w:val="left"/>
      <w:pPr>
        <w:ind w:left="54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2E4A4A14">
      <w:start w:val="1"/>
      <w:numFmt w:val="lowerRoman"/>
      <w:lvlText w:val="%9"/>
      <w:lvlJc w:val="left"/>
      <w:pPr>
        <w:ind w:left="62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
    <w:nsid w:val="73A665B7"/>
    <w:multiLevelType w:val="hybridMultilevel"/>
    <w:tmpl w:val="C6D8F3A0"/>
    <w:lvl w:ilvl="0" w:tplc="F51CDE78">
      <w:start w:val="1"/>
      <w:numFmt w:val="decimal"/>
      <w:lvlText w:val="%1."/>
      <w:lvlJc w:val="left"/>
      <w:pPr>
        <w:ind w:left="71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F084538">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F3824CCE">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E28FC2C">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CA2A5592">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E56FC06">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1E0F5F6">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FEC3A36">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9B8AA342">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A9B"/>
    <w:rsid w:val="008D476D"/>
    <w:rsid w:val="00AD1A9B"/>
    <w:rsid w:val="00B3638A"/>
    <w:rsid w:val="00E27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A9B"/>
    <w:pPr>
      <w:spacing w:after="5" w:line="248" w:lineRule="auto"/>
      <w:ind w:left="370" w:right="1" w:hanging="370"/>
      <w:jc w:val="both"/>
    </w:pPr>
    <w:rPr>
      <w:rFonts w:ascii="Bookman Old Style" w:eastAsia="Bookman Old Style" w:hAnsi="Bookman Old Style" w:cs="Bookman Old Style"/>
      <w:color w:val="000000"/>
      <w:sz w:val="24"/>
    </w:rPr>
  </w:style>
  <w:style w:type="paragraph" w:styleId="Heading1">
    <w:name w:val="heading 1"/>
    <w:next w:val="Normal"/>
    <w:link w:val="Heading1Char"/>
    <w:uiPriority w:val="9"/>
    <w:unhideWhenUsed/>
    <w:qFormat/>
    <w:rsid w:val="00AD1A9B"/>
    <w:pPr>
      <w:keepNext/>
      <w:keepLines/>
      <w:spacing w:after="1" w:line="249" w:lineRule="auto"/>
      <w:ind w:left="363" w:hanging="10"/>
      <w:outlineLvl w:val="0"/>
    </w:pPr>
    <w:rPr>
      <w:rFonts w:ascii="Bookman Old Style" w:eastAsia="Bookman Old Style" w:hAnsi="Bookman Old Style" w:cs="Bookman Old Style"/>
      <w:b/>
      <w:color w:val="C45911"/>
      <w:sz w:val="32"/>
    </w:rPr>
  </w:style>
  <w:style w:type="paragraph" w:styleId="Heading2">
    <w:name w:val="heading 2"/>
    <w:next w:val="Normal"/>
    <w:link w:val="Heading2Char"/>
    <w:uiPriority w:val="9"/>
    <w:unhideWhenUsed/>
    <w:qFormat/>
    <w:rsid w:val="00AD1A9B"/>
    <w:pPr>
      <w:keepNext/>
      <w:keepLines/>
      <w:spacing w:after="12" w:line="250" w:lineRule="auto"/>
      <w:ind w:left="1450" w:hanging="10"/>
      <w:outlineLvl w:val="1"/>
    </w:pPr>
    <w:rPr>
      <w:rFonts w:ascii="Bookman Old Style" w:eastAsia="Bookman Old Style" w:hAnsi="Bookman Old Style" w:cs="Bookman Old Style"/>
      <w:b/>
      <w:color w:val="007BB8"/>
      <w:sz w:val="32"/>
    </w:rPr>
  </w:style>
  <w:style w:type="paragraph" w:styleId="Heading3">
    <w:name w:val="heading 3"/>
    <w:next w:val="Normal"/>
    <w:link w:val="Heading3Char"/>
    <w:uiPriority w:val="9"/>
    <w:unhideWhenUsed/>
    <w:qFormat/>
    <w:rsid w:val="00AD1A9B"/>
    <w:pPr>
      <w:keepNext/>
      <w:keepLines/>
      <w:spacing w:after="167" w:line="267" w:lineRule="auto"/>
      <w:ind w:left="10" w:right="2" w:hanging="10"/>
      <w:jc w:val="both"/>
      <w:outlineLvl w:val="2"/>
    </w:pPr>
    <w:rPr>
      <w:rFonts w:ascii="Bookman Old Style" w:eastAsia="Bookman Old Style" w:hAnsi="Bookman Old Style" w:cs="Bookman Old Style"/>
      <w:b/>
      <w:color w:val="000000"/>
      <w:sz w:val="24"/>
    </w:rPr>
  </w:style>
  <w:style w:type="paragraph" w:styleId="Heading4">
    <w:name w:val="heading 4"/>
    <w:next w:val="Normal"/>
    <w:link w:val="Heading4Char"/>
    <w:uiPriority w:val="9"/>
    <w:unhideWhenUsed/>
    <w:qFormat/>
    <w:rsid w:val="00AD1A9B"/>
    <w:pPr>
      <w:keepNext/>
      <w:keepLines/>
      <w:spacing w:after="4" w:line="259" w:lineRule="auto"/>
      <w:ind w:left="372" w:hanging="10"/>
      <w:outlineLvl w:val="3"/>
    </w:pPr>
    <w:rPr>
      <w:rFonts w:ascii="Bookman Old Style" w:eastAsia="Bookman Old Style" w:hAnsi="Bookman Old Style" w:cs="Bookman Old Style"/>
      <w:b/>
      <w:color w:val="C00000"/>
      <w:sz w:val="24"/>
    </w:rPr>
  </w:style>
  <w:style w:type="paragraph" w:styleId="Heading5">
    <w:name w:val="heading 5"/>
    <w:next w:val="Normal"/>
    <w:link w:val="Heading5Char"/>
    <w:uiPriority w:val="9"/>
    <w:unhideWhenUsed/>
    <w:qFormat/>
    <w:rsid w:val="00AD1A9B"/>
    <w:pPr>
      <w:keepNext/>
      <w:keepLines/>
      <w:spacing w:after="167" w:line="267" w:lineRule="auto"/>
      <w:ind w:left="10" w:right="2" w:hanging="10"/>
      <w:jc w:val="both"/>
      <w:outlineLvl w:val="4"/>
    </w:pPr>
    <w:rPr>
      <w:rFonts w:ascii="Bookman Old Style" w:eastAsia="Bookman Old Style" w:hAnsi="Bookman Old Style" w:cs="Bookman Old Style"/>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9B"/>
    <w:rPr>
      <w:rFonts w:ascii="Bookman Old Style" w:eastAsia="Bookman Old Style" w:hAnsi="Bookman Old Style" w:cs="Bookman Old Style"/>
      <w:b/>
      <w:color w:val="C45911"/>
      <w:sz w:val="32"/>
    </w:rPr>
  </w:style>
  <w:style w:type="character" w:customStyle="1" w:styleId="Heading2Char">
    <w:name w:val="Heading 2 Char"/>
    <w:basedOn w:val="DefaultParagraphFont"/>
    <w:link w:val="Heading2"/>
    <w:uiPriority w:val="9"/>
    <w:rsid w:val="00AD1A9B"/>
    <w:rPr>
      <w:rFonts w:ascii="Bookman Old Style" w:eastAsia="Bookman Old Style" w:hAnsi="Bookman Old Style" w:cs="Bookman Old Style"/>
      <w:b/>
      <w:color w:val="007BB8"/>
      <w:sz w:val="32"/>
    </w:rPr>
  </w:style>
  <w:style w:type="character" w:customStyle="1" w:styleId="Heading3Char">
    <w:name w:val="Heading 3 Char"/>
    <w:basedOn w:val="DefaultParagraphFont"/>
    <w:link w:val="Heading3"/>
    <w:uiPriority w:val="9"/>
    <w:rsid w:val="00AD1A9B"/>
    <w:rPr>
      <w:rFonts w:ascii="Bookman Old Style" w:eastAsia="Bookman Old Style" w:hAnsi="Bookman Old Style" w:cs="Bookman Old Style"/>
      <w:b/>
      <w:color w:val="000000"/>
      <w:sz w:val="24"/>
    </w:rPr>
  </w:style>
  <w:style w:type="character" w:customStyle="1" w:styleId="Heading4Char">
    <w:name w:val="Heading 4 Char"/>
    <w:basedOn w:val="DefaultParagraphFont"/>
    <w:link w:val="Heading4"/>
    <w:uiPriority w:val="9"/>
    <w:rsid w:val="00AD1A9B"/>
    <w:rPr>
      <w:rFonts w:ascii="Bookman Old Style" w:eastAsia="Bookman Old Style" w:hAnsi="Bookman Old Style" w:cs="Bookman Old Style"/>
      <w:b/>
      <w:color w:val="C00000"/>
      <w:sz w:val="24"/>
    </w:rPr>
  </w:style>
  <w:style w:type="character" w:customStyle="1" w:styleId="Heading5Char">
    <w:name w:val="Heading 5 Char"/>
    <w:basedOn w:val="DefaultParagraphFont"/>
    <w:link w:val="Heading5"/>
    <w:uiPriority w:val="9"/>
    <w:rsid w:val="00AD1A9B"/>
    <w:rPr>
      <w:rFonts w:ascii="Bookman Old Style" w:eastAsia="Bookman Old Style" w:hAnsi="Bookman Old Style" w:cs="Bookman Old Style"/>
      <w:b/>
      <w:color w:val="000000"/>
      <w:sz w:val="24"/>
    </w:rPr>
  </w:style>
  <w:style w:type="paragraph" w:styleId="Header">
    <w:name w:val="header"/>
    <w:basedOn w:val="Normal"/>
    <w:link w:val="HeaderChar"/>
    <w:uiPriority w:val="99"/>
    <w:unhideWhenUsed/>
    <w:rsid w:val="00AD1A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A9B"/>
    <w:rPr>
      <w:rFonts w:ascii="Bookman Old Style" w:eastAsia="Bookman Old Style" w:hAnsi="Bookman Old Style" w:cs="Bookman Old Style"/>
      <w:color w:val="000000"/>
      <w:sz w:val="24"/>
    </w:rPr>
  </w:style>
  <w:style w:type="paragraph" w:styleId="Footer">
    <w:name w:val="footer"/>
    <w:basedOn w:val="Normal"/>
    <w:link w:val="FooterChar"/>
    <w:uiPriority w:val="99"/>
    <w:unhideWhenUsed/>
    <w:rsid w:val="00AD1A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A9B"/>
    <w:rPr>
      <w:rFonts w:ascii="Bookman Old Style" w:eastAsia="Bookman Old Style" w:hAnsi="Bookman Old Style" w:cs="Bookman Old Style"/>
      <w:color w:val="000000"/>
      <w:sz w:val="24"/>
    </w:rPr>
  </w:style>
  <w:style w:type="paragraph" w:styleId="BalloonText">
    <w:name w:val="Balloon Text"/>
    <w:basedOn w:val="Normal"/>
    <w:link w:val="BalloonTextChar"/>
    <w:uiPriority w:val="99"/>
    <w:semiHidden/>
    <w:unhideWhenUsed/>
    <w:rsid w:val="00AD1A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A9B"/>
    <w:rPr>
      <w:rFonts w:ascii="Tahoma" w:eastAsia="Bookman Old Style"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A9B"/>
    <w:pPr>
      <w:spacing w:after="5" w:line="248" w:lineRule="auto"/>
      <w:ind w:left="370" w:right="1" w:hanging="370"/>
      <w:jc w:val="both"/>
    </w:pPr>
    <w:rPr>
      <w:rFonts w:ascii="Bookman Old Style" w:eastAsia="Bookman Old Style" w:hAnsi="Bookman Old Style" w:cs="Bookman Old Style"/>
      <w:color w:val="000000"/>
      <w:sz w:val="24"/>
    </w:rPr>
  </w:style>
  <w:style w:type="paragraph" w:styleId="Heading1">
    <w:name w:val="heading 1"/>
    <w:next w:val="Normal"/>
    <w:link w:val="Heading1Char"/>
    <w:uiPriority w:val="9"/>
    <w:unhideWhenUsed/>
    <w:qFormat/>
    <w:rsid w:val="00AD1A9B"/>
    <w:pPr>
      <w:keepNext/>
      <w:keepLines/>
      <w:spacing w:after="1" w:line="249" w:lineRule="auto"/>
      <w:ind w:left="363" w:hanging="10"/>
      <w:outlineLvl w:val="0"/>
    </w:pPr>
    <w:rPr>
      <w:rFonts w:ascii="Bookman Old Style" w:eastAsia="Bookman Old Style" w:hAnsi="Bookman Old Style" w:cs="Bookman Old Style"/>
      <w:b/>
      <w:color w:val="C45911"/>
      <w:sz w:val="32"/>
    </w:rPr>
  </w:style>
  <w:style w:type="paragraph" w:styleId="Heading2">
    <w:name w:val="heading 2"/>
    <w:next w:val="Normal"/>
    <w:link w:val="Heading2Char"/>
    <w:uiPriority w:val="9"/>
    <w:unhideWhenUsed/>
    <w:qFormat/>
    <w:rsid w:val="00AD1A9B"/>
    <w:pPr>
      <w:keepNext/>
      <w:keepLines/>
      <w:spacing w:after="12" w:line="250" w:lineRule="auto"/>
      <w:ind w:left="1450" w:hanging="10"/>
      <w:outlineLvl w:val="1"/>
    </w:pPr>
    <w:rPr>
      <w:rFonts w:ascii="Bookman Old Style" w:eastAsia="Bookman Old Style" w:hAnsi="Bookman Old Style" w:cs="Bookman Old Style"/>
      <w:b/>
      <w:color w:val="007BB8"/>
      <w:sz w:val="32"/>
    </w:rPr>
  </w:style>
  <w:style w:type="paragraph" w:styleId="Heading3">
    <w:name w:val="heading 3"/>
    <w:next w:val="Normal"/>
    <w:link w:val="Heading3Char"/>
    <w:uiPriority w:val="9"/>
    <w:unhideWhenUsed/>
    <w:qFormat/>
    <w:rsid w:val="00AD1A9B"/>
    <w:pPr>
      <w:keepNext/>
      <w:keepLines/>
      <w:spacing w:after="167" w:line="267" w:lineRule="auto"/>
      <w:ind w:left="10" w:right="2" w:hanging="10"/>
      <w:jc w:val="both"/>
      <w:outlineLvl w:val="2"/>
    </w:pPr>
    <w:rPr>
      <w:rFonts w:ascii="Bookman Old Style" w:eastAsia="Bookman Old Style" w:hAnsi="Bookman Old Style" w:cs="Bookman Old Style"/>
      <w:b/>
      <w:color w:val="000000"/>
      <w:sz w:val="24"/>
    </w:rPr>
  </w:style>
  <w:style w:type="paragraph" w:styleId="Heading4">
    <w:name w:val="heading 4"/>
    <w:next w:val="Normal"/>
    <w:link w:val="Heading4Char"/>
    <w:uiPriority w:val="9"/>
    <w:unhideWhenUsed/>
    <w:qFormat/>
    <w:rsid w:val="00AD1A9B"/>
    <w:pPr>
      <w:keepNext/>
      <w:keepLines/>
      <w:spacing w:after="4" w:line="259" w:lineRule="auto"/>
      <w:ind w:left="372" w:hanging="10"/>
      <w:outlineLvl w:val="3"/>
    </w:pPr>
    <w:rPr>
      <w:rFonts w:ascii="Bookman Old Style" w:eastAsia="Bookman Old Style" w:hAnsi="Bookman Old Style" w:cs="Bookman Old Style"/>
      <w:b/>
      <w:color w:val="C00000"/>
      <w:sz w:val="24"/>
    </w:rPr>
  </w:style>
  <w:style w:type="paragraph" w:styleId="Heading5">
    <w:name w:val="heading 5"/>
    <w:next w:val="Normal"/>
    <w:link w:val="Heading5Char"/>
    <w:uiPriority w:val="9"/>
    <w:unhideWhenUsed/>
    <w:qFormat/>
    <w:rsid w:val="00AD1A9B"/>
    <w:pPr>
      <w:keepNext/>
      <w:keepLines/>
      <w:spacing w:after="167" w:line="267" w:lineRule="auto"/>
      <w:ind w:left="10" w:right="2" w:hanging="10"/>
      <w:jc w:val="both"/>
      <w:outlineLvl w:val="4"/>
    </w:pPr>
    <w:rPr>
      <w:rFonts w:ascii="Bookman Old Style" w:eastAsia="Bookman Old Style" w:hAnsi="Bookman Old Style" w:cs="Bookman Old Style"/>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9B"/>
    <w:rPr>
      <w:rFonts w:ascii="Bookman Old Style" w:eastAsia="Bookman Old Style" w:hAnsi="Bookman Old Style" w:cs="Bookman Old Style"/>
      <w:b/>
      <w:color w:val="C45911"/>
      <w:sz w:val="32"/>
    </w:rPr>
  </w:style>
  <w:style w:type="character" w:customStyle="1" w:styleId="Heading2Char">
    <w:name w:val="Heading 2 Char"/>
    <w:basedOn w:val="DefaultParagraphFont"/>
    <w:link w:val="Heading2"/>
    <w:uiPriority w:val="9"/>
    <w:rsid w:val="00AD1A9B"/>
    <w:rPr>
      <w:rFonts w:ascii="Bookman Old Style" w:eastAsia="Bookman Old Style" w:hAnsi="Bookman Old Style" w:cs="Bookman Old Style"/>
      <w:b/>
      <w:color w:val="007BB8"/>
      <w:sz w:val="32"/>
    </w:rPr>
  </w:style>
  <w:style w:type="character" w:customStyle="1" w:styleId="Heading3Char">
    <w:name w:val="Heading 3 Char"/>
    <w:basedOn w:val="DefaultParagraphFont"/>
    <w:link w:val="Heading3"/>
    <w:uiPriority w:val="9"/>
    <w:rsid w:val="00AD1A9B"/>
    <w:rPr>
      <w:rFonts w:ascii="Bookman Old Style" w:eastAsia="Bookman Old Style" w:hAnsi="Bookman Old Style" w:cs="Bookman Old Style"/>
      <w:b/>
      <w:color w:val="000000"/>
      <w:sz w:val="24"/>
    </w:rPr>
  </w:style>
  <w:style w:type="character" w:customStyle="1" w:styleId="Heading4Char">
    <w:name w:val="Heading 4 Char"/>
    <w:basedOn w:val="DefaultParagraphFont"/>
    <w:link w:val="Heading4"/>
    <w:uiPriority w:val="9"/>
    <w:rsid w:val="00AD1A9B"/>
    <w:rPr>
      <w:rFonts w:ascii="Bookman Old Style" w:eastAsia="Bookman Old Style" w:hAnsi="Bookman Old Style" w:cs="Bookman Old Style"/>
      <w:b/>
      <w:color w:val="C00000"/>
      <w:sz w:val="24"/>
    </w:rPr>
  </w:style>
  <w:style w:type="character" w:customStyle="1" w:styleId="Heading5Char">
    <w:name w:val="Heading 5 Char"/>
    <w:basedOn w:val="DefaultParagraphFont"/>
    <w:link w:val="Heading5"/>
    <w:uiPriority w:val="9"/>
    <w:rsid w:val="00AD1A9B"/>
    <w:rPr>
      <w:rFonts w:ascii="Bookman Old Style" w:eastAsia="Bookman Old Style" w:hAnsi="Bookman Old Style" w:cs="Bookman Old Style"/>
      <w:b/>
      <w:color w:val="000000"/>
      <w:sz w:val="24"/>
    </w:rPr>
  </w:style>
  <w:style w:type="paragraph" w:styleId="Header">
    <w:name w:val="header"/>
    <w:basedOn w:val="Normal"/>
    <w:link w:val="HeaderChar"/>
    <w:uiPriority w:val="99"/>
    <w:unhideWhenUsed/>
    <w:rsid w:val="00AD1A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A9B"/>
    <w:rPr>
      <w:rFonts w:ascii="Bookman Old Style" w:eastAsia="Bookman Old Style" w:hAnsi="Bookman Old Style" w:cs="Bookman Old Style"/>
      <w:color w:val="000000"/>
      <w:sz w:val="24"/>
    </w:rPr>
  </w:style>
  <w:style w:type="paragraph" w:styleId="Footer">
    <w:name w:val="footer"/>
    <w:basedOn w:val="Normal"/>
    <w:link w:val="FooterChar"/>
    <w:uiPriority w:val="99"/>
    <w:unhideWhenUsed/>
    <w:rsid w:val="00AD1A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A9B"/>
    <w:rPr>
      <w:rFonts w:ascii="Bookman Old Style" w:eastAsia="Bookman Old Style" w:hAnsi="Bookman Old Style" w:cs="Bookman Old Style"/>
      <w:color w:val="000000"/>
      <w:sz w:val="24"/>
    </w:rPr>
  </w:style>
  <w:style w:type="paragraph" w:styleId="BalloonText">
    <w:name w:val="Balloon Text"/>
    <w:basedOn w:val="Normal"/>
    <w:link w:val="BalloonTextChar"/>
    <w:uiPriority w:val="99"/>
    <w:semiHidden/>
    <w:unhideWhenUsed/>
    <w:rsid w:val="00AD1A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A9B"/>
    <w:rPr>
      <w:rFonts w:ascii="Tahoma" w:eastAsia="Bookman Old Style"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cp:lastPrinted>2025-10-17T10:01:00Z</cp:lastPrinted>
  <dcterms:created xsi:type="dcterms:W3CDTF">2025-10-17T09:24:00Z</dcterms:created>
  <dcterms:modified xsi:type="dcterms:W3CDTF">2025-10-17T12:29:00Z</dcterms:modified>
</cp:coreProperties>
</file>