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DeckRender Visual Engine Acceptance Report</w:t>
      </w:r>
    </w:p>
    <w:p>
      <w:pPr>
        <w:pStyle w:val="IntenseQuote"/>
      </w:pPr>
      <w:r>
        <w:t>Independent verification baseline for multi-format document rendering.</w:t>
      </w:r>
    </w:p>
    <w:p>
      <w:pPr>
        <w:pStyle w:val="Heading1"/>
      </w:pPr>
      <w:r>
        <w:t>1. Executive Summary &amp; Architecture</w:t>
      </w:r>
    </w:p>
    <w:p>
      <w:r>
        <w:t>DeckRender provides a unified document rendering interface across command-line and programmatic Node.js SDK targets. The architecture guarantees air-gapped privacy boundary on local engines while routing complex proprietary formats to cloud transformation services.</w:t>
      </w:r>
    </w:p>
    <w:p>
      <w:r>
        <w:rPr>
          <w:b/>
        </w:rPr>
        <w:t>Key Architectural Tenets:</w:t>
      </w:r>
    </w:p>
    <w:p>
      <w:pPr>
        <w:pStyle w:val="ListBullet"/>
      </w:pPr>
      <w:r>
        <w:t>• Local-first routing preference under auto mode</w:t>
      </w:r>
    </w:p>
    <w:p>
      <w:pPr>
        <w:pStyle w:val="ListBullet"/>
      </w:pPr>
      <w:r>
        <w:t>• Explicit failure on planned but unimplemented formats (e.g. Pages/Numbers)</w:t>
      </w:r>
    </w:p>
    <w:p>
      <w:pPr>
        <w:pStyle w:val="ListBullet"/>
      </w:pPr>
      <w:r>
        <w:t>• Strict preservation of document page ordering and dimensions</w:t>
      </w:r>
    </w:p>
    <w:p>
      <w:pPr>
        <w:pStyle w:val="ListBullet"/>
      </w:pPr>
      <w:r>
        <w:t>• Zero network leakage for local PPTX and PDF rendering routes</w:t>
      </w:r>
    </w:p>
    <w:p>
      <w:r>
        <w:br w:type="page"/>
      </w:r>
    </w:p>
    <w:p>
      <w:pPr>
        <w:pStyle w:val="Heading1"/>
      </w:pPr>
      <w:r>
        <w:t>2. Benchmark Specifications &amp; Matrix</w:t>
      </w:r>
    </w:p>
    <w:p>
      <w:r>
        <w:t>The test corpus validates supported and rejected format conversions across CLI and SDK interfaces: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Input 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Engine Selection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Rule</w:t>
            </w:r>
          </w:p>
        </w:tc>
      </w:tr>
      <w:tr>
        <w:tc>
          <w:tcPr>
            <w:tcW w:type="dxa" w:w="2160"/>
          </w:tcPr>
          <w:p>
            <w:r>
              <w:t>PPTX</w:t>
            </w:r>
          </w:p>
        </w:tc>
        <w:tc>
          <w:tcPr>
            <w:tcW w:type="dxa" w:w="2160"/>
          </w:tcPr>
          <w:p>
            <w:r>
              <w:t>image (PNG/JPG/WebP)</w:t>
            </w:r>
          </w:p>
        </w:tc>
        <w:tc>
          <w:tcPr>
            <w:tcW w:type="dxa" w:w="2160"/>
          </w:tcPr>
          <w:p>
            <w:r>
              <w:t>Local / Cloud</w:t>
            </w:r>
          </w:p>
        </w:tc>
        <w:tc>
          <w:tcPr>
            <w:tcW w:type="dxa" w:w="2160"/>
          </w:tcPr>
          <w:p>
            <w:r>
              <w:t>Decodable frames, ordered pages</w:t>
            </w:r>
          </w:p>
        </w:tc>
      </w:tr>
      <w:tr>
        <w:tc>
          <w:tcPr>
            <w:tcW w:type="dxa" w:w="2160"/>
          </w:tcPr>
          <w:p>
            <w:r>
              <w:t>PPTX</w:t>
            </w:r>
          </w:p>
        </w:tc>
        <w:tc>
          <w:tcPr>
            <w:tcW w:type="dxa" w:w="2160"/>
          </w:tcPr>
          <w:p>
            <w:r>
              <w:t>video (MP4)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Accurate duration, valid container</w:t>
            </w:r>
          </w:p>
        </w:tc>
      </w:tr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image / pdf</w:t>
            </w:r>
          </w:p>
        </w:tc>
        <w:tc>
          <w:tcPr>
            <w:tcW w:type="dxa" w:w="2160"/>
          </w:tcPr>
          <w:p>
            <w:r>
              <w:t>Local / Cloud</w:t>
            </w:r>
          </w:p>
        </w:tc>
        <w:tc>
          <w:tcPr>
            <w:tcW w:type="dxa" w:w="2160"/>
          </w:tcPr>
          <w:p>
            <w:r>
              <w:t>Native resolution, selectable text</w:t>
            </w:r>
          </w:p>
        </w:tc>
      </w:tr>
      <w:tr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image / pdf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Full document flow, table layout</w:t>
            </w:r>
          </w:p>
        </w:tc>
      </w:tr>
      <w:tr>
        <w:tc>
          <w:tcPr>
            <w:tcW w:type="dxa" w:w="2160"/>
          </w:tcPr>
          <w:p>
            <w:r>
              <w:t>Keynote</w:t>
            </w:r>
          </w:p>
        </w:tc>
        <w:tc>
          <w:tcPr>
            <w:tcW w:type="dxa" w:w="2160"/>
          </w:tcPr>
          <w:p>
            <w:r>
              <w:t>image / pdf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IWA bundle extraction, master layout</w:t>
            </w:r>
          </w:p>
        </w:tc>
      </w:tr>
    </w:tbl>
    <w:p>
      <w:r>
        <w:br w:type="page"/>
      </w:r>
    </w:p>
    <w:p>
      <w:pPr>
        <w:pStyle w:val="Heading1"/>
      </w:pPr>
      <w:r>
        <w:t>3. Compliance &amp; Quality Affirmation</w:t>
      </w:r>
    </w:p>
    <w:p>
      <w:r>
        <w:t>All rendering outputs undergo multi-tier automated checks including channel variance, OCR text coverage, aspect ratio fidelity, and machine-verifiable exit codes. Formal releases require passing all gate assertions and preserving full traceability.</w:t>
      </w:r>
    </w:p>
    <w:p>
      <w:r>
        <w:t>Reviewed and approved by DeckRender Independent Acceptance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