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3" w:name="content"/>
    <w:bookmarkStart w:id="122" w:name="X31093a843f05d7ecf16a21e581d635c24c1133d"/>
    <w:p>
      <w:pPr>
        <w:pStyle w:val="Heading1"/>
      </w:pPr>
      <w:r>
        <w:t xml:space="preserve">Top-of-Mind Strategic Risk Themes for a CIB CRO (2025–2026)</w:t>
      </w:r>
    </w:p>
    <w:bookmarkStart w:id="39" w:name="executive-summary"/>
    <w:p>
      <w:pPr>
        <w:pStyle w:val="Heading2"/>
      </w:pPr>
      <w:r>
        <w:t xml:space="preserve">1. Executive Summary</w:t>
      </w:r>
    </w:p>
    <w:p>
      <w:pPr>
        <w:pStyle w:val="FirstParagraph"/>
      </w:pPr>
      <w:r>
        <w:rPr>
          <w:b/>
          <w:bCs/>
        </w:rPr>
        <w:t xml:space="preserve">Top Strategic Risk Themes (2025–2026):</w:t>
      </w:r>
      <w:r>
        <w:t xml:space="preserve"> </w:t>
      </w:r>
      <w:r>
        <w:t xml:space="preserve">The Chief Risk Officer (CRO) of a G-SIB Corporate &amp; Investment Bank faces an unprecedented convergence of macroeconomic uncertainty, market volatility, regulatory upheaval, and technological disruption. Key themes demanding immediate attention include:</w:t>
      </w:r>
    </w:p>
    <w:p>
      <w:pPr>
        <w:numPr>
          <w:ilvl w:val="0"/>
          <w:numId w:val="1001"/>
        </w:numPr>
      </w:pPr>
      <w:r>
        <w:rPr>
          <w:b/>
          <w:bCs/>
        </w:rPr>
        <w:t xml:space="preserve">Persistent Inflation &amp; “Higher-for-Longer” Rates:</w:t>
      </w:r>
      <w:r>
        <w:t xml:space="preserve"> </w:t>
      </w:r>
      <w:r>
        <w:t xml:space="preserve">Even as inflation has moderated from its 2022–2023 highs, core prices remain above central bank targets in major economies. Policymakers signal a</w:t>
      </w:r>
      <w:r>
        <w:t xml:space="preserve"> </w:t>
      </w:r>
      <w:r>
        <w:rPr>
          <w:i/>
          <w:iCs/>
        </w:rPr>
        <w:t xml:space="preserve">“higher for longer”</w:t>
      </w:r>
      <w:r>
        <w:t xml:space="preserve"> </w:t>
      </w:r>
      <w:r>
        <w:t xml:space="preserve">interest rate regime, creating potential for a</w:t>
      </w:r>
      <w:r>
        <w:t xml:space="preserve"> </w:t>
      </w:r>
      <w:r>
        <w:rPr>
          <w:b/>
          <w:bCs/>
        </w:rPr>
        <w:t xml:space="preserve">hard landing</w:t>
      </w:r>
      <w:r>
        <w:t xml:space="preserve"> </w:t>
      </w:r>
      <w:r>
        <w:t xml:space="preserve">scenario if monetary tightening overshoots</w:t>
      </w:r>
      <w:hyperlink r:id="rId21">
        <w:r>
          <w:rPr>
            <w:rStyle w:val="Hyperlink"/>
          </w:rPr>
          <w:t xml:space="preserve">[1]</w:t>
        </w:r>
      </w:hyperlink>
      <w:r>
        <w:t xml:space="preserve">. This environment pressures credit costs, diminishes carry trades, and stresses interest-rate sensitive assets (e.g. commercial real estate). The CRO must monitor yield curves, real rates, and inflation breakevens, preparing for both a gradual disinflation scenario and a stagflationary shock.</w:t>
      </w:r>
    </w:p>
    <w:p>
      <w:pPr>
        <w:numPr>
          <w:ilvl w:val="0"/>
          <w:numId w:val="1001"/>
        </w:numPr>
      </w:pPr>
      <w:r>
        <w:rPr>
          <w:b/>
          <w:bCs/>
        </w:rPr>
        <w:t xml:space="preserve">Credit Cycle Turn &amp; Default Clusters:</w:t>
      </w:r>
      <w:r>
        <w:t xml:space="preserve"> </w:t>
      </w:r>
      <w:r>
        <w:t xml:space="preserve">The benign credit conditions of the 2010s have reversed.</w:t>
      </w:r>
      <w:r>
        <w:t xml:space="preserve"> </w:t>
      </w:r>
      <w:r>
        <w:rPr>
          <w:b/>
          <w:bCs/>
        </w:rPr>
        <w:t xml:space="preserve">Speculative-grade defaults</w:t>
      </w:r>
      <w:r>
        <w:t xml:space="preserve"> </w:t>
      </w:r>
      <w:r>
        <w:t xml:space="preserve">have risen in 2024, especially in leveraged loans and private credit portfolios, with</w:t>
      </w:r>
      <w:r>
        <w:t xml:space="preserve"> </w:t>
      </w:r>
      <w:r>
        <w:rPr>
          <w:b/>
          <w:bCs/>
        </w:rPr>
        <w:t xml:space="preserve">default rates in leveraged loans reaching ~5–6%</w:t>
      </w:r>
      <w:hyperlink r:id="rId22">
        <w:r>
          <w:rPr>
            <w:rStyle w:val="Hyperlink"/>
            <w:b/>
            <w:bCs/>
          </w:rPr>
          <w:t xml:space="preserve">[2]</w:t>
        </w:r>
      </w:hyperlink>
      <w:r>
        <w:t xml:space="preserve">. Segments like</w:t>
      </w:r>
      <w:r>
        <w:t xml:space="preserve"> </w:t>
      </w:r>
      <w:r>
        <w:rPr>
          <w:b/>
          <w:bCs/>
        </w:rPr>
        <w:t xml:space="preserve">office commercial real estate</w:t>
      </w:r>
      <w:r>
        <w:t xml:space="preserve"> </w:t>
      </w:r>
      <w:r>
        <w:t xml:space="preserve">face structural vacancies and refinancing risks as interest-only loans mature</w:t>
      </w:r>
      <w:hyperlink r:id="rId23">
        <w:r>
          <w:rPr>
            <w:rStyle w:val="Hyperlink"/>
          </w:rPr>
          <w:t xml:space="preserve">[3]</w:t>
        </w:r>
      </w:hyperlink>
      <w:r>
        <w:t xml:space="preserve">. The CRO should track high-yield spreads, covenant breaches, and non-performing loan (NPL) trends. Concentrations in</w:t>
      </w:r>
      <w:r>
        <w:t xml:space="preserve"> </w:t>
      </w:r>
      <w:r>
        <w:rPr>
          <w:i/>
          <w:iCs/>
        </w:rPr>
        <w:t xml:space="preserve">leveraged finance</w:t>
      </w:r>
      <w:r>
        <w:t xml:space="preserve"> </w:t>
      </w:r>
      <w:r>
        <w:t xml:space="preserve">and</w:t>
      </w:r>
      <w:r>
        <w:t xml:space="preserve"> </w:t>
      </w:r>
      <w:r>
        <w:rPr>
          <w:i/>
          <w:iCs/>
        </w:rPr>
        <w:t xml:space="preserve">sponsor-backed lending</w:t>
      </w:r>
      <w:r>
        <w:t xml:space="preserve"> </w:t>
      </w:r>
      <w:r>
        <w:t xml:space="preserve">warrant enhanced limits and early-warning triggers (e.g. credit downgrades, market-to-market hits on loan inventory).</w:t>
      </w:r>
    </w:p>
    <w:p>
      <w:pPr>
        <w:numPr>
          <w:ilvl w:val="0"/>
          <w:numId w:val="1001"/>
        </w:numPr>
      </w:pPr>
      <w:r>
        <w:rPr>
          <w:b/>
          <w:bCs/>
        </w:rPr>
        <w:t xml:space="preserve">Market Liquidity Fragility:</w:t>
      </w:r>
      <w:r>
        <w:t xml:space="preserve"> </w:t>
      </w:r>
      <w:r>
        <w:t xml:space="preserve">Post-pandemic</w:t>
      </w:r>
      <w:r>
        <w:t xml:space="preserve"> </w:t>
      </w:r>
      <w:r>
        <w:rPr>
          <w:b/>
          <w:bCs/>
        </w:rPr>
        <w:t xml:space="preserve">quantitative tightening (QT)</w:t>
      </w:r>
      <w:r>
        <w:t xml:space="preserve"> </w:t>
      </w:r>
      <w:r>
        <w:t xml:space="preserve">and pending</w:t>
      </w:r>
      <w:r>
        <w:t xml:space="preserve"> </w:t>
      </w:r>
      <w:r>
        <w:rPr>
          <w:b/>
          <w:bCs/>
        </w:rPr>
        <w:t xml:space="preserve">Basel III “Endgame”</w:t>
      </w:r>
      <w:r>
        <w:t xml:space="preserve"> </w:t>
      </w:r>
      <w:r>
        <w:t xml:space="preserve">capital rules are altering market liquidity. Dealer balance sheets are constrained by higher capital charges (FRTB for trading risk, leverage ratio impacts on repos), reducing market-making capacity in stress</w:t>
      </w:r>
      <w:hyperlink r:id="rId24">
        <w:r>
          <w:rPr>
            <w:rStyle w:val="Hyperlink"/>
          </w:rPr>
          <w:t xml:space="preserve">[4]</w:t>
        </w:r>
      </w:hyperlink>
      <w:hyperlink r:id="rId25">
        <w:r>
          <w:rPr>
            <w:rStyle w:val="Hyperlink"/>
          </w:rPr>
          <w:t xml:space="preserve">[5]</w:t>
        </w:r>
      </w:hyperlink>
      <w:r>
        <w:t xml:space="preserve">. Episodes like the 2022 UK gilts crisis and 2023 U.S. regional bank shock highlight the risk of</w:t>
      </w:r>
      <w:r>
        <w:t xml:space="preserve"> </w:t>
      </w:r>
      <w:r>
        <w:rPr>
          <w:b/>
          <w:bCs/>
        </w:rPr>
        <w:t xml:space="preserve">sudden liquidity evaporation</w:t>
      </w:r>
      <w:r>
        <w:t xml:space="preserve">. The CRO must monitor liquidity proxies (bid-ask spreads, market depth metrics, repo rates) and ensure robust</w:t>
      </w:r>
      <w:r>
        <w:t xml:space="preserve"> </w:t>
      </w:r>
      <w:r>
        <w:rPr>
          <w:b/>
          <w:bCs/>
        </w:rPr>
        <w:t xml:space="preserve">contingency funding plans</w:t>
      </w:r>
      <w:r>
        <w:t xml:space="preserve">. Intraday liquidity risk is also elevated, as large margin calls or payment demands can materialize rapidly under stressed conditions.</w:t>
      </w:r>
    </w:p>
    <w:p>
      <w:pPr>
        <w:numPr>
          <w:ilvl w:val="0"/>
          <w:numId w:val="1001"/>
        </w:numPr>
      </w:pPr>
      <w:r>
        <w:rPr>
          <w:b/>
          <w:bCs/>
        </w:rPr>
        <w:t xml:space="preserve">Geopolitical &amp; Commodity Shocks:</w:t>
      </w:r>
      <w:r>
        <w:t xml:space="preserve"> </w:t>
      </w:r>
      <w:r>
        <w:t xml:space="preserve">Geopolitical tensions (e.g. an escalation in Eastern Europe or the Middle East) and</w:t>
      </w:r>
      <w:r>
        <w:t xml:space="preserve"> </w:t>
      </w:r>
      <w:r>
        <w:rPr>
          <w:b/>
          <w:bCs/>
        </w:rPr>
        <w:t xml:space="preserve">critical commodity supply risks</w:t>
      </w:r>
      <w:r>
        <w:t xml:space="preserve"> </w:t>
      </w:r>
      <w:r>
        <w:t xml:space="preserve">remain elevated. Energy markets are one flashpoint: an abrupt oil/gas supply shock could reignite inflation and spike volatility in rates and FX. Additionally,</w:t>
      </w:r>
      <w:r>
        <w:t xml:space="preserve"> </w:t>
      </w:r>
      <w:r>
        <w:rPr>
          <w:i/>
          <w:iCs/>
        </w:rPr>
        <w:t xml:space="preserve">critical materials</w:t>
      </w:r>
      <w:r>
        <w:t xml:space="preserve"> </w:t>
      </w:r>
      <w:r>
        <w:t xml:space="preserve">(semiconductor components, rare earths) are subject to export restrictions and could disrupt industrial supply chains. The CRO should incorporate</w:t>
      </w:r>
      <w:r>
        <w:t xml:space="preserve"> </w:t>
      </w:r>
      <w:r>
        <w:rPr>
          <w:b/>
          <w:bCs/>
        </w:rPr>
        <w:t xml:space="preserve">geopolitical scenario analyses</w:t>
      </w:r>
      <w:r>
        <w:t xml:space="preserve"> </w:t>
      </w:r>
      <w:r>
        <w:t xml:space="preserve">– e.g. an abrupt 20% oil price spike or a sanctions event – and monitor cross-asset early warning indicators (commodity vol, freight rates, geopolitical risk indices). These shocks can propagate into counterparty stress (through exposed trading firms) and margin calls on commodity derivatives.</w:t>
      </w:r>
    </w:p>
    <w:p>
      <w:pPr>
        <w:numPr>
          <w:ilvl w:val="0"/>
          <w:numId w:val="1001"/>
        </w:numPr>
      </w:pPr>
      <w:r>
        <w:rPr>
          <w:b/>
          <w:bCs/>
        </w:rPr>
        <w:t xml:space="preserve">Regulatory Upheaval &amp; Supervisory Scrutiny:</w:t>
      </w:r>
      <w:r>
        <w:t xml:space="preserve"> </w:t>
      </w:r>
      <w:r>
        <w:t xml:space="preserve">The 2025–26 period brings a climactic wave of regulatory change.</w:t>
      </w:r>
      <w:r>
        <w:t xml:space="preserve"> </w:t>
      </w:r>
      <w:r>
        <w:rPr>
          <w:b/>
          <w:bCs/>
        </w:rPr>
        <w:t xml:space="preserve">Basel III Finalization (“Basel Endgame”)</w:t>
      </w:r>
      <w:r>
        <w:t xml:space="preserve"> </w:t>
      </w:r>
      <w:r>
        <w:t xml:space="preserve">is set to raise G-SIB capital requirements (estimated +5–15% RWA inflation for many banks by 2028) through output floors and revised risk models</w:t>
      </w:r>
      <w:hyperlink r:id="rId26">
        <w:r>
          <w:rPr>
            <w:rStyle w:val="Hyperlink"/>
          </w:rPr>
          <w:t xml:space="preserve">[6]</w:t>
        </w:r>
      </w:hyperlink>
      <w:hyperlink r:id="rId27">
        <w:r>
          <w:rPr>
            <w:rStyle w:val="Hyperlink"/>
          </w:rPr>
          <w:t xml:space="preserve">[7]</w:t>
        </w:r>
      </w:hyperlink>
      <w:r>
        <w:t xml:space="preserve">. In parallel, regulators are intensifying</w:t>
      </w:r>
      <w:r>
        <w:t xml:space="preserve"> </w:t>
      </w:r>
      <w:r>
        <w:rPr>
          <w:b/>
          <w:bCs/>
        </w:rPr>
        <w:t xml:space="preserve">climate risk</w:t>
      </w:r>
      <w:r>
        <w:t xml:space="preserve"> </w:t>
      </w:r>
      <w:r>
        <w:t xml:space="preserve">expectations (climate scenario analyses moving into regular supervision),</w:t>
      </w:r>
      <w:r>
        <w:t xml:space="preserve"> </w:t>
      </w:r>
      <w:r>
        <w:rPr>
          <w:b/>
          <w:bCs/>
        </w:rPr>
        <w:t xml:space="preserve">operational resilience</w:t>
      </w:r>
      <w:r>
        <w:t xml:space="preserve"> </w:t>
      </w:r>
      <w:r>
        <w:t xml:space="preserve">standards (strict uptime and recovery requirements), and new rules for</w:t>
      </w:r>
      <w:r>
        <w:t xml:space="preserve"> </w:t>
      </w:r>
      <w:r>
        <w:rPr>
          <w:b/>
          <w:bCs/>
        </w:rPr>
        <w:t xml:space="preserve">digital assets</w:t>
      </w:r>
      <w:r>
        <w:t xml:space="preserve"> </w:t>
      </w:r>
      <w:r>
        <w:t xml:space="preserve">and</w:t>
      </w:r>
      <w:r>
        <w:t xml:space="preserve"> </w:t>
      </w:r>
      <w:r>
        <w:rPr>
          <w:b/>
          <w:bCs/>
        </w:rPr>
        <w:t xml:space="preserve">AI</w:t>
      </w:r>
      <w:r>
        <w:t xml:space="preserve">. Uncertainty is high in the US, where crypto activities lacked a clear framework until recently, and AI governance is emerging via guidance rather than formal rules. Heightened supervisory scrutiny means CROs must anticipate</w:t>
      </w:r>
      <w:r>
        <w:t xml:space="preserve"> </w:t>
      </w:r>
      <w:r>
        <w:rPr>
          <w:i/>
          <w:iCs/>
        </w:rPr>
        <w:t xml:space="preserve">“what’s next”</w:t>
      </w:r>
      <w:r>
        <w:t xml:space="preserve"> </w:t>
      </w:r>
      <w:r>
        <w:t xml:space="preserve">– from the Fundamental Review of the Trading Book (FRTB) implementation to potential capital treatment for climate exposures – and actively engage regulators. Failing to meet evolving expectations (e.g. on model risk management or third-party oversight) could trigger restrictions or capital add-ons.</w:t>
      </w:r>
    </w:p>
    <w:p>
      <w:pPr>
        <w:numPr>
          <w:ilvl w:val="0"/>
          <w:numId w:val="1001"/>
        </w:numPr>
      </w:pPr>
      <w:r>
        <w:rPr>
          <w:b/>
          <w:bCs/>
        </w:rPr>
        <w:t xml:space="preserve">Digital Assets (Crypto) – Emerging Mainstream Risks:</w:t>
      </w:r>
      <w:r>
        <w:t xml:space="preserve"> </w:t>
      </w:r>
      <w:r>
        <w:t xml:space="preserve">Crypto-assets have moved from fringe to mainstream consideration.</w:t>
      </w:r>
      <w:r>
        <w:t xml:space="preserve"> </w:t>
      </w:r>
      <w:r>
        <w:rPr>
          <w:b/>
          <w:bCs/>
        </w:rPr>
        <w:t xml:space="preserve">Institutional adoption is accelerating</w:t>
      </w:r>
      <w:r>
        <w:t xml:space="preserve"> </w:t>
      </w:r>
      <w:r>
        <w:t xml:space="preserve">– by mid-2025, global Bitcoin ETF assets under management reached ~$180 billion</w:t>
      </w:r>
      <w:hyperlink r:id="rId28">
        <w:r>
          <w:rPr>
            <w:rStyle w:val="Hyperlink"/>
          </w:rPr>
          <w:t xml:space="preserve">[8]</w:t>
        </w:r>
      </w:hyperlink>
      <w:r>
        <w:t xml:space="preserve"> </w:t>
      </w:r>
      <w:r>
        <w:t xml:space="preserve">– embedding crypto market volatility more deeply into traditional finance. Stablecoins (like USDT and USDC) now facilitate</w:t>
      </w:r>
      <w:r>
        <w:t xml:space="preserve"> </w:t>
      </w:r>
      <w:r>
        <w:rPr>
          <w:i/>
          <w:iCs/>
        </w:rPr>
        <w:t xml:space="preserve">trillions in monthly transactions</w:t>
      </w:r>
      <w:r>
        <w:t xml:space="preserve">, extending the US dollar’s reach but posing reserve and run risks</w:t>
      </w:r>
      <w:hyperlink r:id="rId29">
        <w:r>
          <w:rPr>
            <w:rStyle w:val="Hyperlink"/>
          </w:rPr>
          <w:t xml:space="preserve">[9]</w:t>
        </w:r>
      </w:hyperlink>
      <w:hyperlink r:id="rId30">
        <w:r>
          <w:rPr>
            <w:rStyle w:val="Hyperlink"/>
          </w:rPr>
          <w:t xml:space="preserve">[10]</w:t>
        </w:r>
      </w:hyperlink>
      <w:r>
        <w:t xml:space="preserve">. Meanwhile, regulatory bodies (BIS, FSB) warn that unchecked crypto activity could threaten financial stability</w:t>
      </w:r>
      <w:hyperlink r:id="rId31">
        <w:r>
          <w:rPr>
            <w:rStyle w:val="Hyperlink"/>
          </w:rPr>
          <w:t xml:space="preserve">[11]</w:t>
        </w:r>
      </w:hyperlink>
      <w:r>
        <w:t xml:space="preserve">. For the CRO, crypto brings 24/7 markets with extreme tail risks, calling for new risk taxonomies, real-time monitoring, and cautious</w:t>
      </w:r>
      <w:r>
        <w:t xml:space="preserve"> </w:t>
      </w:r>
      <w:r>
        <w:rPr>
          <w:b/>
          <w:bCs/>
        </w:rPr>
        <w:t xml:space="preserve">risk appetite</w:t>
      </w:r>
      <w:r>
        <w:t xml:space="preserve"> </w:t>
      </w:r>
      <w:r>
        <w:t xml:space="preserve">limits (the Basel Committee’s new standard mandates</w:t>
      </w:r>
      <w:r>
        <w:t xml:space="preserve"> </w:t>
      </w:r>
      <w:r>
        <w:rPr>
          <w:i/>
          <w:iCs/>
        </w:rPr>
        <w:t xml:space="preserve">conservative capital treatment</w:t>
      </w:r>
      <w:r>
        <w:t xml:space="preserve">, effectively 100% capital against many crypto exposures</w:t>
      </w:r>
      <w:hyperlink r:id="rId32">
        <w:r>
          <w:rPr>
            <w:rStyle w:val="Hyperlink"/>
          </w:rPr>
          <w:t xml:space="preserve">[12]</w:t>
        </w:r>
      </w:hyperlink>
      <w:r>
        <w:t xml:space="preserve">). A detailed</w:t>
      </w:r>
      <w:r>
        <w:t xml:space="preserve"> </w:t>
      </w:r>
      <w:r>
        <w:rPr>
          <w:b/>
          <w:bCs/>
        </w:rPr>
        <w:t xml:space="preserve">Crypto Risk Agenda</w:t>
      </w:r>
      <w:r>
        <w:t xml:space="preserve"> </w:t>
      </w:r>
      <w:r>
        <w:t xml:space="preserve">is provided in Section 4.</w:t>
      </w:r>
    </w:p>
    <w:p>
      <w:pPr>
        <w:numPr>
          <w:ilvl w:val="0"/>
          <w:numId w:val="1001"/>
        </w:numPr>
      </w:pPr>
      <w:r>
        <w:rPr>
          <w:b/>
          <w:bCs/>
        </w:rPr>
        <w:t xml:space="preserve">AI/ML and Model Risk – A New Frontier of Risk Management:</w:t>
      </w:r>
      <w:r>
        <w:t xml:space="preserve"> </w:t>
      </w:r>
      <w:r>
        <w:rPr>
          <w:b/>
          <w:bCs/>
        </w:rPr>
        <w:t xml:space="preserve">Artificial Intelligence (AI)</w:t>
      </w:r>
      <w:r>
        <w:t xml:space="preserve"> </w:t>
      </w:r>
      <w:r>
        <w:t xml:space="preserve">– particularly large language models (LLMs) and advanced machine learning – is transforming CIB front-to-back processes, from trading algorithms to AML compliance. This transformation is double-edged: AI promises efficiency and insight, but introduces</w:t>
      </w:r>
      <w:r>
        <w:t xml:space="preserve"> </w:t>
      </w:r>
      <w:r>
        <w:rPr>
          <w:b/>
          <w:bCs/>
        </w:rPr>
        <w:t xml:space="preserve">opaque “black-box” models</w:t>
      </w:r>
      <w:r>
        <w:t xml:space="preserve">, new failure modes (bias, drift, adversarial attacks), and potential systemic risks if widely adopted models err in unison</w:t>
      </w:r>
      <w:hyperlink r:id="rId33">
        <w:r>
          <w:rPr>
            <w:rStyle w:val="Hyperlink"/>
          </w:rPr>
          <w:t xml:space="preserve">[13]</w:t>
        </w:r>
      </w:hyperlink>
      <w:hyperlink r:id="rId34">
        <w:r>
          <w:rPr>
            <w:rStyle w:val="Hyperlink"/>
          </w:rPr>
          <w:t xml:space="preserve">[14]</w:t>
        </w:r>
      </w:hyperlink>
      <w:r>
        <w:t xml:space="preserve">. Regulators are responding: the EU’s</w:t>
      </w:r>
      <w:r>
        <w:t xml:space="preserve"> </w:t>
      </w:r>
      <w:r>
        <w:rPr>
          <w:b/>
          <w:bCs/>
        </w:rPr>
        <w:t xml:space="preserve">AI Act</w:t>
      </w:r>
      <w:r>
        <w:t xml:space="preserve"> </w:t>
      </w:r>
      <w:r>
        <w:t xml:space="preserve">(formally adopted 2024) will impose stringent requirements on “high-risk” AI in finance (e.g. credit underwriting models must have transparency, human oversight, and robustness by 2026)</w:t>
      </w:r>
      <w:hyperlink r:id="rId35">
        <w:r>
          <w:rPr>
            <w:rStyle w:val="Hyperlink"/>
          </w:rPr>
          <w:t xml:space="preserve">[15]</w:t>
        </w:r>
      </w:hyperlink>
      <w:hyperlink r:id="rId36">
        <w:r>
          <w:rPr>
            <w:rStyle w:val="Hyperlink"/>
          </w:rPr>
          <w:t xml:space="preserve">[16]</w:t>
        </w:r>
      </w:hyperlink>
      <w:r>
        <w:t xml:space="preserve">. In the US, regulators (Fed/OCC/FDIC) stress that AI models are subject to existing model risk management standards (SR 11-7), and the Financial Stability Board (FSB) in late 2024 called for urgent action to address AI’s systemic implications</w:t>
      </w:r>
      <w:hyperlink r:id="rId37">
        <w:r>
          <w:rPr>
            <w:rStyle w:val="Hyperlink"/>
          </w:rPr>
          <w:t xml:space="preserve">[17]</w:t>
        </w:r>
      </w:hyperlink>
      <w:hyperlink r:id="rId38">
        <w:r>
          <w:rPr>
            <w:rStyle w:val="Hyperlink"/>
          </w:rPr>
          <w:t xml:space="preserve">[18]</w:t>
        </w:r>
      </w:hyperlink>
      <w:r>
        <w:t xml:space="preserve">. The CRO must elevate AI risk to a</w:t>
      </w:r>
      <w:r>
        <w:t xml:space="preserve"> </w:t>
      </w:r>
      <w:r>
        <w:rPr>
          <w:b/>
          <w:bCs/>
        </w:rPr>
        <w:t xml:space="preserve">first-order priority</w:t>
      </w:r>
      <w:r>
        <w:t xml:space="preserve"> </w:t>
      </w:r>
      <w:r>
        <w:t xml:space="preserve">– ensuring an effective governance framework, validation of AI models, controls on data and third-party AI providers, and preparedness for</w:t>
      </w:r>
      <w:r>
        <w:t xml:space="preserve"> </w:t>
      </w:r>
      <w:r>
        <w:rPr>
          <w:b/>
          <w:bCs/>
        </w:rPr>
        <w:t xml:space="preserve">AI-driven market disruptions</w:t>
      </w:r>
      <w:r>
        <w:t xml:space="preserve">. A comprehensive</w:t>
      </w:r>
      <w:r>
        <w:t xml:space="preserve"> </w:t>
      </w:r>
      <w:r>
        <w:rPr>
          <w:b/>
          <w:bCs/>
        </w:rPr>
        <w:t xml:space="preserve">AI Risk Agenda</w:t>
      </w:r>
      <w:r>
        <w:t xml:space="preserve"> </w:t>
      </w:r>
      <w:r>
        <w:t xml:space="preserve">is provided in Section 5.</w:t>
      </w:r>
    </w:p>
    <w:p>
      <w:pPr>
        <w:pStyle w:val="FirstParagraph"/>
      </w:pPr>
      <w:r>
        <w:rPr>
          <w:b/>
          <w:bCs/>
        </w:rPr>
        <w:t xml:space="preserve">CRO 12–24 Month Priorities:</w:t>
      </w:r>
      <w:r>
        <w:t xml:space="preserve"> </w:t>
      </w:r>
      <w:r>
        <w:t xml:space="preserve">In light of these themes, the CRO’s strategic to-do list includes: (1)</w:t>
      </w:r>
      <w:r>
        <w:t xml:space="preserve"> </w:t>
      </w:r>
      <w:r>
        <w:rPr>
          <w:b/>
          <w:bCs/>
        </w:rPr>
        <w:t xml:space="preserve">Refresh Risk Taxonomy &amp; Appetite</w:t>
      </w:r>
      <w:r>
        <w:t xml:space="preserve"> </w:t>
      </w:r>
      <w:r>
        <w:t xml:space="preserve">– explicitly incorporate emerging risk domains (crypto, AI, climate) into the risk appetite statement and limits structure within the next 3–6 months; (2)</w:t>
      </w:r>
      <w:r>
        <w:t xml:space="preserve"> </w:t>
      </w:r>
      <w:r>
        <w:rPr>
          <w:b/>
          <w:bCs/>
        </w:rPr>
        <w:t xml:space="preserve">Strengthen Governance &amp; Expertise</w:t>
      </w:r>
      <w:r>
        <w:t xml:space="preserve"> </w:t>
      </w:r>
      <w:r>
        <w:t xml:space="preserve">– establish dedicated cross-functional risk committees or working groups (e.g. a</w:t>
      </w:r>
      <w:r>
        <w:t xml:space="preserve"> </w:t>
      </w:r>
      <w:r>
        <w:rPr>
          <w:i/>
          <w:iCs/>
        </w:rPr>
        <w:t xml:space="preserve">Digital Asset Risk Committee</w:t>
      </w:r>
      <w:r>
        <w:t xml:space="preserve"> </w:t>
      </w:r>
      <w:r>
        <w:t xml:space="preserve">and an</w:t>
      </w:r>
      <w:r>
        <w:t xml:space="preserve"> </w:t>
      </w:r>
      <w:r>
        <w:rPr>
          <w:i/>
          <w:iCs/>
        </w:rPr>
        <w:t xml:space="preserve">AI Risk Task Force</w:t>
      </w:r>
      <w:r>
        <w:t xml:space="preserve">) and upskill risk teams on these topics; (3)</w:t>
      </w:r>
      <w:r>
        <w:t xml:space="preserve"> </w:t>
      </w:r>
      <w:r>
        <w:rPr>
          <w:b/>
          <w:bCs/>
        </w:rPr>
        <w:t xml:space="preserve">Enhance Risk Measurement &amp; Infrastructure</w:t>
      </w:r>
      <w:r>
        <w:t xml:space="preserve"> </w:t>
      </w:r>
      <w:r>
        <w:t xml:space="preserve">– invest in data, modeling, and monitoring capabilities (e.g. 24/7 market risk monitoring tools, AI model inventories and validation toolkits, climate scenario analytics) over the next year; (4)</w:t>
      </w:r>
      <w:r>
        <w:t xml:space="preserve"> </w:t>
      </w:r>
      <w:r>
        <w:rPr>
          <w:b/>
          <w:bCs/>
        </w:rPr>
        <w:t xml:space="preserve">Conduct Forward-Looking Stress Tests &amp; Exercises</w:t>
      </w:r>
      <w:r>
        <w:t xml:space="preserve"> </w:t>
      </w:r>
      <w:r>
        <w:t xml:space="preserve">– run bespoke stress scenarios (e.g.</w:t>
      </w:r>
      <w:r>
        <w:t xml:space="preserve"> </w:t>
      </w:r>
      <w:r>
        <w:rPr>
          <w:i/>
          <w:iCs/>
        </w:rPr>
        <w:t xml:space="preserve">Stablecoin run</w:t>
      </w:r>
      <w:r>
        <w:t xml:space="preserve">,</w:t>
      </w:r>
      <w:r>
        <w:t xml:space="preserve"> </w:t>
      </w:r>
      <w:r>
        <w:rPr>
          <w:i/>
          <w:iCs/>
        </w:rPr>
        <w:t xml:space="preserve">AI trading algo flash crash</w:t>
      </w:r>
      <w:r>
        <w:t xml:space="preserve">,</w:t>
      </w:r>
      <w:r>
        <w:t xml:space="preserve"> </w:t>
      </w:r>
      <w:r>
        <w:rPr>
          <w:i/>
          <w:iCs/>
        </w:rPr>
        <w:t xml:space="preserve">stagflation recession</w:t>
      </w:r>
      <w:r>
        <w:t xml:space="preserve">) to identify vulnerabilities and inform contingency plans; and (5)</w:t>
      </w:r>
      <w:r>
        <w:t xml:space="preserve"> </w:t>
      </w:r>
      <w:r>
        <w:rPr>
          <w:b/>
          <w:bCs/>
        </w:rPr>
        <w:t xml:space="preserve">Engage Regulators &amp; Shape Strategy</w:t>
      </w:r>
      <w:r>
        <w:t xml:space="preserve"> </w:t>
      </w:r>
      <w:r>
        <w:t xml:space="preserve">– proactively dialogue with regulators on novel risks (crypto pilot activities, use of cloud/AI vendors), while steering business strategy (with the CEO/CFO) to optimize capital and ensure resilience (e.g. adjust portfolios ahead of Basel capital hikes, consider exiting businesses that don’t fit the bank’s risk capacity in this new environment).</w:t>
      </w:r>
    </w:p>
    <w:p>
      <w:pPr>
        <w:pStyle w:val="BodyText"/>
      </w:pPr>
      <w:r>
        <w:t xml:space="preserve">The following report provides an in-depth analysis of each theme and detailed recommendations to help the CRO navigate 2025–2026.</w:t>
      </w:r>
    </w:p>
    <w:bookmarkEnd w:id="39"/>
    <w:bookmarkStart w:id="41" w:name="X98b77ab2d0228997b64b00b11314d73f40b0178"/>
    <w:p>
      <w:pPr>
        <w:pStyle w:val="Heading2"/>
      </w:pPr>
      <w:r>
        <w:t xml:space="preserve">2. Macro &amp; Markets Risk Landscape (Global 2025–2026)</w:t>
      </w:r>
    </w:p>
    <w:p>
      <w:pPr>
        <w:pStyle w:val="FirstParagraph"/>
      </w:pPr>
      <w:r>
        <w:t xml:space="preserve">The macroeconomic and market backdrop drives many of the risks on a CIB’s balance sheet and trading businesses. For 2025–2026, the landscape is defined by a late-cycle economy, divergent regional outlooks, and the transition to a post-QE world. The CRO should focus on the</w:t>
      </w:r>
      <w:r>
        <w:t xml:space="preserve"> </w:t>
      </w:r>
      <w:r>
        <w:rPr>
          <w:b/>
          <w:bCs/>
        </w:rPr>
        <w:t xml:space="preserve">specific macro drivers that most directly affect market risk, credit exposures, liquidity, and capital</w:t>
      </w:r>
      <w:r>
        <w:t xml:space="preserve">. Key elements to monitor include:</w:t>
      </w:r>
    </w:p>
    <w:p>
      <w:pPr>
        <w:numPr>
          <w:ilvl w:val="0"/>
          <w:numId w:val="1002"/>
        </w:numPr>
      </w:pPr>
      <w:r>
        <w:rPr>
          <w:b/>
          <w:bCs/>
        </w:rPr>
        <w:t xml:space="preserve">Interest Rates Regime &amp; Inflation:</w:t>
      </w:r>
      <w:r>
        <w:t xml:space="preserve"> </w:t>
      </w:r>
      <w:r>
        <w:t xml:space="preserve">Global rates have risen to post-GFC highs as central banks combat inflation. The base case is a</w:t>
      </w:r>
      <w:r>
        <w:t xml:space="preserve"> </w:t>
      </w:r>
      <w:r>
        <w:rPr>
          <w:i/>
          <w:iCs/>
        </w:rPr>
        <w:t xml:space="preserve">“soft landing”</w:t>
      </w:r>
      <w:r>
        <w:t xml:space="preserve"> </w:t>
      </w:r>
      <w:r>
        <w:t xml:space="preserve">with gradual disinflation, but</w:t>
      </w:r>
      <w:r>
        <w:t xml:space="preserve"> </w:t>
      </w:r>
      <w:r>
        <w:rPr>
          <w:b/>
          <w:bCs/>
        </w:rPr>
        <w:t xml:space="preserve">risks of persistence remain</w:t>
      </w:r>
      <w:r>
        <w:t xml:space="preserve"> </w:t>
      </w:r>
      <w:r>
        <w:t xml:space="preserve">– core inflation in the US and EU is sticky (services inflation, wages). Central banks are thus keeping policy tight, with policy rate cuts (if any) delayed into late 2025. A</w:t>
      </w:r>
      <w:r>
        <w:t xml:space="preserve"> </w:t>
      </w:r>
      <w:r>
        <w:rPr>
          <w:b/>
          <w:bCs/>
        </w:rPr>
        <w:t xml:space="preserve">higher-for-longer rate environment</w:t>
      </w:r>
      <w:r>
        <w:t xml:space="preserve"> </w:t>
      </w:r>
      <w:r>
        <w:t xml:space="preserve">means elevated funding costs and potential</w:t>
      </w:r>
      <w:r>
        <w:t xml:space="preserve"> </w:t>
      </w:r>
      <w:r>
        <w:rPr>
          <w:i/>
          <w:iCs/>
        </w:rPr>
        <w:t xml:space="preserve">mark-to-market losses</w:t>
      </w:r>
      <w:r>
        <w:t xml:space="preserve"> </w:t>
      </w:r>
      <w:r>
        <w:t xml:space="preserve">on rate-sensitive assets (e.g. fixed-rate loan portfolios, held-to-maturity bond books). Conversely, if inflation surprises further on the downside, a rapid rate-cutting cycle could steepen yield curves and hit short-rate carry trades.</w:t>
      </w:r>
      <w:r>
        <w:t xml:space="preserve"> </w:t>
      </w:r>
      <w:r>
        <w:rPr>
          <w:b/>
          <w:bCs/>
        </w:rPr>
        <w:t xml:space="preserve">Why it matters:</w:t>
      </w:r>
      <w:r>
        <w:t xml:space="preserve"> </w:t>
      </w:r>
      <w:r>
        <w:t xml:space="preserve">For a CIB’s trading book, rate volatility directly drives VaR and option exposures (e.g. swaptions); for the banking book and counterparty credit, abrupt rate moves can strain interest rate swaps, margin requirements, and the economic value of equity.</w:t>
      </w:r>
      <w:r>
        <w:t xml:space="preserve"> </w:t>
      </w:r>
      <w:r>
        <w:rPr>
          <w:b/>
          <w:bCs/>
        </w:rPr>
        <w:t xml:space="preserve">KRIs:</w:t>
      </w:r>
      <w:r>
        <w:t xml:space="preserve"> </w:t>
      </w:r>
      <w:r>
        <w:t xml:space="preserve">The CRO should track yield curve slopes (2–10 year spread as recession signal), interest rate volatility indices, and inflation breakeven rates. A particular focus is needed on</w:t>
      </w:r>
      <w:r>
        <w:t xml:space="preserve"> </w:t>
      </w:r>
      <w:r>
        <w:rPr>
          <w:b/>
          <w:bCs/>
        </w:rPr>
        <w:t xml:space="preserve">real rates</w:t>
      </w:r>
      <w:r>
        <w:t xml:space="preserve"> </w:t>
      </w:r>
      <w:r>
        <w:t xml:space="preserve">– high real yields can pressure borrowers and reduce market liquidity by attracting cash into risk-free assets. Monitoring</w:t>
      </w:r>
      <w:r>
        <w:t xml:space="preserve"> </w:t>
      </w:r>
      <w:r>
        <w:rPr>
          <w:b/>
          <w:bCs/>
        </w:rPr>
        <w:t xml:space="preserve">client behavior</w:t>
      </w:r>
      <w:r>
        <w:t xml:space="preserve"> </w:t>
      </w:r>
      <w:r>
        <w:t xml:space="preserve">(e.g. deposit outflows to higher-yield alternatives) is also critical, as highlighted by 2023’s US regional bank stresses</w:t>
      </w:r>
      <w:hyperlink r:id="rId21">
        <w:r>
          <w:rPr>
            <w:rStyle w:val="Hyperlink"/>
          </w:rPr>
          <w:t xml:space="preserve">[1]</w:t>
        </w:r>
      </w:hyperlink>
      <w:r>
        <w:t xml:space="preserve">. Ensuring robust</w:t>
      </w:r>
      <w:r>
        <w:t xml:space="preserve"> </w:t>
      </w:r>
      <w:r>
        <w:rPr>
          <w:b/>
          <w:bCs/>
        </w:rPr>
        <w:t xml:space="preserve">interest rate risk hedging</w:t>
      </w:r>
      <w:r>
        <w:t xml:space="preserve"> </w:t>
      </w:r>
      <w:r>
        <w:t xml:space="preserve">(both trading and banking books) and</w:t>
      </w:r>
      <w:r>
        <w:t xml:space="preserve"> </w:t>
      </w:r>
      <w:r>
        <w:rPr>
          <w:i/>
          <w:iCs/>
        </w:rPr>
        <w:t xml:space="preserve">contingency liquidity if funding costs spike</w:t>
      </w:r>
      <w:r>
        <w:t xml:space="preserve"> </w:t>
      </w:r>
      <w:r>
        <w:t xml:space="preserve">is a priority.</w:t>
      </w:r>
    </w:p>
    <w:p>
      <w:pPr>
        <w:numPr>
          <w:ilvl w:val="0"/>
          <w:numId w:val="1002"/>
        </w:numPr>
      </w:pPr>
      <w:r>
        <w:rPr>
          <w:b/>
          <w:bCs/>
        </w:rPr>
        <w:t xml:space="preserve">Credit Cycle and Default Risk:</w:t>
      </w:r>
      <w:r>
        <w:t xml:space="preserve"> </w:t>
      </w:r>
      <w:r>
        <w:t xml:space="preserve">The credit cycle has shifted from benign to cautious. Rising rates and tighter financial conditions are beginning to test highly leveraged corporates.</w:t>
      </w:r>
      <w:r>
        <w:t xml:space="preserve"> </w:t>
      </w:r>
      <w:r>
        <w:rPr>
          <w:b/>
          <w:bCs/>
        </w:rPr>
        <w:t xml:space="preserve">Leveraged loans and high-yield bonds</w:t>
      </w:r>
      <w:r>
        <w:t xml:space="preserve"> </w:t>
      </w:r>
      <w:r>
        <w:t xml:space="preserve">saw default rates climb into 2024 (~5% for US leveraged loans</w:t>
      </w:r>
      <w:hyperlink r:id="rId22">
        <w:r>
          <w:rPr>
            <w:rStyle w:val="Hyperlink"/>
          </w:rPr>
          <w:t xml:space="preserve">[2]</w:t>
        </w:r>
      </w:hyperlink>
      <w:r>
        <w:t xml:space="preserve">), and although some forecasts anticipate a modest improvement by end-2025 with economic soft landing</w:t>
      </w:r>
      <w:hyperlink r:id="rId40">
        <w:r>
          <w:rPr>
            <w:rStyle w:val="Hyperlink"/>
          </w:rPr>
          <w:t xml:space="preserve">[19]</w:t>
        </w:r>
      </w:hyperlink>
      <w:r>
        <w:t xml:space="preserve">, the tail risk of a sharper default wave looms if growth disappoints.</w:t>
      </w:r>
      <w:r>
        <w:t xml:space="preserve"> </w:t>
      </w:r>
      <w:r>
        <w:rPr>
          <w:b/>
          <w:bCs/>
        </w:rPr>
        <w:t xml:space="preserve">Private credit</w:t>
      </w:r>
      <w:r>
        <w:t xml:space="preserve"> </w:t>
      </w:r>
      <w:r>
        <w:t xml:space="preserve">(non-bank direct lending) has grown rapidly, often with weaker covenants; any stress here could reverberate to banks via credit lines or sponsor relationships.</w:t>
      </w:r>
      <w:r>
        <w:t xml:space="preserve"> </w:t>
      </w:r>
      <w:r>
        <w:rPr>
          <w:b/>
          <w:bCs/>
        </w:rPr>
        <w:t xml:space="preserve">Commercial real estate (CRE)</w:t>
      </w:r>
      <w:r>
        <w:t xml:space="preserve"> </w:t>
      </w:r>
      <w:r>
        <w:t xml:space="preserve">is a focal point: office property values in major cities have dropped 20–30%, and many loans face refinancing at much higher rates. The OCC’s risk monitor notes</w:t>
      </w:r>
      <w:r>
        <w:t xml:space="preserve"> </w:t>
      </w:r>
      <w:r>
        <w:rPr>
          <w:i/>
          <w:iCs/>
        </w:rPr>
        <w:t xml:space="preserve">significant stress in office and multifamily CRE loans</w:t>
      </w:r>
      <w:r>
        <w:t xml:space="preserve"> </w:t>
      </w:r>
      <w:r>
        <w:t xml:space="preserve">due to higher rates and secular changes (e.g. remote work)</w:t>
      </w:r>
      <w:hyperlink r:id="rId23">
        <w:r>
          <w:rPr>
            <w:rStyle w:val="Hyperlink"/>
          </w:rPr>
          <w:t xml:space="preserve">[3]</w:t>
        </w:r>
      </w:hyperlink>
      <w:r>
        <w:t xml:space="preserve">.</w:t>
      </w:r>
      <w:r>
        <w:t xml:space="preserve"> </w:t>
      </w:r>
      <w:r>
        <w:rPr>
          <w:b/>
          <w:bCs/>
        </w:rPr>
        <w:t xml:space="preserve">Why it matters:</w:t>
      </w:r>
      <w:r>
        <w:t xml:space="preserve"> </w:t>
      </w:r>
      <w:r>
        <w:t xml:space="preserve">CIBs could face losses on bridge loans, underwriting pipelines, and counterparty exposures to real estate investors. Trading desks may also be exposed via CMBS positions or CRE CLOs.</w:t>
      </w:r>
      <w:r>
        <w:t xml:space="preserve"> </w:t>
      </w:r>
      <w:r>
        <w:rPr>
          <w:b/>
          <w:bCs/>
        </w:rPr>
        <w:t xml:space="preserve">KRIs:</w:t>
      </w:r>
      <w:r>
        <w:t xml:space="preserve"> </w:t>
      </w:r>
      <w:r>
        <w:t xml:space="preserve">The CRO should regularly review the top 50 exposures in vulnerable sectors, track rating migration (watch for clusters of downgrades in sectors like real estate, retail, consumer discretionary), and monitor market-based signals like credit default swap (CDS) indices (e.g.</w:t>
      </w:r>
      <w:r>
        <w:t xml:space="preserve"> </w:t>
      </w:r>
      <w:r>
        <w:rPr>
          <w:b/>
          <w:bCs/>
        </w:rPr>
        <w:t xml:space="preserve">CDX high-yield spread</w:t>
      </w:r>
      <w:r>
        <w:t xml:space="preserve">) as a barometer for credit stress. Watch</w:t>
      </w:r>
      <w:r>
        <w:t xml:space="preserve"> </w:t>
      </w:r>
      <w:r>
        <w:rPr>
          <w:b/>
          <w:bCs/>
        </w:rPr>
        <w:t xml:space="preserve">“fallen angels”</w:t>
      </w:r>
      <w:r>
        <w:t xml:space="preserve"> </w:t>
      </w:r>
      <w:r>
        <w:t xml:space="preserve">– investment-grade credits at risk of downgrade – as they can spike RWA and VaR if multiple notch downgrades happen. In leveraged finance, track pipeline deal markdowns and investor appetite; a widening gap between primary loan yields and secondary markets can indicate banks might get stuck with unsold positions (as occurred in 2022). The CRO should ensure robust</w:t>
      </w:r>
      <w:r>
        <w:t xml:space="preserve"> </w:t>
      </w:r>
      <w:r>
        <w:rPr>
          <w:b/>
          <w:bCs/>
        </w:rPr>
        <w:t xml:space="preserve">credit concentration limits</w:t>
      </w:r>
      <w:r>
        <w:t xml:space="preserve"> </w:t>
      </w:r>
      <w:r>
        <w:t xml:space="preserve">(by sector, sponsor, and single name) and consider</w:t>
      </w:r>
      <w:r>
        <w:t xml:space="preserve"> </w:t>
      </w:r>
      <w:r>
        <w:rPr>
          <w:i/>
          <w:iCs/>
        </w:rPr>
        <w:t xml:space="preserve">asset quality reviews</w:t>
      </w:r>
      <w:r>
        <w:t xml:space="preserve"> </w:t>
      </w:r>
      <w:r>
        <w:t xml:space="preserve">of portfolios that boomed during the low-rate era (e.g. tech startups, fintech lenders).</w:t>
      </w:r>
    </w:p>
    <w:p>
      <w:pPr>
        <w:numPr>
          <w:ilvl w:val="0"/>
          <w:numId w:val="1002"/>
        </w:numPr>
      </w:pPr>
      <w:r>
        <w:rPr>
          <w:b/>
          <w:bCs/>
        </w:rPr>
        <w:t xml:space="preserve">Foreign Exchange (FX) Volatility &amp; Regime Shifts:</w:t>
      </w:r>
      <w:r>
        <w:t xml:space="preserve"> </w:t>
      </w:r>
      <w:r>
        <w:t xml:space="preserve">After a strong U.S. dollar cycle through 2022–23, currency markets remain prone to regime shifts. Potential</w:t>
      </w:r>
      <w:r>
        <w:t xml:space="preserve"> </w:t>
      </w:r>
      <w:r>
        <w:rPr>
          <w:b/>
          <w:bCs/>
        </w:rPr>
        <w:t xml:space="preserve">divergence in monetary policy</w:t>
      </w:r>
      <w:r>
        <w:t xml:space="preserve"> </w:t>
      </w:r>
      <w:r>
        <w:t xml:space="preserve">(e.g. if the Fed holds rates high while others cut, or vice versa) could drive abrupt FX realignments. Emerging market (EM) currencies are particularly sensitive to global liquidity and China’s economic trajectory – any disorderly China slowdown in 2025 would weaken EM FX and raise volatility. For major currency pairs, structural factors (like a return of the</w:t>
      </w:r>
      <w:r>
        <w:t xml:space="preserve"> </w:t>
      </w:r>
      <w:r>
        <w:rPr>
          <w:b/>
          <w:bCs/>
        </w:rPr>
        <w:t xml:space="preserve">yen carry trade unwinding</w:t>
      </w:r>
      <w:r>
        <w:t xml:space="preserve"> </w:t>
      </w:r>
      <w:r>
        <w:t xml:space="preserve">if Bank of Japan exits yield curve control) could whipsaw markets.</w:t>
      </w:r>
      <w:r>
        <w:t xml:space="preserve"> </w:t>
      </w:r>
      <w:r>
        <w:rPr>
          <w:b/>
          <w:bCs/>
        </w:rPr>
        <w:t xml:space="preserve">Why it matters:</w:t>
      </w:r>
      <w:r>
        <w:t xml:space="preserve"> </w:t>
      </w:r>
      <w:r>
        <w:t xml:space="preserve">A CIB’s FX trading desks profit from volatility but also carry position risk; abrupt moves can cause outsized losses on complex derivatives (knock-in/knock-out options, structured products sold to clients). Moreover,</w:t>
      </w:r>
      <w:r>
        <w:t xml:space="preserve"> </w:t>
      </w:r>
      <w:r>
        <w:rPr>
          <w:b/>
          <w:bCs/>
        </w:rPr>
        <w:t xml:space="preserve">FX rate moves affect counterparty credit</w:t>
      </w:r>
      <w:r>
        <w:t xml:space="preserve"> </w:t>
      </w:r>
      <w:r>
        <w:t xml:space="preserve">(e.g. unhedged corporate borrowers or margins on FX forwards).</w:t>
      </w:r>
      <w:r>
        <w:t xml:space="preserve"> </w:t>
      </w:r>
      <w:r>
        <w:rPr>
          <w:b/>
          <w:bCs/>
        </w:rPr>
        <w:t xml:space="preserve">KRIs:</w:t>
      </w:r>
      <w:r>
        <w:t xml:space="preserve"> </w:t>
      </w:r>
      <w:r>
        <w:t xml:space="preserve">Key indicators include FX volatility indices (e.g. JPM G7 FX Vol index), cross-currency basis spreads (stress in USD funding often shows in widened basis swaps), and EM sovereign CDS spreads as an early warning of currency crisis risk. The CRO should ensure the firm runs</w:t>
      </w:r>
      <w:r>
        <w:t xml:space="preserve"> </w:t>
      </w:r>
      <w:r>
        <w:rPr>
          <w:b/>
          <w:bCs/>
        </w:rPr>
        <w:t xml:space="preserve">stress tests for major FX dislocations</w:t>
      </w:r>
      <w:r>
        <w:t xml:space="preserve"> </w:t>
      </w:r>
      <w:r>
        <w:t xml:space="preserve">(e.g. 10–20% overnight devaluation scenarios for pegged or managed currencies, such as a hypothetical Chinese yuan devaluation or a break of currency pegs) to gauge potential P&amp;L and collateral calls. It’s crucial to validate that FX option books and algo trading strategies can handle gapping markets (lessons from the 2015 CHF peg break remain salient).</w:t>
      </w:r>
    </w:p>
    <w:p>
      <w:pPr>
        <w:numPr>
          <w:ilvl w:val="0"/>
          <w:numId w:val="1002"/>
        </w:numPr>
      </w:pPr>
      <w:r>
        <w:rPr>
          <w:b/>
          <w:bCs/>
        </w:rPr>
        <w:t xml:space="preserve">Commodities &amp; Geopolitical Shocks:</w:t>
      </w:r>
      <w:r>
        <w:t xml:space="preserve"> </w:t>
      </w:r>
      <w:r>
        <w:t xml:space="preserve">Commodity markets remain one headline away from extreme moves. Geopolitical conflicts (Russia’s war in Ukraine, Middle East instability) or supply chain events (export bans on key metals) can trigger</w:t>
      </w:r>
      <w:r>
        <w:t xml:space="preserve"> </w:t>
      </w:r>
      <w:r>
        <w:rPr>
          <w:b/>
          <w:bCs/>
        </w:rPr>
        <w:t xml:space="preserve">price spikes or collapses</w:t>
      </w:r>
      <w:r>
        <w:t xml:space="preserve"> </w:t>
      </w:r>
      <w:r>
        <w:t xml:space="preserve">in commodities. For example, an escalation in Ukraine could disrupt energy and grain flows in Europe; a confrontation in East Asia could upend semiconductor supply chains, with ripple effects on tech manufacturing.</w:t>
      </w:r>
      <w:r>
        <w:t xml:space="preserve"> </w:t>
      </w:r>
      <w:r>
        <w:rPr>
          <w:b/>
          <w:bCs/>
        </w:rPr>
        <w:t xml:space="preserve">Why it matters:</w:t>
      </w:r>
      <w:r>
        <w:t xml:space="preserve"> </w:t>
      </w:r>
      <w:r>
        <w:t xml:space="preserve">Large commodity price swings feed into inflation (affecting rates), but also directly impact CIB exposures – e.g.</w:t>
      </w:r>
      <w:r>
        <w:t xml:space="preserve"> </w:t>
      </w:r>
      <w:r>
        <w:rPr>
          <w:b/>
          <w:bCs/>
        </w:rPr>
        <w:t xml:space="preserve">derivatives trading losses</w:t>
      </w:r>
      <w:r>
        <w:t xml:space="preserve"> </w:t>
      </w:r>
      <w:r>
        <w:t xml:space="preserve">(a sudden 30% spike in oil prices could breach VaR and lead to margin calls),</w:t>
      </w:r>
      <w:r>
        <w:t xml:space="preserve"> </w:t>
      </w:r>
      <w:r>
        <w:rPr>
          <w:b/>
          <w:bCs/>
        </w:rPr>
        <w:t xml:space="preserve">counterparty risk</w:t>
      </w:r>
      <w:r>
        <w:t xml:space="preserve"> </w:t>
      </w:r>
      <w:r>
        <w:t xml:space="preserve">(a default of a commodity trader unable to meet variation margin), and</w:t>
      </w:r>
      <w:r>
        <w:t xml:space="preserve"> </w:t>
      </w:r>
      <w:r>
        <w:rPr>
          <w:b/>
          <w:bCs/>
        </w:rPr>
        <w:t xml:space="preserve">credit risk</w:t>
      </w:r>
      <w:r>
        <w:t xml:space="preserve"> </w:t>
      </w:r>
      <w:r>
        <w:t xml:space="preserve">(energy producers or airlines facing hedging losses). Furthermore, commodity shocks can create second-order liquidity strains as seen in the 2022 LME nickel squeeze (where margin calls ballooned).</w:t>
      </w:r>
      <w:r>
        <w:t xml:space="preserve"> </w:t>
      </w:r>
      <w:r>
        <w:rPr>
          <w:b/>
          <w:bCs/>
        </w:rPr>
        <w:t xml:space="preserve">KRIs:</w:t>
      </w:r>
      <w:r>
        <w:t xml:space="preserve"> </w:t>
      </w:r>
      <w:r>
        <w:t xml:space="preserve">The CRO should monitor key commodity volatilities (e.g. crude oil’s implied volatility, Dutch TTF gas prices in Europe), inventory levels, and geopolitical risk indices.</w:t>
      </w:r>
      <w:r>
        <w:t xml:space="preserve"> </w:t>
      </w:r>
      <w:r>
        <w:rPr>
          <w:i/>
          <w:iCs/>
        </w:rPr>
        <w:t xml:space="preserve">Concentration in commodity-linked exposures</w:t>
      </w:r>
      <w:r>
        <w:t xml:space="preserve"> </w:t>
      </w:r>
      <w:r>
        <w:t xml:space="preserve">(trading with specialized commodity firms, financing commodity inventory, etc.) should be on the CRO’s dashboard, with limits adjusted for wrong-way risk (e.g. lending to a metals producer secured by that metal as collateral). Ensuring strong</w:t>
      </w:r>
      <w:r>
        <w:t xml:space="preserve"> </w:t>
      </w:r>
      <w:r>
        <w:rPr>
          <w:b/>
          <w:bCs/>
        </w:rPr>
        <w:t xml:space="preserve">collateral agreements</w:t>
      </w:r>
      <w:r>
        <w:t xml:space="preserve"> </w:t>
      </w:r>
      <w:r>
        <w:t xml:space="preserve">and continuously testing the operational ability to handle big margin call days (intraday and across time zones) is vital. Scenario planning for extreme events – e.g.</w:t>
      </w:r>
      <w:r>
        <w:t xml:space="preserve"> </w:t>
      </w:r>
      <w:r>
        <w:rPr>
          <w:i/>
          <w:iCs/>
        </w:rPr>
        <w:t xml:space="preserve">“Critical material shortage”</w:t>
      </w:r>
      <w:r>
        <w:t xml:space="preserve"> </w:t>
      </w:r>
      <w:r>
        <w:t xml:space="preserve">where certain metal prices triple and industrial clients draw on backup lines of credit – will improve preparedness.</w:t>
      </w:r>
    </w:p>
    <w:p>
      <w:pPr>
        <w:numPr>
          <w:ilvl w:val="0"/>
          <w:numId w:val="1002"/>
        </w:numPr>
      </w:pPr>
      <w:r>
        <w:rPr>
          <w:b/>
          <w:bCs/>
        </w:rPr>
        <w:t xml:space="preserve">Liquidity Regime Change (Post-QT and New Regulations):</w:t>
      </w:r>
      <w:r>
        <w:t xml:space="preserve"> </w:t>
      </w:r>
      <w:r>
        <w:t xml:space="preserve">The shift from a decade of excess liquidity (central bank QE and low capital charges) to a tighter regime is fundamentally changing market liquidity.</w:t>
      </w:r>
      <w:r>
        <w:t xml:space="preserve"> </w:t>
      </w:r>
      <w:r>
        <w:rPr>
          <w:b/>
          <w:bCs/>
        </w:rPr>
        <w:t xml:space="preserve">Quantitative tightening</w:t>
      </w:r>
      <w:r>
        <w:t xml:space="preserve"> </w:t>
      </w:r>
      <w:r>
        <w:t xml:space="preserve">is shrinking central bank balance sheets, reducing excess reserves and potentially making funding markets more sensitive. At the same time, Basel III endgame rules (to be phased in 2025–28) will impose</w:t>
      </w:r>
      <w:r>
        <w:t xml:space="preserve"> </w:t>
      </w:r>
      <w:r>
        <w:rPr>
          <w:b/>
          <w:bCs/>
        </w:rPr>
        <w:t xml:space="preserve">higher capital on trading inventories and derivatives</w:t>
      </w:r>
      <w:r>
        <w:t xml:space="preserve"> </w:t>
      </w:r>
      <w:r>
        <w:t xml:space="preserve">(through the Output Floor and stricter risk models)</w:t>
      </w:r>
      <w:hyperlink r:id="rId32">
        <w:r>
          <w:rPr>
            <w:rStyle w:val="Hyperlink"/>
          </w:rPr>
          <w:t xml:space="preserve">[12]</w:t>
        </w:r>
      </w:hyperlink>
      <w:hyperlink r:id="rId24">
        <w:r>
          <w:rPr>
            <w:rStyle w:val="Hyperlink"/>
          </w:rPr>
          <w:t xml:space="preserve">[4]</w:t>
        </w:r>
      </w:hyperlink>
      <w:r>
        <w:t xml:space="preserve">. This could lead banks and dealers to scale back certain market-making activities or pass on higher costs to clients, potentially widening bid-ask spreads and reducing the depth of markets.</w:t>
      </w:r>
      <w:r>
        <w:t xml:space="preserve"> </w:t>
      </w:r>
      <w:r>
        <w:rPr>
          <w:b/>
          <w:bCs/>
        </w:rPr>
        <w:t xml:space="preserve">Why it matters:</w:t>
      </w:r>
      <w:r>
        <w:t xml:space="preserve"> </w:t>
      </w:r>
      <w:r>
        <w:t xml:space="preserve">Lower market liquidity increases the likelihood of outsized moves for any given stress – i.e.</w:t>
      </w:r>
      <w:r>
        <w:t xml:space="preserve"> </w:t>
      </w:r>
      <w:r>
        <w:rPr>
          <w:b/>
          <w:bCs/>
        </w:rPr>
        <w:t xml:space="preserve">price gaps</w:t>
      </w:r>
      <w:r>
        <w:t xml:space="preserve"> </w:t>
      </w:r>
      <w:r>
        <w:t xml:space="preserve">rather than smooth adjustments, which can blow through stop-loss levels and risk limits. It also complicates hedging and unwinding large positions, which is critical for a CIB’s trading operations and underwriting commitments.</w:t>
      </w:r>
      <w:r>
        <w:t xml:space="preserve"> </w:t>
      </w:r>
      <w:r>
        <w:rPr>
          <w:b/>
          <w:bCs/>
        </w:rPr>
        <w:t xml:space="preserve">KRIs:</w:t>
      </w:r>
      <w:r>
        <w:t xml:space="preserve"> </w:t>
      </w:r>
      <w:r>
        <w:t xml:space="preserve">The CRO should pay attention to metrics like</w:t>
      </w:r>
      <w:r>
        <w:t xml:space="preserve"> </w:t>
      </w:r>
      <w:r>
        <w:rPr>
          <w:b/>
          <w:bCs/>
        </w:rPr>
        <w:t xml:space="preserve">market depth</w:t>
      </w:r>
      <w:r>
        <w:t xml:space="preserve"> </w:t>
      </w:r>
      <w:r>
        <w:t xml:space="preserve">(e.g. top-of-book depth on major exchanges for bonds, equities),</w:t>
      </w:r>
      <w:r>
        <w:t xml:space="preserve"> </w:t>
      </w:r>
      <w:r>
        <w:rPr>
          <w:b/>
          <w:bCs/>
        </w:rPr>
        <w:t xml:space="preserve">bid-ask spread trends</w:t>
      </w:r>
      <w:r>
        <w:t xml:space="preserve"> </w:t>
      </w:r>
      <w:r>
        <w:t xml:space="preserve">in core products, and the usage of central bank liquidity facilities or dealer inventories. Monitoring</w:t>
      </w:r>
      <w:r>
        <w:t xml:space="preserve"> </w:t>
      </w:r>
      <w:r>
        <w:rPr>
          <w:b/>
          <w:bCs/>
        </w:rPr>
        <w:t xml:space="preserve">repo market metrics</w:t>
      </w:r>
      <w:r>
        <w:t xml:space="preserve"> </w:t>
      </w:r>
      <w:r>
        <w:t xml:space="preserve">(GC repo rates vs policy rates, signs of funding stress in quarter-ends) is important, since any collateral scarcity or funding pinch can quickly translate to liquidity stress across asset classes. Internally, the CRO should ensure robust</w:t>
      </w:r>
      <w:r>
        <w:t xml:space="preserve"> </w:t>
      </w:r>
      <w:r>
        <w:rPr>
          <w:b/>
          <w:bCs/>
        </w:rPr>
        <w:t xml:space="preserve">liquidity coverage (LCR)</w:t>
      </w:r>
      <w:r>
        <w:t xml:space="preserve"> </w:t>
      </w:r>
      <w:r>
        <w:t xml:space="preserve">and</w:t>
      </w:r>
      <w:r>
        <w:t xml:space="preserve"> </w:t>
      </w:r>
      <w:r>
        <w:rPr>
          <w:b/>
          <w:bCs/>
        </w:rPr>
        <w:t xml:space="preserve">stress liquidity</w:t>
      </w:r>
      <w:r>
        <w:t xml:space="preserve"> </w:t>
      </w:r>
      <w:r>
        <w:t xml:space="preserve">buffers, not just at the aggregate level but also for</w:t>
      </w:r>
      <w:r>
        <w:t xml:space="preserve"> </w:t>
      </w:r>
      <w:r>
        <w:rPr>
          <w:i/>
          <w:iCs/>
        </w:rPr>
        <w:t xml:space="preserve">intra-day liquidity</w:t>
      </w:r>
      <w:r>
        <w:t xml:space="preserve"> </w:t>
      </w:r>
      <w:r>
        <w:t xml:space="preserve">needs. As markets move to shorter settlement cycles and potentially 24/7 trading (in crypto or FX), intraday liquidity management (having enough cash and collateral at any moment) becomes as important as the 30-day LCR. The CRO may consider conducting</w:t>
      </w:r>
      <w:r>
        <w:t xml:space="preserve"> </w:t>
      </w:r>
      <w:r>
        <w:rPr>
          <w:i/>
          <w:iCs/>
        </w:rPr>
        <w:t xml:space="preserve">fire-drills</w:t>
      </w:r>
      <w:r>
        <w:t xml:space="preserve"> </w:t>
      </w:r>
      <w:r>
        <w:t xml:space="preserve">simulating a sudden liquidity freeze (e.g. repo market closure or clearinghouse margin hike) to test the firm’s ability to mobilize liquidity quickly.</w:t>
      </w:r>
    </w:p>
    <w:p>
      <w:pPr>
        <w:pStyle w:val="FirstParagraph"/>
      </w:pPr>
      <w:r>
        <w:t xml:space="preserve">In summary, the macro outlook is one of</w:t>
      </w:r>
      <w:r>
        <w:t xml:space="preserve"> </w:t>
      </w:r>
      <w:r>
        <w:rPr>
          <w:b/>
          <w:bCs/>
        </w:rPr>
        <w:t xml:space="preserve">heightened vigilance</w:t>
      </w:r>
      <w:r>
        <w:t xml:space="preserve">. The CRO should integrate macro scenario monitoring with tactical risk management – linking</w:t>
      </w:r>
      <w:r>
        <w:t xml:space="preserve"> </w:t>
      </w:r>
      <w:r>
        <w:rPr>
          <w:b/>
          <w:bCs/>
        </w:rPr>
        <w:t xml:space="preserve">macro indicators to trigger points</w:t>
      </w:r>
      <w:r>
        <w:t xml:space="preserve"> </w:t>
      </w:r>
      <w:r>
        <w:t xml:space="preserve">for management actions (e.g. de-risking trading books if credit spreads blow out by X bp, activating liquidity defenses if central bank reserves fall below a threshold, etc.). The interplay of macro factors (e.g. inflation forcing rates up just as growth slows) means stress could be correlated across risk classes. A firm-wide, scenario-based approach – ensuring that market, credit, and liquidity risks are evaluated together under macro stress scenarios – will be essential to anticipate and withstand the next shock.</w:t>
      </w:r>
    </w:p>
    <w:bookmarkEnd w:id="41"/>
    <w:bookmarkStart w:id="67" w:name="core-risk-themes-for-a-g-sib-cib-cro"/>
    <w:p>
      <w:pPr>
        <w:pStyle w:val="Heading2"/>
      </w:pPr>
      <w:r>
        <w:t xml:space="preserve">3. Core Risk Themes for a G-SIB CIB CRO</w:t>
      </w:r>
    </w:p>
    <w:p>
      <w:pPr>
        <w:pStyle w:val="FirstParagraph"/>
      </w:pPr>
      <w:r>
        <w:t xml:space="preserve">Beyond the broad macro drivers, the CRO must ensure robust control of core risk categories inherent in CIB activities. In 2025–2026, traditional risk types –</w:t>
      </w:r>
      <w:r>
        <w:t xml:space="preserve"> </w:t>
      </w:r>
      <w:r>
        <w:rPr>
          <w:b/>
          <w:bCs/>
        </w:rPr>
        <w:t xml:space="preserve">market, credit, liquidity, operational, etc.</w:t>
      </w:r>
      <w:r>
        <w:t xml:space="preserve"> </w:t>
      </w:r>
      <w:r>
        <w:t xml:space="preserve">– are evolving with new complexities. Below, we detail each risk type’s drivers, vulnerabilities, metrics, and supervisory expectations, with targeted actions for the CRO.</w:t>
      </w:r>
    </w:p>
    <w:bookmarkStart w:id="42" w:name="X16f17ff264cd0decf7884cb7afbf4a6e33c1160"/>
    <w:p>
      <w:pPr>
        <w:pStyle w:val="Heading3"/>
      </w:pPr>
      <w:r>
        <w:t xml:space="preserve">Market Risk (Trading &amp; Fair Value Portfolios)</w:t>
      </w:r>
    </w:p>
    <w:p>
      <w:pPr>
        <w:pStyle w:val="FirstParagraph"/>
      </w:pPr>
      <w:r>
        <w:rPr>
          <w:b/>
          <w:bCs/>
        </w:rPr>
        <w:t xml:space="preserve">Drivers &amp; Context:</w:t>
      </w:r>
      <w:r>
        <w:t xml:space="preserve"> </w:t>
      </w:r>
      <w:r>
        <w:t xml:space="preserve">Market risk is resurging as a top concern given elevated volatility across asset classes and potential non-linear reactions to economic and geopolitical events. Banks’ trading portfolios (rates, FX, equities, credit, commodities) face a more complex volatility regime than the previous decade’s low-volatility environment. Key drivers include:</w:t>
      </w:r>
      <w:r>
        <w:t xml:space="preserve"> </w:t>
      </w:r>
      <w:r>
        <w:rPr>
          <w:b/>
          <w:bCs/>
        </w:rPr>
        <w:t xml:space="preserve">(1)</w:t>
      </w:r>
      <w:r>
        <w:t xml:space="preserve"> </w:t>
      </w:r>
      <w:r>
        <w:t xml:space="preserve">Large moves in interest rates (e.g. the rapid 400+ bps hikes since 2022) causing outsized swings in bond prices and basis risks between derivatives and cash instruments;</w:t>
      </w:r>
      <w:r>
        <w:t xml:space="preserve"> </w:t>
      </w:r>
      <w:r>
        <w:rPr>
          <w:b/>
          <w:bCs/>
        </w:rPr>
        <w:t xml:space="preserve">(2)</w:t>
      </w:r>
      <w:r>
        <w:t xml:space="preserve"> </w:t>
      </w:r>
      <w:r>
        <w:rPr>
          <w:b/>
          <w:bCs/>
        </w:rPr>
        <w:t xml:space="preserve">Non-linear products exposure</w:t>
      </w:r>
      <w:r>
        <w:t xml:space="preserve"> </w:t>
      </w:r>
      <w:r>
        <w:t xml:space="preserve">– many CIBs have sold options or structured notes to clients (e.g. equity autocallables, FX knock-outs) and carry short convexity that can generate losses if markets gap beyond model assumptions;</w:t>
      </w:r>
      <w:r>
        <w:t xml:space="preserve"> </w:t>
      </w:r>
      <w:r>
        <w:rPr>
          <w:b/>
          <w:bCs/>
        </w:rPr>
        <w:t xml:space="preserve">(3)</w:t>
      </w:r>
      <w:r>
        <w:t xml:space="preserve"> </w:t>
      </w:r>
      <w:r>
        <w:rPr>
          <w:b/>
          <w:bCs/>
        </w:rPr>
        <w:t xml:space="preserve">Cross-market basis risks</w:t>
      </w:r>
      <w:r>
        <w:t xml:space="preserve"> </w:t>
      </w:r>
      <w:r>
        <w:t xml:space="preserve">– as liquidity fragments, hedges may not move in lockstep (e.g. hedging a corporate bond with CDS index leaves basis risk, or using CME futures vs OTC swaps in rates). Additionally, the</w:t>
      </w:r>
      <w:r>
        <w:t xml:space="preserve"> </w:t>
      </w:r>
      <w:r>
        <w:rPr>
          <w:b/>
          <w:bCs/>
        </w:rPr>
        <w:t xml:space="preserve">risk models themselves</w:t>
      </w:r>
      <w:r>
        <w:t xml:space="preserve"> </w:t>
      </w:r>
      <w:r>
        <w:t xml:space="preserve">are under strain – historical VaR may underestimate moves as regimes shift (a form of</w:t>
      </w:r>
      <w:r>
        <w:t xml:space="preserve"> </w:t>
      </w:r>
      <w:r>
        <w:rPr>
          <w:i/>
          <w:iCs/>
        </w:rPr>
        <w:t xml:space="preserve">model risk within market risk</w:t>
      </w:r>
      <w:r>
        <w:t xml:space="preserve">). For instance, correlations that held in stable periods can break down in stress (2022 saw bond-stock correlations flip positive, confounding traditional hedges).</w:t>
      </w:r>
    </w:p>
    <w:p>
      <w:pPr>
        <w:pStyle w:val="BodyText"/>
      </w:pPr>
      <w:r>
        <w:rPr>
          <w:b/>
          <w:bCs/>
        </w:rPr>
        <w:t xml:space="preserve">Materiality for CIB:</w:t>
      </w:r>
      <w:r>
        <w:t xml:space="preserve"> </w:t>
      </w:r>
      <w:r>
        <w:t xml:space="preserve">Market risk is a first-order risk for the trading book and any fair-value instruments on balance sheet. It directly impacts daily P&amp;L and can consume capital through Value-at-Risk (VaR) and Stressed VaR charges, as well as the incremental default risk (IDR) for credit books. In 2025, with FRTB implementation looming, trading desks will face more granular capital attribution for market risk. Products with significant</w:t>
      </w:r>
      <w:r>
        <w:t xml:space="preserve"> </w:t>
      </w:r>
      <w:r>
        <w:rPr>
          <w:b/>
          <w:bCs/>
        </w:rPr>
        <w:t xml:space="preserve">convexity or tail exposure</w:t>
      </w:r>
      <w:r>
        <w:t xml:space="preserve"> </w:t>
      </w:r>
      <w:r>
        <w:t xml:space="preserve">– e.g. exotic derivatives, structured credit tranches – can cause disproportionately large losses relative to notional if not effectively hedged. Moreover,</w:t>
      </w:r>
      <w:r>
        <w:t xml:space="preserve"> </w:t>
      </w:r>
      <w:r>
        <w:rPr>
          <w:b/>
          <w:bCs/>
        </w:rPr>
        <w:t xml:space="preserve">basis trades and correlation trades</w:t>
      </w:r>
      <w:r>
        <w:t xml:space="preserve"> </w:t>
      </w:r>
      <w:r>
        <w:t xml:space="preserve">(common in sophisticated CIB portfolios) can blow up when normal arbitrage relationships diverge under stress (a classic example was the 2020 Treasury bond basis blowout).</w:t>
      </w:r>
      <w:r>
        <w:t xml:space="preserve"> </w:t>
      </w:r>
      <w:r>
        <w:rPr>
          <w:i/>
          <w:iCs/>
        </w:rPr>
        <w:t xml:space="preserve">Model risk</w:t>
      </w:r>
      <w:r>
        <w:t xml:space="preserve"> </w:t>
      </w:r>
      <w:r>
        <w:t xml:space="preserve">is inherent: valuation models for complex products (e.g. certain interest rate models for exotic options) may be ill-suited if underlying market dynamics change rapidly, leading to mis-estimation of Greeks and hedging errors.</w:t>
      </w:r>
    </w:p>
    <w:p>
      <w:pPr>
        <w:pStyle w:val="BodyText"/>
      </w:pPr>
      <w:r>
        <w:rPr>
          <w:b/>
          <w:bCs/>
        </w:rPr>
        <w:t xml:space="preserve">Key Vulnerabilities:</w:t>
      </w:r>
      <w:r>
        <w:t xml:space="preserve"> </w:t>
      </w:r>
      <w:r>
        <w:t xml:space="preserve">The CRO should be alert to:</w:t>
      </w:r>
      <w:r>
        <w:t xml:space="preserve"> </w:t>
      </w:r>
      <w:r>
        <w:rPr>
          <w:b/>
          <w:bCs/>
        </w:rPr>
        <w:t xml:space="preserve">(i)</w:t>
      </w:r>
      <w:r>
        <w:t xml:space="preserve"> </w:t>
      </w:r>
      <w:r>
        <w:t xml:space="preserve">Concentrated positions or crowded trades – if many market participants hold a similar position (e.g. short volatility positions, or basis trades using leverage), a reversal can be amplified (</w:t>
      </w:r>
      <w:r>
        <w:rPr>
          <w:i/>
          <w:iCs/>
        </w:rPr>
        <w:t xml:space="preserve">crowding risk</w:t>
      </w:r>
      <w:r>
        <w:t xml:space="preserve">).</w:t>
      </w:r>
      <w:r>
        <w:t xml:space="preserve"> </w:t>
      </w:r>
      <w:r>
        <w:rPr>
          <w:b/>
          <w:bCs/>
        </w:rPr>
        <w:t xml:space="preserve">(ii)</w:t>
      </w:r>
      <w:r>
        <w:t xml:space="preserve"> </w:t>
      </w:r>
      <w:r>
        <w:rPr>
          <w:b/>
          <w:bCs/>
        </w:rPr>
        <w:t xml:space="preserve">Non-linear risks</w:t>
      </w:r>
      <w:r>
        <w:t xml:space="preserve"> </w:t>
      </w:r>
      <w:r>
        <w:t xml:space="preserve">– portfolios that are short gamma or vega (e.g. writing options to generate yield) can hemorrhage if volatility spikes. A small rate move can turn into a large loss if option deltas swing and hedges lag.</w:t>
      </w:r>
      <w:r>
        <w:t xml:space="preserve"> </w:t>
      </w:r>
      <w:r>
        <w:rPr>
          <w:b/>
          <w:bCs/>
        </w:rPr>
        <w:t xml:space="preserve">(iii)</w:t>
      </w:r>
      <w:r>
        <w:t xml:space="preserve"> </w:t>
      </w:r>
      <w:r>
        <w:rPr>
          <w:b/>
          <w:bCs/>
        </w:rPr>
        <w:t xml:space="preserve">Basis and correlation breakdowns</w:t>
      </w:r>
      <w:r>
        <w:t xml:space="preserve"> </w:t>
      </w:r>
      <w:r>
        <w:t xml:space="preserve">– hedging one instrument with another assumes a historical correlation; stress might see those diverge (e.g. index vs single-name CDS spreads, or LIBOR vs SOFR in the recent benchmark transition).</w:t>
      </w:r>
      <w:r>
        <w:t xml:space="preserve"> </w:t>
      </w:r>
      <w:r>
        <w:rPr>
          <w:b/>
          <w:bCs/>
        </w:rPr>
        <w:t xml:space="preserve">(iv)</w:t>
      </w:r>
      <w:r>
        <w:t xml:space="preserve"> </w:t>
      </w:r>
      <w:r>
        <w:rPr>
          <w:b/>
          <w:bCs/>
        </w:rPr>
        <w:t xml:space="preserve">Illiquid mark risks</w:t>
      </w:r>
      <w:r>
        <w:t xml:space="preserve"> </w:t>
      </w:r>
      <w:r>
        <w:t xml:space="preserve">– certain Level 3 assets or less liquid inventories (emerging market bonds, structured products) may have stale marks and could gap in value when liquidity dries up.</w:t>
      </w:r>
      <w:r>
        <w:t xml:space="preserve"> </w:t>
      </w:r>
      <w:r>
        <w:rPr>
          <w:b/>
          <w:bCs/>
        </w:rPr>
        <w:t xml:space="preserve">(v)</w:t>
      </w:r>
      <w:r>
        <w:t xml:space="preserve"> </w:t>
      </w:r>
      <w:r>
        <w:rPr>
          <w:b/>
          <w:bCs/>
        </w:rPr>
        <w:t xml:space="preserve">Model assumptions</w:t>
      </w:r>
      <w:r>
        <w:t xml:space="preserve"> </w:t>
      </w:r>
      <w:r>
        <w:t xml:space="preserve">– VaR models often assume distributions that underweight extreme tail events; if the firm hasn’t updated scenarios post-2020 and 2022 experiences, it might understate risk. Similarly, valuation models might assume continuous markets – if a market closes or freezes (as LME did for nickel), models fail.</w:t>
      </w:r>
    </w:p>
    <w:p>
      <w:pPr>
        <w:pStyle w:val="BodyText"/>
      </w:pPr>
      <w:r>
        <w:rPr>
          <w:b/>
          <w:bCs/>
        </w:rPr>
        <w:t xml:space="preserve">KRIs &amp; Metrics:</w:t>
      </w:r>
      <w:r>
        <w:t xml:space="preserve"> </w:t>
      </w:r>
      <w:r>
        <w:t xml:space="preserve">CROs should augment traditional VaR and stress VaR metrics with additional indicators. Examples: daily P&amp;L</w:t>
      </w:r>
      <w:r>
        <w:t xml:space="preserve"> </w:t>
      </w:r>
      <w:r>
        <w:rPr>
          <w:i/>
          <w:iCs/>
        </w:rPr>
        <w:t xml:space="preserve">plus</w:t>
      </w:r>
      <w:r>
        <w:t xml:space="preserve"> </w:t>
      </w:r>
      <w:r>
        <w:t xml:space="preserve">hypothetical P&amp;L under extreme shock scenarios (beyond regulatory stress tests) reported to senior management;</w:t>
      </w:r>
      <w:r>
        <w:t xml:space="preserve"> </w:t>
      </w:r>
      <w:r>
        <w:rPr>
          <w:b/>
          <w:bCs/>
        </w:rPr>
        <w:t xml:space="preserve">Greeks and sensitivity concentrations</w:t>
      </w:r>
      <w:r>
        <w:t xml:space="preserve"> </w:t>
      </w:r>
      <w:r>
        <w:t xml:space="preserve">(e.g. DV01 for rates, CS01 for credit, delta/gamma buckets for equity);</w:t>
      </w:r>
      <w:r>
        <w:t xml:space="preserve"> </w:t>
      </w:r>
      <w:r>
        <w:rPr>
          <w:b/>
          <w:bCs/>
        </w:rPr>
        <w:t xml:space="preserve">VaR utilization vs limits</w:t>
      </w:r>
      <w:r>
        <w:t xml:space="preserve"> </w:t>
      </w:r>
      <w:r>
        <w:t xml:space="preserve">(including number of VaR backtesting exceptions);</w:t>
      </w:r>
      <w:r>
        <w:t xml:space="preserve"> </w:t>
      </w:r>
      <w:r>
        <w:rPr>
          <w:b/>
          <w:bCs/>
        </w:rPr>
        <w:t xml:space="preserve">stress test results</w:t>
      </w:r>
      <w:r>
        <w:t xml:space="preserve"> </w:t>
      </w:r>
      <w:r>
        <w:t xml:space="preserve">for key scenarios (e.g. a 1% interest rate shock, 30% equity drop, 20% FX move – ensuring these are updated to reflect current positions). A specific KRI is the</w:t>
      </w:r>
      <w:r>
        <w:t xml:space="preserve"> </w:t>
      </w:r>
      <w:r>
        <w:rPr>
          <w:b/>
          <w:bCs/>
        </w:rPr>
        <w:t xml:space="preserve">tail risk exposure</w:t>
      </w:r>
      <w:r>
        <w:t xml:space="preserve"> </w:t>
      </w:r>
      <w:r>
        <w:t xml:space="preserve">– e.g. the 95th–99th percentile loss from full revaluation stress or</w:t>
      </w:r>
      <w:r>
        <w:t xml:space="preserve"> </w:t>
      </w:r>
      <w:r>
        <w:rPr>
          <w:i/>
          <w:iCs/>
        </w:rPr>
        <w:t xml:space="preserve">Incremental Risk Charge</w:t>
      </w:r>
      <w:r>
        <w:t xml:space="preserve"> </w:t>
      </w:r>
      <w:r>
        <w:t xml:space="preserve">for credit.</w:t>
      </w:r>
      <w:r>
        <w:t xml:space="preserve"> </w:t>
      </w:r>
      <w:r>
        <w:rPr>
          <w:b/>
          <w:bCs/>
        </w:rPr>
        <w:t xml:space="preserve">Basis risk metrics:</w:t>
      </w:r>
      <w:r>
        <w:t xml:space="preserve"> </w:t>
      </w:r>
      <w:r>
        <w:t xml:space="preserve">measure P&amp;L impact if assumed correlations go to zero or one (for hedges) – for example, if corporate bond – CDS basis widens by X bps, how much does the desk lose?</w:t>
      </w:r>
      <w:r>
        <w:t xml:space="preserve"> </w:t>
      </w:r>
      <w:r>
        <w:rPr>
          <w:b/>
          <w:bCs/>
        </w:rPr>
        <w:t xml:space="preserve">Option portfolios:</w:t>
      </w:r>
      <w:r>
        <w:t xml:space="preserve"> </w:t>
      </w:r>
      <w:r>
        <w:t xml:space="preserve">track aggregate vega exposure and worst-case</w:t>
      </w:r>
      <w:r>
        <w:t xml:space="preserve"> </w:t>
      </w:r>
      <w:r>
        <w:rPr>
          <w:i/>
          <w:iCs/>
        </w:rPr>
        <w:t xml:space="preserve">jump-to-illiquidity</w:t>
      </w:r>
      <w:r>
        <w:t xml:space="preserve"> </w:t>
      </w:r>
      <w:r>
        <w:t xml:space="preserve">loss (if volatility surfaces shift massively). Another useful metric is</w:t>
      </w:r>
      <w:r>
        <w:t xml:space="preserve"> </w:t>
      </w:r>
      <w:r>
        <w:rPr>
          <w:b/>
          <w:bCs/>
        </w:rPr>
        <w:t xml:space="preserve">intraday trading loss</w:t>
      </w:r>
      <w:r>
        <w:t xml:space="preserve"> </w:t>
      </w:r>
      <w:r>
        <w:t xml:space="preserve">profiles – large intraday swings might indicate insufficient liquidity or poor position risk, warranting investigation.</w:t>
      </w:r>
    </w:p>
    <w:p>
      <w:pPr>
        <w:pStyle w:val="BodyText"/>
      </w:pPr>
      <w:r>
        <w:rPr>
          <w:b/>
          <w:bCs/>
        </w:rPr>
        <w:t xml:space="preserve">Supervisory Expectations:</w:t>
      </w:r>
      <w:r>
        <w:t xml:space="preserve"> </w:t>
      </w:r>
      <w:r>
        <w:t xml:space="preserve">Regulators (through Basel and local supervisors) expect rigorous market risk governance. The</w:t>
      </w:r>
      <w:r>
        <w:t xml:space="preserve"> </w:t>
      </w:r>
      <w:r>
        <w:rPr>
          <w:b/>
          <w:bCs/>
        </w:rPr>
        <w:t xml:space="preserve">Fundamental Review of the Trading Book (FRTB)</w:t>
      </w:r>
      <w:r>
        <w:t xml:space="preserve"> </w:t>
      </w:r>
      <w:r>
        <w:t xml:space="preserve">requires clearer separation of trading vs banking book and, for those using Internal Models, stringent backtesting and</w:t>
      </w:r>
      <w:r>
        <w:t xml:space="preserve"> </w:t>
      </w:r>
      <w:r>
        <w:rPr>
          <w:i/>
          <w:iCs/>
        </w:rPr>
        <w:t xml:space="preserve">“risk factor modellability”</w:t>
      </w:r>
      <w:r>
        <w:t xml:space="preserve"> </w:t>
      </w:r>
      <w:r>
        <w:t xml:space="preserve">criteria. By 2025, many regulators (e.g. EU, UK) are phasing in FRTB; US regulators have proposed similar rules. This means supervisors will scrutinize data quality (did the bank have real prices for risk factors to justify modeling?), model validation rigor, and the</w:t>
      </w:r>
      <w:r>
        <w:t xml:space="preserve"> </w:t>
      </w:r>
      <w:r>
        <w:rPr>
          <w:i/>
          <w:iCs/>
        </w:rPr>
        <w:t xml:space="preserve">P&amp;L attribution</w:t>
      </w:r>
      <w:r>
        <w:t xml:space="preserve"> </w:t>
      </w:r>
      <w:r>
        <w:t xml:space="preserve">of models (to ensure models capture actual trading outcomes). There’s also emphasis on</w:t>
      </w:r>
      <w:r>
        <w:t xml:space="preserve"> </w:t>
      </w:r>
      <w:r>
        <w:rPr>
          <w:b/>
          <w:bCs/>
        </w:rPr>
        <w:t xml:space="preserve">stress testing</w:t>
      </w:r>
      <w:r>
        <w:t xml:space="preserve"> </w:t>
      </w:r>
      <w:r>
        <w:t xml:space="preserve">– expect supervisors to ask,</w:t>
      </w:r>
      <w:r>
        <w:t xml:space="preserve"> </w:t>
      </w:r>
      <w:r>
        <w:rPr>
          <w:i/>
          <w:iCs/>
        </w:rPr>
        <w:t xml:space="preserve">“Show me your top 10 historical and hypothetical market stress scenarios and how your portfolio fares”</w:t>
      </w:r>
      <w:r>
        <w:t xml:space="preserve">. They will especially probe complex portfolios for hidden risks (e.g.</w:t>
      </w:r>
      <w:r>
        <w:t xml:space="preserve"> </w:t>
      </w:r>
      <w:r>
        <w:rPr>
          <w:b/>
          <w:bCs/>
        </w:rPr>
        <w:t xml:space="preserve">basis trades</w:t>
      </w:r>
      <w:r>
        <w:t xml:space="preserve"> </w:t>
      </w:r>
      <w:r>
        <w:t xml:space="preserve">and</w:t>
      </w:r>
      <w:r>
        <w:t xml:space="preserve"> </w:t>
      </w:r>
      <w:r>
        <w:rPr>
          <w:b/>
          <w:bCs/>
        </w:rPr>
        <w:t xml:space="preserve">correlation trades</w:t>
      </w:r>
      <w:r>
        <w:t xml:space="preserve"> </w:t>
      </w:r>
      <w:r>
        <w:t xml:space="preserve">are a known worry – supervisors may impose capital add-ons if not convinced the bank can manage them). With recent incidents (Archegos in 2021, various hedge fund deleveragings), regulators are attuned to</w:t>
      </w:r>
      <w:r>
        <w:t xml:space="preserve"> </w:t>
      </w:r>
      <w:r>
        <w:rPr>
          <w:b/>
          <w:bCs/>
        </w:rPr>
        <w:t xml:space="preserve">concentration and liquidity risks within trading books</w:t>
      </w:r>
      <w:r>
        <w:t xml:space="preserve">. The CRO should be ready to demonstrate robust limits (including hard caps on illiquid exposures) and rapid escalation processes for any limit breaches or model anomalies.</w:t>
      </w:r>
    </w:p>
    <w:p>
      <w:pPr>
        <w:pStyle w:val="BodyText"/>
      </w:pPr>
      <w:r>
        <w:rPr>
          <w:b/>
          <w:bCs/>
        </w:rPr>
        <w:t xml:space="preserve">Recommended CRO Actions:</w:t>
      </w:r>
      <w:r>
        <w:t xml:space="preserve"> </w:t>
      </w:r>
      <w:r>
        <w:t xml:space="preserve">Governance and preparedness are paramount:</w:t>
      </w:r>
    </w:p>
    <w:p>
      <w:pPr>
        <w:numPr>
          <w:ilvl w:val="0"/>
          <w:numId w:val="1003"/>
        </w:numPr>
      </w:pPr>
      <w:r>
        <w:rPr>
          <w:b/>
          <w:bCs/>
        </w:rPr>
        <w:t xml:space="preserve">Risk Model Validation &amp; Stress Testing:</w:t>
      </w:r>
      <w:r>
        <w:t xml:space="preserve"> </w:t>
      </w:r>
      <w:r>
        <w:t xml:space="preserve">The CRO should ensure an independent review of all key pricing and risk models, especially for complex derivatives, under the current volatile regime. Update model assumptions (volatility, correlations) to reflect recent extremes. Institute</w:t>
      </w:r>
      <w:r>
        <w:t xml:space="preserve"> </w:t>
      </w:r>
      <w:r>
        <w:rPr>
          <w:b/>
          <w:bCs/>
        </w:rPr>
        <w:t xml:space="preserve">frequent stress testing</w:t>
      </w:r>
      <w:r>
        <w:t xml:space="preserve"> </w:t>
      </w:r>
      <w:r>
        <w:t xml:space="preserve">– not just regulatory scenarios, but internal</w:t>
      </w:r>
      <w:r>
        <w:t xml:space="preserve"> </w:t>
      </w:r>
      <w:r>
        <w:rPr>
          <w:i/>
          <w:iCs/>
        </w:rPr>
        <w:t xml:space="preserve">“instantaneous shock”</w:t>
      </w:r>
      <w:r>
        <w:t xml:space="preserve"> </w:t>
      </w:r>
      <w:r>
        <w:t xml:space="preserve">scenarios (e.g. trading desk shock scenarios that cause X days of revenue to be lost) and</w:t>
      </w:r>
      <w:r>
        <w:t xml:space="preserve"> </w:t>
      </w:r>
      <w:r>
        <w:rPr>
          <w:b/>
          <w:bCs/>
        </w:rPr>
        <w:t xml:space="preserve">reverse stress tests</w:t>
      </w:r>
      <w:r>
        <w:t xml:space="preserve"> </w:t>
      </w:r>
      <w:r>
        <w:t xml:space="preserve">(identify what conditions would cause a material loss beyond risk appetite). If VaR models are under-predicting variability (e.g. too many backtest exceptions), consider applying a</w:t>
      </w:r>
      <w:r>
        <w:t xml:space="preserve"> </w:t>
      </w:r>
      <w:r>
        <w:rPr>
          <w:b/>
          <w:bCs/>
        </w:rPr>
        <w:t xml:space="preserve">safety multiplier</w:t>
      </w:r>
      <w:r>
        <w:t xml:space="preserve"> </w:t>
      </w:r>
      <w:r>
        <w:t xml:space="preserve">or additional reserves.</w:t>
      </w:r>
    </w:p>
    <w:p>
      <w:pPr>
        <w:numPr>
          <w:ilvl w:val="0"/>
          <w:numId w:val="1003"/>
        </w:numPr>
      </w:pPr>
      <w:r>
        <w:rPr>
          <w:b/>
          <w:bCs/>
        </w:rPr>
        <w:t xml:space="preserve">Limits and Hot-Spot Monitoring:</w:t>
      </w:r>
      <w:r>
        <w:t xml:space="preserve"> </w:t>
      </w:r>
      <w:r>
        <w:t xml:space="preserve">Refine market risk limits to capture more than aggregate VaR. Introduce</w:t>
      </w:r>
      <w:r>
        <w:t xml:space="preserve"> </w:t>
      </w:r>
      <w:r>
        <w:rPr>
          <w:b/>
          <w:bCs/>
        </w:rPr>
        <w:t xml:space="preserve">granular limits</w:t>
      </w:r>
      <w:r>
        <w:t xml:space="preserve"> </w:t>
      </w:r>
      <w:r>
        <w:t xml:space="preserve">on key risk factors (e.g. DV01 by currency bucket, equity beta exposures, vega by asset class) and on</w:t>
      </w:r>
      <w:r>
        <w:t xml:space="preserve"> </w:t>
      </w:r>
      <w:r>
        <w:rPr>
          <w:b/>
          <w:bCs/>
        </w:rPr>
        <w:t xml:space="preserve">basis exposures</w:t>
      </w:r>
      <w:r>
        <w:t xml:space="preserve"> </w:t>
      </w:r>
      <w:r>
        <w:t xml:space="preserve">(e.g. max notional of index vs single-name basis positions, max tenor basis mismatch). Implement a daily</w:t>
      </w:r>
      <w:r>
        <w:t xml:space="preserve"> </w:t>
      </w:r>
      <w:r>
        <w:rPr>
          <w:i/>
          <w:iCs/>
        </w:rPr>
        <w:t xml:space="preserve">“heatmap”</w:t>
      </w:r>
      <w:r>
        <w:t xml:space="preserve"> </w:t>
      </w:r>
      <w:r>
        <w:t xml:space="preserve">of risks that highlights concentrations and any metric near limits. The CRO should receive a periodic</w:t>
      </w:r>
      <w:r>
        <w:t xml:space="preserve"> </w:t>
      </w:r>
      <w:r>
        <w:rPr>
          <w:i/>
          <w:iCs/>
        </w:rPr>
        <w:t xml:space="preserve">“top risks”</w:t>
      </w:r>
      <w:r>
        <w:t xml:space="preserve"> </w:t>
      </w:r>
      <w:r>
        <w:t xml:space="preserve">report listing, for instance, the top 10 worst stress scenario results, top jump-to-default exposures, largest basis positions, etc., to maintain line-of-sight on potential landmines.</w:t>
      </w:r>
    </w:p>
    <w:p>
      <w:pPr>
        <w:numPr>
          <w:ilvl w:val="0"/>
          <w:numId w:val="1003"/>
        </w:numPr>
      </w:pPr>
      <w:r>
        <w:rPr>
          <w:b/>
          <w:bCs/>
        </w:rPr>
        <w:t xml:space="preserve">Trading Team Engagement &amp; Drills:</w:t>
      </w:r>
      <w:r>
        <w:t xml:space="preserve"> </w:t>
      </w:r>
      <w:r>
        <w:t xml:space="preserve">Ensure front-office understands and is prepared for abrupt regime changes. The CRO (with the business heads) might run</w:t>
      </w:r>
      <w:r>
        <w:t xml:space="preserve"> </w:t>
      </w:r>
      <w:r>
        <w:rPr>
          <w:b/>
          <w:bCs/>
        </w:rPr>
        <w:t xml:space="preserve">war-game drills</w:t>
      </w:r>
      <w:r>
        <w:t xml:space="preserve"> </w:t>
      </w:r>
      <w:r>
        <w:t xml:space="preserve">– e.g. simulate a sudden 1-day 7σ move in a major market and walk through how desks would respond (Can they unwind? Do they have authority to reduce positions fast? What if markets are closed?). Confirm stop-loss protocols are effective – in a flash event, are there automatic triggers to cut positions? Strengthen</w:t>
      </w:r>
      <w:r>
        <w:t xml:space="preserve"> </w:t>
      </w:r>
      <w:r>
        <w:rPr>
          <w:b/>
          <w:bCs/>
        </w:rPr>
        <w:t xml:space="preserve">exception management</w:t>
      </w:r>
      <w:r>
        <w:t xml:space="preserve">: any breaches of limits or big day losses should prompt immediate review and action plans (possibly even a temporary trading halt for that desk until understood).</w:t>
      </w:r>
    </w:p>
    <w:p>
      <w:pPr>
        <w:numPr>
          <w:ilvl w:val="0"/>
          <w:numId w:val="1003"/>
        </w:numPr>
      </w:pPr>
      <w:r>
        <w:rPr>
          <w:b/>
          <w:bCs/>
        </w:rPr>
        <w:t xml:space="preserve">Infrastructure &amp; Data:</w:t>
      </w:r>
      <w:r>
        <w:t xml:space="preserve"> </w:t>
      </w:r>
      <w:r>
        <w:t xml:space="preserve">Invest in real-time risk monitoring. In 24/7 markets (crypto, off-hours FX), ensure the bank has automated monitoring or follow-the-sun risk coverage. Strengthen the</w:t>
      </w:r>
      <w:r>
        <w:t xml:space="preserve"> </w:t>
      </w:r>
      <w:r>
        <w:rPr>
          <w:b/>
          <w:bCs/>
        </w:rPr>
        <w:t xml:space="preserve">risk data aggregation</w:t>
      </w:r>
      <w:r>
        <w:t xml:space="preserve"> </w:t>
      </w:r>
      <w:r>
        <w:t xml:space="preserve">capabilities (per BCBS 239 principles) so that in a fast-moving crisis, the CRO can get a firm-wide market risk profile intraday if needed. Where models struggle (e.g. measuring tail risks), consider</w:t>
      </w:r>
      <w:r>
        <w:t xml:space="preserve"> </w:t>
      </w:r>
      <w:r>
        <w:rPr>
          <w:b/>
          <w:bCs/>
        </w:rPr>
        <w:t xml:space="preserve">overlay buffers or capital cushions</w:t>
      </w:r>
      <w:r>
        <w:t xml:space="preserve"> </w:t>
      </w:r>
      <w:r>
        <w:t xml:space="preserve">– e.g. hold a management VaR multiplier or set aside additional capital for known model limitations, which can be released once models improve.</w:t>
      </w:r>
    </w:p>
    <w:bookmarkEnd w:id="42"/>
    <w:bookmarkStart w:id="47" w:name="counterparty-credit-risk-xva"/>
    <w:p>
      <w:pPr>
        <w:pStyle w:val="Heading3"/>
      </w:pPr>
      <w:r>
        <w:t xml:space="preserve">Counterparty Credit Risk &amp; XVA</w:t>
      </w:r>
    </w:p>
    <w:p>
      <w:pPr>
        <w:pStyle w:val="FirstParagraph"/>
      </w:pPr>
      <w:r>
        <w:rPr>
          <w:b/>
          <w:bCs/>
        </w:rPr>
        <w:t xml:space="preserve">Drivers &amp; Context:</w:t>
      </w:r>
      <w:r>
        <w:t xml:space="preserve"> </w:t>
      </w:r>
      <w:r>
        <w:t xml:space="preserve">Counterparty credit risk (CCR) – the risk that a trading counterparty defaults on derivative, repo, or securities financing transactions – is back in focus after a series of market shocks. The 2022–2023 period saw events like the</w:t>
      </w:r>
      <w:r>
        <w:t xml:space="preserve"> </w:t>
      </w:r>
      <w:r>
        <w:rPr>
          <w:b/>
          <w:bCs/>
        </w:rPr>
        <w:t xml:space="preserve">default of Archegos Capital</w:t>
      </w:r>
      <w:r>
        <w:t xml:space="preserve"> </w:t>
      </w:r>
      <w:r>
        <w:t xml:space="preserve">(a family office whose prime brokerage positions caused $10B+ losses across banks) and distress in crypto hedge funds (Three Arrows Capital) that impacted various brokers</w:t>
      </w:r>
      <w:hyperlink r:id="rId43">
        <w:r>
          <w:rPr>
            <w:rStyle w:val="Hyperlink"/>
          </w:rPr>
          <w:t xml:space="preserve">[20]</w:t>
        </w:r>
      </w:hyperlink>
      <w:hyperlink r:id="rId44">
        <w:r>
          <w:rPr>
            <w:rStyle w:val="Hyperlink"/>
          </w:rPr>
          <w:t xml:space="preserve">[21]</w:t>
        </w:r>
      </w:hyperlink>
      <w:r>
        <w:t xml:space="preserve">. These incidents underscore that concentrated, leveraged positions can lead to sudden counterparty failures. Drivers for CCR in 2025 include:</w:t>
      </w:r>
      <w:r>
        <w:t xml:space="preserve"> </w:t>
      </w:r>
      <w:r>
        <w:rPr>
          <w:b/>
          <w:bCs/>
        </w:rPr>
        <w:t xml:space="preserve">(1)</w:t>
      </w:r>
      <w:r>
        <w:t xml:space="preserve"> </w:t>
      </w:r>
      <w:r>
        <w:t xml:space="preserve">Elevated market volatility raising potential future exposure (PFE) on derivatives;</w:t>
      </w:r>
      <w:r>
        <w:t xml:space="preserve"> </w:t>
      </w:r>
      <w:r>
        <w:rPr>
          <w:b/>
          <w:bCs/>
        </w:rPr>
        <w:t xml:space="preserve">(2)</w:t>
      </w:r>
      <w:r>
        <w:t xml:space="preserve"> </w:t>
      </w:r>
      <w:r>
        <w:t xml:space="preserve">The growth of</w:t>
      </w:r>
      <w:r>
        <w:t xml:space="preserve"> </w:t>
      </w:r>
      <w:r>
        <w:rPr>
          <w:b/>
          <w:bCs/>
        </w:rPr>
        <w:t xml:space="preserve">central clearing</w:t>
      </w:r>
      <w:r>
        <w:t xml:space="preserve"> </w:t>
      </w:r>
      <w:r>
        <w:t xml:space="preserve">reducing bilateral risk for standardized trades, but concentrating risk in CCPs (which are themselves critical counterparties requiring due diligence);</w:t>
      </w:r>
      <w:r>
        <w:t xml:space="preserve"> </w:t>
      </w:r>
      <w:r>
        <w:rPr>
          <w:b/>
          <w:bCs/>
        </w:rPr>
        <w:t xml:space="preserve">(3)</w:t>
      </w:r>
      <w:r>
        <w:t xml:space="preserve"> </w:t>
      </w:r>
      <w:r>
        <w:t xml:space="preserve">Increased client demand for prime brokerage (including margin lending to hedge funds and digital asset players) as non-bank liquidity providers expand – which can increase wrong-way risk if not carefully managed;</w:t>
      </w:r>
      <w:r>
        <w:t xml:space="preserve"> </w:t>
      </w:r>
      <w:r>
        <w:rPr>
          <w:b/>
          <w:bCs/>
        </w:rPr>
        <w:t xml:space="preserve">(4)</w:t>
      </w:r>
      <w:r>
        <w:t xml:space="preserve"> </w:t>
      </w:r>
      <w:r>
        <w:t xml:space="preserve">The implementation of</w:t>
      </w:r>
      <w:r>
        <w:t xml:space="preserve"> </w:t>
      </w:r>
      <w:r>
        <w:rPr>
          <w:b/>
          <w:bCs/>
        </w:rPr>
        <w:t xml:space="preserve">SA-CCR (Standardized Approach for CCR)</w:t>
      </w:r>
      <w:r>
        <w:t xml:space="preserve"> </w:t>
      </w:r>
      <w:r>
        <w:t xml:space="preserve">and</w:t>
      </w:r>
      <w:r>
        <w:t xml:space="preserve"> </w:t>
      </w:r>
      <w:r>
        <w:rPr>
          <w:b/>
          <w:bCs/>
        </w:rPr>
        <w:t xml:space="preserve">XVA capital</w:t>
      </w:r>
      <w:r>
        <w:t xml:space="preserve"> </w:t>
      </w:r>
      <w:r>
        <w:t xml:space="preserve">rules (CVA capital under Basel III revisions) by 2025, which change how banks measure and capitalize counterparty exposures, generally making CCR more capital-intensive for uncollateralized or long-tenor trades.</w:t>
      </w:r>
    </w:p>
    <w:p>
      <w:pPr>
        <w:pStyle w:val="BodyText"/>
      </w:pPr>
      <w:r>
        <w:rPr>
          <w:b/>
          <w:bCs/>
        </w:rPr>
        <w:t xml:space="preserve">Materiality for CIB:</w:t>
      </w:r>
      <w:r>
        <w:t xml:space="preserve"> </w:t>
      </w:r>
      <w:r>
        <w:t xml:space="preserve">Counterparty risk is a defining risk for any CIB engaged in derivatives, prime brokerage, or financing. A single large counterparty default can not only cause direct credit losses but also a cascade of market impacts if the bank has to quickly hedge or auction off defaulted trades. XVA (valuation adjustments for credit, funding, capital, etc.) has become a significant consideration:</w:t>
      </w:r>
      <w:r>
        <w:t xml:space="preserve"> </w:t>
      </w:r>
      <w:r>
        <w:rPr>
          <w:b/>
          <w:bCs/>
        </w:rPr>
        <w:t xml:space="preserve">CVA (Credit Valuation Adjustment)</w:t>
      </w:r>
      <w:r>
        <w:t xml:space="preserve"> </w:t>
      </w:r>
      <w:r>
        <w:t xml:space="preserve">– the adjustment for counterparty credit risk – affects desk P&amp;L and regulatory capital. Failures like Lehman (2008) showed CCR can be an existential threat; more recently,</w:t>
      </w:r>
      <w:r>
        <w:t xml:space="preserve"> </w:t>
      </w:r>
      <w:r>
        <w:rPr>
          <w:i/>
          <w:iCs/>
        </w:rPr>
        <w:t xml:space="preserve">Archegos</w:t>
      </w:r>
      <w:r>
        <w:t xml:space="preserve"> </w:t>
      </w:r>
      <w:r>
        <w:t xml:space="preserve">reminded that even fully collateralized positions (via swaps) can produce losses if margining and liquidation processes fail. For a modern CIB, CCR arises from thousands of counterparties – banks, corporates, hedge funds, CCPs, exchanges – embedded in its portfolios. Prime brokerage businesses (servicing hedge funds) add to CCR through margin loans and securities lending. Additionally, any</w:t>
      </w:r>
      <w:r>
        <w:t xml:space="preserve"> </w:t>
      </w:r>
      <w:r>
        <w:rPr>
          <w:i/>
          <w:iCs/>
        </w:rPr>
        <w:t xml:space="preserve">exposure to central counterparties</w:t>
      </w:r>
      <w:r>
        <w:t xml:space="preserve"> </w:t>
      </w:r>
      <w:r>
        <w:t xml:space="preserve">(CCPs for clearing) is treated as CCR – a clearing member default or a shortfall in CCP resources could require the bank to contribute to losses.</w:t>
      </w:r>
    </w:p>
    <w:p>
      <w:pPr>
        <w:pStyle w:val="BodyText"/>
      </w:pPr>
      <w:r>
        <w:rPr>
          <w:b/>
          <w:bCs/>
        </w:rPr>
        <w:t xml:space="preserve">Key Vulnerabilities:</w:t>
      </w:r>
      <w:r>
        <w:t xml:space="preserve"> </w:t>
      </w:r>
      <w:r>
        <w:t xml:space="preserve">Notable vulnerabilities include:</w:t>
      </w:r>
      <w:r>
        <w:t xml:space="preserve"> </w:t>
      </w:r>
      <w:r>
        <w:rPr>
          <w:b/>
          <w:bCs/>
        </w:rPr>
        <w:t xml:space="preserve">(i)</w:t>
      </w:r>
      <w:r>
        <w:t xml:space="preserve"> </w:t>
      </w:r>
      <w:r>
        <w:rPr>
          <w:b/>
          <w:bCs/>
        </w:rPr>
        <w:t xml:space="preserve">Wrong-Way Risk (WWR):</w:t>
      </w:r>
      <w:r>
        <w:t xml:space="preserve"> </w:t>
      </w:r>
      <w:r>
        <w:t xml:space="preserve">when exposure to a counterparty is positively correlated with that counterparty’s default risk. For example, lending secured by a volatile asset that drops in value when the counterparty is under stress (as seen when crypto firms took loans collateralized by crypto – the collateral value plummeted as the firm neared default). Another classic case: counterparty is a hedge fund deeply invested in the same assets it posts as collateral – if those assets tank, the counterparty may default just as collateral loses value.</w:t>
      </w:r>
      <w:r>
        <w:t xml:space="preserve"> </w:t>
      </w:r>
      <w:r>
        <w:rPr>
          <w:b/>
          <w:bCs/>
        </w:rPr>
        <w:t xml:space="preserve">(ii)</w:t>
      </w:r>
      <w:r>
        <w:t xml:space="preserve"> </w:t>
      </w:r>
      <w:r>
        <w:rPr>
          <w:b/>
          <w:bCs/>
        </w:rPr>
        <w:t xml:space="preserve">Concentrated Counterparties:</w:t>
      </w:r>
      <w:r>
        <w:t xml:space="preserve"> </w:t>
      </w:r>
      <w:r>
        <w:t xml:space="preserve">A handful of large hedge funds or trading firms often account for a big share of counterparty exposure. Concentration can be obscured if one entity trades across multiple products or through prime brokers.</w:t>
      </w:r>
      <w:r>
        <w:t xml:space="preserve"> </w:t>
      </w:r>
      <w:r>
        <w:rPr>
          <w:b/>
          <w:bCs/>
        </w:rPr>
        <w:t xml:space="preserve">(iii)</w:t>
      </w:r>
      <w:r>
        <w:t xml:space="preserve"> </w:t>
      </w:r>
      <w:r>
        <w:rPr>
          <w:b/>
          <w:bCs/>
        </w:rPr>
        <w:t xml:space="preserve">Insufficient or Illiquid Collateral:</w:t>
      </w:r>
      <w:r>
        <w:t xml:space="preserve"> </w:t>
      </w:r>
      <w:r>
        <w:t xml:space="preserve">If counterparties post collateral that is volatile or hard to liquidate (e.g. specific bonds, equities with shallow markets), the bank may face shortfall after a default.</w:t>
      </w:r>
      <w:r>
        <w:t xml:space="preserve"> </w:t>
      </w:r>
      <w:r>
        <w:rPr>
          <w:b/>
          <w:bCs/>
        </w:rPr>
        <w:t xml:space="preserve">(iv)</w:t>
      </w:r>
      <w:r>
        <w:t xml:space="preserve"> </w:t>
      </w:r>
      <w:r>
        <w:rPr>
          <w:b/>
          <w:bCs/>
        </w:rPr>
        <w:t xml:space="preserve">Execution Risk in Close-Out:</w:t>
      </w:r>
      <w:r>
        <w:t xml:space="preserve"> </w:t>
      </w:r>
      <w:r>
        <w:t xml:space="preserve">In the event of a counterparty default, the bank typically has to liquidate or replace derivatives. In stressed conditions, market liquidity might be thin, and prices move adversely during close-out, leading to larger losses than initial exposure estimates (this is partly what CVA capital is meant to cover).</w:t>
      </w:r>
      <w:r>
        <w:t xml:space="preserve"> </w:t>
      </w:r>
      <w:r>
        <w:rPr>
          <w:b/>
          <w:bCs/>
        </w:rPr>
        <w:t xml:space="preserve">(v)</w:t>
      </w:r>
      <w:r>
        <w:t xml:space="preserve"> </w:t>
      </w:r>
      <w:r>
        <w:rPr>
          <w:b/>
          <w:bCs/>
        </w:rPr>
        <w:t xml:space="preserve">Model Risk in Exposure Calculations:</w:t>
      </w:r>
      <w:r>
        <w:t xml:space="preserve"> </w:t>
      </w:r>
      <w:r>
        <w:t xml:space="preserve">The models used for PFE (potential future exposure) or CVA can underestimate exposure in extreme moves – e.g. if volatilities spike beyond modelled ranges, actual exposure could exceed limits. If the bank relies on netting and collateral agreements, any legal or operational issue that prevents timely collateral seizure is a vulnerability too.</w:t>
      </w:r>
    </w:p>
    <w:p>
      <w:pPr>
        <w:pStyle w:val="BodyText"/>
      </w:pPr>
      <w:r>
        <w:rPr>
          <w:b/>
          <w:bCs/>
        </w:rPr>
        <w:t xml:space="preserve">KRIs &amp; Metrics:</w:t>
      </w:r>
      <w:r>
        <w:t xml:space="preserve"> </w:t>
      </w:r>
      <w:r>
        <w:t xml:space="preserve">Key indicators for CCR include:</w:t>
      </w:r>
      <w:r>
        <w:t xml:space="preserve"> </w:t>
      </w:r>
      <w:r>
        <w:rPr>
          <w:b/>
          <w:bCs/>
        </w:rPr>
        <w:t xml:space="preserve">Peak and average exposures</w:t>
      </w:r>
      <w:r>
        <w:t xml:space="preserve"> </w:t>
      </w:r>
      <w:r>
        <w:t xml:space="preserve">by counterparty (both current exposure and PFE);</w:t>
      </w:r>
      <w:r>
        <w:t xml:space="preserve"> </w:t>
      </w:r>
      <w:r>
        <w:rPr>
          <w:b/>
          <w:bCs/>
        </w:rPr>
        <w:t xml:space="preserve">Top 10 (or 20) counterparty exposures</w:t>
      </w:r>
      <w:r>
        <w:t xml:space="preserve"> </w:t>
      </w:r>
      <w:r>
        <w:t xml:space="preserve">as a percentage of total Tier 1 capital – this highlights concentration (e.g. if one hedge fund exposure is 10% of capital, that’s high).</w:t>
      </w:r>
      <w:r>
        <w:t xml:space="preserve"> </w:t>
      </w:r>
      <w:r>
        <w:rPr>
          <w:b/>
          <w:bCs/>
        </w:rPr>
        <w:t xml:space="preserve">Wrong-way risk indicators:</w:t>
      </w:r>
      <w:r>
        <w:t xml:space="preserve"> </w:t>
      </w:r>
      <w:r>
        <w:t xml:space="preserve">for each counterparty, especially in sectors with known WWR (monoline insurers, highly levered funds, etc.), measure the correlation between counterparty credit spreads and the exposure or collateral quality.</w:t>
      </w:r>
      <w:r>
        <w:t xml:space="preserve"> </w:t>
      </w:r>
      <w:r>
        <w:rPr>
          <w:b/>
          <w:bCs/>
        </w:rPr>
        <w:t xml:space="preserve">CVA sensitivities:</w:t>
      </w:r>
      <w:r>
        <w:t xml:space="preserve"> </w:t>
      </w:r>
      <w:r>
        <w:t xml:space="preserve">how much would CVA (and hence P&amp;L) change if the counterparty’s credit spreads widen by X bps – essentially the “credit delta” to counterparties. Also track</w:t>
      </w:r>
      <w:r>
        <w:t xml:space="preserve"> </w:t>
      </w:r>
      <w:r>
        <w:rPr>
          <w:b/>
          <w:bCs/>
        </w:rPr>
        <w:t xml:space="preserve">backtesting of exposure models</w:t>
      </w:r>
      <w:r>
        <w:t xml:space="preserve"> </w:t>
      </w:r>
      <w:r>
        <w:t xml:space="preserve">– compare predicted PFE vs actual exposure profiles during volatile periods. A spike in</w:t>
      </w:r>
      <w:r>
        <w:t xml:space="preserve"> </w:t>
      </w:r>
      <w:r>
        <w:rPr>
          <w:b/>
          <w:bCs/>
        </w:rPr>
        <w:t xml:space="preserve">margin calls</w:t>
      </w:r>
      <w:r>
        <w:t xml:space="preserve"> </w:t>
      </w:r>
      <w:r>
        <w:t xml:space="preserve">or</w:t>
      </w:r>
      <w:r>
        <w:t xml:space="preserve"> </w:t>
      </w:r>
      <w:r>
        <w:rPr>
          <w:b/>
          <w:bCs/>
        </w:rPr>
        <w:t xml:space="preserve">disputed margin calls</w:t>
      </w:r>
      <w:r>
        <w:t xml:space="preserve"> </w:t>
      </w:r>
      <w:r>
        <w:t xml:space="preserve">is an excellent real-time KRI – if a counterparty is consistently behind or disputing calls, it may signal financial weakness or aggressive valuation. Another KRI:</w:t>
      </w:r>
      <w:r>
        <w:t xml:space="preserve"> </w:t>
      </w:r>
      <w:r>
        <w:rPr>
          <w:b/>
          <w:bCs/>
        </w:rPr>
        <w:t xml:space="preserve">collateral quality metrics</w:t>
      </w:r>
      <w:r>
        <w:t xml:space="preserve"> </w:t>
      </w:r>
      <w:r>
        <w:t xml:space="preserve">– what portion of collateral is cash vs securities, and for securities, what haircut buffer exists relative to market volatility. On XVA side, monitor</w:t>
      </w:r>
      <w:r>
        <w:t xml:space="preserve"> </w:t>
      </w:r>
      <w:r>
        <w:rPr>
          <w:b/>
          <w:bCs/>
        </w:rPr>
        <w:t xml:space="preserve">CVA capital charges</w:t>
      </w:r>
      <w:r>
        <w:t xml:space="preserve"> </w:t>
      </w:r>
      <w:r>
        <w:t xml:space="preserve">and</w:t>
      </w:r>
      <w:r>
        <w:t xml:space="preserve"> </w:t>
      </w:r>
      <w:r>
        <w:rPr>
          <w:b/>
          <w:bCs/>
        </w:rPr>
        <w:t xml:space="preserve">desk CVA P&amp;L</w:t>
      </w:r>
      <w:r>
        <w:t xml:space="preserve"> </w:t>
      </w:r>
      <w:r>
        <w:t xml:space="preserve">(significant CVA losses indicate deteriorating counterparty credit; e.g. dealer CVA desks incurred losses in 2022 when credit spreads widened on names like Russia-exposed banks).</w:t>
      </w:r>
      <w:r>
        <w:t xml:space="preserve"> </w:t>
      </w:r>
      <w:r>
        <w:rPr>
          <w:b/>
          <w:bCs/>
        </w:rPr>
        <w:t xml:space="preserve">Counterparty credit spread movements</w:t>
      </w:r>
      <w:r>
        <w:t xml:space="preserve"> </w:t>
      </w:r>
      <w:r>
        <w:t xml:space="preserve">(if available via CDS or bond spreads) can be leading indicators – e.g. widening CDS on a hedge fund’s parent company or prime brokerage client. And importantly, track</w:t>
      </w:r>
      <w:r>
        <w:t xml:space="preserve"> </w:t>
      </w:r>
      <w:r>
        <w:rPr>
          <w:b/>
          <w:bCs/>
        </w:rPr>
        <w:t xml:space="preserve">utilization of counterparty credit limits</w:t>
      </w:r>
      <w:r>
        <w:t xml:space="preserve"> </w:t>
      </w:r>
      <w:r>
        <w:t xml:space="preserve">– if a counterparty is frequently bumping against limits, it may be taking on more risk than initially anticipated.</w:t>
      </w:r>
    </w:p>
    <w:p>
      <w:pPr>
        <w:pStyle w:val="BodyText"/>
      </w:pPr>
      <w:r>
        <w:rPr>
          <w:b/>
          <w:bCs/>
        </w:rPr>
        <w:t xml:space="preserve">Supervisory Expectations:</w:t>
      </w:r>
      <w:r>
        <w:t xml:space="preserve"> </w:t>
      </w:r>
      <w:r>
        <w:t xml:space="preserve">Supervisors expect banks to have</w:t>
      </w:r>
      <w:r>
        <w:t xml:space="preserve"> </w:t>
      </w:r>
      <w:r>
        <w:rPr>
          <w:b/>
          <w:bCs/>
        </w:rPr>
        <w:t xml:space="preserve">robust counterparty credit risk management frameworks</w:t>
      </w:r>
      <w:r>
        <w:t xml:space="preserve"> </w:t>
      </w:r>
      <w:r>
        <w:t xml:space="preserve">per Basel/IOSCO standards. Regulators (through BCBS and local rules) have refined the measurement via SA-CCR, pushing banks to use more standardized (and conservative) exposure calculations unless they demonstrate robust internal models.</w:t>
      </w:r>
      <w:r>
        <w:t xml:space="preserve"> </w:t>
      </w:r>
      <w:r>
        <w:rPr>
          <w:b/>
          <w:bCs/>
        </w:rPr>
        <w:t xml:space="preserve">CVA capital</w:t>
      </w:r>
      <w:r>
        <w:t xml:space="preserve"> </w:t>
      </w:r>
      <w:r>
        <w:t xml:space="preserve">requirements are also being updated (the</w:t>
      </w:r>
      <w:r>
        <w:t xml:space="preserve"> </w:t>
      </w:r>
      <w:r>
        <w:rPr>
          <w:b/>
          <w:bCs/>
        </w:rPr>
        <w:t xml:space="preserve">Basel CVA framework</w:t>
      </w:r>
      <w:r>
        <w:t xml:space="preserve"> </w:t>
      </w:r>
      <w:r>
        <w:t xml:space="preserve">aligned with FRTB principles requires either a standardized or advanced approach; many jurisdictions aiming for 2025–26 implementation). Supervisors will check that the bank has integrated these into risk management, not just regulatory reporting. There’s high supervisory focus on</w:t>
      </w:r>
      <w:r>
        <w:t xml:space="preserve"> </w:t>
      </w:r>
      <w:r>
        <w:rPr>
          <w:b/>
          <w:bCs/>
        </w:rPr>
        <w:t xml:space="preserve">margin practices</w:t>
      </w:r>
      <w:r>
        <w:t xml:space="preserve"> </w:t>
      </w:r>
      <w:r>
        <w:t xml:space="preserve">after events like Archegos: regulators expect banks to set prudent initial margin and variation margin terms with non-centrally-cleared counterparties, perform regular portfolio reconciliations, and have escalation procedures for disputes.</w:t>
      </w:r>
      <w:r>
        <w:t xml:space="preserve"> </w:t>
      </w:r>
      <w:r>
        <w:rPr>
          <w:b/>
          <w:bCs/>
        </w:rPr>
        <w:t xml:space="preserve">Stress testing</w:t>
      </w:r>
      <w:r>
        <w:t xml:space="preserve"> </w:t>
      </w:r>
      <w:r>
        <w:t xml:space="preserve">is emphasized: the Fed and others have included counterparty default scenarios in stress tests (e.g. the sudden default of the largest dealer counterparty). The CRO should be prepared to show regulators</w:t>
      </w:r>
      <w:r>
        <w:t xml:space="preserve"> </w:t>
      </w:r>
      <w:r>
        <w:rPr>
          <w:i/>
          <w:iCs/>
        </w:rPr>
        <w:t xml:space="preserve">“single counterparty concentration”</w:t>
      </w:r>
      <w:r>
        <w:t xml:space="preserve"> </w:t>
      </w:r>
      <w:r>
        <w:t xml:space="preserve">reports (to comply with large exposure rules, typically no net exposure above 25% of capital to any single counterparty, with stricter internal limits for economic risk). For central counterparties, regulators expect rigorous due diligence and contributions to default funds sized appropriately. Overall, a</w:t>
      </w:r>
      <w:r>
        <w:t xml:space="preserve"> </w:t>
      </w:r>
      <w:r>
        <w:rPr>
          <w:b/>
          <w:bCs/>
        </w:rPr>
        <w:t xml:space="preserve">conservative approach to new or risky counterparties</w:t>
      </w:r>
      <w:r>
        <w:t xml:space="preserve"> </w:t>
      </w:r>
      <w:r>
        <w:t xml:space="preserve">(such as crypto exchanges or fintechs) is encouraged – U.S. regulators in early 2023 even advised extreme caution with crypto-related counterparties</w:t>
      </w:r>
      <w:hyperlink r:id="rId45">
        <w:r>
          <w:rPr>
            <w:rStyle w:val="Hyperlink"/>
          </w:rPr>
          <w:t xml:space="preserve">[22]</w:t>
        </w:r>
      </w:hyperlink>
      <w:hyperlink r:id="rId46">
        <w:r>
          <w:rPr>
            <w:rStyle w:val="Hyperlink"/>
          </w:rPr>
          <w:t xml:space="preserve">[23]</w:t>
        </w:r>
      </w:hyperlink>
      <w:r>
        <w:t xml:space="preserve">. Banks need to demonstrate active management of XVA too – pricing CVA into deals and managing that risk (many have CVA desks) – as it is both a valuation and capital issue.</w:t>
      </w:r>
    </w:p>
    <w:p>
      <w:pPr>
        <w:pStyle w:val="BodyText"/>
      </w:pPr>
      <w:r>
        <w:rPr>
          <w:b/>
          <w:bCs/>
        </w:rPr>
        <w:t xml:space="preserve">Recommended CRO Actions:</w:t>
      </w:r>
    </w:p>
    <w:p>
      <w:pPr>
        <w:numPr>
          <w:ilvl w:val="0"/>
          <w:numId w:val="1004"/>
        </w:numPr>
      </w:pPr>
      <w:r>
        <w:rPr>
          <w:b/>
          <w:bCs/>
        </w:rPr>
        <w:t xml:space="preserve">Enhance Counterparty Monitoring &amp; Early Warnings:</w:t>
      </w:r>
      <w:r>
        <w:t xml:space="preserve"> </w:t>
      </w:r>
      <w:r>
        <w:t xml:space="preserve">The CRO should ensure a</w:t>
      </w:r>
      <w:r>
        <w:t xml:space="preserve"> </w:t>
      </w:r>
      <w:r>
        <w:rPr>
          <w:i/>
          <w:iCs/>
        </w:rPr>
        <w:t xml:space="preserve">“single view”</w:t>
      </w:r>
      <w:r>
        <w:t xml:space="preserve"> </w:t>
      </w:r>
      <w:r>
        <w:t xml:space="preserve">of each counterparty across all products – aggregating exposures from OTC derivatives, prime brokerage loans, repos, clearing guarantees, etc. Implement or refine a</w:t>
      </w:r>
      <w:r>
        <w:t xml:space="preserve"> </w:t>
      </w:r>
      <w:r>
        <w:rPr>
          <w:b/>
          <w:bCs/>
        </w:rPr>
        <w:t xml:space="preserve">counterparty risk dashboard</w:t>
      </w:r>
      <w:r>
        <w:t xml:space="preserve"> </w:t>
      </w:r>
      <w:r>
        <w:t xml:space="preserve">that flags emerging issues: e.g. when a counterparty’s margin calls exceed a threshold, or when its credit spread (if available) widens beyond a trigger, or if their default probability (from an internal credit model) rises fast. Establish</w:t>
      </w:r>
      <w:r>
        <w:t xml:space="preserve"> </w:t>
      </w:r>
      <w:r>
        <w:rPr>
          <w:b/>
          <w:bCs/>
        </w:rPr>
        <w:t xml:space="preserve">early warning indicator (EWI) thresholds</w:t>
      </w:r>
      <w:r>
        <w:t xml:space="preserve"> </w:t>
      </w:r>
      <w:r>
        <w:t xml:space="preserve">that prompt action (like requiring more collateral or reducing exposure) well before official credit rating downgrades. For qualitative early warnings, leverage front-office insights and relationship manager feedback (if a traditionally solid client suddenly asks for credit line increases or delays payments, that info must reach risk managers promptly).</w:t>
      </w:r>
    </w:p>
    <w:p>
      <w:pPr>
        <w:numPr>
          <w:ilvl w:val="0"/>
          <w:numId w:val="1004"/>
        </w:numPr>
      </w:pPr>
      <w:r>
        <w:rPr>
          <w:b/>
          <w:bCs/>
        </w:rPr>
        <w:t xml:space="preserve">Tighten Margining and Covenants:</w:t>
      </w:r>
      <w:r>
        <w:t xml:space="preserve"> </w:t>
      </w:r>
      <w:r>
        <w:t xml:space="preserve">Revisit collateral and margin agreements for vulnerable counterparties. Increase</w:t>
      </w:r>
      <w:r>
        <w:t xml:space="preserve"> </w:t>
      </w:r>
      <w:r>
        <w:rPr>
          <w:b/>
          <w:bCs/>
        </w:rPr>
        <w:t xml:space="preserve">initial margin</w:t>
      </w:r>
      <w:r>
        <w:t xml:space="preserve"> </w:t>
      </w:r>
      <w:r>
        <w:t xml:space="preserve">requirements for counterparties trading highly volatile or illiquid products – even if not mandated by regulation, a house policy can demand extra buffer for riskier portfolios. Incorporate</w:t>
      </w:r>
      <w:r>
        <w:t xml:space="preserve"> </w:t>
      </w:r>
      <w:r>
        <w:rPr>
          <w:i/>
          <w:iCs/>
        </w:rPr>
        <w:t xml:space="preserve">“jump-to-default”</w:t>
      </w:r>
      <w:r>
        <w:t xml:space="preserve"> </w:t>
      </w:r>
      <w:r>
        <w:t xml:space="preserve">scenarios into collateral haircut methodologies (e.g. if counterparty defaults over a weekend, how much could the collateral value drop by Monday?). For prime brokerage, enforce conservative</w:t>
      </w:r>
      <w:r>
        <w:t xml:space="preserve"> </w:t>
      </w:r>
      <w:r>
        <w:rPr>
          <w:b/>
          <w:bCs/>
        </w:rPr>
        <w:t xml:space="preserve">rehypothecation limits</w:t>
      </w:r>
      <w:r>
        <w:t xml:space="preserve"> </w:t>
      </w:r>
      <w:r>
        <w:t xml:space="preserve">(or choose not to rehypothecate certain client assets) to avoid complex entanglements if a client fails. Also consider tightening legal covenants: include</w:t>
      </w:r>
      <w:r>
        <w:t xml:space="preserve"> </w:t>
      </w:r>
      <w:r>
        <w:rPr>
          <w:b/>
          <w:bCs/>
        </w:rPr>
        <w:t xml:space="preserve">termination events</w:t>
      </w:r>
      <w:r>
        <w:t xml:space="preserve"> </w:t>
      </w:r>
      <w:r>
        <w:t xml:space="preserve">or</w:t>
      </w:r>
      <w:r>
        <w:t xml:space="preserve"> </w:t>
      </w:r>
      <w:r>
        <w:rPr>
          <w:b/>
          <w:bCs/>
        </w:rPr>
        <w:t xml:space="preserve">rating triggers</w:t>
      </w:r>
      <w:r>
        <w:t xml:space="preserve"> </w:t>
      </w:r>
      <w:r>
        <w:t xml:space="preserve">in master agreements that allow the bank to terminate or demand full collateral if the counterparty’s credit quality deteriorates past a point. Post-Archegos, many banks have added clauses to derivatives contracts with family offices or concentrated funds to get more transparency and control – the CRO should champion such risk mitigants.</w:t>
      </w:r>
    </w:p>
    <w:p>
      <w:pPr>
        <w:numPr>
          <w:ilvl w:val="0"/>
          <w:numId w:val="1004"/>
        </w:numPr>
      </w:pPr>
      <w:r>
        <w:rPr>
          <w:b/>
          <w:bCs/>
        </w:rPr>
        <w:t xml:space="preserve">Concentration Limits &amp; Portfolio Hedging:</w:t>
      </w:r>
      <w:r>
        <w:t xml:space="preserve"> </w:t>
      </w:r>
      <w:r>
        <w:t xml:space="preserve">Review and, if needed, reduce</w:t>
      </w:r>
      <w:r>
        <w:t xml:space="preserve"> </w:t>
      </w:r>
      <w:r>
        <w:rPr>
          <w:b/>
          <w:bCs/>
        </w:rPr>
        <w:t xml:space="preserve">single-counterparty limits</w:t>
      </w:r>
      <w:r>
        <w:t xml:space="preserve"> </w:t>
      </w:r>
      <w:r>
        <w:t xml:space="preserve">for uncollateralized exposure. Even if internal models show low default probability, impose hard exposure caps as a percent of capital for any one counterparty (much stricter than regulatory large exposure limits). For any counterparty exposure that is</w:t>
      </w:r>
      <w:r>
        <w:t xml:space="preserve"> </w:t>
      </w:r>
      <w:r>
        <w:rPr>
          <w:i/>
          <w:iCs/>
        </w:rPr>
        <w:t xml:space="preserve">inevitably large</w:t>
      </w:r>
      <w:r>
        <w:t xml:space="preserve"> </w:t>
      </w:r>
      <w:r>
        <w:t xml:space="preserve">(e.g. CCPs, or a major sovereign clearing client), explore hedging of that counterparty risk via credit derivatives or other means (for instance, buying CDS on a major counterparty or buying</w:t>
      </w:r>
      <w:r>
        <w:t xml:space="preserve"> </w:t>
      </w:r>
      <w:r>
        <w:rPr>
          <w:b/>
          <w:bCs/>
        </w:rPr>
        <w:t xml:space="preserve">index CDS</w:t>
      </w:r>
      <w:r>
        <w:t xml:space="preserve"> </w:t>
      </w:r>
      <w:r>
        <w:t xml:space="preserve">as a macro hedge if individual hedges are not available). Actively manage the</w:t>
      </w:r>
      <w:r>
        <w:t xml:space="preserve"> </w:t>
      </w:r>
      <w:r>
        <w:rPr>
          <w:b/>
          <w:bCs/>
        </w:rPr>
        <w:t xml:space="preserve">CVA portfolio</w:t>
      </w:r>
      <w:r>
        <w:t xml:space="preserve"> </w:t>
      </w:r>
      <w:r>
        <w:t xml:space="preserve">– the CRO should ensure the bank’s CVA desk is using credit hedges to mitigate the P&amp;L impact of counterparty spread widening (within the confines of accounting rules), especially for counterparties where direct hedge is liquid (many banks hedged large Russian bank exposures via CDS in late 2021, which paid off when spreads blew out). Regulators permit CVA hedging and it can be capital-efficient if done properly.</w:t>
      </w:r>
    </w:p>
    <w:p>
      <w:pPr>
        <w:numPr>
          <w:ilvl w:val="0"/>
          <w:numId w:val="1004"/>
        </w:numPr>
      </w:pPr>
      <w:r>
        <w:rPr>
          <w:b/>
          <w:bCs/>
        </w:rPr>
        <w:t xml:space="preserve">Stress Testing &amp; “Close-Out” Simulations:</w:t>
      </w:r>
      <w:r>
        <w:t xml:space="preserve"> </w:t>
      </w:r>
      <w:r>
        <w:t xml:space="preserve">Conduct targeted</w:t>
      </w:r>
      <w:r>
        <w:t xml:space="preserve"> </w:t>
      </w:r>
      <w:r>
        <w:rPr>
          <w:b/>
          <w:bCs/>
        </w:rPr>
        <w:t xml:space="preserve">counterparty default simulations</w:t>
      </w:r>
      <w:r>
        <w:t xml:space="preserve"> </w:t>
      </w:r>
      <w:r>
        <w:t xml:space="preserve">– pick a few large counterparties and simulate their sudden default under various market conditions. Evaluate the</w:t>
      </w:r>
      <w:r>
        <w:t xml:space="preserve"> </w:t>
      </w:r>
      <w:r>
        <w:rPr>
          <w:i/>
          <w:iCs/>
        </w:rPr>
        <w:t xml:space="preserve">“gap risk”</w:t>
      </w:r>
      <w:r>
        <w:t xml:space="preserve"> </w:t>
      </w:r>
      <w:r>
        <w:t xml:space="preserve">– the difference between exposure under normal collateral flows vs exposure when markets move during close-out. Use these simulations to gauge if current margins and buffers are sufficient. If not, adjust your margin requirements or add capital reserves. Also, test the firm’s operational readiness: do you have the legal capacity and playbooks to quickly seize collateral and hedge or auction portfolios? The CRO should lead a review of the</w:t>
      </w:r>
      <w:r>
        <w:t xml:space="preserve"> </w:t>
      </w:r>
      <w:r>
        <w:rPr>
          <w:b/>
          <w:bCs/>
        </w:rPr>
        <w:t xml:space="preserve">default management procedures</w:t>
      </w:r>
      <w:r>
        <w:t xml:space="preserve"> </w:t>
      </w:r>
      <w:r>
        <w:t xml:space="preserve">(in concert with trading, legal, operations) to ensure the first 48 hours after a default are tightly managed, leveraging lessons from past crises. Any identified bottlenecks (e.g. limitations in quickly valuing a complex portfolio for auction) should be addressed – perhaps by pre-arranged cross-industry support agreements or backup valuation agents.</w:t>
      </w:r>
    </w:p>
    <w:p>
      <w:pPr>
        <w:numPr>
          <w:ilvl w:val="0"/>
          <w:numId w:val="1004"/>
        </w:numPr>
      </w:pPr>
      <w:r>
        <w:rPr>
          <w:b/>
          <w:bCs/>
        </w:rPr>
        <w:t xml:space="preserve">XVA Infrastructure:</w:t>
      </w:r>
      <w:r>
        <w:t xml:space="preserve"> </w:t>
      </w:r>
      <w:r>
        <w:t xml:space="preserve">Strengthen the integration of XVA into business decisions. The CRO should ensure that</w:t>
      </w:r>
      <w:r>
        <w:t xml:space="preserve"> </w:t>
      </w:r>
      <w:r>
        <w:rPr>
          <w:b/>
          <w:bCs/>
        </w:rPr>
        <w:t xml:space="preserve">CVA is charged to desks and clients</w:t>
      </w:r>
      <w:r>
        <w:t xml:space="preserve"> </w:t>
      </w:r>
      <w:r>
        <w:t xml:space="preserve">appropriately – so pricing of trades includes the cost of counterparty risk. Encourage the development of</w:t>
      </w:r>
      <w:r>
        <w:t xml:space="preserve"> </w:t>
      </w:r>
      <w:r>
        <w:rPr>
          <w:b/>
          <w:bCs/>
        </w:rPr>
        <w:t xml:space="preserve">dynamic CVA limits</w:t>
      </w:r>
      <w:r>
        <w:t xml:space="preserve"> </w:t>
      </w:r>
      <w:r>
        <w:t xml:space="preserve">(just like market risk limits) for the CVA desk, to ensure hedging strategies don’t inadvertently add new risks. With the new Basel CVA capital rules, monitor those capital metrics closely and optimize by moving more exposures to clearing or to</w:t>
      </w:r>
      <w:r>
        <w:t xml:space="preserve"> </w:t>
      </w:r>
      <w:r>
        <w:rPr>
          <w:b/>
          <w:bCs/>
        </w:rPr>
        <w:t xml:space="preserve">risk-mitigating counterparties</w:t>
      </w:r>
      <w:r>
        <w:t xml:space="preserve"> </w:t>
      </w:r>
      <w:r>
        <w:t xml:space="preserve">where possible. For example, if certain long-dated FX trades with a corporate carry high CVA capital, consider novating them to a clearinghouse or obtaining collateral from that client to cut CVA risk.</w:t>
      </w:r>
    </w:p>
    <w:p>
      <w:pPr>
        <w:pStyle w:val="FirstParagraph"/>
      </w:pPr>
      <w:r>
        <w:t xml:space="preserve">In essence,</w:t>
      </w:r>
      <w:r>
        <w:t xml:space="preserve"> </w:t>
      </w:r>
      <w:r>
        <w:rPr>
          <w:b/>
          <w:bCs/>
        </w:rPr>
        <w:t xml:space="preserve">vigilance and agility</w:t>
      </w:r>
      <w:r>
        <w:t xml:space="preserve"> </w:t>
      </w:r>
      <w:r>
        <w:t xml:space="preserve">are key. The CRO’s goal is to</w:t>
      </w:r>
      <w:r>
        <w:t xml:space="preserve"> </w:t>
      </w:r>
      <w:r>
        <w:rPr>
          <w:i/>
          <w:iCs/>
        </w:rPr>
        <w:t xml:space="preserve">“see around the corner”</w:t>
      </w:r>
      <w:r>
        <w:t xml:space="preserve"> </w:t>
      </w:r>
      <w:r>
        <w:t xml:space="preserve">for counterparty risk – identifying building stresses before they culminate in default – and to maintain robust defenses (margin, hedges, limits) so that even an unforeseen default is a manageable event, not a crisis.</w:t>
      </w:r>
    </w:p>
    <w:bookmarkEnd w:id="47"/>
    <w:bookmarkStart w:id="50" w:name="liquidity-funding-risk"/>
    <w:p>
      <w:pPr>
        <w:pStyle w:val="Heading3"/>
      </w:pPr>
      <w:r>
        <w:t xml:space="preserve">Liquidity &amp; Funding Risk</w:t>
      </w:r>
    </w:p>
    <w:p>
      <w:pPr>
        <w:pStyle w:val="FirstParagraph"/>
      </w:pPr>
      <w:r>
        <w:rPr>
          <w:b/>
          <w:bCs/>
        </w:rPr>
        <w:t xml:space="preserve">Drivers &amp; Context:</w:t>
      </w:r>
      <w:r>
        <w:t xml:space="preserve"> </w:t>
      </w:r>
      <w:r>
        <w:t xml:space="preserve">Liquidity and funding risk remains a critical focus, intensified by the events of recent years (e.g. the sudden deposit runs in some banks in 2023, the 2022 UK LDI crisis requiring central bank intervention). For a CIB, liquidity risk comes from multiple angles:</w:t>
      </w:r>
      <w:r>
        <w:t xml:space="preserve"> </w:t>
      </w:r>
      <w:r>
        <w:rPr>
          <w:b/>
          <w:bCs/>
        </w:rPr>
        <w:t xml:space="preserve">(1)</w:t>
      </w:r>
      <w:r>
        <w:t xml:space="preserve"> </w:t>
      </w:r>
      <w:r>
        <w:t xml:space="preserve">The need to fund large trading and securities inventories (market liquidity risk turning into funding liquidity risk if the bank cannot liquidate positions without big price impacts);</w:t>
      </w:r>
      <w:r>
        <w:t xml:space="preserve"> </w:t>
      </w:r>
      <w:r>
        <w:rPr>
          <w:b/>
          <w:bCs/>
        </w:rPr>
        <w:t xml:space="preserve">(2)</w:t>
      </w:r>
      <w:r>
        <w:t xml:space="preserve"> </w:t>
      </w:r>
      <w:r>
        <w:rPr>
          <w:b/>
          <w:bCs/>
        </w:rPr>
        <w:t xml:space="preserve">Margin and collateral calls</w:t>
      </w:r>
      <w:r>
        <w:t xml:space="preserve"> </w:t>
      </w:r>
      <w:r>
        <w:t xml:space="preserve">on derivatives and secured funding – these can spike in a volatile market, requiring the firm to post additional cash or high-quality collateral at short notice;</w:t>
      </w:r>
      <w:r>
        <w:t xml:space="preserve"> </w:t>
      </w:r>
      <w:r>
        <w:rPr>
          <w:b/>
          <w:bCs/>
        </w:rPr>
        <w:t xml:space="preserve">(3)</w:t>
      </w:r>
      <w:r>
        <w:t xml:space="preserve"> </w:t>
      </w:r>
      <w:r>
        <w:t xml:space="preserve">The</w:t>
      </w:r>
      <w:r>
        <w:t xml:space="preserve"> </w:t>
      </w:r>
      <w:r>
        <w:rPr>
          <w:b/>
          <w:bCs/>
        </w:rPr>
        <w:t xml:space="preserve">stability of funding sources</w:t>
      </w:r>
      <w:r>
        <w:t xml:space="preserve"> </w:t>
      </w:r>
      <w:r>
        <w:t xml:space="preserve">– e.g. wholesale funding, large uninsured deposits, or short-term credit from money markets, which can evaporate if confidence falters;</w:t>
      </w:r>
      <w:r>
        <w:t xml:space="preserve"> </w:t>
      </w:r>
      <w:r>
        <w:rPr>
          <w:b/>
          <w:bCs/>
        </w:rPr>
        <w:t xml:space="preserve">(4)</w:t>
      </w:r>
      <w:r>
        <w:t xml:space="preserve"> </w:t>
      </w:r>
      <w:r>
        <w:rPr>
          <w:b/>
          <w:bCs/>
        </w:rPr>
        <w:t xml:space="preserve">Intraday liquidity</w:t>
      </w:r>
      <w:r>
        <w:t xml:space="preserve"> </w:t>
      </w:r>
      <w:r>
        <w:t xml:space="preserve">for payment and settlement – as transaction volumes grow and some markets move to near-real-time settlement, banks must have sufficient intraday credit to avoid gridlock (especially with 24/7 infrastructures emerging in digital assets, which operate when traditional payment systems are closed). Meanwhile, regulatory liquidity requirements like</w:t>
      </w:r>
      <w:r>
        <w:t xml:space="preserve"> </w:t>
      </w:r>
      <w:r>
        <w:rPr>
          <w:b/>
          <w:bCs/>
        </w:rPr>
        <w:t xml:space="preserve">LCR (Liquidity Coverage Ratio)</w:t>
      </w:r>
      <w:r>
        <w:t xml:space="preserve"> </w:t>
      </w:r>
      <w:r>
        <w:t xml:space="preserve">and</w:t>
      </w:r>
      <w:r>
        <w:t xml:space="preserve"> </w:t>
      </w:r>
      <w:r>
        <w:rPr>
          <w:b/>
          <w:bCs/>
        </w:rPr>
        <w:t xml:space="preserve">NSFR (Net Stable Funding Ratio)</w:t>
      </w:r>
      <w:r>
        <w:t xml:space="preserve"> </w:t>
      </w:r>
      <w:r>
        <w:t xml:space="preserve">are in force, and Basel Endgame adjustments (though mainly capital-focused) could indirectly affect liquidity by changing incentives for asset composition.</w:t>
      </w:r>
    </w:p>
    <w:p>
      <w:pPr>
        <w:pStyle w:val="BodyText"/>
      </w:pPr>
      <w:r>
        <w:rPr>
          <w:b/>
          <w:bCs/>
        </w:rPr>
        <w:t xml:space="preserve">Materiality for CIB:</w:t>
      </w:r>
      <w:r>
        <w:t xml:space="preserve"> </w:t>
      </w:r>
      <w:r>
        <w:t xml:space="preserve">A CIB’s ability to serve clients (market-making, prime brokerage, payment services) and to survive stress rests on robust liquidity. Market shocks often manifest first as liquidity squeezes: e.g., if credit spreads blow out, variation margin on credit default swaps can drain billions in liquidity daily. In prime brokerage, if a large client defaults or is rumored to be in trouble, the bank might need to</w:t>
      </w:r>
      <w:r>
        <w:t xml:space="preserve"> </w:t>
      </w:r>
      <w:r>
        <w:rPr>
          <w:i/>
          <w:iCs/>
        </w:rPr>
        <w:t xml:space="preserve">fund and carry</w:t>
      </w:r>
      <w:r>
        <w:t xml:space="preserve"> </w:t>
      </w:r>
      <w:r>
        <w:t xml:space="preserve">the client’s positions during close-out, temporarily ballooning the balance sheet. Also, as a provider of committed financing (loan facilities, underwriting of bond issuances), the CIB may face</w:t>
      </w:r>
      <w:r>
        <w:t xml:space="preserve"> </w:t>
      </w:r>
      <w:r>
        <w:rPr>
          <w:b/>
          <w:bCs/>
        </w:rPr>
        <w:t xml:space="preserve">“funding under fire”</w:t>
      </w:r>
      <w:r>
        <w:t xml:space="preserve"> </w:t>
      </w:r>
      <w:r>
        <w:t xml:space="preserve">when clients draw on lines exactly when markets are tight. For trading books, illiquid assets (Level 3) are hard to fund if secured markets shun them – the bank may end up stuck with less pledgeable collateral. Importantly, liquidity risk is tightly linked with</w:t>
      </w:r>
      <w:r>
        <w:t xml:space="preserve"> </w:t>
      </w:r>
      <w:r>
        <w:rPr>
          <w:b/>
          <w:bCs/>
        </w:rPr>
        <w:t xml:space="preserve">reputation and confidence</w:t>
      </w:r>
      <w:r>
        <w:t xml:space="preserve">: one downgrade or negative news cycle can cause counterparties to pull funding or clients to withdraw assets, setting off a self-fulfilling spiral (as seen in historical cases like Bear Stearns or more recently, some crypto exchanges experiencing runs). In summary, liquidity is the lifeblood; losing it can topple an otherwise solvent institution.</w:t>
      </w:r>
    </w:p>
    <w:p>
      <w:pPr>
        <w:pStyle w:val="BodyText"/>
      </w:pPr>
      <w:r>
        <w:rPr>
          <w:b/>
          <w:bCs/>
        </w:rPr>
        <w:t xml:space="preserve">Key Vulnerabilities:</w:t>
      </w:r>
      <w:r>
        <w:t xml:space="preserve"> </w:t>
      </w:r>
      <w:r>
        <w:t xml:space="preserve">Vulnerabilities include:</w:t>
      </w:r>
      <w:r>
        <w:t xml:space="preserve"> </w:t>
      </w:r>
      <w:r>
        <w:rPr>
          <w:b/>
          <w:bCs/>
        </w:rPr>
        <w:t xml:space="preserve">(i)</w:t>
      </w:r>
      <w:r>
        <w:t xml:space="preserve"> </w:t>
      </w:r>
      <w:r>
        <w:rPr>
          <w:b/>
          <w:bCs/>
        </w:rPr>
        <w:t xml:space="preserve">Short-Term Funding Reliance:</w:t>
      </w:r>
      <w:r>
        <w:t xml:space="preserve"> </w:t>
      </w:r>
      <w:r>
        <w:t xml:space="preserve">Heavy dependence on short-term wholesale funding (commercial paper, repos that mature overnight, large unsecured money-market loans) can be dangerous. If a significant portion of the balance sheet must be rolled daily/weekly, the bank is vulnerable to market hiccups or firm-specific sentiment shifts.</w:t>
      </w:r>
      <w:r>
        <w:t xml:space="preserve"> </w:t>
      </w:r>
      <w:r>
        <w:rPr>
          <w:b/>
          <w:bCs/>
        </w:rPr>
        <w:t xml:space="preserve">(ii)</w:t>
      </w:r>
      <w:r>
        <w:t xml:space="preserve"> </w:t>
      </w:r>
      <w:r>
        <w:rPr>
          <w:b/>
          <w:bCs/>
        </w:rPr>
        <w:t xml:space="preserve">Concentration of Funding Sources:</w:t>
      </w:r>
      <w:r>
        <w:t xml:space="preserve"> </w:t>
      </w:r>
      <w:r>
        <w:t xml:space="preserve">If the bank relies on a few large providers (e.g. a handful of big depositors or central bank facilities or one currency’s funding market), a disruption in that source can create a cliff effect.</w:t>
      </w:r>
      <w:r>
        <w:t xml:space="preserve"> </w:t>
      </w:r>
      <w:r>
        <w:rPr>
          <w:b/>
          <w:bCs/>
        </w:rPr>
        <w:t xml:space="preserve">(iii)</w:t>
      </w:r>
      <w:r>
        <w:t xml:space="preserve"> </w:t>
      </w:r>
      <w:r>
        <w:rPr>
          <w:b/>
          <w:bCs/>
        </w:rPr>
        <w:t xml:space="preserve">Off-Balance Sheet Liquidity Calls:</w:t>
      </w:r>
      <w:r>
        <w:t xml:space="preserve"> </w:t>
      </w:r>
      <w:r>
        <w:t xml:space="preserve">Undrawn commitments (like credit lines to corporates or liquidity backstops for commercial paper conduits) can suddenly turn into cash outflows under stress. Similarly,</w:t>
      </w:r>
      <w:r>
        <w:t xml:space="preserve"> </w:t>
      </w:r>
      <w:r>
        <w:rPr>
          <w:b/>
          <w:bCs/>
        </w:rPr>
        <w:t xml:space="preserve">derivative triggers</w:t>
      </w:r>
      <w:r>
        <w:t xml:space="preserve"> </w:t>
      </w:r>
      <w:r>
        <w:t xml:space="preserve">– e.g. a credit rating downgrade of the bank might trigger a requirement to post additional collateral to counterparties (often called</w:t>
      </w:r>
      <w:r>
        <w:t xml:space="preserve"> </w:t>
      </w:r>
      <w:r>
        <w:rPr>
          <w:i/>
          <w:iCs/>
        </w:rPr>
        <w:t xml:space="preserve">“downgrade triggers”</w:t>
      </w:r>
      <w:r>
        <w:t xml:space="preserve"> </w:t>
      </w:r>
      <w:r>
        <w:t xml:space="preserve">in ISDA CSAs). These contingent calls are often overlooked until stress hits.</w:t>
      </w:r>
      <w:r>
        <w:t xml:space="preserve"> </w:t>
      </w:r>
      <w:r>
        <w:rPr>
          <w:b/>
          <w:bCs/>
        </w:rPr>
        <w:t xml:space="preserve">(iv)</w:t>
      </w:r>
      <w:r>
        <w:t xml:space="preserve"> </w:t>
      </w:r>
      <w:r>
        <w:rPr>
          <w:b/>
          <w:bCs/>
        </w:rPr>
        <w:t xml:space="preserve">Collateral and Margin Risk:</w:t>
      </w:r>
      <w:r>
        <w:t xml:space="preserve"> </w:t>
      </w:r>
      <w:r>
        <w:t xml:space="preserve">The quality and liquidity of the firm’s collateral pool is crucial. If much of the firm’s collateral is tied in less liquid forms (equities, lower-grade bonds), the ability to raise cash via repo or central bank borrowing is limited. We saw in 2022 with LDI funds that even high-quality collateral (like long Gilts) can become hard to monetize quickly without a price hit – so</w:t>
      </w:r>
      <w:r>
        <w:t xml:space="preserve"> </w:t>
      </w:r>
      <w:r>
        <w:rPr>
          <w:i/>
          <w:iCs/>
        </w:rPr>
        <w:t xml:space="preserve">haircuts can jump</w:t>
      </w:r>
      <w:r>
        <w:t xml:space="preserve"> </w:t>
      </w:r>
      <w:r>
        <w:t xml:space="preserve">in stress.</w:t>
      </w:r>
      <w:r>
        <w:t xml:space="preserve"> </w:t>
      </w:r>
      <w:r>
        <w:rPr>
          <w:b/>
          <w:bCs/>
        </w:rPr>
        <w:t xml:space="preserve">(v)</w:t>
      </w:r>
      <w:r>
        <w:t xml:space="preserve"> </w:t>
      </w:r>
      <w:r>
        <w:rPr>
          <w:b/>
          <w:bCs/>
        </w:rPr>
        <w:t xml:space="preserve">Cross-Border/FX Liquidity:</w:t>
      </w:r>
      <w:r>
        <w:t xml:space="preserve"> </w:t>
      </w:r>
      <w:r>
        <w:t xml:space="preserve">For global banks, funding in one currency might not seamlessly transfer to another due to market segmentation or capital controls. A dollar funding crunch (like 2008 or March 2020) can hurt non-US banks that have USD assets but rely on swaps to get dollars. That currency mismatch is a vulnerability if swap markets seize up.</w:t>
      </w:r>
    </w:p>
    <w:p>
      <w:pPr>
        <w:pStyle w:val="BodyText"/>
      </w:pPr>
      <w:r>
        <w:rPr>
          <w:b/>
          <w:bCs/>
        </w:rPr>
        <w:t xml:space="preserve">KRIs &amp; Metrics:</w:t>
      </w:r>
      <w:r>
        <w:t xml:space="preserve"> </w:t>
      </w:r>
      <w:r>
        <w:t xml:space="preserve">The established regulatory metrics are starting points:</w:t>
      </w:r>
      <w:r>
        <w:t xml:space="preserve"> </w:t>
      </w:r>
      <w:r>
        <w:rPr>
          <w:b/>
          <w:bCs/>
        </w:rPr>
        <w:t xml:space="preserve">LCR</w:t>
      </w:r>
      <w:r>
        <w:t xml:space="preserve"> </w:t>
      </w:r>
      <w:r>
        <w:t xml:space="preserve">(must be ≥100%, indicating enough high-quality liquid assets to cover 30-day outflows) and</w:t>
      </w:r>
      <w:r>
        <w:t xml:space="preserve"> </w:t>
      </w:r>
      <w:r>
        <w:rPr>
          <w:b/>
          <w:bCs/>
        </w:rPr>
        <w:t xml:space="preserve">NSFR</w:t>
      </w:r>
      <w:r>
        <w:t xml:space="preserve"> </w:t>
      </w:r>
      <w:r>
        <w:t xml:space="preserve">(≥100%, to ensure stable funding for one-year horizon). But the CRO should go further. Monitor</w:t>
      </w:r>
      <w:r>
        <w:t xml:space="preserve"> </w:t>
      </w:r>
      <w:r>
        <w:rPr>
          <w:b/>
          <w:bCs/>
        </w:rPr>
        <w:t xml:space="preserve">Survival Days under stress</w:t>
      </w:r>
      <w:r>
        <w:t xml:space="preserve"> </w:t>
      </w:r>
      <w:r>
        <w:t xml:space="preserve">– basically, how long could the bank meet liquidity needs if funding markets closed, under various stress scenarios (mild, severe).</w:t>
      </w:r>
      <w:r>
        <w:t xml:space="preserve"> </w:t>
      </w:r>
      <w:r>
        <w:rPr>
          <w:b/>
          <w:bCs/>
        </w:rPr>
        <w:t xml:space="preserve">Cash capital</w:t>
      </w:r>
      <w:r>
        <w:t xml:space="preserve"> </w:t>
      </w:r>
      <w:r>
        <w:t xml:space="preserve">or</w:t>
      </w:r>
      <w:r>
        <w:t xml:space="preserve"> </w:t>
      </w:r>
      <w:r>
        <w:rPr>
          <w:b/>
          <w:bCs/>
        </w:rPr>
        <w:t xml:space="preserve">free liquidity buffer</w:t>
      </w:r>
      <w:r>
        <w:t xml:space="preserve"> </w:t>
      </w:r>
      <w:r>
        <w:t xml:space="preserve">– the amount of unencumbered cash and government securities available within 1 day – is a key metric (often, firms target a certain percentage of assets or amount in excess of regulatory minimum). Track the</w:t>
      </w:r>
      <w:r>
        <w:t xml:space="preserve"> </w:t>
      </w:r>
      <w:r>
        <w:rPr>
          <w:b/>
          <w:bCs/>
        </w:rPr>
        <w:t xml:space="preserve">quality of liquid asset buffer</w:t>
      </w:r>
      <w:r>
        <w:t xml:space="preserve"> </w:t>
      </w:r>
      <w:r>
        <w:t xml:space="preserve">(HQLA composition) – e.g. what portion is Level 1 assets (cash, sovereign bonds) vs Level 2 (corporate bonds, equities that count with haircut). Another metric:</w:t>
      </w:r>
      <w:r>
        <w:t xml:space="preserve"> </w:t>
      </w:r>
      <w:r>
        <w:rPr>
          <w:b/>
          <w:bCs/>
        </w:rPr>
        <w:t xml:space="preserve">contractual vs behavioral mismatch</w:t>
      </w:r>
      <w:r>
        <w:t xml:space="preserve"> </w:t>
      </w:r>
      <w:r>
        <w:t xml:space="preserve">– compare upcoming contractual cash inflows/outflows in buckets (say 0–7 days, 7–30, 30–90, etc.) to a behavioral or stressed estimate of the same (clients might draw down faster in stress). Look at</w:t>
      </w:r>
      <w:r>
        <w:t xml:space="preserve"> </w:t>
      </w:r>
      <w:r>
        <w:rPr>
          <w:b/>
          <w:bCs/>
        </w:rPr>
        <w:t xml:space="preserve">wholesale funding dependence</w:t>
      </w:r>
      <w:r>
        <w:t xml:space="preserve"> </w:t>
      </w:r>
      <w:r>
        <w:t xml:space="preserve">ratio: e.g. loans funded by less stable funding (like &lt;30-day funding, or non-deposit funding).</w:t>
      </w:r>
      <w:r>
        <w:t xml:space="preserve"> </w:t>
      </w:r>
      <w:r>
        <w:rPr>
          <w:b/>
          <w:bCs/>
        </w:rPr>
        <w:t xml:space="preserve">Deposit outflow rates</w:t>
      </w:r>
      <w:r>
        <w:t xml:space="preserve"> </w:t>
      </w:r>
      <w:r>
        <w:t xml:space="preserve">– e.g., percentage of large corporate deposits that left over the past quarter, or proportion of deposits above insurance limits (prone to fast withdrawal). For market contingency, monitor</w:t>
      </w:r>
      <w:r>
        <w:t xml:space="preserve"> </w:t>
      </w:r>
      <w:r>
        <w:rPr>
          <w:b/>
          <w:bCs/>
        </w:rPr>
        <w:t xml:space="preserve">repo market haircuts and rates</w:t>
      </w:r>
      <w:r>
        <w:t xml:space="preserve"> </w:t>
      </w:r>
      <w:r>
        <w:t xml:space="preserve">– if haircuts on collateral start rising or repo rates spike relative to policy rate, that’s an alarm (e.g. a jump in GC repo-OIS spread). Also track usage of</w:t>
      </w:r>
      <w:r>
        <w:t xml:space="preserve"> </w:t>
      </w:r>
      <w:r>
        <w:rPr>
          <w:b/>
          <w:bCs/>
        </w:rPr>
        <w:t xml:space="preserve">central bank facilities</w:t>
      </w:r>
      <w:r>
        <w:t xml:space="preserve"> </w:t>
      </w:r>
      <w:r>
        <w:t xml:space="preserve">if any (like the Fed’s discount window or others) – ideally it should be zero in normal times; any usage or even testing should be flagged.</w:t>
      </w:r>
      <w:r>
        <w:t xml:space="preserve"> </w:t>
      </w:r>
      <w:r>
        <w:rPr>
          <w:b/>
          <w:bCs/>
        </w:rPr>
        <w:t xml:space="preserve">Intraday liquidity</w:t>
      </w:r>
      <w:r>
        <w:t xml:space="preserve"> </w:t>
      </w:r>
      <w:r>
        <w:t xml:space="preserve">KRIs: the peak intraday overdraft, or number of payment delays due to insufficient intraday funds, etc. Finally,</w:t>
      </w:r>
      <w:r>
        <w:t xml:space="preserve"> </w:t>
      </w:r>
      <w:r>
        <w:rPr>
          <w:b/>
          <w:bCs/>
        </w:rPr>
        <w:t xml:space="preserve">market indicators</w:t>
      </w:r>
      <w:r>
        <w:t xml:space="preserve"> </w:t>
      </w:r>
      <w:r>
        <w:t xml:space="preserve">like the cross-currency basis (for FX funding stress), OIS–LIBOR spreads (though LIBOR is largely replaced by SOFR, but similar term funding spreads), and bank CDS spreads themselves are telling – a widening CDS implies the market is concerned about the bank’s credit, which can precede liquidity issues.</w:t>
      </w:r>
    </w:p>
    <w:p>
      <w:pPr>
        <w:pStyle w:val="BodyText"/>
      </w:pPr>
      <w:r>
        <w:rPr>
          <w:b/>
          <w:bCs/>
        </w:rPr>
        <w:t xml:space="preserve">Supervisory Expectations:</w:t>
      </w:r>
      <w:r>
        <w:t xml:space="preserve"> </w:t>
      </w:r>
      <w:r>
        <w:t xml:space="preserve">Post-2008 reforms made liquidity a top regulatory priority. Supervisors perform annual assessment of banks’</w:t>
      </w:r>
      <w:r>
        <w:t xml:space="preserve"> </w:t>
      </w:r>
      <w:r>
        <w:rPr>
          <w:b/>
          <w:bCs/>
        </w:rPr>
        <w:t xml:space="preserve">ILAAP</w:t>
      </w:r>
      <w:r>
        <w:t xml:space="preserve"> </w:t>
      </w:r>
      <w:r>
        <w:t xml:space="preserve">(Internal Liquidity Adequacy Assessment Process) akin to capital’s ICAAP. The expectation is that banks hold</w:t>
      </w:r>
      <w:r>
        <w:t xml:space="preserve"> </w:t>
      </w:r>
      <w:r>
        <w:rPr>
          <w:b/>
          <w:bCs/>
        </w:rPr>
        <w:t xml:space="preserve">robust liquidity buffers and conduct regular stress tests</w:t>
      </w:r>
      <w:r>
        <w:t xml:space="preserve"> </w:t>
      </w:r>
      <w:r>
        <w:t xml:space="preserve">(typically covering idiosyncratic, market-wide, and combined stresses). Regulators will want to see scenarios such as: a severe name-specific run (loss of X% of deposits in a week), loss of wholesale funding, a downgrade by 3 notches, etc., and that the bank still stays solvent and liquid.</w:t>
      </w:r>
      <w:r>
        <w:t xml:space="preserve"> </w:t>
      </w:r>
      <w:r>
        <w:rPr>
          <w:b/>
          <w:bCs/>
        </w:rPr>
        <w:t xml:space="preserve">Intraday liquidity</w:t>
      </w:r>
      <w:r>
        <w:t xml:space="preserve"> </w:t>
      </w:r>
      <w:r>
        <w:t xml:space="preserve">management is increasingly scrutinized – e.g. the Basel Committee issued guidance on managing intraday liquidity requiring banks to quantify and monitor intraday positions and</w:t>
      </w:r>
      <w:r>
        <w:t xml:space="preserve"> </w:t>
      </w:r>
      <w:r>
        <w:rPr>
          <w:b/>
          <w:bCs/>
        </w:rPr>
        <w:t xml:space="preserve">meet critical payments even under stress</w:t>
      </w:r>
      <w:r>
        <w:t xml:space="preserve">. The</w:t>
      </w:r>
      <w:r>
        <w:t xml:space="preserve"> </w:t>
      </w:r>
      <w:r>
        <w:rPr>
          <w:b/>
          <w:bCs/>
        </w:rPr>
        <w:t xml:space="preserve">Basel III endgame</w:t>
      </w:r>
      <w:r>
        <w:t xml:space="preserve"> </w:t>
      </w:r>
      <w:r>
        <w:t xml:space="preserve">proposals also mention refinements to liquidity rules (though not as drastic as capital ones). Additionally, supervisors focus on</w:t>
      </w:r>
      <w:r>
        <w:t xml:space="preserve"> </w:t>
      </w:r>
      <w:r>
        <w:rPr>
          <w:b/>
          <w:bCs/>
        </w:rPr>
        <w:t xml:space="preserve">collateral management practices</w:t>
      </w:r>
      <w:r>
        <w:t xml:space="preserve"> </w:t>
      </w:r>
      <w:r>
        <w:t xml:space="preserve">– expecting banks to know exactly what collateral they can pledge where, and to pre-position collateral at central banks for emergency borrowing. The failures of a few banks in 2023 (e.g. SVB) highlighted poor assumptions (they assumed stickiness of deposits that proved wrong). Thus, supervisors may challenge overly optimistic assumptions about deposit stickiness or central bank aid. Also, any</w:t>
      </w:r>
      <w:r>
        <w:t xml:space="preserve"> </w:t>
      </w:r>
      <w:r>
        <w:rPr>
          <w:b/>
          <w:bCs/>
        </w:rPr>
        <w:t xml:space="preserve">liquidity risk from crypto or fintech</w:t>
      </w:r>
      <w:r>
        <w:t xml:space="preserve"> </w:t>
      </w:r>
      <w:r>
        <w:t xml:space="preserve">(like deposits from crypto firms that can flee 24/7) is a new area of focus; regulators have cautioned banks to manage the heightened volatility of such deposits</w:t>
      </w:r>
      <w:hyperlink r:id="rId48">
        <w:r>
          <w:rPr>
            <w:rStyle w:val="Hyperlink"/>
          </w:rPr>
          <w:t xml:space="preserve">[24]</w:t>
        </w:r>
      </w:hyperlink>
      <w:hyperlink r:id="rId49">
        <w:r>
          <w:rPr>
            <w:rStyle w:val="Hyperlink"/>
          </w:rPr>
          <w:t xml:space="preserve">[25]</w:t>
        </w:r>
      </w:hyperlink>
      <w:r>
        <w:t xml:space="preserve">. The CRO should be prepared to demonstrate an accurate, up-to-date picture of liquidity across entities and currencies – BCBS 239 (risk data aggregation) principles very much apply to liquidity data too.</w:t>
      </w:r>
    </w:p>
    <w:p>
      <w:pPr>
        <w:pStyle w:val="BodyText"/>
      </w:pPr>
      <w:r>
        <w:rPr>
          <w:b/>
          <w:bCs/>
        </w:rPr>
        <w:t xml:space="preserve">Recommended CRO Actions:</w:t>
      </w:r>
    </w:p>
    <w:p>
      <w:pPr>
        <w:numPr>
          <w:ilvl w:val="0"/>
          <w:numId w:val="1005"/>
        </w:numPr>
      </w:pPr>
      <w:r>
        <w:rPr>
          <w:b/>
          <w:bCs/>
        </w:rPr>
        <w:t xml:space="preserve">Refine Liquidity Stress Tests and Contingency Funding Plan:</w:t>
      </w:r>
      <w:r>
        <w:t xml:space="preserve"> </w:t>
      </w:r>
      <w:r>
        <w:t xml:space="preserve">Update the bank’s</w:t>
      </w:r>
      <w:r>
        <w:t xml:space="preserve"> </w:t>
      </w:r>
      <w:r>
        <w:rPr>
          <w:b/>
          <w:bCs/>
        </w:rPr>
        <w:t xml:space="preserve">liquidity stress testing</w:t>
      </w:r>
      <w:r>
        <w:t xml:space="preserve"> </w:t>
      </w:r>
      <w:r>
        <w:t xml:space="preserve">to incorporate lessons from recent episodes. For instance, assume faster and larger</w:t>
      </w:r>
      <w:r>
        <w:t xml:space="preserve"> </w:t>
      </w:r>
      <w:r>
        <w:rPr>
          <w:b/>
          <w:bCs/>
        </w:rPr>
        <w:t xml:space="preserve">deposit outflows</w:t>
      </w:r>
      <w:r>
        <w:t xml:space="preserve"> </w:t>
      </w:r>
      <w:r>
        <w:t xml:space="preserve">from uninsured and operational deposits (calibrate with 2023 industry outflow data). Include a stress scenario where the bank’s</w:t>
      </w:r>
      <w:r>
        <w:t xml:space="preserve"> </w:t>
      </w:r>
      <w:r>
        <w:rPr>
          <w:b/>
          <w:bCs/>
        </w:rPr>
        <w:t xml:space="preserve">credit rating is downgraded</w:t>
      </w:r>
      <w:r>
        <w:t xml:space="preserve"> </w:t>
      </w:r>
      <w:r>
        <w:t xml:space="preserve">multiple notches – quantify additional collateral calls (rating triggers in derivatives, loss of unsecured funding, perhaps even loss of clearing lines). Also simulate a</w:t>
      </w:r>
      <w:r>
        <w:t xml:space="preserve"> </w:t>
      </w:r>
      <w:r>
        <w:rPr>
          <w:b/>
          <w:bCs/>
        </w:rPr>
        <w:t xml:space="preserve">concurrent market stress</w:t>
      </w:r>
      <w:r>
        <w:t xml:space="preserve">: e.g. a scenario where credit spreads widen and the bank’s largest borrowing counterparties draw down credit lines at the same time. Ensure the</w:t>
      </w:r>
      <w:r>
        <w:t xml:space="preserve"> </w:t>
      </w:r>
      <w:r>
        <w:rPr>
          <w:b/>
          <w:bCs/>
        </w:rPr>
        <w:t xml:space="preserve">Contingency Funding Plan (CFP)</w:t>
      </w:r>
      <w:r>
        <w:t xml:space="preserve"> </w:t>
      </w:r>
      <w:r>
        <w:t xml:space="preserve">addresses these scenarios with concrete actions (selling assets, tapping backup lines, central bank borrowing). The CRO should review the CFP playbook with the treasury and make sure responsible persons and action steps (like what can be sold day 1, who calls central bank, how to communicate with investors to restore confidence) are clearly defined and tested.</w:t>
      </w:r>
    </w:p>
    <w:p>
      <w:pPr>
        <w:numPr>
          <w:ilvl w:val="0"/>
          <w:numId w:val="1005"/>
        </w:numPr>
      </w:pPr>
      <w:r>
        <w:rPr>
          <w:b/>
          <w:bCs/>
        </w:rPr>
        <w:t xml:space="preserve">Strengthen Buffers and Early Triggers:</w:t>
      </w:r>
      <w:r>
        <w:t xml:space="preserve"> </w:t>
      </w:r>
      <w:r>
        <w:t xml:space="preserve">If stress tests reveal tight spots (e.g. survival days just barely ≥30 days in a severe scenario), consider</w:t>
      </w:r>
      <w:r>
        <w:t xml:space="preserve"> </w:t>
      </w:r>
      <w:r>
        <w:rPr>
          <w:b/>
          <w:bCs/>
        </w:rPr>
        <w:t xml:space="preserve">raising the internal liquidity buffer</w:t>
      </w:r>
      <w:r>
        <w:t xml:space="preserve"> </w:t>
      </w:r>
      <w:r>
        <w:t xml:space="preserve">targets above regulatory minimum. It’s better to err on side of caution given volatility. Implement</w:t>
      </w:r>
      <w:r>
        <w:t xml:space="preserve"> </w:t>
      </w:r>
      <w:r>
        <w:rPr>
          <w:b/>
          <w:bCs/>
        </w:rPr>
        <w:t xml:space="preserve">early warning indicators</w:t>
      </w:r>
      <w:r>
        <w:t xml:space="preserve"> </w:t>
      </w:r>
      <w:r>
        <w:t xml:space="preserve">for liquidity: for example, if internal liquidity coverage falls below, say, 120% (well above 100% min) or if a certain threshold of cash outflow is hit in a week, it triggers senior management liquidity calls. Introduce triggers tied to market indicators too (like if own CDS spread &gt; Y bp or stock price down Z%, liquidity team convenes to consider actions – market sentiment can cause self-fulfilling liquidity issues). Make sure these triggers are integrated in the risk dashboard the CRO sees.</w:t>
      </w:r>
    </w:p>
    <w:p>
      <w:pPr>
        <w:numPr>
          <w:ilvl w:val="0"/>
          <w:numId w:val="1005"/>
        </w:numPr>
      </w:pPr>
      <w:r>
        <w:rPr>
          <w:b/>
          <w:bCs/>
        </w:rPr>
        <w:t xml:space="preserve">Optimize and Securing Funding Sources:</w:t>
      </w:r>
      <w:r>
        <w:t xml:space="preserve"> </w:t>
      </w:r>
      <w:r>
        <w:t xml:space="preserve">Diversification is key. The CRO should push for a</w:t>
      </w:r>
      <w:r>
        <w:t xml:space="preserve"> </w:t>
      </w:r>
      <w:r>
        <w:rPr>
          <w:b/>
          <w:bCs/>
        </w:rPr>
        <w:t xml:space="preserve">funding diversification strategy</w:t>
      </w:r>
      <w:r>
        <w:t xml:space="preserve">: avoid excessive reliance on any single source. If the bank has a large short-term funding need, encourage terming out (issuing longer tenor debt even if slightly more expensive, to avoid rollover risk).</w:t>
      </w:r>
      <w:r>
        <w:t xml:space="preserve"> </w:t>
      </w:r>
      <w:r>
        <w:rPr>
          <w:b/>
          <w:bCs/>
        </w:rPr>
        <w:t xml:space="preserve">Strengthen deposit relationships</w:t>
      </w:r>
      <w:r>
        <w:t xml:space="preserve"> </w:t>
      </w:r>
      <w:r>
        <w:t xml:space="preserve">by working with business lines to enhance stickiness (e.g. offering sweeps to money funds but with bank as manager, so clients don’t leave entirely, etc.). For wholesale funding, secure</w:t>
      </w:r>
      <w:r>
        <w:t xml:space="preserve"> </w:t>
      </w:r>
      <w:r>
        <w:rPr>
          <w:b/>
          <w:bCs/>
        </w:rPr>
        <w:t xml:space="preserve">committed backup lines</w:t>
      </w:r>
      <w:r>
        <w:t xml:space="preserve"> </w:t>
      </w:r>
      <w:r>
        <w:t xml:space="preserve">(e.g. from supranational liquidity facilities or industry liquidity pools) if available. If exposed to FX funding needs, maintain central bank swap line access or hold extra buffer in needed currencies. Ensure all material entities in the group have</w:t>
      </w:r>
      <w:r>
        <w:t xml:space="preserve"> </w:t>
      </w:r>
      <w:r>
        <w:rPr>
          <w:b/>
          <w:bCs/>
        </w:rPr>
        <w:t xml:space="preserve">transferability of liquidity</w:t>
      </w:r>
      <w:r>
        <w:t xml:space="preserve"> </w:t>
      </w:r>
      <w:r>
        <w:t xml:space="preserve">or pre-positioned liquidity – supervisors often worry that liquidity trapped in one subsidiary can’t help another in a crisis due to ring-fencing; plan for that by either keeping surplus at parent or in places with easy upstream flows.</w:t>
      </w:r>
    </w:p>
    <w:p>
      <w:pPr>
        <w:numPr>
          <w:ilvl w:val="0"/>
          <w:numId w:val="1005"/>
        </w:numPr>
      </w:pPr>
      <w:r>
        <w:rPr>
          <w:b/>
          <w:bCs/>
        </w:rPr>
        <w:t xml:space="preserve">Collateral Management &amp; Readiness:</w:t>
      </w:r>
      <w:r>
        <w:t xml:space="preserve"> </w:t>
      </w:r>
      <w:r>
        <w:t xml:space="preserve">Do a thorough review of the firm’s</w:t>
      </w:r>
      <w:r>
        <w:t xml:space="preserve"> </w:t>
      </w:r>
      <w:r>
        <w:rPr>
          <w:b/>
          <w:bCs/>
        </w:rPr>
        <w:t xml:space="preserve">collateral inventory</w:t>
      </w:r>
      <w:r>
        <w:t xml:space="preserve">. Identify assets that would be hard to monetize in stress and consider reducing those positions or swapping into more liquid ones while times are good. Increase the portion of unencumbered HQLA (High Quality Liquid Assets) relative to total assets.</w:t>
      </w:r>
      <w:r>
        <w:t xml:space="preserve"> </w:t>
      </w:r>
      <w:r>
        <w:rPr>
          <w:b/>
          <w:bCs/>
        </w:rPr>
        <w:t xml:space="preserve">Pre-position collateral at central banks</w:t>
      </w:r>
      <w:r>
        <w:t xml:space="preserve"> </w:t>
      </w:r>
      <w:r>
        <w:t xml:space="preserve">or other liquidity facilities to speed up borrowing if needed – e.g. many banks maintain a “Federal Reserve discount window” portfolio or at the ECB, a pool of eligible assets already pledged (so borrowing can happen same-day if needed). The CRO should confirm that all legal and operational steps are done for such facilities (all documentation in place, technical ability to post collateral quickly). Also,</w:t>
      </w:r>
      <w:r>
        <w:t xml:space="preserve"> </w:t>
      </w:r>
      <w:r>
        <w:rPr>
          <w:i/>
          <w:iCs/>
        </w:rPr>
        <w:t xml:space="preserve">test</w:t>
      </w:r>
      <w:r>
        <w:t xml:space="preserve"> </w:t>
      </w:r>
      <w:r>
        <w:t xml:space="preserve">emergency actions in calm times: for example, do a small borrow on the central bank facility (to ensure familiarity), or try selling a small chunk of an illiquid asset to gauge market appetite.</w:t>
      </w:r>
    </w:p>
    <w:p>
      <w:pPr>
        <w:numPr>
          <w:ilvl w:val="0"/>
          <w:numId w:val="1005"/>
        </w:numPr>
      </w:pPr>
      <w:r>
        <w:rPr>
          <w:b/>
          <w:bCs/>
        </w:rPr>
        <w:t xml:space="preserve">Intraday and 24/7 Capabilities:</w:t>
      </w:r>
      <w:r>
        <w:t xml:space="preserve"> </w:t>
      </w:r>
      <w:r>
        <w:t xml:space="preserve">Given markets (like crypto) and payment systems are increasingly around the clock, ensure the</w:t>
      </w:r>
      <w:r>
        <w:t xml:space="preserve"> </w:t>
      </w:r>
      <w:r>
        <w:rPr>
          <w:b/>
          <w:bCs/>
        </w:rPr>
        <w:t xml:space="preserve">intraday liquidity management</w:t>
      </w:r>
      <w:r>
        <w:t xml:space="preserve"> </w:t>
      </w:r>
      <w:r>
        <w:t xml:space="preserve">is state-of-the-art. That might involve implementing real-time monitoring of payment flows and an automated queue management to prioritize critical payments. It could also involve maintaining buffers specifically for</w:t>
      </w:r>
      <w:r>
        <w:t xml:space="preserve"> </w:t>
      </w:r>
      <w:r>
        <w:rPr>
          <w:i/>
          <w:iCs/>
        </w:rPr>
        <w:t xml:space="preserve">intraday usage</w:t>
      </w:r>
      <w:r>
        <w:t xml:space="preserve"> </w:t>
      </w:r>
      <w:r>
        <w:t xml:space="preserve">(like a stock of Fed reserves not counted in LCR but reserved for daylight overdrafts). For 24/7 digital asset operations, the bank may need to arrange</w:t>
      </w:r>
      <w:r>
        <w:t xml:space="preserve"> </w:t>
      </w:r>
      <w:r>
        <w:rPr>
          <w:b/>
          <w:bCs/>
        </w:rPr>
        <w:t xml:space="preserve">weekend/holiday liquidity provisions</w:t>
      </w:r>
      <w:r>
        <w:t xml:space="preserve"> </w:t>
      </w:r>
      <w:r>
        <w:t xml:space="preserve">– e.g. holding reserves in stablecoins or with partner banks that operate continuously, if engaging in those markets. The CRO should sponsor a review:</w:t>
      </w:r>
      <w:r>
        <w:t xml:space="preserve"> </w:t>
      </w:r>
      <w:r>
        <w:rPr>
          <w:i/>
          <w:iCs/>
        </w:rPr>
        <w:t xml:space="preserve">“If a major market event happens on a Saturday (say crypto prices crash 30%), do we have the liquidity and team in place to respond?”</w:t>
      </w:r>
      <w:r>
        <w:t xml:space="preserve"> </w:t>
      </w:r>
      <w:r>
        <w:t xml:space="preserve">If not engaging directly in 24/7 markets, consider the risk of indirect effects (client actions that might impact bank on Monday opening) and mitigate (maybe limit positions that clients can carry that would need margin over weekends or require them to pre-fund).</w:t>
      </w:r>
    </w:p>
    <w:p>
      <w:pPr>
        <w:pStyle w:val="FirstParagraph"/>
      </w:pPr>
      <w:r>
        <w:t xml:space="preserve">Overall, the CRO’s mandate is to ensure the bank can</w:t>
      </w:r>
      <w:r>
        <w:t xml:space="preserve"> </w:t>
      </w:r>
      <w:r>
        <w:rPr>
          <w:b/>
          <w:bCs/>
        </w:rPr>
        <w:t xml:space="preserve">“fund through the storm”</w:t>
      </w:r>
      <w:r>
        <w:t xml:space="preserve">: maintaining surplus liquidity, actionable contingency plans, and a culture where liquidity risk is everyone’s business (front office understands liquidity impact of their activities, etc.). This way, even if markets seize up or the bank is tested, it can meet obligations and avoid having to fire-sell assets at the worst time.</w:t>
      </w:r>
    </w:p>
    <w:bookmarkEnd w:id="50"/>
    <w:bookmarkStart w:id="53" w:name="operational-cyber-risk"/>
    <w:p>
      <w:pPr>
        <w:pStyle w:val="Heading3"/>
      </w:pPr>
      <w:r>
        <w:t xml:space="preserve">Operational &amp; Cyber Risk</w:t>
      </w:r>
    </w:p>
    <w:p>
      <w:pPr>
        <w:pStyle w:val="FirstParagraph"/>
      </w:pPr>
      <w:r>
        <w:rPr>
          <w:b/>
          <w:bCs/>
        </w:rPr>
        <w:t xml:space="preserve">Drivers &amp; Context:</w:t>
      </w:r>
      <w:r>
        <w:t xml:space="preserve"> </w:t>
      </w:r>
      <w:r>
        <w:t xml:space="preserve">Operational risk – the risk of loss from failed processes, systems, or external events – has grown in complexity as banks embrace digital transformation and face an evolving threat landscape. Notably,</w:t>
      </w:r>
      <w:r>
        <w:t xml:space="preserve"> </w:t>
      </w:r>
      <w:r>
        <w:rPr>
          <w:b/>
          <w:bCs/>
        </w:rPr>
        <w:t xml:space="preserve">cyber risk</w:t>
      </w:r>
      <w:r>
        <w:t xml:space="preserve"> </w:t>
      </w:r>
      <w:r>
        <w:t xml:space="preserve">has become one of the most prominent operational threats, with financial institutions constantly under attack from state actors, cybercriminals (ransomware gangs), and insider threats. The period 2025–2026 sees operational risk driven by:</w:t>
      </w:r>
      <w:r>
        <w:t xml:space="preserve"> </w:t>
      </w:r>
      <w:r>
        <w:rPr>
          <w:b/>
          <w:bCs/>
        </w:rPr>
        <w:t xml:space="preserve">(1)</w:t>
      </w:r>
      <w:r>
        <w:t xml:space="preserve"> </w:t>
      </w:r>
      <w:r>
        <w:t xml:space="preserve">Rapid</w:t>
      </w:r>
      <w:r>
        <w:t xml:space="preserve"> </w:t>
      </w:r>
      <w:r>
        <w:rPr>
          <w:b/>
          <w:bCs/>
        </w:rPr>
        <w:t xml:space="preserve">digitalization and 24/7 operations</w:t>
      </w:r>
      <w:r>
        <w:t xml:space="preserve">, including expansion of online platforms, API connectivity, cloud computing, and possibly digital asset services, which increase the points of failure and require near-continuous uptime;</w:t>
      </w:r>
      <w:r>
        <w:t xml:space="preserve"> </w:t>
      </w:r>
      <w:r>
        <w:rPr>
          <w:b/>
          <w:bCs/>
        </w:rPr>
        <w:t xml:space="preserve">(2)</w:t>
      </w:r>
      <w:r>
        <w:t xml:space="preserve"> </w:t>
      </w:r>
      <w:r>
        <w:rPr>
          <w:b/>
          <w:bCs/>
        </w:rPr>
        <w:t xml:space="preserve">Complex IT legacy</w:t>
      </w:r>
      <w:r>
        <w:t xml:space="preserve"> </w:t>
      </w:r>
      <w:r>
        <w:t xml:space="preserve">– many G-SIBs still run critical processes on legacy systems that are costly to maintain and prone to incidents, especially as they interact with new tech layers;</w:t>
      </w:r>
      <w:r>
        <w:t xml:space="preserve"> </w:t>
      </w:r>
      <w:r>
        <w:rPr>
          <w:b/>
          <w:bCs/>
        </w:rPr>
        <w:t xml:space="preserve">(3)</w:t>
      </w:r>
      <w:r>
        <w:t xml:space="preserve"> </w:t>
      </w:r>
      <w:r>
        <w:rPr>
          <w:b/>
          <w:bCs/>
        </w:rPr>
        <w:t xml:space="preserve">Third-Party Dependencies</w:t>
      </w:r>
      <w:r>
        <w:t xml:space="preserve"> </w:t>
      </w:r>
      <w:r>
        <w:t xml:space="preserve">– heavy reliance on third-party service providers (cloud providers, fintech partners, market data feeds, etc.) and extended supply chains means the bank inherits risk from vendors (a cloud outage or a critical vendor hack can disrupt the bank);</w:t>
      </w:r>
      <w:r>
        <w:t xml:space="preserve"> </w:t>
      </w:r>
      <w:r>
        <w:rPr>
          <w:b/>
          <w:bCs/>
        </w:rPr>
        <w:t xml:space="preserve">(4)</w:t>
      </w:r>
      <w:r>
        <w:t xml:space="preserve"> </w:t>
      </w:r>
      <w:r>
        <w:rPr>
          <w:b/>
          <w:bCs/>
        </w:rPr>
        <w:t xml:space="preserve">Cyber threat escalation</w:t>
      </w:r>
      <w:r>
        <w:t xml:space="preserve"> </w:t>
      </w:r>
      <w:r>
        <w:t xml:space="preserve">– ransomware attacks have grown more sophisticated, and there’s concern about systemic cyber incidents (e.g. payment system compromise, or attacks on widely used software). Additionally, the geopolitical climate means banks may be targeted as part of broader conflicts (e.g. Russian state-sponsored attacks on Western financial infrastructure, etc.). Regulators have also introduced strict</w:t>
      </w:r>
      <w:r>
        <w:t xml:space="preserve"> </w:t>
      </w:r>
      <w:r>
        <w:rPr>
          <w:b/>
          <w:bCs/>
        </w:rPr>
        <w:t xml:space="preserve">operational resilience</w:t>
      </w:r>
      <w:r>
        <w:t xml:space="preserve"> </w:t>
      </w:r>
      <w:r>
        <w:t xml:space="preserve">expectations: in the UK and EU, banks must set</w:t>
      </w:r>
      <w:r>
        <w:t xml:space="preserve"> </w:t>
      </w:r>
      <w:r>
        <w:rPr>
          <w:i/>
          <w:iCs/>
        </w:rPr>
        <w:t xml:space="preserve">Impact Tolerance</w:t>
      </w:r>
      <w:r>
        <w:t xml:space="preserve"> </w:t>
      </w:r>
      <w:r>
        <w:t xml:space="preserve">for critical services (max acceptable downtime), and in the US, regulators emphasize incident response and recovery capabilities.</w:t>
      </w:r>
    </w:p>
    <w:p>
      <w:pPr>
        <w:pStyle w:val="BodyText"/>
      </w:pPr>
      <w:r>
        <w:rPr>
          <w:b/>
          <w:bCs/>
        </w:rPr>
        <w:t xml:space="preserve">Materiality for CIB:</w:t>
      </w:r>
      <w:r>
        <w:t xml:space="preserve"> </w:t>
      </w:r>
      <w:r>
        <w:t xml:space="preserve">For a CIB, operational disruptions can cause immediate financial loss (trading errors, settlement failures, fraud losses) and longer-term reputational damage (clients losing confidence in the bank’s systems). Imagine if the bank’s FX trading platform went down during a market moving event – clients could sue for missed trades, and the bank could incur positional losses or lost revenue. Cyber incidents can be even more devastating: a major breach could result in theft of sensitive data (e.g. client trading strategies, personal data in the wealth unit), large regulatory fines, ransom payments, or system lockdowns that paralyze operations. Moreover, as CIBs increasingly operate in</w:t>
      </w:r>
      <w:r>
        <w:t xml:space="preserve"> </w:t>
      </w:r>
      <w:r>
        <w:rPr>
          <w:b/>
          <w:bCs/>
        </w:rPr>
        <w:t xml:space="preserve">real-time markets</w:t>
      </w:r>
      <w:r>
        <w:t xml:space="preserve">, a downtime of even a few hours in a critical system (payments, clearing, prime brokerage) can cause cascading failures for clients and counterparts. There’s also legal risk: e.g. fat-finger trading errors might lead to litigation or regulatory scrutiny (the 2012 Knight Capital incident – an algorithm deployment bug – cost $450M and the firm’s survival). In 2025, new challenges like</w:t>
      </w:r>
      <w:r>
        <w:t xml:space="preserve"> </w:t>
      </w:r>
      <w:r>
        <w:rPr>
          <w:b/>
          <w:bCs/>
        </w:rPr>
        <w:t xml:space="preserve">quantum computing threat</w:t>
      </w:r>
      <w:r>
        <w:t xml:space="preserve"> </w:t>
      </w:r>
      <w:r>
        <w:t xml:space="preserve">(on the horizon for encryption), and</w:t>
      </w:r>
      <w:r>
        <w:t xml:space="preserve"> </w:t>
      </w:r>
      <w:r>
        <w:rPr>
          <w:b/>
          <w:bCs/>
        </w:rPr>
        <w:t xml:space="preserve">digital asset custody</w:t>
      </w:r>
      <w:r>
        <w:t xml:space="preserve"> </w:t>
      </w:r>
      <w:r>
        <w:t xml:space="preserve">(securely managing private keys) emerge. Operational risk intersects with every other risk type – a cyber event can lead to financial risk exposures (market moves during outage, or credit exposures if collateral calls fail to go out), and can quickly become</w:t>
      </w:r>
      <w:r>
        <w:t xml:space="preserve"> </w:t>
      </w:r>
      <w:r>
        <w:rPr>
          <w:b/>
          <w:bCs/>
        </w:rPr>
        <w:t xml:space="preserve">systemic</w:t>
      </w:r>
      <w:r>
        <w:t xml:space="preserve"> </w:t>
      </w:r>
      <w:r>
        <w:t xml:space="preserve">(if, say, a major clearinghouse is hit by a cyber attack). Therefore, materiality is extremely high: operational resilience is now often treated on par with capital and liquidity in importance.</w:t>
      </w:r>
    </w:p>
    <w:p>
      <w:pPr>
        <w:pStyle w:val="BodyText"/>
      </w:pPr>
      <w:r>
        <w:rPr>
          <w:b/>
          <w:bCs/>
        </w:rPr>
        <w:t xml:space="preserve">Key Vulnerabilities:</w:t>
      </w:r>
      <w:r>
        <w:t xml:space="preserve"> </w:t>
      </w:r>
      <w:r>
        <w:t xml:space="preserve">Some vulnerabilities include:</w:t>
      </w:r>
      <w:r>
        <w:t xml:space="preserve"> </w:t>
      </w:r>
      <w:r>
        <w:rPr>
          <w:b/>
          <w:bCs/>
        </w:rPr>
        <w:t xml:space="preserve">(i)</w:t>
      </w:r>
      <w:r>
        <w:t xml:space="preserve"> </w:t>
      </w:r>
      <w:r>
        <w:rPr>
          <w:b/>
          <w:bCs/>
        </w:rPr>
        <w:t xml:space="preserve">Legacy Systems &amp; Technical Debt:</w:t>
      </w:r>
      <w:r>
        <w:t xml:space="preserve"> </w:t>
      </w:r>
      <w:r>
        <w:t xml:space="preserve">Banks often have patchworks of systems (some from acquisitions, some decades old). These can fail unexpectedly (outage) or have hidden security flaws. When trying to interface legacy with modern apps, gaps appear.</w:t>
      </w:r>
      <w:r>
        <w:t xml:space="preserve"> </w:t>
      </w:r>
      <w:r>
        <w:rPr>
          <w:b/>
          <w:bCs/>
        </w:rPr>
        <w:t xml:space="preserve">(ii)</w:t>
      </w:r>
      <w:r>
        <w:t xml:space="preserve"> </w:t>
      </w:r>
      <w:r>
        <w:rPr>
          <w:b/>
          <w:bCs/>
        </w:rPr>
        <w:t xml:space="preserve">Single Points of Failure (SPOF):</w:t>
      </w:r>
      <w:r>
        <w:t xml:space="preserve"> </w:t>
      </w:r>
      <w:r>
        <w:t xml:space="preserve">If certain internal utilities (e.g. a core settlement engine or the network connectivity in a primary data center) lack redundancy, they represent SPOFs. Similarly, concentration in third-party providers (e.g. if all critical workloads are on one cloud provider region) can be a SPOF.</w:t>
      </w:r>
      <w:r>
        <w:t xml:space="preserve"> </w:t>
      </w:r>
      <w:r>
        <w:rPr>
          <w:b/>
          <w:bCs/>
        </w:rPr>
        <w:t xml:space="preserve">(iii)</w:t>
      </w:r>
      <w:r>
        <w:t xml:space="preserve"> </w:t>
      </w:r>
      <w:r>
        <w:rPr>
          <w:b/>
          <w:bCs/>
        </w:rPr>
        <w:t xml:space="preserve">Insider Threats and Process Errors:</w:t>
      </w:r>
      <w:r>
        <w:t xml:space="preserve"> </w:t>
      </w:r>
      <w:r>
        <w:t xml:space="preserve">With thousands of employees, the chance of human error or malicious insider action is non-trivial. A misplaced decimal in code or a rogue trader circumventing controls can lead to huge losses (as historically seen in rogue trading events).</w:t>
      </w:r>
      <w:r>
        <w:t xml:space="preserve"> </w:t>
      </w:r>
      <w:r>
        <w:rPr>
          <w:b/>
          <w:bCs/>
        </w:rPr>
        <w:t xml:space="preserve">(iv)</w:t>
      </w:r>
      <w:r>
        <w:t xml:space="preserve"> </w:t>
      </w:r>
      <w:r>
        <w:rPr>
          <w:b/>
          <w:bCs/>
        </w:rPr>
        <w:t xml:space="preserve">Cyber Attack Vectors:</w:t>
      </w:r>
      <w:r>
        <w:t xml:space="preserve"> </w:t>
      </w:r>
      <w:r>
        <w:t xml:space="preserve">Common attack vectors such as phishing (to steal credentials), zero-day exploits (unpatched vulnerabilities), and supply chain attacks (hacking a vendor to infiltrate the bank) exploit any weakness. Without rigorous patch management and network segregation, a breach in one system can propagate widely. Ransomware is particularly concerning – if backup and recovery aren’t airtight, critical data could be encrypted and held hostage.</w:t>
      </w:r>
      <w:r>
        <w:t xml:space="preserve"> </w:t>
      </w:r>
      <w:r>
        <w:rPr>
          <w:b/>
          <w:bCs/>
        </w:rPr>
        <w:t xml:space="preserve">(v)</w:t>
      </w:r>
      <w:r>
        <w:t xml:space="preserve"> </w:t>
      </w:r>
      <w:r>
        <w:rPr>
          <w:b/>
          <w:bCs/>
        </w:rPr>
        <w:t xml:space="preserve">Fraud and Financial Crime:</w:t>
      </w:r>
      <w:r>
        <w:t xml:space="preserve"> </w:t>
      </w:r>
      <w:r>
        <w:t xml:space="preserve">Sophisticated fraud schemes (e.g. CEO impersonation via deepfake, as AI makes that easier, or big money laundering networks bypassing controls) pose op risk in terms of financial losses, compliance penalties, and credibility. The FATF has noted increasing crypto-related fraud and laundering schemes</w:t>
      </w:r>
      <w:hyperlink r:id="rId51">
        <w:r>
          <w:rPr>
            <w:rStyle w:val="Hyperlink"/>
          </w:rPr>
          <w:t xml:space="preserve">[26]</w:t>
        </w:r>
      </w:hyperlink>
      <w:hyperlink r:id="rId52">
        <w:r>
          <w:rPr>
            <w:rStyle w:val="Hyperlink"/>
          </w:rPr>
          <w:t xml:space="preserve">[27]</w:t>
        </w:r>
      </w:hyperlink>
      <w:r>
        <w:t xml:space="preserve">, which can ensnare banks indirectly (as gateways).</w:t>
      </w:r>
      <w:r>
        <w:t xml:space="preserve"> </w:t>
      </w:r>
      <w:r>
        <w:rPr>
          <w:b/>
          <w:bCs/>
        </w:rPr>
        <w:t xml:space="preserve">(vi)</w:t>
      </w:r>
      <w:r>
        <w:t xml:space="preserve"> </w:t>
      </w:r>
      <w:r>
        <w:rPr>
          <w:b/>
          <w:bCs/>
        </w:rPr>
        <w:t xml:space="preserve">Operational Processes Under Stress:</w:t>
      </w:r>
      <w:r>
        <w:t xml:space="preserve"> </w:t>
      </w:r>
      <w:r>
        <w:t xml:space="preserve">E.g., during a market crisis, trade volumes might surge beyond processing capacity, leading to backlogs or errors (if manual intervention is needed). If the bank hasn’t tested such volume spikes, it could suffer</w:t>
      </w:r>
      <w:r>
        <w:t xml:space="preserve"> </w:t>
      </w:r>
      <w:r>
        <w:rPr>
          <w:b/>
          <w:bCs/>
        </w:rPr>
        <w:t xml:space="preserve">settlement failures</w:t>
      </w:r>
      <w:r>
        <w:t xml:space="preserve"> </w:t>
      </w:r>
      <w:r>
        <w:t xml:space="preserve">or trade booking errors in peak moments.</w:t>
      </w:r>
    </w:p>
    <w:p>
      <w:pPr>
        <w:pStyle w:val="BodyText"/>
      </w:pPr>
      <w:r>
        <w:rPr>
          <w:b/>
          <w:bCs/>
        </w:rPr>
        <w:t xml:space="preserve">KRIs &amp; Metrics:</w:t>
      </w:r>
      <w:r>
        <w:t xml:space="preserve"> </w:t>
      </w:r>
      <w:r>
        <w:t xml:space="preserve">Operational risk is harder to quantify, but CROs and operational risk teams use a variety of indicators. Examples:</w:t>
      </w:r>
      <w:r>
        <w:t xml:space="preserve"> </w:t>
      </w:r>
      <w:r>
        <w:rPr>
          <w:b/>
          <w:bCs/>
        </w:rPr>
        <w:t xml:space="preserve">System Uptime metrics</w:t>
      </w:r>
      <w:r>
        <w:t xml:space="preserve"> </w:t>
      </w:r>
      <w:r>
        <w:t xml:space="preserve">for critical systems (aiming for 99.9%+ availability; any outage &gt;X minutes is a red flag).</w:t>
      </w:r>
      <w:r>
        <w:t xml:space="preserve"> </w:t>
      </w:r>
      <w:r>
        <w:rPr>
          <w:b/>
          <w:bCs/>
        </w:rPr>
        <w:t xml:space="preserve">Number of significant incidents</w:t>
      </w:r>
      <w:r>
        <w:t xml:space="preserve"> </w:t>
      </w:r>
      <w:r>
        <w:t xml:space="preserve">(severity 1 incidents per quarter, with trend analysis).</w:t>
      </w:r>
      <w:r>
        <w:t xml:space="preserve"> </w:t>
      </w:r>
      <w:r>
        <w:rPr>
          <w:b/>
          <w:bCs/>
        </w:rPr>
        <w:t xml:space="preserve">Mean Time to Recovery (MTTR)</w:t>
      </w:r>
      <w:r>
        <w:t xml:space="preserve"> </w:t>
      </w:r>
      <w:r>
        <w:t xml:space="preserve">– how quickly can the bank recover a system after an outage (should be steadily improving or within tolerance). For cyber:</w:t>
      </w:r>
      <w:r>
        <w:t xml:space="preserve"> </w:t>
      </w:r>
      <w:r>
        <w:rPr>
          <w:b/>
          <w:bCs/>
        </w:rPr>
        <w:t xml:space="preserve">Intrusion attempts detected</w:t>
      </w:r>
      <w:r>
        <w:t xml:space="preserve"> </w:t>
      </w:r>
      <w:r>
        <w:t xml:space="preserve">(there will be many; the key is none succeed – so track attempted vs successful).</w:t>
      </w:r>
      <w:r>
        <w:t xml:space="preserve"> </w:t>
      </w:r>
      <w:r>
        <w:rPr>
          <w:b/>
          <w:bCs/>
        </w:rPr>
        <w:t xml:space="preserve">Vulnerabilities</w:t>
      </w:r>
      <w:r>
        <w:t xml:space="preserve">: number of critical vulnerabilities unpatched beyond SLA, or % of systems on unsupported legacy.</w:t>
      </w:r>
      <w:r>
        <w:t xml:space="preserve"> </w:t>
      </w:r>
      <w:r>
        <w:rPr>
          <w:b/>
          <w:bCs/>
        </w:rPr>
        <w:t xml:space="preserve">Phishing test success rate</w:t>
      </w:r>
      <w:r>
        <w:t xml:space="preserve"> </w:t>
      </w:r>
      <w:r>
        <w:t xml:space="preserve">(how many employees fall for simulated phishing – proxy for security awareness).</w:t>
      </w:r>
      <w:r>
        <w:t xml:space="preserve"> </w:t>
      </w:r>
      <w:r>
        <w:rPr>
          <w:b/>
          <w:bCs/>
        </w:rPr>
        <w:t xml:space="preserve">Third-party incidents:</w:t>
      </w:r>
      <w:r>
        <w:t xml:space="preserve"> </w:t>
      </w:r>
      <w:r>
        <w:t xml:space="preserve">number of incidents or outages stemming from vendors.</w:t>
      </w:r>
      <w:r>
        <w:t xml:space="preserve"> </w:t>
      </w:r>
      <w:r>
        <w:rPr>
          <w:b/>
          <w:bCs/>
        </w:rPr>
        <w:t xml:space="preserve">Data losses or near-misses:</w:t>
      </w:r>
      <w:r>
        <w:t xml:space="preserve"> </w:t>
      </w:r>
      <w:r>
        <w:t xml:space="preserve">if any.</w:t>
      </w:r>
      <w:r>
        <w:t xml:space="preserve"> </w:t>
      </w:r>
      <w:r>
        <w:rPr>
          <w:b/>
          <w:bCs/>
        </w:rPr>
        <w:t xml:space="preserve">Fraud losses</w:t>
      </w:r>
      <w:r>
        <w:t xml:space="preserve">: actual losses from fraud or operational errors (compare against thresholds). Also track</w:t>
      </w:r>
      <w:r>
        <w:t xml:space="preserve"> </w:t>
      </w:r>
      <w:r>
        <w:rPr>
          <w:b/>
          <w:bCs/>
        </w:rPr>
        <w:t xml:space="preserve">Key Risk Indicators by process</w:t>
      </w:r>
      <w:r>
        <w:t xml:space="preserve"> </w:t>
      </w:r>
      <w:r>
        <w:t xml:space="preserve">– e.g. for payments: number of payments that missed cutoff, or SWIFT errors; for trading: count of trade breaks or reconciliation errors per day; for model risk: number of model overrides due to model errors. Another useful metric:</w:t>
      </w:r>
      <w:r>
        <w:t xml:space="preserve"> </w:t>
      </w:r>
      <w:r>
        <w:rPr>
          <w:b/>
          <w:bCs/>
        </w:rPr>
        <w:t xml:space="preserve">Customer impact incidents</w:t>
      </w:r>
      <w:r>
        <w:t xml:space="preserve"> </w:t>
      </w:r>
      <w:r>
        <w:t xml:space="preserve">– any incident causing client-facing disruption (e.g. clients couldn’t trade or view statements) is particularly reputational, so count and severity of those should be minimal.</w:t>
      </w:r>
      <w:r>
        <w:t xml:space="preserve"> </w:t>
      </w:r>
      <w:r>
        <w:rPr>
          <w:b/>
          <w:bCs/>
        </w:rPr>
        <w:t xml:space="preserve">Audit findings and issue remediation</w:t>
      </w:r>
      <w:r>
        <w:t xml:space="preserve">: how many high-risk audit findings related to ops/cyber are open or overdue – indicates control health. And given regulatory focus:</w:t>
      </w:r>
      <w:r>
        <w:t xml:space="preserve"> </w:t>
      </w:r>
      <w:r>
        <w:rPr>
          <w:b/>
          <w:bCs/>
        </w:rPr>
        <w:t xml:space="preserve">testing of recovery plans</w:t>
      </w:r>
      <w:r>
        <w:t xml:space="preserve"> </w:t>
      </w:r>
      <w:r>
        <w:t xml:space="preserve">– e.g. did the bank conduct a failover test of critical systems as planned? If not, that’s a risk indicator. Essentially, the CRO should have a dashboard of operational resilience that includes technology KPIs, cyber KPIs, and operational loss data.</w:t>
      </w:r>
    </w:p>
    <w:p>
      <w:pPr>
        <w:pStyle w:val="BodyText"/>
      </w:pPr>
      <w:r>
        <w:rPr>
          <w:b/>
          <w:bCs/>
        </w:rPr>
        <w:t xml:space="preserve">Supervisory Expectations:</w:t>
      </w:r>
      <w:r>
        <w:t xml:space="preserve"> </w:t>
      </w:r>
      <w:r>
        <w:t xml:space="preserve">Regulators worldwide have sharpened op risk and cyber oversight. In many jurisdictions,</w:t>
      </w:r>
      <w:r>
        <w:t xml:space="preserve"> </w:t>
      </w:r>
      <w:r>
        <w:rPr>
          <w:b/>
          <w:bCs/>
        </w:rPr>
        <w:t xml:space="preserve">Operational Resilience</w:t>
      </w:r>
      <w:r>
        <w:t xml:space="preserve"> </w:t>
      </w:r>
      <w:r>
        <w:t xml:space="preserve">rules require banks to identify</w:t>
      </w:r>
      <w:r>
        <w:t xml:space="preserve"> </w:t>
      </w:r>
      <w:r>
        <w:rPr>
          <w:i/>
          <w:iCs/>
        </w:rPr>
        <w:t xml:space="preserve">Important Business Services</w:t>
      </w:r>
      <w:r>
        <w:t xml:space="preserve"> </w:t>
      </w:r>
      <w:r>
        <w:t xml:space="preserve">and set an</w:t>
      </w:r>
      <w:r>
        <w:t xml:space="preserve"> </w:t>
      </w:r>
      <w:r>
        <w:rPr>
          <w:i/>
          <w:iCs/>
        </w:rPr>
        <w:t xml:space="preserve">Impact Tolerance</w:t>
      </w:r>
      <w:r>
        <w:t xml:space="preserve"> </w:t>
      </w:r>
      <w:r>
        <w:t xml:space="preserve">(maximum tolerable downtime or disruption) for each. By 2025, UK banks need to demonstrate they can stay within those tolerances under extreme but plausible scenarios (e.g. payments down for 2 days – unacceptable). Regulators will likely perform</w:t>
      </w:r>
      <w:r>
        <w:t xml:space="preserve"> </w:t>
      </w:r>
      <w:r>
        <w:rPr>
          <w:b/>
          <w:bCs/>
        </w:rPr>
        <w:t xml:space="preserve">simulated cyber exercises</w:t>
      </w:r>
      <w:r>
        <w:t xml:space="preserve"> </w:t>
      </w:r>
      <w:r>
        <w:t xml:space="preserve">with major banks (e.g. FS-ISAC cyber ranges, or regulatory stress tests for cyber). In the US, the OCC and Fed emphasize</w:t>
      </w:r>
      <w:r>
        <w:t xml:space="preserve"> </w:t>
      </w:r>
      <w:r>
        <w:rPr>
          <w:b/>
          <w:bCs/>
        </w:rPr>
        <w:t xml:space="preserve">cyber resilience</w:t>
      </w:r>
      <w:r>
        <w:t xml:space="preserve"> </w:t>
      </w:r>
      <w:r>
        <w:t xml:space="preserve">– expecting robust cybersecurity frameworks aligning with NIST or ISO standards, regular penetration testing (including for critical suppliers), and 24/7 monitoring. MAS in Singapore and ECB have</w:t>
      </w:r>
      <w:r>
        <w:t xml:space="preserve"> </w:t>
      </w:r>
      <w:r>
        <w:rPr>
          <w:i/>
          <w:iCs/>
        </w:rPr>
        <w:t xml:space="preserve">TIBER-EU</w:t>
      </w:r>
      <w:r>
        <w:t xml:space="preserve"> </w:t>
      </w:r>
      <w:r>
        <w:t xml:space="preserve">tests (Threat Intelligence-Based Ethical Red Teaming) where banks undergo controlled hacking attempts by approved teams to find gaps – such practices may spread.</w:t>
      </w:r>
      <w:r>
        <w:t xml:space="preserve"> </w:t>
      </w:r>
      <w:r>
        <w:rPr>
          <w:b/>
          <w:bCs/>
        </w:rPr>
        <w:t xml:space="preserve">Incident reporting</w:t>
      </w:r>
      <w:r>
        <w:t xml:space="preserve"> </w:t>
      </w:r>
      <w:r>
        <w:t xml:space="preserve">rules are strict: banks must notify regulators often within 24-36 hours of material cyber incidents (US regulators introduced a 36-hour rule for significant incidents in 2022). So preparedness to interface with authorities in crisis is expected.</w:t>
      </w:r>
      <w:r>
        <w:t xml:space="preserve"> </w:t>
      </w:r>
      <w:r>
        <w:rPr>
          <w:b/>
          <w:bCs/>
        </w:rPr>
        <w:t xml:space="preserve">Model Risk</w:t>
      </w:r>
      <w:r>
        <w:t xml:space="preserve"> </w:t>
      </w:r>
      <w:r>
        <w:t xml:space="preserve">(part of op risk) also remains a focus: SR 11-7 in the US is being updated to cover AI/ML, and banks need to maintain model inventories, validation, and back-testing – regulators will check that model risk management extends to new AI models (tie-in with Section 5).</w:t>
      </w:r>
      <w:r>
        <w:t xml:space="preserve"> </w:t>
      </w:r>
      <w:r>
        <w:rPr>
          <w:b/>
          <w:bCs/>
        </w:rPr>
        <w:t xml:space="preserve">Compliance op risk</w:t>
      </w:r>
      <w:r>
        <w:t xml:space="preserve">: regulators are unforgiving on operational lapses leading to AML violations or sanctions breaches – enforcement actions have been huge. Thus, expectations are that systems and processes around financial crime compliance are watertight, and any use of new tech (like AI in AML) is well-controlled.</w:t>
      </w:r>
    </w:p>
    <w:p>
      <w:pPr>
        <w:pStyle w:val="BodyText"/>
      </w:pPr>
      <w:r>
        <w:rPr>
          <w:b/>
          <w:bCs/>
        </w:rPr>
        <w:t xml:space="preserve">Recommended CRO Actions:</w:t>
      </w:r>
    </w:p>
    <w:p>
      <w:pPr>
        <w:numPr>
          <w:ilvl w:val="0"/>
          <w:numId w:val="1006"/>
        </w:numPr>
      </w:pPr>
      <w:r>
        <w:rPr>
          <w:b/>
          <w:bCs/>
        </w:rPr>
        <w:t xml:space="preserve">Operational Resilience Program:</w:t>
      </w:r>
      <w:r>
        <w:t xml:space="preserve"> </w:t>
      </w:r>
      <w:r>
        <w:t xml:space="preserve">The CRO (in partnership with COO/CISO) should drive a formal operational resilience program if not already in place. Identify the bank’s</w:t>
      </w:r>
      <w:r>
        <w:t xml:space="preserve"> </w:t>
      </w:r>
      <w:r>
        <w:rPr>
          <w:b/>
          <w:bCs/>
        </w:rPr>
        <w:t xml:space="preserve">critical business services</w:t>
      </w:r>
      <w:r>
        <w:t xml:space="preserve"> </w:t>
      </w:r>
      <w:r>
        <w:t xml:space="preserve">(e.g. high-value payments, FX trading for clients, custody services, etc.) and map the people, processes, technology that underpin each. Set</w:t>
      </w:r>
      <w:r>
        <w:t xml:space="preserve"> </w:t>
      </w:r>
      <w:r>
        <w:rPr>
          <w:b/>
          <w:bCs/>
        </w:rPr>
        <w:t xml:space="preserve">Impact Tolerances</w:t>
      </w:r>
      <w:r>
        <w:t xml:space="preserve"> </w:t>
      </w:r>
      <w:r>
        <w:t xml:space="preserve">– e.g. “we can’t have FX trading down for more than 4 hours, or we can’t afford more than 1 day of delayed payments.” Then ensure severe</w:t>
      </w:r>
      <w:r>
        <w:t xml:space="preserve"> </w:t>
      </w:r>
      <w:r>
        <w:rPr>
          <w:b/>
          <w:bCs/>
        </w:rPr>
        <w:t xml:space="preserve">scenario testing</w:t>
      </w:r>
      <w:r>
        <w:t xml:space="preserve"> </w:t>
      </w:r>
      <w:r>
        <w:t xml:space="preserve">is conducted: simulate scenarios like</w:t>
      </w:r>
      <w:r>
        <w:t xml:space="preserve"> </w:t>
      </w:r>
      <w:r>
        <w:rPr>
          <w:i/>
          <w:iCs/>
        </w:rPr>
        <w:t xml:space="preserve">cyberattack knocks out data center</w:t>
      </w:r>
      <w:r>
        <w:t xml:space="preserve">,</w:t>
      </w:r>
      <w:r>
        <w:t xml:space="preserve"> </w:t>
      </w:r>
      <w:r>
        <w:rPr>
          <w:i/>
          <w:iCs/>
        </w:rPr>
        <w:t xml:space="preserve">core staff unavailable</w:t>
      </w:r>
      <w:r>
        <w:t xml:space="preserve">,</w:t>
      </w:r>
      <w:r>
        <w:t xml:space="preserve"> </w:t>
      </w:r>
      <w:r>
        <w:rPr>
          <w:i/>
          <w:iCs/>
        </w:rPr>
        <w:t xml:space="preserve">major vendor failure</w:t>
      </w:r>
      <w:r>
        <w:t xml:space="preserve">. The CRO should review results: did recovery meet tolerance? If not, mandate improvements (more redundancy, alternate workflows). Document these and be ready to show regulators evidence of robust testing.</w:t>
      </w:r>
    </w:p>
    <w:p>
      <w:pPr>
        <w:numPr>
          <w:ilvl w:val="0"/>
          <w:numId w:val="1006"/>
        </w:numPr>
      </w:pPr>
      <w:r>
        <w:rPr>
          <w:b/>
          <w:bCs/>
        </w:rPr>
        <w:t xml:space="preserve">Enhance Cyber Defense &amp; Response:</w:t>
      </w:r>
      <w:r>
        <w:t xml:space="preserve"> </w:t>
      </w:r>
      <w:r>
        <w:t xml:space="preserve">Given the criticality of cyber, the CRO should treat cyber risk akin to a principal risk type. Key actions:</w:t>
      </w:r>
      <w:r>
        <w:t xml:space="preserve"> </w:t>
      </w:r>
      <w:r>
        <w:rPr>
          <w:b/>
          <w:bCs/>
        </w:rPr>
        <w:t xml:space="preserve">(i)</w:t>
      </w:r>
      <w:r>
        <w:t xml:space="preserve"> </w:t>
      </w:r>
      <w:r>
        <w:rPr>
          <w:i/>
          <w:iCs/>
        </w:rPr>
        <w:t xml:space="preserve">Preventative controls</w:t>
      </w:r>
      <w:r>
        <w:t xml:space="preserve">: Ensure regular penetration testing, phishing training, and strict patch management (no critical patches lingering). Possibly implement</w:t>
      </w:r>
      <w:r>
        <w:t xml:space="preserve"> </w:t>
      </w:r>
      <w:r>
        <w:rPr>
          <w:b/>
          <w:bCs/>
        </w:rPr>
        <w:t xml:space="preserve">bug bounty programs</w:t>
      </w:r>
      <w:r>
        <w:t xml:space="preserve"> </w:t>
      </w:r>
      <w:r>
        <w:t xml:space="preserve">to catch vulnerabilities before bad actors do.</w:t>
      </w:r>
      <w:r>
        <w:t xml:space="preserve"> </w:t>
      </w:r>
      <w:r>
        <w:rPr>
          <w:b/>
          <w:bCs/>
        </w:rPr>
        <w:t xml:space="preserve">(ii)</w:t>
      </w:r>
      <w:r>
        <w:t xml:space="preserve"> </w:t>
      </w:r>
      <w:r>
        <w:rPr>
          <w:i/>
          <w:iCs/>
        </w:rPr>
        <w:t xml:space="preserve">Detect &amp; Respond</w:t>
      </w:r>
      <w:r>
        <w:t xml:space="preserve">: Invest in advanced threat detection (AI-based monitoring of network anomalies, endpoint protection). A Security Operations Center (SOC) should be monitoring 24/7 – if the bank doesn’t have in-house 24/7, outsource or co-source it.</w:t>
      </w:r>
      <w:r>
        <w:t xml:space="preserve"> </w:t>
      </w:r>
      <w:r>
        <w:rPr>
          <w:b/>
          <w:bCs/>
        </w:rPr>
        <w:t xml:space="preserve">(iii)</w:t>
      </w:r>
      <w:r>
        <w:t xml:space="preserve"> </w:t>
      </w:r>
      <w:r>
        <w:rPr>
          <w:i/>
          <w:iCs/>
        </w:rPr>
        <w:t xml:space="preserve">Incident Response Planning</w:t>
      </w:r>
      <w:r>
        <w:t xml:space="preserve">: Update and drill the Cyber Incident Response Plan. The CRO should be part of tabletop exercises where a ransomware or data breach scenario is played out with the executive team. These drills should involve deciding on tricky issues (e.g. would we ever pay ransom? how do we communicate to clients/regulators? how quickly can we recover data from backups?). From these, refine playbooks.</w:t>
      </w:r>
      <w:r>
        <w:t xml:space="preserve"> </w:t>
      </w:r>
      <w:r>
        <w:rPr>
          <w:b/>
          <w:bCs/>
        </w:rPr>
        <w:t xml:space="preserve">(iv)</w:t>
      </w:r>
      <w:r>
        <w:t xml:space="preserve"> </w:t>
      </w:r>
      <w:r>
        <w:rPr>
          <w:i/>
          <w:iCs/>
        </w:rPr>
        <w:t xml:space="preserve">Resilience</w:t>
      </w:r>
      <w:r>
        <w:t xml:space="preserve">: Ensure</w:t>
      </w:r>
      <w:r>
        <w:t xml:space="preserve"> </w:t>
      </w:r>
      <w:r>
        <w:rPr>
          <w:b/>
          <w:bCs/>
        </w:rPr>
        <w:t xml:space="preserve">backups are offline and segmented</w:t>
      </w:r>
      <w:r>
        <w:t xml:space="preserve"> </w:t>
      </w:r>
      <w:r>
        <w:t xml:space="preserve">(to survive a ransomware event), and test restoration regularly. Consider the ability to</w:t>
      </w:r>
      <w:r>
        <w:t xml:space="preserve"> </w:t>
      </w:r>
      <w:r>
        <w:rPr>
          <w:b/>
          <w:bCs/>
        </w:rPr>
        <w:t xml:space="preserve">operate manually</w:t>
      </w:r>
      <w:r>
        <w:t xml:space="preserve"> </w:t>
      </w:r>
      <w:r>
        <w:t xml:space="preserve">if tech fails (e.g. can critical payments be manually queued? Do traders have voice trading as backup if electronic fails?). The CRO should get comfortable that even in a worst-case IT outage, there are fallbacks to avoid total chaos.</w:t>
      </w:r>
    </w:p>
    <w:p>
      <w:pPr>
        <w:numPr>
          <w:ilvl w:val="0"/>
          <w:numId w:val="1006"/>
        </w:numPr>
      </w:pPr>
      <w:r>
        <w:rPr>
          <w:b/>
          <w:bCs/>
        </w:rPr>
        <w:t xml:space="preserve">Third-Party and Concentration Risk Management:</w:t>
      </w:r>
      <w:r>
        <w:t xml:space="preserve"> </w:t>
      </w:r>
      <w:r>
        <w:t xml:space="preserve">Catalog all critical third-party relationships and</w:t>
      </w:r>
      <w:r>
        <w:t xml:space="preserve"> </w:t>
      </w:r>
      <w:r>
        <w:rPr>
          <w:i/>
          <w:iCs/>
        </w:rPr>
        <w:t xml:space="preserve">infrastructure concentrations</w:t>
      </w:r>
      <w:r>
        <w:t xml:space="preserve">. If the bank relies heavily on one cloud provider, consider multi-cloud or on-premise backup for key systems. Tighten outsourcing risk oversight: require key vendors to provide their resilience and security reports, and rights to audit them. If a critical vendor doesn’t meet standards, have a plan to migrate or demand improvements. Use service-level agreements (SLAs) and also</w:t>
      </w:r>
      <w:r>
        <w:t xml:space="preserve"> </w:t>
      </w:r>
      <w:r>
        <w:rPr>
          <w:b/>
          <w:bCs/>
        </w:rPr>
        <w:t xml:space="preserve">exit strategies</w:t>
      </w:r>
      <w:r>
        <w:t xml:space="preserve"> </w:t>
      </w:r>
      <w:r>
        <w:t xml:space="preserve">for important services (so the bank isn’t trapped if vendor fails or mis-performs). The CRO should ensure the</w:t>
      </w:r>
      <w:r>
        <w:t xml:space="preserve"> </w:t>
      </w:r>
      <w:r>
        <w:rPr>
          <w:b/>
          <w:bCs/>
        </w:rPr>
        <w:t xml:space="preserve">vendor risk management</w:t>
      </w:r>
      <w:r>
        <w:t xml:space="preserve"> </w:t>
      </w:r>
      <w:r>
        <w:t xml:space="preserve">process highlights any single points of failure – e.g. if one tech firm provides the only connectivity to a trading venue, what if they fail? Possibly arrange alternate connectivity.</w:t>
      </w:r>
    </w:p>
    <w:p>
      <w:pPr>
        <w:numPr>
          <w:ilvl w:val="0"/>
          <w:numId w:val="1006"/>
        </w:numPr>
      </w:pPr>
      <w:r>
        <w:rPr>
          <w:b/>
          <w:bCs/>
        </w:rPr>
        <w:t xml:space="preserve">Data Management and Recovery:</w:t>
      </w:r>
      <w:r>
        <w:t xml:space="preserve"> </w:t>
      </w:r>
      <w:r>
        <w:t xml:space="preserve">As part of operational risk,</w:t>
      </w:r>
      <w:r>
        <w:t xml:space="preserve"> </w:t>
      </w:r>
      <w:r>
        <w:rPr>
          <w:b/>
          <w:bCs/>
        </w:rPr>
        <w:t xml:space="preserve">data loss or corruption</w:t>
      </w:r>
      <w:r>
        <w:t xml:space="preserve"> </w:t>
      </w:r>
      <w:r>
        <w:t xml:space="preserve">is a serious threat. The CRO should check that data governance is strong: important data (transaction records, risk data) should be stored in tamper-evident ways (perhaps utilizing append-only ledgers or backups) to prevent accidental or malicious alteration. Implement robust</w:t>
      </w:r>
      <w:r>
        <w:t xml:space="preserve"> </w:t>
      </w:r>
      <w:r>
        <w:rPr>
          <w:b/>
          <w:bCs/>
        </w:rPr>
        <w:t xml:space="preserve">access controls</w:t>
      </w:r>
      <w:r>
        <w:t xml:space="preserve"> </w:t>
      </w:r>
      <w:r>
        <w:t xml:space="preserve">– minimize privileges (principle of least privilege) to reduce insider risk. Also focus on</w:t>
      </w:r>
      <w:r>
        <w:t xml:space="preserve"> </w:t>
      </w:r>
      <w:r>
        <w:rPr>
          <w:b/>
          <w:bCs/>
        </w:rPr>
        <w:t xml:space="preserve">cryptographic controls</w:t>
      </w:r>
      <w:r>
        <w:t xml:space="preserve"> </w:t>
      </w:r>
      <w:r>
        <w:t xml:space="preserve">– e.g. ensure encryption of data at rest and in transit, and manage encryption keys securely (especially if exploring quantum-safe encryption as needed). In case of data integrity incidents, have playbooks for data reconciliation and correction (to prevent scenarios where the bank isn’t sure what its balances are, which is nightmare). Given possible quantum computing threats in coming years, stay updated on encryption standards too (this might be a bit forward-looking, but CRO should have an eye on emerging tech risks).</w:t>
      </w:r>
    </w:p>
    <w:p>
      <w:pPr>
        <w:numPr>
          <w:ilvl w:val="0"/>
          <w:numId w:val="1006"/>
        </w:numPr>
      </w:pPr>
      <w:r>
        <w:rPr>
          <w:b/>
          <w:bCs/>
        </w:rPr>
        <w:t xml:space="preserve">Culture, Training, and Accountability:</w:t>
      </w:r>
      <w:r>
        <w:t xml:space="preserve"> </w:t>
      </w:r>
      <w:r>
        <w:t xml:space="preserve">Many op failures trace back to human factors. The CRO should promote a culture of</w:t>
      </w:r>
      <w:r>
        <w:t xml:space="preserve"> </w:t>
      </w:r>
      <w:r>
        <w:rPr>
          <w:i/>
          <w:iCs/>
        </w:rPr>
        <w:t xml:space="preserve">“no blame but no complacency”</w:t>
      </w:r>
      <w:r>
        <w:t xml:space="preserve"> </w:t>
      </w:r>
      <w:r>
        <w:t xml:space="preserve">– encourage staff to report near-misses or small errors, and treat them as learning opportunities to fix processes (incident reporting culture). At the same time, enforce accountability for gross negligence or willful violations. Conduct</w:t>
      </w:r>
      <w:r>
        <w:t xml:space="preserve"> </w:t>
      </w:r>
      <w:r>
        <w:rPr>
          <w:b/>
          <w:bCs/>
        </w:rPr>
        <w:t xml:space="preserve">regular training</w:t>
      </w:r>
      <w:r>
        <w:t xml:space="preserve">: not just cybersecurity (though that’s vital – e.g. mandatory phishing drills, secure coding training for developers) but also process training (e.g. operations staff rotating through failure simulations, traders reminded of manual trade booking procedures if system auto-book fails). Senior management should reinforce that operational excellence is as valued as revenue generation – e.g. incorporate op risk metrics into performance scorecards (to avoid implicitly encouraging risk-taking that bypasses controls).</w:t>
      </w:r>
    </w:p>
    <w:p>
      <w:pPr>
        <w:numPr>
          <w:ilvl w:val="0"/>
          <w:numId w:val="1006"/>
        </w:numPr>
      </w:pPr>
      <w:r>
        <w:rPr>
          <w:b/>
          <w:bCs/>
        </w:rPr>
        <w:t xml:space="preserve">Model Risk &amp; Change Management:</w:t>
      </w:r>
      <w:r>
        <w:t xml:space="preserve"> </w:t>
      </w:r>
      <w:r>
        <w:t xml:space="preserve">Ensure rigorous</w:t>
      </w:r>
      <w:r>
        <w:t xml:space="preserve"> </w:t>
      </w:r>
      <w:r>
        <w:rPr>
          <w:b/>
          <w:bCs/>
        </w:rPr>
        <w:t xml:space="preserve">model risk management</w:t>
      </w:r>
      <w:r>
        <w:t xml:space="preserve"> </w:t>
      </w:r>
      <w:r>
        <w:t xml:space="preserve">for operational models (e.g. AI models used in risk or ops as discussed in Section 5) – but also robust change management for IT deployments. For instance, the Knight Capital incident (errant trading code) underlines the need for strong change controls: every code push, especially those affecting trading logic, should go through testing and approval. The CRO can push for a</w:t>
      </w:r>
      <w:r>
        <w:t xml:space="preserve"> </w:t>
      </w:r>
      <w:r>
        <w:rPr>
          <w:b/>
          <w:bCs/>
        </w:rPr>
        <w:t xml:space="preserve">“pre-mortem”</w:t>
      </w:r>
      <w:r>
        <w:t xml:space="preserve"> </w:t>
      </w:r>
      <w:r>
        <w:t xml:space="preserve">practice before launching major new systems or processes: assume it failed, what could be reasons? This can surface potential operational failure modes to address beforehand. Also, maintain updated</w:t>
      </w:r>
      <w:r>
        <w:t xml:space="preserve"> </w:t>
      </w:r>
      <w:r>
        <w:rPr>
          <w:b/>
          <w:bCs/>
        </w:rPr>
        <w:t xml:space="preserve">Business Continuity Plans (BCP)</w:t>
      </w:r>
      <w:r>
        <w:t xml:space="preserve">: not just technology, but people (e.g. if a pandemic or natural disaster hits a location, do we have another site or remote capabilities? COVID taught many lessons, which should be institutionalized).</w:t>
      </w:r>
    </w:p>
    <w:p>
      <w:pPr>
        <w:pStyle w:val="FirstParagraph"/>
      </w:pPr>
      <w:r>
        <w:t xml:space="preserve">By executing these actions, the CRO helps ensure the bank’s</w:t>
      </w:r>
      <w:r>
        <w:t xml:space="preserve"> </w:t>
      </w:r>
      <w:r>
        <w:rPr>
          <w:b/>
          <w:bCs/>
        </w:rPr>
        <w:t xml:space="preserve">operational backbone is resilient</w:t>
      </w:r>
      <w:r>
        <w:t xml:space="preserve"> </w:t>
      </w:r>
      <w:r>
        <w:t xml:space="preserve">– that it can keep the lights on and the trust of clients even amidst cyber onslaughts or technology breakdowns. In short,</w:t>
      </w:r>
      <w:r>
        <w:t xml:space="preserve"> </w:t>
      </w:r>
      <w:r>
        <w:rPr>
          <w:i/>
          <w:iCs/>
        </w:rPr>
        <w:t xml:space="preserve">operational risk management must be as dynamic as the threats faced</w:t>
      </w:r>
      <w:r>
        <w:t xml:space="preserve"> </w:t>
      </w:r>
      <w:r>
        <w:t xml:space="preserve">– continuously improving, practicing response, and reinforcing that “resilience is everyone’s job” across the organization.</w:t>
      </w:r>
    </w:p>
    <w:bookmarkEnd w:id="53"/>
    <w:bookmarkStart w:id="59" w:name="X1957f9d5bd31527ee6c0d9c518172252d887274"/>
    <w:p>
      <w:pPr>
        <w:pStyle w:val="Heading3"/>
      </w:pPr>
      <w:r>
        <w:t xml:space="preserve">Model Risk Management (MRM) – Including AI/ML Models</w:t>
      </w:r>
    </w:p>
    <w:p>
      <w:pPr>
        <w:pStyle w:val="FirstParagraph"/>
      </w:pPr>
      <w:r>
        <w:rPr>
          <w:b/>
          <w:bCs/>
        </w:rPr>
        <w:t xml:space="preserve">Drivers &amp; Context:</w:t>
      </w:r>
      <w:r>
        <w:t xml:space="preserve"> </w:t>
      </w:r>
      <w:r>
        <w:t xml:space="preserve">Model risk – the potential for adverse outcomes from decisions based on incorrect or misused models – is expanding in scope as banks deploy models in ever more areas, including complex AI/ML algorithms. Traditional models (credit scoring, VaR, pricing models) remain, but now many banks use machine learning for underwriting, trading signals, customer analytics, etc.</w:t>
      </w:r>
      <w:r>
        <w:t xml:space="preserve"> </w:t>
      </w:r>
      <w:r>
        <w:rPr>
          <w:b/>
          <w:bCs/>
        </w:rPr>
        <w:t xml:space="preserve">Model Risk Management (MRM)</w:t>
      </w:r>
      <w:r>
        <w:t xml:space="preserve"> </w:t>
      </w:r>
      <w:r>
        <w:t xml:space="preserve">frameworks (such as the Fed’s SR 11-7 guidance in the US) have been in place for years, but they are being tested by this new generation of models that are data-hungry, often opaque, and continuously learning. Drivers behind the importance of MRM now:</w:t>
      </w:r>
      <w:r>
        <w:t xml:space="preserve"> </w:t>
      </w:r>
      <w:r>
        <w:rPr>
          <w:b/>
          <w:bCs/>
        </w:rPr>
        <w:t xml:space="preserve">(1)</w:t>
      </w:r>
      <w:r>
        <w:t xml:space="preserve"> </w:t>
      </w:r>
      <w:r>
        <w:rPr>
          <w:b/>
          <w:bCs/>
        </w:rPr>
        <w:t xml:space="preserve">Rising model complexity:</w:t>
      </w:r>
      <w:r>
        <w:t xml:space="preserve"> </w:t>
      </w:r>
      <w:r>
        <w:t xml:space="preserve">e.g. ensemble ML models with thousands of parameters or AI large language models (LLMs) providing advice – these defy simple validation and explanation techniques.</w:t>
      </w:r>
      <w:r>
        <w:t xml:space="preserve"> </w:t>
      </w:r>
      <w:r>
        <w:rPr>
          <w:b/>
          <w:bCs/>
        </w:rPr>
        <w:t xml:space="preserve">(2)</w:t>
      </w:r>
      <w:r>
        <w:t xml:space="preserve"> </w:t>
      </w:r>
      <w:r>
        <w:rPr>
          <w:b/>
          <w:bCs/>
        </w:rPr>
        <w:t xml:space="preserve">Regulatory reinforcement:</w:t>
      </w:r>
      <w:r>
        <w:t xml:space="preserve"> </w:t>
      </w:r>
      <w:r>
        <w:t xml:space="preserve">Regulators globally insist that AI/ML models are subject to the same rigor as traditional models. The EU AI Act will effectively label certain AI models in banking (like credit scoring) as “high-risk” requiring documentation and human oversight</w:t>
      </w:r>
      <w:hyperlink r:id="rId35">
        <w:r>
          <w:rPr>
            <w:rStyle w:val="Hyperlink"/>
          </w:rPr>
          <w:t xml:space="preserve">[15]</w:t>
        </w:r>
      </w:hyperlink>
      <w:hyperlink r:id="rId54">
        <w:r>
          <w:rPr>
            <w:rStyle w:val="Hyperlink"/>
          </w:rPr>
          <w:t xml:space="preserve">[28]</w:t>
        </w:r>
      </w:hyperlink>
      <w:r>
        <w:t xml:space="preserve">. US regulators in 2023 proposed updated guidance reaffirming SR 11-7 principles apply to AI, emphasizing things like explainability and bias controls.</w:t>
      </w:r>
      <w:r>
        <w:t xml:space="preserve"> </w:t>
      </w:r>
      <w:r>
        <w:rPr>
          <w:b/>
          <w:bCs/>
        </w:rPr>
        <w:t xml:space="preserve">(3)</w:t>
      </w:r>
      <w:r>
        <w:t xml:space="preserve"> </w:t>
      </w:r>
      <w:r>
        <w:rPr>
          <w:b/>
          <w:bCs/>
        </w:rPr>
        <w:t xml:space="preserve">Model proliferation:</w:t>
      </w:r>
      <w:r>
        <w:t xml:space="preserve"> </w:t>
      </w:r>
      <w:r>
        <w:t xml:space="preserve">Banks might have</w:t>
      </w:r>
      <w:r>
        <w:t xml:space="preserve"> </w:t>
      </w:r>
      <w:r>
        <w:rPr>
          <w:i/>
          <w:iCs/>
        </w:rPr>
        <w:t xml:space="preserve">hundreds or thousands</w:t>
      </w:r>
      <w:r>
        <w:t xml:space="preserve"> </w:t>
      </w:r>
      <w:r>
        <w:t xml:space="preserve">of models in use (including vendor models, robotic process automations acting as models, etc.) – keeping an inventory and monitoring performance is a huge task.</w:t>
      </w:r>
      <w:r>
        <w:t xml:space="preserve"> </w:t>
      </w:r>
      <w:r>
        <w:rPr>
          <w:b/>
          <w:bCs/>
        </w:rPr>
        <w:t xml:space="preserve">(4)</w:t>
      </w:r>
      <w:r>
        <w:t xml:space="preserve"> </w:t>
      </w:r>
      <w:r>
        <w:rPr>
          <w:b/>
          <w:bCs/>
        </w:rPr>
        <w:t xml:space="preserve">Models in new roles:</w:t>
      </w:r>
      <w:r>
        <w:t xml:space="preserve"> </w:t>
      </w:r>
      <w:r>
        <w:t xml:space="preserve">e.g. models generating synthetic data, auto-adjusting trading algorithms on the fly, or making automated credit decisions. These raise fresh risks (e.g. ethical bias, overfitting to regime that changes).</w:t>
      </w:r>
    </w:p>
    <w:p>
      <w:pPr>
        <w:pStyle w:val="BodyText"/>
      </w:pPr>
      <w:r>
        <w:rPr>
          <w:b/>
          <w:bCs/>
        </w:rPr>
        <w:t xml:space="preserve">Materiality for CIB:</w:t>
      </w:r>
      <w:r>
        <w:t xml:space="preserve"> </w:t>
      </w:r>
      <w:r>
        <w:t xml:space="preserve">Poor model risk management can manifest as financial losses, regulatory penalties, or strategic missteps. In CIBs, consider a few examples: A flawed</w:t>
      </w:r>
      <w:r>
        <w:t xml:space="preserve"> </w:t>
      </w:r>
      <w:r>
        <w:rPr>
          <w:b/>
          <w:bCs/>
        </w:rPr>
        <w:t xml:space="preserve">market risk model</w:t>
      </w:r>
      <w:r>
        <w:t xml:space="preserve"> </w:t>
      </w:r>
      <w:r>
        <w:t xml:space="preserve">underestimates tail risk – leading the bank to take on positions that blow up (e.g. the 2012 JPM “London Whale” case partly involved a VaR model change that understated risk</w:t>
      </w:r>
      <w:hyperlink r:id="rId55">
        <w:r>
          <w:rPr>
            <w:rStyle w:val="Hyperlink"/>
          </w:rPr>
          <w:t xml:space="preserve">[29]</w:t>
        </w:r>
      </w:hyperlink>
      <w:r>
        <w:t xml:space="preserve">). A bad</w:t>
      </w:r>
      <w:r>
        <w:t xml:space="preserve"> </w:t>
      </w:r>
      <w:r>
        <w:rPr>
          <w:b/>
          <w:bCs/>
        </w:rPr>
        <w:t xml:space="preserve">credit model</w:t>
      </w:r>
      <w:r>
        <w:t xml:space="preserve"> </w:t>
      </w:r>
      <w:r>
        <w:t xml:space="preserve">might approve loans to weak borrowers (future credit losses) or mis-price deals (hurting profitability). In trading, an erroneous model for option pricing can mean systematically mis-hedging Greeks, causing P&amp;L bleed or sudden jumps. Now add AI: suppose an AI model is used to suggest trades – if it learns spurious correlations, it could prompt a series of loss-making positions across desks. Or an AI that automates compliance alerts might miss a big money laundering scheme because its training data had blind spots – leading to regulatory fines. Also, as AI models can adapt, their risk is not static; a model could drift over time or behave unexpectedly in new market conditions, meaning ongoing oversight is needed. Another material aspect is reputational and legal: use of AI in decisions (like rejecting a client or setting limits) could be challenged if found biased or unexplainable, leading to legal liabilities or public trust issues.</w:t>
      </w:r>
    </w:p>
    <w:p>
      <w:pPr>
        <w:pStyle w:val="BodyText"/>
      </w:pPr>
      <w:r>
        <w:rPr>
          <w:b/>
          <w:bCs/>
        </w:rPr>
        <w:t xml:space="preserve">Key Vulnerabilities:</w:t>
      </w:r>
      <w:r>
        <w:t xml:space="preserve"> </w:t>
      </w:r>
      <w:r>
        <w:rPr>
          <w:b/>
          <w:bCs/>
        </w:rPr>
        <w:t xml:space="preserve">(i)</w:t>
      </w:r>
      <w:r>
        <w:t xml:space="preserve"> </w:t>
      </w:r>
      <w:r>
        <w:rPr>
          <w:b/>
          <w:bCs/>
        </w:rPr>
        <w:t xml:space="preserve">Lack of Explainability:</w:t>
      </w:r>
      <w:r>
        <w:t xml:space="preserve"> </w:t>
      </w:r>
      <w:r>
        <w:t xml:space="preserve">Many advanced models (neural networks, complex ensembles) operate as black boxes. This complicates validation – one might not fully understand why the model outputs what it does. If you can’t explain it, you can’t fully trust it or defend it to regulators.</w:t>
      </w:r>
      <w:r>
        <w:t xml:space="preserve"> </w:t>
      </w:r>
      <w:r>
        <w:rPr>
          <w:b/>
          <w:bCs/>
        </w:rPr>
        <w:t xml:space="preserve">(ii)</w:t>
      </w:r>
      <w:r>
        <w:t xml:space="preserve"> </w:t>
      </w:r>
      <w:r>
        <w:rPr>
          <w:b/>
          <w:bCs/>
        </w:rPr>
        <w:t xml:space="preserve">Data Quality &amp; Bias:</w:t>
      </w:r>
      <w:r>
        <w:t xml:space="preserve"> </w:t>
      </w:r>
      <w:r>
        <w:t xml:space="preserve">Models are only as good as the data. If training data is poor or unrepresentative, models can systematically err. For instance, an AI trained on a decade of low volatility may fail in high vol regime (non-stationarity issue). Bias in data (e.g. underrepresentation of certain groups) can make model decisions discriminatory or simply inaccurate in new cases.</w:t>
      </w:r>
      <w:r>
        <w:t xml:space="preserve"> </w:t>
      </w:r>
      <w:r>
        <w:rPr>
          <w:b/>
          <w:bCs/>
        </w:rPr>
        <w:t xml:space="preserve">(iii)</w:t>
      </w:r>
      <w:r>
        <w:t xml:space="preserve"> </w:t>
      </w:r>
      <w:r>
        <w:rPr>
          <w:b/>
          <w:bCs/>
        </w:rPr>
        <w:t xml:space="preserve">Model Overreach:</w:t>
      </w:r>
      <w:r>
        <w:t xml:space="preserve"> </w:t>
      </w:r>
      <w:r>
        <w:t xml:space="preserve">Using models outside their designed purpose. For example, taking a credit risk model calibrated for normal times and using it during a pandemic without recalibration. Or using an AI sentiment model trained on social media to make large trading decisions without understanding its limits.</w:t>
      </w:r>
      <w:r>
        <w:t xml:space="preserve"> </w:t>
      </w:r>
      <w:r>
        <w:rPr>
          <w:b/>
          <w:bCs/>
        </w:rPr>
        <w:t xml:space="preserve">(iv)</w:t>
      </w:r>
      <w:r>
        <w:t xml:space="preserve"> </w:t>
      </w:r>
      <w:r>
        <w:rPr>
          <w:b/>
          <w:bCs/>
        </w:rPr>
        <w:t xml:space="preserve">Validation Resource Constraints:</w:t>
      </w:r>
      <w:r>
        <w:t xml:space="preserve"> </w:t>
      </w:r>
      <w:r>
        <w:t xml:space="preserve">With so many models and so complex, validation teams may be under-resourced or lack the skillset (especially for AI). This can lead to rubber-stamping or shallow validation, missing critical flaws.</w:t>
      </w:r>
      <w:r>
        <w:t xml:space="preserve"> </w:t>
      </w:r>
      <w:r>
        <w:rPr>
          <w:b/>
          <w:bCs/>
        </w:rPr>
        <w:t xml:space="preserve">(v)</w:t>
      </w:r>
      <w:r>
        <w:t xml:space="preserve"> </w:t>
      </w:r>
      <w:r>
        <w:rPr>
          <w:b/>
          <w:bCs/>
        </w:rPr>
        <w:t xml:space="preserve">Model Implementation &amp; Use Errors:</w:t>
      </w:r>
      <w:r>
        <w:t xml:space="preserve"> </w:t>
      </w:r>
      <w:r>
        <w:t xml:space="preserve">Even a sound model can cause losses if implemented wrongly (coding bugs) or mis-used (ignoring model limits, or overriding too often without process). Also, version control issues – using outdated model versions or data leaks (train/test mix-ups) – can degrade performance.</w:t>
      </w:r>
      <w:r>
        <w:t xml:space="preserve"> </w:t>
      </w:r>
      <w:r>
        <w:rPr>
          <w:b/>
          <w:bCs/>
        </w:rPr>
        <w:t xml:space="preserve">(vi)</w:t>
      </w:r>
      <w:r>
        <w:t xml:space="preserve"> </w:t>
      </w:r>
      <w:r>
        <w:rPr>
          <w:b/>
          <w:bCs/>
        </w:rPr>
        <w:t xml:space="preserve">Concentration Risk in Modeling Approaches:</w:t>
      </w:r>
      <w:r>
        <w:t xml:space="preserve"> </w:t>
      </w:r>
      <w:r>
        <w:t xml:space="preserve">If many firms use similar models or data (like popular vendor models), there’s risk of simultaneous failure – a systemic angle akin to herd risk (e.g. widespread use of similar AI trading strategies could lead to correlated errors or crowding).</w:t>
      </w:r>
    </w:p>
    <w:p>
      <w:pPr>
        <w:pStyle w:val="BodyText"/>
      </w:pPr>
      <w:r>
        <w:rPr>
          <w:b/>
          <w:bCs/>
        </w:rPr>
        <w:t xml:space="preserve">KRIs &amp; Metrics:</w:t>
      </w:r>
      <w:r>
        <w:t xml:space="preserve"> </w:t>
      </w:r>
      <w:r>
        <w:t xml:space="preserve">Metrics revolve around model performance and validation health.</w:t>
      </w:r>
      <w:r>
        <w:t xml:space="preserve"> </w:t>
      </w:r>
      <w:r>
        <w:rPr>
          <w:b/>
          <w:bCs/>
        </w:rPr>
        <w:t xml:space="preserve">Model inventory count:</w:t>
      </w:r>
      <w:r>
        <w:t xml:space="preserve"> </w:t>
      </w:r>
      <w:r>
        <w:t xml:space="preserve">how many models, and how many are past due for review or validation.</w:t>
      </w:r>
      <w:r>
        <w:t xml:space="preserve"> </w:t>
      </w:r>
      <w:r>
        <w:rPr>
          <w:b/>
          <w:bCs/>
        </w:rPr>
        <w:t xml:space="preserve">Model performance indicators:</w:t>
      </w:r>
      <w:r>
        <w:t xml:space="preserve"> </w:t>
      </w:r>
      <w:r>
        <w:t xml:space="preserve">e.g. backtesting results – for credit models, actual default rate vs predicted; for trading models, VaR exceptions count; for AML models, false positive/negative rates.</w:t>
      </w:r>
      <w:r>
        <w:t xml:space="preserve"> </w:t>
      </w:r>
      <w:r>
        <w:rPr>
          <w:b/>
          <w:bCs/>
        </w:rPr>
        <w:t xml:space="preserve">Number of model issues/exceptions:</w:t>
      </w:r>
      <w:r>
        <w:t xml:space="preserve"> </w:t>
      </w:r>
      <w:r>
        <w:t xml:space="preserve">count of models operating under</w:t>
      </w:r>
      <w:r>
        <w:t xml:space="preserve"> </w:t>
      </w:r>
      <w:r>
        <w:rPr>
          <w:i/>
          <w:iCs/>
        </w:rPr>
        <w:t xml:space="preserve">“findings”</w:t>
      </w:r>
      <w:r>
        <w:t xml:space="preserve"> </w:t>
      </w:r>
      <w:r>
        <w:t xml:space="preserve">(issues found by validation that are yet to be fixed) or using temporary overrides. If many models have ongoing remediation, that’s a risk indicator.</w:t>
      </w:r>
      <w:r>
        <w:t xml:space="preserve"> </w:t>
      </w:r>
      <w:r>
        <w:rPr>
          <w:b/>
          <w:bCs/>
        </w:rPr>
        <w:t xml:space="preserve">Validation findings severity:</w:t>
      </w:r>
      <w:r>
        <w:t xml:space="preserve"> </w:t>
      </w:r>
      <w:r>
        <w:t xml:space="preserve">track how many “red” findings remain open and aging of those issues.</w:t>
      </w:r>
      <w:r>
        <w:t xml:space="preserve"> </w:t>
      </w:r>
      <w:r>
        <w:rPr>
          <w:b/>
          <w:bCs/>
        </w:rPr>
        <w:t xml:space="preserve">Model override frequency:</w:t>
      </w:r>
      <w:r>
        <w:t xml:space="preserve"> </w:t>
      </w:r>
      <w:r>
        <w:t xml:space="preserve">if users frequently override model outputs (e.g. traders frequently deviating from model prices, or credit officers overriding scores often), it suggests model may not be fully reliable or understood – this should be monitored.</w:t>
      </w:r>
      <w:r>
        <w:t xml:space="preserve"> </w:t>
      </w:r>
      <w:r>
        <w:rPr>
          <w:b/>
          <w:bCs/>
        </w:rPr>
        <w:t xml:space="preserve">Model change rate:</w:t>
      </w:r>
      <w:r>
        <w:t xml:space="preserve"> </w:t>
      </w:r>
      <w:r>
        <w:t xml:space="preserve">if a lot of models are being changed or new models introduced, that can strain controls – track volume of model changes and ensure proper approvals kept pace.</w:t>
      </w:r>
      <w:r>
        <w:t xml:space="preserve"> </w:t>
      </w:r>
      <w:r>
        <w:rPr>
          <w:b/>
          <w:bCs/>
        </w:rPr>
        <w:t xml:space="preserve">AI/ML specific metrics:</w:t>
      </w:r>
      <w:r>
        <w:t xml:space="preserve"> </w:t>
      </w:r>
      <w:r>
        <w:t xml:space="preserve">things like drift detection metrics (change in data or output distributions over time), and explainability metrics (if using tools like SHAP values, track consistency of key drivers).</w:t>
      </w:r>
      <w:r>
        <w:t xml:space="preserve"> </w:t>
      </w:r>
      <w:r>
        <w:rPr>
          <w:b/>
          <w:bCs/>
        </w:rPr>
        <w:t xml:space="preserve">Outcome analysis:</w:t>
      </w:r>
      <w:r>
        <w:t xml:space="preserve"> </w:t>
      </w:r>
      <w:r>
        <w:t xml:space="preserve">measure outcomes for bias – e.g. measure if a model’s decisions result in significantly different approval rates for different groups unexplained by risk (to identify potential fairness issues, which are also a risk). Another key metric:</w:t>
      </w:r>
      <w:r>
        <w:t xml:space="preserve"> </w:t>
      </w:r>
      <w:r>
        <w:rPr>
          <w:b/>
          <w:bCs/>
        </w:rPr>
        <w:t xml:space="preserve">incidents/losses due to model errors:</w:t>
      </w:r>
      <w:r>
        <w:t xml:space="preserve"> </w:t>
      </w:r>
      <w:r>
        <w:t xml:space="preserve">hopefully zero, but any time a model led to a material error or loss, log it and treat as op risk incident for root cause analysis. Regulators also often ask for</w:t>
      </w:r>
      <w:r>
        <w:t xml:space="preserve"> </w:t>
      </w:r>
      <w:r>
        <w:rPr>
          <w:b/>
          <w:bCs/>
        </w:rPr>
        <w:t xml:space="preserve">Model Risk Capital or Reserves</w:t>
      </w:r>
      <w:r>
        <w:t xml:space="preserve"> </w:t>
      </w:r>
      <w:r>
        <w:t xml:space="preserve">– while not formal like other risks, some banks allocate economic capital for model risk; if so, track that too.</w:t>
      </w:r>
    </w:p>
    <w:p>
      <w:pPr>
        <w:pStyle w:val="BodyText"/>
      </w:pPr>
      <w:r>
        <w:rPr>
          <w:b/>
          <w:bCs/>
        </w:rPr>
        <w:t xml:space="preserve">Supervisory Expectations:</w:t>
      </w:r>
      <w:r>
        <w:t xml:space="preserve"> </w:t>
      </w:r>
      <w:r>
        <w:t xml:space="preserve">Regulators expect banks to</w:t>
      </w:r>
      <w:r>
        <w:t xml:space="preserve"> </w:t>
      </w:r>
      <w:r>
        <w:rPr>
          <w:b/>
          <w:bCs/>
        </w:rPr>
        <w:t xml:space="preserve">adhere to strong MRM frameworks</w:t>
      </w:r>
      <w:r>
        <w:t xml:space="preserve">. Key pillars: a comprehensive model inventory (including definition of what is a model – many now include AI algorithms, RPA scripts making decisions, etc.), risk-tiering of models, independent model validation, and governance (model risk committees, periodic review, etc.). The Fed/OCC’s SR 11-7 (2011) remains the blueprint in the US, and it’s being refreshed to explicitly cover AI/ML – but fundamentally it stresses</w:t>
      </w:r>
      <w:r>
        <w:t xml:space="preserve"> </w:t>
      </w:r>
      <w:r>
        <w:rPr>
          <w:i/>
          <w:iCs/>
        </w:rPr>
        <w:t xml:space="preserve">“effective challenge”</w:t>
      </w:r>
      <w:r>
        <w:t xml:space="preserve"> </w:t>
      </w:r>
      <w:r>
        <w:t xml:space="preserve">of models by independent teams. In Europe, the ECB’s TRIM (Targeted Review of Internal Models) focused on regulatory capital models, but many banks apply similar rigor to all models. The</w:t>
      </w:r>
      <w:r>
        <w:t xml:space="preserve"> </w:t>
      </w:r>
      <w:r>
        <w:rPr>
          <w:b/>
          <w:bCs/>
        </w:rPr>
        <w:t xml:space="preserve">EU AI Act</w:t>
      </w:r>
      <w:r>
        <w:t xml:space="preserve"> </w:t>
      </w:r>
      <w:r>
        <w:t xml:space="preserve">will add on legal requirements: e.g. documentation of training data, explainability provisions, and human oversight for certain high-risk AI</w:t>
      </w:r>
      <w:hyperlink r:id="rId35">
        <w:r>
          <w:rPr>
            <w:rStyle w:val="Hyperlink"/>
          </w:rPr>
          <w:t xml:space="preserve">[15]</w:t>
        </w:r>
      </w:hyperlink>
      <w:hyperlink r:id="rId56">
        <w:r>
          <w:rPr>
            <w:rStyle w:val="Hyperlink"/>
          </w:rPr>
          <w:t xml:space="preserve">[30]</w:t>
        </w:r>
      </w:hyperlink>
      <w:r>
        <w:t xml:space="preserve">. So compliance with that will overlap with MRM – CROs should ensure collaboration between model risk teams and compliance/legal on AI Act expectations (like logging model decisions, providing explanations to users, etc.). Regulators also are increasingly asking about</w:t>
      </w:r>
      <w:r>
        <w:t xml:space="preserve"> </w:t>
      </w:r>
      <w:r>
        <w:rPr>
          <w:b/>
          <w:bCs/>
        </w:rPr>
        <w:t xml:space="preserve">AI governance</w:t>
      </w:r>
      <w:r>
        <w:t xml:space="preserve">: e.g. the UK’s Prudential Regulation Authority has queried firms on how they ensure AI models are safe, and MAS in Singapore has guidelines (FEAT principles – Fairness, Ethics, Accountability, Transparency) which effectively require controls around bias and explainability. The</w:t>
      </w:r>
      <w:r>
        <w:t xml:space="preserve"> </w:t>
      </w:r>
      <w:r>
        <w:rPr>
          <w:b/>
          <w:bCs/>
        </w:rPr>
        <w:t xml:space="preserve">FSB (2024)</w:t>
      </w:r>
      <w:r>
        <w:t xml:space="preserve"> </w:t>
      </w:r>
      <w:r>
        <w:t xml:space="preserve">explicitly warns about model risk from AI – pointing to “lack of explainability” and data quality issues that</w:t>
      </w:r>
      <w:r>
        <w:t xml:space="preserve"> </w:t>
      </w:r>
      <w:r>
        <w:rPr>
          <w:i/>
          <w:iCs/>
        </w:rPr>
        <w:t xml:space="preserve">“hinder effective vulnerability surveillance”</w:t>
      </w:r>
      <w:hyperlink r:id="rId57">
        <w:r>
          <w:rPr>
            <w:rStyle w:val="Hyperlink"/>
          </w:rPr>
          <w:t xml:space="preserve">[31]</w:t>
        </w:r>
      </w:hyperlink>
      <w:hyperlink r:id="rId58">
        <w:r>
          <w:rPr>
            <w:rStyle w:val="Hyperlink"/>
          </w:rPr>
          <w:t xml:space="preserve">[32]</w:t>
        </w:r>
      </w:hyperlink>
      <w:r>
        <w:t xml:space="preserve">. We can expect supervisors to potentially stress test AI models in the future or at least ask for the results of the bank’s internal stress tests of models. Also, in the trading context, regulators implementing FRTB and other model-based capital rules will heavily scrutinize the internal models – requiring banks to maintain stringent backtesting or else fall back to conservative standardized approaches (punitive capital). So the CRO must ensure model discipline to preserve capital benefits. In summary, expect tough questions:</w:t>
      </w:r>
      <w:r>
        <w:t xml:space="preserve"> </w:t>
      </w:r>
      <w:r>
        <w:rPr>
          <w:i/>
          <w:iCs/>
        </w:rPr>
        <w:t xml:space="preserve">“How do you know your fancy AI model isn’t making unintended discriminatory decisions or catastrophic errors? Prove to us you have it under control.”</w:t>
      </w:r>
    </w:p>
    <w:p>
      <w:pPr>
        <w:pStyle w:val="BodyText"/>
      </w:pPr>
      <w:r>
        <w:rPr>
          <w:b/>
          <w:bCs/>
        </w:rPr>
        <w:t xml:space="preserve">Recommended CRO Actions:</w:t>
      </w:r>
    </w:p>
    <w:p>
      <w:pPr>
        <w:numPr>
          <w:ilvl w:val="0"/>
          <w:numId w:val="1007"/>
        </w:numPr>
      </w:pPr>
      <w:r>
        <w:rPr>
          <w:b/>
          <w:bCs/>
        </w:rPr>
        <w:t xml:space="preserve">Expand Model Inventory &amp; Classification to AI:</w:t>
      </w:r>
      <w:r>
        <w:t xml:space="preserve"> </w:t>
      </w:r>
      <w:r>
        <w:t xml:space="preserve">First, make sure</w:t>
      </w:r>
      <w:r>
        <w:t xml:space="preserve"> </w:t>
      </w:r>
      <w:r>
        <w:rPr>
          <w:i/>
          <w:iCs/>
        </w:rPr>
        <w:t xml:space="preserve">all models are known.</w:t>
      </w:r>
      <w:r>
        <w:t xml:space="preserve"> </w:t>
      </w:r>
      <w:r>
        <w:t xml:space="preserve">Update the model inventory to include not just traditional financial models but also AI/ML applications and algorithms used in decision-making. Define criteria for what qualifies as a “model” – likely any algorithm that materially informs decisions or has outputs with material risk (including vendor-provided AI services) should be included. Classify models by risk tier (e.g. Tier 1: high-impact models like capital models, pricing models for big trading books, AI credit decision systems; Tier 2: moderate impact; etc.). For AI, factors like opacity, novelty, and usage scope might bump up risk tier. The CRO should insist that</w:t>
      </w:r>
      <w:r>
        <w:t xml:space="preserve"> </w:t>
      </w:r>
      <w:r>
        <w:rPr>
          <w:i/>
          <w:iCs/>
        </w:rPr>
        <w:t xml:space="preserve">no material model operates outside the purview of MRM</w:t>
      </w:r>
      <w:r>
        <w:t xml:space="preserve">. Sometimes business units deploy AI prototypes – require they go through proper validation before full-scale use.</w:t>
      </w:r>
    </w:p>
    <w:p>
      <w:pPr>
        <w:numPr>
          <w:ilvl w:val="0"/>
          <w:numId w:val="1007"/>
        </w:numPr>
      </w:pPr>
      <w:r>
        <w:rPr>
          <w:b/>
          <w:bCs/>
        </w:rPr>
        <w:t xml:space="preserve">Invest in Model Validation Capabilities (especially for AI):</w:t>
      </w:r>
      <w:r>
        <w:t xml:space="preserve"> </w:t>
      </w:r>
      <w:r>
        <w:t xml:space="preserve">Traditional validation approaches (e.g. benchmarking, sensitivity analysis) need augmentation for ML. The CRO should ensure the model risk team has</w:t>
      </w:r>
      <w:r>
        <w:t xml:space="preserve"> </w:t>
      </w:r>
      <w:r>
        <w:rPr>
          <w:b/>
          <w:bCs/>
        </w:rPr>
        <w:t xml:space="preserve">data science expertise and AI tools</w:t>
      </w:r>
      <w:r>
        <w:t xml:space="preserve">. This might involve hiring specialist validators with ML backgrounds or training existing staff. Introduce validation techniques like:</w:t>
      </w:r>
      <w:r>
        <w:t xml:space="preserve"> </w:t>
      </w:r>
      <w:r>
        <w:rPr>
          <w:b/>
          <w:bCs/>
        </w:rPr>
        <w:t xml:space="preserve">explainability testing</w:t>
      </w:r>
      <w:r>
        <w:t xml:space="preserve"> </w:t>
      </w:r>
      <w:r>
        <w:t xml:space="preserve">(using tools to approximate what features drive the AI model decisions, ensuring they make sense and detecting any reliance on inappropriate factors),</w:t>
      </w:r>
      <w:r>
        <w:t xml:space="preserve"> </w:t>
      </w:r>
      <w:r>
        <w:rPr>
          <w:b/>
          <w:bCs/>
        </w:rPr>
        <w:t xml:space="preserve">adversarial testing</w:t>
      </w:r>
      <w:r>
        <w:t xml:space="preserve"> </w:t>
      </w:r>
      <w:r>
        <w:t xml:space="preserve">(see if the model can be fooled by certain inputs),</w:t>
      </w:r>
      <w:r>
        <w:t xml:space="preserve"> </w:t>
      </w:r>
      <w:r>
        <w:rPr>
          <w:b/>
          <w:bCs/>
        </w:rPr>
        <w:t xml:space="preserve">stability tests</w:t>
      </w:r>
      <w:r>
        <w:t xml:space="preserve"> </w:t>
      </w:r>
      <w:r>
        <w:t xml:space="preserve">(small changes in input shouldn’t wildly change output if not justified). For instance, if validating an LLM used for customer communication, test it with edge cases or irrelevant prompts to see if it hallucinates. If validating a trading ML model, test it on out-of-sample periods or simulate regime shifts. The CRO should support acquiring necessary infrastructure – e.g. sandbox environments to rerun model training with different data, computing to run large simulations, etc. Additionally, maintain</w:t>
      </w:r>
      <w:r>
        <w:t xml:space="preserve"> </w:t>
      </w:r>
      <w:r>
        <w:rPr>
          <w:b/>
          <w:bCs/>
        </w:rPr>
        <w:t xml:space="preserve">benchmark or challenger models</w:t>
      </w:r>
      <w:r>
        <w:t xml:space="preserve"> </w:t>
      </w:r>
      <w:r>
        <w:t xml:space="preserve">for key areas – even if an AI model is used, the bank might keep a simpler traditional model as a reference to notice if AI diverges too much unexpectedly.</w:t>
      </w:r>
    </w:p>
    <w:p>
      <w:pPr>
        <w:numPr>
          <w:ilvl w:val="0"/>
          <w:numId w:val="1007"/>
        </w:numPr>
      </w:pPr>
      <w:r>
        <w:rPr>
          <w:b/>
          <w:bCs/>
        </w:rPr>
        <w:t xml:space="preserve">Governance: Approvals, Reviews, Monitoring:</w:t>
      </w:r>
      <w:r>
        <w:t xml:space="preserve"> </w:t>
      </w:r>
      <w:r>
        <w:t xml:space="preserve">Strengthen governance by establishing (or refreshing) a</w:t>
      </w:r>
      <w:r>
        <w:t xml:space="preserve"> </w:t>
      </w:r>
      <w:r>
        <w:rPr>
          <w:b/>
          <w:bCs/>
        </w:rPr>
        <w:t xml:space="preserve">Model Risk Committee</w:t>
      </w:r>
      <w:r>
        <w:t xml:space="preserve"> </w:t>
      </w:r>
      <w:r>
        <w:t xml:space="preserve">that includes CRO, business heads, and model risk managers. All high-risk models (and significant changes) should require committee approval before use. Given AI’s dynamic nature, perhaps mandate more frequent reviews – e.g. Tier 1 AI models are reviewed at least annually (not the typical 3-year cycle). Implement</w:t>
      </w:r>
      <w:r>
        <w:t xml:space="preserve"> </w:t>
      </w:r>
      <w:r>
        <w:rPr>
          <w:b/>
          <w:bCs/>
        </w:rPr>
        <w:t xml:space="preserve">ongoing performance monitoring</w:t>
      </w:r>
      <w:r>
        <w:t xml:space="preserve"> </w:t>
      </w:r>
      <w:r>
        <w:t xml:space="preserve">– model owners must report performance metrics quarterly to model risk function (for AI, this might include drift metrics, accuracy on recent data, incidents). If a model’s performance deteriorates beyond a threshold, there should be automatic triggers (like requiring re-validation or even pulling the model from production until fixed). Also integrate</w:t>
      </w:r>
      <w:r>
        <w:t xml:space="preserve"> </w:t>
      </w:r>
      <w:r>
        <w:rPr>
          <w:b/>
          <w:bCs/>
        </w:rPr>
        <w:t xml:space="preserve">MRM into project lifecycle</w:t>
      </w:r>
      <w:r>
        <w:t xml:space="preserve">: when developing a new model or AI solution, risk and validation teams should be engaged early (design phase) to advise on controls and ensure documentation is being collected, not just at the end.</w:t>
      </w:r>
    </w:p>
    <w:p>
      <w:pPr>
        <w:numPr>
          <w:ilvl w:val="0"/>
          <w:numId w:val="1007"/>
        </w:numPr>
      </w:pPr>
      <w:r>
        <w:rPr>
          <w:b/>
          <w:bCs/>
        </w:rPr>
        <w:t xml:space="preserve">Address AI/ML Specific Risks in Policy:</w:t>
      </w:r>
      <w:r>
        <w:t xml:space="preserve"> </w:t>
      </w:r>
      <w:r>
        <w:t xml:space="preserve">Update the formal Model Risk Policy to explicitly cover AI/ML. For example, require an</w:t>
      </w:r>
      <w:r>
        <w:t xml:space="preserve"> </w:t>
      </w:r>
      <w:r>
        <w:rPr>
          <w:b/>
          <w:bCs/>
        </w:rPr>
        <w:t xml:space="preserve">explainability statement</w:t>
      </w:r>
      <w:r>
        <w:t xml:space="preserve"> </w:t>
      </w:r>
      <w:r>
        <w:t xml:space="preserve">for AI models – a document where developers/validators explain in plain language how the model works, what data it uses, and why it’s appropriate. Require documentation of</w:t>
      </w:r>
      <w:r>
        <w:t xml:space="preserve"> </w:t>
      </w:r>
      <w:r>
        <w:rPr>
          <w:b/>
          <w:bCs/>
        </w:rPr>
        <w:t xml:space="preserve">training data lineage</w:t>
      </w:r>
      <w:r>
        <w:t xml:space="preserve"> </w:t>
      </w:r>
      <w:r>
        <w:t xml:space="preserve">(where data came from, how it was vetted, any biases considered). If using third-party AI models or pre-trained models (like a vendor’s LLM), require a risk assessment of that – including how the vendor built it, what data, any constraints. Policies should also mandate</w:t>
      </w:r>
      <w:r>
        <w:t xml:space="preserve"> </w:t>
      </w:r>
      <w:r>
        <w:rPr>
          <w:b/>
          <w:bCs/>
        </w:rPr>
        <w:t xml:space="preserve">human-in-the-loop</w:t>
      </w:r>
      <w:r>
        <w:t xml:space="preserve"> </w:t>
      </w:r>
      <w:r>
        <w:t xml:space="preserve">for certain AI decisions until proven stable – e.g. an AI credit underwriting model might recommend but final approval by human until sufficient confidence and regulatory comfort is achieved. Also consider</w:t>
      </w:r>
      <w:r>
        <w:t xml:space="preserve"> </w:t>
      </w:r>
      <w:r>
        <w:rPr>
          <w:b/>
          <w:bCs/>
        </w:rPr>
        <w:t xml:space="preserve">ethical dimensions</w:t>
      </w:r>
      <w:r>
        <w:t xml:space="preserve">: incorporate principles like those in MAS FEAT or EU AI Act to ensure models are fair and transparent. The CRO should ensure compliance and model risk teams collaborate here.</w:t>
      </w:r>
    </w:p>
    <w:p>
      <w:pPr>
        <w:numPr>
          <w:ilvl w:val="0"/>
          <w:numId w:val="1007"/>
        </w:numPr>
      </w:pPr>
      <w:r>
        <w:rPr>
          <w:b/>
          <w:bCs/>
        </w:rPr>
        <w:t xml:space="preserve">Implement Controls on Model Use &amp; Change:</w:t>
      </w:r>
      <w:r>
        <w:t xml:space="preserve"> </w:t>
      </w:r>
      <w:r>
        <w:t xml:space="preserve">Even a validated model can go wrong if misused. Therefore, enforce controls such as: limits on model outputs (e.g. a trading model can’t suggest a position beyond a certain size without extra check, or a credit model’s score should only be used for the segment it was designed). If a user wants to override a model output (say, approve a loan that model rejected), capture that override with reason codes – analyze overrides for patterns (maybe the model’s too conservative in a niche, indicating need for recalibration). Set</w:t>
      </w:r>
      <w:r>
        <w:t xml:space="preserve"> </w:t>
      </w:r>
      <w:r>
        <w:rPr>
          <w:b/>
          <w:bCs/>
        </w:rPr>
        <w:t xml:space="preserve">alert thresholds</w:t>
      </w:r>
      <w:r>
        <w:t xml:space="preserve"> </w:t>
      </w:r>
      <w:r>
        <w:t xml:space="preserve">if model outputs deviate significantly from benchmarks (e.g. if AI model suddenly assigns drastically different risk scores from last month’s for similar cases, flag it). Regarding change control: ensure any model update (retraining on new data, code change) goes through the same rigour as a new model validation if materially different. Continuous learning models (if any) are tricky – best practice is to not allow truly</w:t>
      </w:r>
      <w:r>
        <w:t xml:space="preserve"> </w:t>
      </w:r>
      <w:r>
        <w:rPr>
          <w:i/>
          <w:iCs/>
        </w:rPr>
        <w:t xml:space="preserve">autonomous</w:t>
      </w:r>
      <w:r>
        <w:t xml:space="preserve"> </w:t>
      </w:r>
      <w:r>
        <w:t xml:space="preserve">model updates in production without human sign-off. Instead, retrain offline, validate the new version, then deploy. The CRO should particularly caution against</w:t>
      </w:r>
      <w:r>
        <w:t xml:space="preserve"> </w:t>
      </w:r>
      <w:r>
        <w:rPr>
          <w:i/>
          <w:iCs/>
        </w:rPr>
        <w:t xml:space="preserve">“model drift invisibility”</w:t>
      </w:r>
      <w:r>
        <w:t xml:space="preserve"> </w:t>
      </w:r>
      <w:r>
        <w:t xml:space="preserve">– where a live model slowly changes and no one notices performance degrading until a failure happens.</w:t>
      </w:r>
    </w:p>
    <w:p>
      <w:pPr>
        <w:numPr>
          <w:ilvl w:val="0"/>
          <w:numId w:val="1007"/>
        </w:numPr>
      </w:pPr>
      <w:r>
        <w:rPr>
          <w:b/>
          <w:bCs/>
        </w:rPr>
        <w:t xml:space="preserve">Worst-Case Scenario Planning:</w:t>
      </w:r>
      <w:r>
        <w:t xml:space="preserve"> </w:t>
      </w:r>
      <w:r>
        <w:t xml:space="preserve">In line with prudence, consider what if key models fail or produce extreme errors at a bad time. For important decisions, have fallback plans (e.g. if an AI trade recommendation system goes awry – do traders know how to fall back to manual strategy? If the VaR model is found broken during stress – do we have a contingency capital buffer or simpler risk limit to fall back on?). Conduct</w:t>
      </w:r>
      <w:r>
        <w:t xml:space="preserve"> </w:t>
      </w:r>
      <w:r>
        <w:rPr>
          <w:i/>
          <w:iCs/>
        </w:rPr>
        <w:t xml:space="preserve">“fire-drills”</w:t>
      </w:r>
      <w:r>
        <w:t xml:space="preserve"> </w:t>
      </w:r>
      <w:r>
        <w:t xml:space="preserve">where you disable a major model for a day: can operations continue? For instance, one can simulate the loss of a credit scoring system – can underwriters manually cope with volume? If not, perhaps build a simpler backup model. Ensure major model limitations are transparently communicated in risk reports (to avoid overreliance – e.g. explicitly stating “this risk metric does not account for X factor”). As advocated by regulators, maintain a healthy skepticism: scenario analysis and expert judgment should complement model output to cross-check reality.</w:t>
      </w:r>
    </w:p>
    <w:p>
      <w:pPr>
        <w:pStyle w:val="FirstParagraph"/>
      </w:pPr>
      <w:r>
        <w:t xml:space="preserve">By bolstering model risk management in these ways, the CRO will guard against both the</w:t>
      </w:r>
      <w:r>
        <w:t xml:space="preserve"> </w:t>
      </w:r>
      <w:r>
        <w:rPr>
          <w:i/>
          <w:iCs/>
        </w:rPr>
        <w:t xml:space="preserve">predictable</w:t>
      </w:r>
      <w:r>
        <w:t xml:space="preserve"> </w:t>
      </w:r>
      <w:r>
        <w:t xml:space="preserve">and</w:t>
      </w:r>
      <w:r>
        <w:t xml:space="preserve"> </w:t>
      </w:r>
      <w:r>
        <w:rPr>
          <w:i/>
          <w:iCs/>
        </w:rPr>
        <w:t xml:space="preserve">surprise</w:t>
      </w:r>
      <w:r>
        <w:t xml:space="preserve"> </w:t>
      </w:r>
      <w:r>
        <w:t xml:space="preserve">failures of models. In an era where models (especially AI) might sometimes be smarter than their creators in normal times, the CRO’s role is to</w:t>
      </w:r>
      <w:r>
        <w:t xml:space="preserve"> </w:t>
      </w:r>
      <w:r>
        <w:rPr>
          <w:b/>
          <w:bCs/>
        </w:rPr>
        <w:t xml:space="preserve">think ahead of the models</w:t>
      </w:r>
      <w:r>
        <w:t xml:space="preserve"> </w:t>
      </w:r>
      <w:r>
        <w:t xml:space="preserve">– asking “what could go wrong” and ensuring there are safeguards so that if a model goes rogue or becomes irrelevant, the bank is not blind-sided.</w:t>
      </w:r>
    </w:p>
    <w:bookmarkEnd w:id="59"/>
    <w:bookmarkStart w:id="61" w:name="X6184b0e3635d031e361adabda7aaf7dc816cf83"/>
    <w:p>
      <w:pPr>
        <w:pStyle w:val="Heading3"/>
      </w:pPr>
      <w:r>
        <w:t xml:space="preserve">Treasury, RWA &amp; Capital Optimization (Basel III Endgame Impacts)</w:t>
      </w:r>
    </w:p>
    <w:p>
      <w:pPr>
        <w:pStyle w:val="FirstParagraph"/>
      </w:pPr>
      <w:r>
        <w:rPr>
          <w:b/>
          <w:bCs/>
        </w:rPr>
        <w:t xml:space="preserve">Drivers &amp; Context:</w:t>
      </w:r>
      <w:r>
        <w:t xml:space="preserve"> </w:t>
      </w:r>
      <w:r>
        <w:t xml:space="preserve">With regulatory capital requirements rising via the final Basel III reforms (often dubbed “Basel IV” or “endgame”) and competitive pressures to improve returns, banks are heavily focused on optimizing</w:t>
      </w:r>
      <w:r>
        <w:t xml:space="preserve"> </w:t>
      </w:r>
      <w:r>
        <w:rPr>
          <w:b/>
          <w:bCs/>
        </w:rPr>
        <w:t xml:space="preserve">RWA (Risk-Weighted Assets)</w:t>
      </w:r>
      <w:r>
        <w:t xml:space="preserve"> </w:t>
      </w:r>
      <w:r>
        <w:t xml:space="preserve">and capital usage. Drivers here:</w:t>
      </w:r>
      <w:r>
        <w:t xml:space="preserve"> </w:t>
      </w:r>
      <w:r>
        <w:rPr>
          <w:b/>
          <w:bCs/>
        </w:rPr>
        <w:t xml:space="preserve">(1)</w:t>
      </w:r>
      <w:r>
        <w:t xml:space="preserve"> </w:t>
      </w:r>
      <w:r>
        <w:rPr>
          <w:b/>
          <w:bCs/>
        </w:rPr>
        <w:t xml:space="preserve">Basel III Endgame rules (2025+):</w:t>
      </w:r>
      <w:r>
        <w:t xml:space="preserve"> </w:t>
      </w:r>
      <w:r>
        <w:t xml:space="preserve">G-SIBs, especially in the US and EU, face new standardized approaches and an</w:t>
      </w:r>
      <w:r>
        <w:t xml:space="preserve"> </w:t>
      </w:r>
      <w:r>
        <w:rPr>
          <w:b/>
          <w:bCs/>
        </w:rPr>
        <w:t xml:space="preserve">output floor</w:t>
      </w:r>
      <w:r>
        <w:t xml:space="preserve"> </w:t>
      </w:r>
      <w:r>
        <w:t xml:space="preserve">(72.5% of RWA must be per standardized formulas even if internal models yield lower)</w:t>
      </w:r>
      <w:hyperlink r:id="rId60">
        <w:r>
          <w:rPr>
            <w:rStyle w:val="Hyperlink"/>
          </w:rPr>
          <w:t xml:space="preserve">[33]</w:t>
        </w:r>
      </w:hyperlink>
      <w:r>
        <w:t xml:space="preserve">. This will notably increase RWAs for banks with big trading books and low-density credit portfolios. Additionally, changes like revised credit risk weights (e.g. for unrated corporates, real estate),</w:t>
      </w:r>
      <w:r>
        <w:t xml:space="preserve"> </w:t>
      </w:r>
      <w:r>
        <w:rPr>
          <w:b/>
          <w:bCs/>
        </w:rPr>
        <w:t xml:space="preserve">operational risk</w:t>
      </w:r>
      <w:r>
        <w:t xml:space="preserve"> </w:t>
      </w:r>
      <w:r>
        <w:t xml:space="preserve">standardized approach, and</w:t>
      </w:r>
      <w:r>
        <w:t xml:space="preserve"> </w:t>
      </w:r>
      <w:r>
        <w:rPr>
          <w:b/>
          <w:bCs/>
        </w:rPr>
        <w:t xml:space="preserve">CVA capital</w:t>
      </w:r>
      <w:r>
        <w:t xml:space="preserve"> </w:t>
      </w:r>
      <w:r>
        <w:t xml:space="preserve">will kick in.</w:t>
      </w:r>
      <w:r>
        <w:t xml:space="preserve"> </w:t>
      </w:r>
      <w:r>
        <w:rPr>
          <w:b/>
          <w:bCs/>
        </w:rPr>
        <w:t xml:space="preserve">(2)</w:t>
      </w:r>
      <w:r>
        <w:t xml:space="preserve"> </w:t>
      </w:r>
      <w:r>
        <w:rPr>
          <w:b/>
          <w:bCs/>
        </w:rPr>
        <w:t xml:space="preserve">FRTB for market risk:</w:t>
      </w:r>
      <w:r>
        <w:t xml:space="preserve"> </w:t>
      </w:r>
      <w:r>
        <w:t xml:space="preserve">Many regions implementing by 2025–26; if internal models aren’t approved in time, banks may use the standardized approach which often is higher RWA.</w:t>
      </w:r>
      <w:r>
        <w:t xml:space="preserve"> </w:t>
      </w:r>
      <w:r>
        <w:rPr>
          <w:b/>
          <w:bCs/>
        </w:rPr>
        <w:t xml:space="preserve">(3)</w:t>
      </w:r>
      <w:r>
        <w:t xml:space="preserve"> </w:t>
      </w:r>
      <w:r>
        <w:rPr>
          <w:b/>
          <w:bCs/>
        </w:rPr>
        <w:t xml:space="preserve">CCAR/Stress Testing Expectations:</w:t>
      </w:r>
      <w:r>
        <w:t xml:space="preserve"> </w:t>
      </w:r>
      <w:r>
        <w:t xml:space="preserve">In the US, stress capital buffers tie required capital to stress losses – banks optimize portfolios to manage stress loss projections (e.g. shedding assets that perform poorly under CCAR models). In Europe, SREP processes link qualitative aspects to Pillar 2 capital.</w:t>
      </w:r>
      <w:r>
        <w:t xml:space="preserve"> </w:t>
      </w:r>
      <w:r>
        <w:rPr>
          <w:b/>
          <w:bCs/>
        </w:rPr>
        <w:t xml:space="preserve">(4)</w:t>
      </w:r>
      <w:r>
        <w:t xml:space="preserve"> </w:t>
      </w:r>
      <w:r>
        <w:rPr>
          <w:b/>
          <w:bCs/>
        </w:rPr>
        <w:t xml:space="preserve">Low-yield environment flipping to higher yields:</w:t>
      </w:r>
      <w:r>
        <w:t xml:space="preserve"> </w:t>
      </w:r>
      <w:r>
        <w:t xml:space="preserve">ironically, higher interest rates improve net interest margins but also reduce some asset values, and capital ratios can wobble with AOCI changes if not shielded. The focus is to ensure capital is sufficient but not excessive – capital is costly (CIB cost of equity often ~12%+). So CROs are leading efforts to allocate capital to best uses and free up RWA where possible, without compromising risk.</w:t>
      </w:r>
    </w:p>
    <w:p>
      <w:pPr>
        <w:pStyle w:val="BodyText"/>
      </w:pPr>
      <w:r>
        <w:rPr>
          <w:b/>
          <w:bCs/>
        </w:rPr>
        <w:t xml:space="preserve">Materiality for CIB:</w:t>
      </w:r>
      <w:r>
        <w:t xml:space="preserve"> </w:t>
      </w:r>
      <w:r>
        <w:t xml:space="preserve">Capital adequacy underpins everything – without enough capital, a bank can’t take risk or do business (and supervisors might intervene). For CIBs, certain businesses are very capital-intensive under new rules (e.g. trading exotic derivatives might attract high market risk RWAs, securitization warehousing has high credit RWAs, etc.). So those might become uneconomical unless optimized. Conversely, areas like low-risk transaction banking or fee-based advisory use little capital and boost ROE. Thus, optimizing RWA isn’t just a regulatory chore, it’s a strategic necessity to maximize shareholder returns. Also, poor capital planning can result in</w:t>
      </w:r>
      <w:r>
        <w:t xml:space="preserve"> </w:t>
      </w:r>
      <w:r>
        <w:rPr>
          <w:b/>
          <w:bCs/>
        </w:rPr>
        <w:t xml:space="preserve">stress test failures</w:t>
      </w:r>
      <w:r>
        <w:t xml:space="preserve"> </w:t>
      </w:r>
      <w:r>
        <w:t xml:space="preserve">(as some banks have experienced in regulatory stress tests, leading to constrained dividends and bad press). For treasury specifically, managing the</w:t>
      </w:r>
      <w:r>
        <w:t xml:space="preserve"> </w:t>
      </w:r>
      <w:r>
        <w:rPr>
          <w:b/>
          <w:bCs/>
        </w:rPr>
        <w:t xml:space="preserve">bank’s own interest rate risk</w:t>
      </w:r>
      <w:r>
        <w:t xml:space="preserve"> </w:t>
      </w:r>
      <w:r>
        <w:t xml:space="preserve">and portfolio of high-quality liquid assets (which carry low RWA but interest rate risk) is crucial – e.g. 2023’s bank failures illustrated that even if those assets have zero credit RWA, market value losses can erode equity if not managed. So aligning RWA optimization with genuine risk management (not simply chasing RWA reduction at the cost of hidden risk) is a delicate balance. G-SIB surcharges also matter – if a bank nears a higher G-SIB bucket due to size or complexity, it might intentionally slow certain growth or shed assets to avoid the surcharge. All these decisions fall partly to the CRO (risk inputs) and CFO (financial strategy) together.</w:t>
      </w:r>
    </w:p>
    <w:p>
      <w:pPr>
        <w:pStyle w:val="BodyText"/>
      </w:pPr>
      <w:r>
        <w:rPr>
          <w:b/>
          <w:bCs/>
        </w:rPr>
        <w:t xml:space="preserve">Key Vulnerabilities:</w:t>
      </w:r>
      <w:r>
        <w:t xml:space="preserve"> </w:t>
      </w:r>
      <w:r>
        <w:rPr>
          <w:b/>
          <w:bCs/>
        </w:rPr>
        <w:t xml:space="preserve">(i)</w:t>
      </w:r>
      <w:r>
        <w:t xml:space="preserve"> </w:t>
      </w:r>
      <w:r>
        <w:rPr>
          <w:b/>
          <w:bCs/>
        </w:rPr>
        <w:t xml:space="preserve">Regulatory Uncertainty and Fragmentation:</w:t>
      </w:r>
      <w:r>
        <w:t xml:space="preserve"> </w:t>
      </w:r>
      <w:r>
        <w:t xml:space="preserve">The final capital rules are complex and not fully aligned across jurisdictions (US proposals differ in some details from Basel, EU has phased output floor, UK doing its own version). Uncertainty in calibration or timing could lead to missteps – e.g. if a bank bets on internal models reducing capital but the model isn’t approved by supervisors, it could get caught short.</w:t>
      </w:r>
      <w:r>
        <w:t xml:space="preserve"> </w:t>
      </w:r>
      <w:r>
        <w:rPr>
          <w:b/>
          <w:bCs/>
        </w:rPr>
        <w:t xml:space="preserve">(ii)</w:t>
      </w:r>
      <w:r>
        <w:t xml:space="preserve"> </w:t>
      </w:r>
      <w:r>
        <w:rPr>
          <w:b/>
          <w:bCs/>
        </w:rPr>
        <w:t xml:space="preserve">RWA Optimisation vs Risk:</w:t>
      </w:r>
      <w:r>
        <w:t xml:space="preserve"> </w:t>
      </w:r>
      <w:r>
        <w:t xml:space="preserve">There’s a perennial risk that in optimizing RWA, banks might inadvertently underprice risk – for instance, moving assets off balance sheet via securitizations or structures that reduce RWA but perhaps retain economic risk (the 2008 crisis had examples of capital arbitrage gone wrong). In 2025, one example could be</w:t>
      </w:r>
      <w:r>
        <w:t xml:space="preserve"> </w:t>
      </w:r>
      <w:r>
        <w:rPr>
          <w:b/>
          <w:bCs/>
        </w:rPr>
        <w:t xml:space="preserve">crypto or fintech exposures</w:t>
      </w:r>
      <w:r>
        <w:t xml:space="preserve"> </w:t>
      </w:r>
      <w:r>
        <w:t xml:space="preserve">– currently often small or high RWA, banks might structure them to appear low RWA (like through third-party partnerships) which might embed unrecognized risk.</w:t>
      </w:r>
      <w:r>
        <w:t xml:space="preserve"> </w:t>
      </w:r>
      <w:r>
        <w:rPr>
          <w:b/>
          <w:bCs/>
        </w:rPr>
        <w:t xml:space="preserve">(iii)</w:t>
      </w:r>
      <w:r>
        <w:t xml:space="preserve"> </w:t>
      </w:r>
      <w:r>
        <w:rPr>
          <w:b/>
          <w:bCs/>
        </w:rPr>
        <w:t xml:space="preserve">Operational Complexity:</w:t>
      </w:r>
      <w:r>
        <w:t xml:space="preserve"> </w:t>
      </w:r>
      <w:r>
        <w:t xml:space="preserve">Implementing new standardized calculations and tracking multiple capital measures is operationally heavy – errors in calculation or data could misstate capital (it’s happened that banks restated RWA after finding misclassification).</w:t>
      </w:r>
      <w:r>
        <w:t xml:space="preserve"> </w:t>
      </w:r>
      <w:r>
        <w:rPr>
          <w:b/>
          <w:bCs/>
        </w:rPr>
        <w:t xml:space="preserve">(iv)</w:t>
      </w:r>
      <w:r>
        <w:t xml:space="preserve"> </w:t>
      </w:r>
      <w:r>
        <w:rPr>
          <w:b/>
          <w:bCs/>
        </w:rPr>
        <w:t xml:space="preserve">Model risk in internal capital models:</w:t>
      </w:r>
      <w:r>
        <w:t xml:space="preserve"> </w:t>
      </w:r>
      <w:r>
        <w:t xml:space="preserve">If the bank uses an internal economic capital model or scenarios to allocate capital, any flaw could misguide strategy (e.g. underestimating correlation between portfolios).</w:t>
      </w:r>
      <w:r>
        <w:t xml:space="preserve"> </w:t>
      </w:r>
      <w:r>
        <w:rPr>
          <w:b/>
          <w:bCs/>
        </w:rPr>
        <w:t xml:space="preserve">(v)</w:t>
      </w:r>
      <w:r>
        <w:t xml:space="preserve"> </w:t>
      </w:r>
      <w:r>
        <w:rPr>
          <w:b/>
          <w:bCs/>
        </w:rPr>
        <w:t xml:space="preserve">Treasury portfolio risk:</w:t>
      </w:r>
      <w:r>
        <w:t xml:space="preserve"> </w:t>
      </w:r>
      <w:r>
        <w:t xml:space="preserve">Many banks hold large portfolios of bonds for liquidity. As seen with SVB, if not hedged, rising yields cause unrealized losses. If those need to be sold, it hits capital. So a vulnerability is not actively managing interest rate risk in</w:t>
      </w:r>
      <w:r>
        <w:t xml:space="preserve"> </w:t>
      </w:r>
      <w:r>
        <w:rPr>
          <w:i/>
          <w:iCs/>
        </w:rPr>
        <w:t xml:space="preserve">Held-to-Collect</w:t>
      </w:r>
      <w:r>
        <w:t xml:space="preserve"> </w:t>
      </w:r>
      <w:r>
        <w:t xml:space="preserve">or AFS books under the assumption “they’re safe assets”. Also, the interplay of liquidity and capital – sometimes actions to save liquidity (selling assets) can reduce capital ratios if done at a loss.</w:t>
      </w:r>
    </w:p>
    <w:p>
      <w:pPr>
        <w:pStyle w:val="BodyText"/>
      </w:pPr>
      <w:r>
        <w:rPr>
          <w:b/>
          <w:bCs/>
        </w:rPr>
        <w:t xml:space="preserve">KRIs &amp; Metrics:</w:t>
      </w:r>
      <w:r>
        <w:t xml:space="preserve"> </w:t>
      </w:r>
      <w:r>
        <w:t xml:space="preserve">Standard capital ratios of course:</w:t>
      </w:r>
      <w:r>
        <w:t xml:space="preserve"> </w:t>
      </w:r>
      <w:r>
        <w:rPr>
          <w:b/>
          <w:bCs/>
        </w:rPr>
        <w:t xml:space="preserve">CET1 ratio</w:t>
      </w:r>
      <w:r>
        <w:t xml:space="preserve">,</w:t>
      </w:r>
      <w:r>
        <w:t xml:space="preserve"> </w:t>
      </w:r>
      <w:r>
        <w:rPr>
          <w:b/>
          <w:bCs/>
        </w:rPr>
        <w:t xml:space="preserve">Tier 1 leverage ratio</w:t>
      </w:r>
      <w:r>
        <w:t xml:space="preserve">,</w:t>
      </w:r>
      <w:r>
        <w:t xml:space="preserve"> </w:t>
      </w:r>
      <w:r>
        <w:rPr>
          <w:b/>
          <w:bCs/>
        </w:rPr>
        <w:t xml:space="preserve">GSIB buffer</w:t>
      </w:r>
      <w:r>
        <w:t xml:space="preserve"> </w:t>
      </w:r>
      <w:r>
        <w:t xml:space="preserve">status,</w:t>
      </w:r>
      <w:r>
        <w:t xml:space="preserve"> </w:t>
      </w:r>
      <w:r>
        <w:rPr>
          <w:b/>
          <w:bCs/>
        </w:rPr>
        <w:t xml:space="preserve">LCR/NSFR</w:t>
      </w:r>
      <w:r>
        <w:t xml:space="preserve"> </w:t>
      </w:r>
      <w:r>
        <w:t xml:space="preserve">(for context). But for optimization and risk, key metrics include</w:t>
      </w:r>
      <w:r>
        <w:t xml:space="preserve"> </w:t>
      </w:r>
      <w:r>
        <w:rPr>
          <w:b/>
          <w:bCs/>
        </w:rPr>
        <w:t xml:space="preserve">RWA density</w:t>
      </w:r>
      <w:r>
        <w:t xml:space="preserve"> </w:t>
      </w:r>
      <w:r>
        <w:t xml:space="preserve">(RWA/Total assets – how risky the assets are on average according to regs). If this is going up or down significantly, why?</w:t>
      </w:r>
      <w:r>
        <w:t xml:space="preserve"> </w:t>
      </w:r>
      <w:r>
        <w:rPr>
          <w:b/>
          <w:bCs/>
        </w:rPr>
        <w:t xml:space="preserve">Business/unit ROE or RWA return</w:t>
      </w:r>
      <w:r>
        <w:t xml:space="preserve"> </w:t>
      </w:r>
      <w:r>
        <w:t xml:space="preserve">(RORWA) – measure profitability per unit of RWA by business line; lines below hurdle might need attention.</w:t>
      </w:r>
      <w:r>
        <w:t xml:space="preserve"> </w:t>
      </w:r>
      <w:r>
        <w:rPr>
          <w:b/>
          <w:bCs/>
        </w:rPr>
        <w:t xml:space="preserve">Capital headroom</w:t>
      </w:r>
      <w:r>
        <w:t xml:space="preserve">: e.g. CET1 vs regulatory minimum plus buffers (how much cushion before breaching – ideally healthy margin). Also</w:t>
      </w:r>
      <w:r>
        <w:t xml:space="preserve"> </w:t>
      </w:r>
      <w:r>
        <w:rPr>
          <w:b/>
          <w:bCs/>
        </w:rPr>
        <w:t xml:space="preserve">stress capital buffer (SCB)</w:t>
      </w:r>
      <w:r>
        <w:t xml:space="preserve"> </w:t>
      </w:r>
      <w:r>
        <w:t xml:space="preserve">if applicable (in the Fed’s regime). Track</w:t>
      </w:r>
      <w:r>
        <w:t xml:space="preserve"> </w:t>
      </w:r>
      <w:r>
        <w:rPr>
          <w:b/>
          <w:bCs/>
        </w:rPr>
        <w:t xml:space="preserve">Portfolio RWA movements</w:t>
      </w:r>
      <w:r>
        <w:t xml:space="preserve"> </w:t>
      </w:r>
      <w:r>
        <w:t xml:space="preserve">– e.g. which portfolios had big RWA changes quarter over quarter, due to volume vs due to model/parameter changes – to identify optimization or model issues.</w:t>
      </w:r>
      <w:r>
        <w:t xml:space="preserve"> </w:t>
      </w:r>
      <w:r>
        <w:rPr>
          <w:b/>
          <w:bCs/>
        </w:rPr>
        <w:t xml:space="preserve">Internal vs Standardized RWA</w:t>
      </w:r>
      <w:r>
        <w:t xml:space="preserve"> </w:t>
      </w:r>
      <w:r>
        <w:t xml:space="preserve">– under output floor, important to see which portfolios are binding (if internal RWA is lower than 72.5% of standard for certain asset class, that will be an issue).</w:t>
      </w:r>
      <w:r>
        <w:t xml:space="preserve"> </w:t>
      </w:r>
      <w:r>
        <w:rPr>
          <w:b/>
          <w:bCs/>
        </w:rPr>
        <w:t xml:space="preserve">Pre-default and post-default RWA</w:t>
      </w:r>
      <w:r>
        <w:t xml:space="preserve"> </w:t>
      </w:r>
      <w:r>
        <w:t xml:space="preserve">– e.g. in defaulted assets, RWA jumps; is the bank’s credit portfolio aging into higher risk weights? For trading, track usage of</w:t>
      </w:r>
      <w:r>
        <w:t xml:space="preserve"> </w:t>
      </w:r>
      <w:r>
        <w:rPr>
          <w:b/>
          <w:bCs/>
        </w:rPr>
        <w:t xml:space="preserve">market risk limits</w:t>
      </w:r>
      <w:r>
        <w:t xml:space="preserve"> </w:t>
      </w:r>
      <w:r>
        <w:t xml:space="preserve">vs capital – e.g. expected shortfall measure relative to capital allocated. Also,</w:t>
      </w:r>
      <w:r>
        <w:t xml:space="preserve"> </w:t>
      </w:r>
      <w:r>
        <w:rPr>
          <w:b/>
          <w:bCs/>
        </w:rPr>
        <w:t xml:space="preserve">hedging effectiveness</w:t>
      </w:r>
      <w:r>
        <w:t xml:space="preserve"> </w:t>
      </w:r>
      <w:r>
        <w:t xml:space="preserve">metrics for structural risks (like how well is the banking book IRR hedged – EVE sensitivity within limits?). If the bank does securitizations or credit risk transfers to manage RWA, monitor those exposures and residual risks (e.g. do we have any step-in risk or reputational risk that might force support even if off balance sheet?). Another metric:</w:t>
      </w:r>
      <w:r>
        <w:t xml:space="preserve"> </w:t>
      </w:r>
      <w:r>
        <w:rPr>
          <w:b/>
          <w:bCs/>
        </w:rPr>
        <w:t xml:space="preserve">GSIB score</w:t>
      </w:r>
      <w:r>
        <w:t xml:space="preserve"> </w:t>
      </w:r>
      <w:r>
        <w:t xml:space="preserve">– large banks calculate this (based on size, cross-jurisdiction, complexity, etc.); if nearing a higher bucket, that’s a risk of higher capital requirement next cycle.</w:t>
      </w:r>
    </w:p>
    <w:p>
      <w:pPr>
        <w:pStyle w:val="BodyText"/>
      </w:pPr>
      <w:r>
        <w:rPr>
          <w:b/>
          <w:bCs/>
        </w:rPr>
        <w:t xml:space="preserve">Supervisory Expectations:</w:t>
      </w:r>
      <w:r>
        <w:t xml:space="preserve"> </w:t>
      </w:r>
      <w:r>
        <w:t xml:space="preserve">Regulators expect banks to</w:t>
      </w:r>
      <w:r>
        <w:t xml:space="preserve"> </w:t>
      </w:r>
      <w:r>
        <w:rPr>
          <w:b/>
          <w:bCs/>
        </w:rPr>
        <w:t xml:space="preserve">meet new capital rules on time</w:t>
      </w:r>
      <w:r>
        <w:t xml:space="preserve"> </w:t>
      </w:r>
      <w:r>
        <w:t xml:space="preserve">and with accurate reporting. They are skeptical of aggressive RWA optimization that skirts the intent of rules – Basel Committee explicitly says banks should not engage in “capital arbitrage” that weakens risk capture. Under Pillar 2, supervisors can impose capital add-ons if they feel certain risks aren’t captured (e.g. some have added capital for model risk, or for exposures like crypto that might not have full Pillar 1 yet). The CRO should anticipate that scrutiny.</w:t>
      </w:r>
      <w:r>
        <w:t xml:space="preserve"> </w:t>
      </w:r>
      <w:r>
        <w:rPr>
          <w:b/>
          <w:bCs/>
        </w:rPr>
        <w:t xml:space="preserve">ICAAP</w:t>
      </w:r>
      <w:r>
        <w:t xml:space="preserve"> </w:t>
      </w:r>
      <w:r>
        <w:t xml:space="preserve">(Internal Capital Adequacy Assessment Process) is a key submission: regulators expect a holistic view of risk and capital that isn’t just minimal compliance. The CRO should ensure ICAAP scenarios are severe and diverse (including climate maybe, and market disruptions), with clear linkage to capital planning. As for specific regulations: the Fed’s proposed endgame in 2023 would implement output floor starting 2025–2028</w:t>
      </w:r>
      <w:hyperlink r:id="rId27">
        <w:r>
          <w:rPr>
            <w:rStyle w:val="Hyperlink"/>
          </w:rPr>
          <w:t xml:space="preserve">[7]</w:t>
        </w:r>
      </w:hyperlink>
      <w:r>
        <w:t xml:space="preserve">; the EU’s CRR3 will phase output floor by 2030. They’ll expect banks to run parallel calcs and show capital projections.</w:t>
      </w:r>
      <w:r>
        <w:t xml:space="preserve"> </w:t>
      </w:r>
      <w:r>
        <w:rPr>
          <w:b/>
          <w:bCs/>
        </w:rPr>
        <w:t xml:space="preserve">Climate capital</w:t>
      </w:r>
      <w:r>
        <w:t xml:space="preserve"> </w:t>
      </w:r>
      <w:r>
        <w:t xml:space="preserve">– while no explicit requirement yet, some regulators (PRA, ECB) indicate they might integrate climate into Pillar 2 in future; CROs should be ready to quantify climate RWAs or capital impacts in scenario terms.</w:t>
      </w:r>
      <w:r>
        <w:t xml:space="preserve"> </w:t>
      </w:r>
      <w:r>
        <w:rPr>
          <w:b/>
          <w:bCs/>
        </w:rPr>
        <w:t xml:space="preserve">Conduct risk capital</w:t>
      </w:r>
      <w:r>
        <w:t xml:space="preserve"> </w:t>
      </w:r>
      <w:r>
        <w:t xml:space="preserve">– similarly, tough to quantify but expected to consider (the large fines history). Bottom line, supervisors want capital adequacy under conservative assumptions and evidence the CRO and team are proactively managing capital, not just reacting.</w:t>
      </w:r>
    </w:p>
    <w:p>
      <w:pPr>
        <w:pStyle w:val="BodyText"/>
      </w:pPr>
      <w:r>
        <w:rPr>
          <w:b/>
          <w:bCs/>
        </w:rPr>
        <w:t xml:space="preserve">Recommended CRO Actions:</w:t>
      </w:r>
    </w:p>
    <w:p>
      <w:pPr>
        <w:numPr>
          <w:ilvl w:val="0"/>
          <w:numId w:val="1008"/>
        </w:numPr>
      </w:pPr>
      <w:r>
        <w:rPr>
          <w:b/>
          <w:bCs/>
        </w:rPr>
        <w:t xml:space="preserve">Strategic Capital Planning &amp; Scenario Analysis:</w:t>
      </w:r>
      <w:r>
        <w:t xml:space="preserve"> </w:t>
      </w:r>
      <w:r>
        <w:t xml:space="preserve">The CRO should lead a</w:t>
      </w:r>
      <w:r>
        <w:t xml:space="preserve"> </w:t>
      </w:r>
      <w:r>
        <w:rPr>
          <w:b/>
          <w:bCs/>
        </w:rPr>
        <w:t xml:space="preserve">comprehensive capital planning exercise</w:t>
      </w:r>
      <w:r>
        <w:t xml:space="preserve"> </w:t>
      </w:r>
      <w:r>
        <w:t xml:space="preserve">that looks forward 2–3 years incorporating Basel reforms and stress scenarios. This means working with Finance to quantify the RWA impact of rule changes on each business (e.g. output floor likely to be binding on low-risk-weight portfolios – identify those; CVA capital might hit derivatives-heavy businesses). Develop a capital action plan if ratios dip (e.g. retain earnings, issue AT1 capital, adjust business mix). Integrate regulatory stress test results (CCAR, EBA stress, etc.) – ensure that the internal capital plan keeps the bank above regulatory minimums plus management buffer in those severe scenarios. The CRO should present to the Board not just base-case capital trajectory but also stressed – e.g. in a recession scenario, credit RWAs inflate as ratings migrate, market RWAs might spike if VaR increases, plus losses eat capital; demonstrate how the bank would stay resilient (maybe by cutting risk-weighted assets, etc.). Have ready a</w:t>
      </w:r>
      <w:r>
        <w:t xml:space="preserve"> </w:t>
      </w:r>
      <w:r>
        <w:rPr>
          <w:i/>
          <w:iCs/>
        </w:rPr>
        <w:t xml:space="preserve">management playbook</w:t>
      </w:r>
      <w:r>
        <w:t xml:space="preserve"> </w:t>
      </w:r>
      <w:r>
        <w:t xml:space="preserve">for capital shortfall (like which asset portfolios could be shrunk or sold quickly with minimal franchise damage to free RWA).</w:t>
      </w:r>
    </w:p>
    <w:p>
      <w:pPr>
        <w:numPr>
          <w:ilvl w:val="0"/>
          <w:numId w:val="1008"/>
        </w:numPr>
      </w:pPr>
      <w:r>
        <w:rPr>
          <w:b/>
          <w:bCs/>
        </w:rPr>
        <w:t xml:space="preserve">Optimize Portfolio Mix and RWA Efficiency:</w:t>
      </w:r>
      <w:r>
        <w:t xml:space="preserve"> </w:t>
      </w:r>
      <w:r>
        <w:t xml:space="preserve">Identify businesses or exposures with</w:t>
      </w:r>
      <w:r>
        <w:t xml:space="preserve"> </w:t>
      </w:r>
      <w:r>
        <w:rPr>
          <w:b/>
          <w:bCs/>
        </w:rPr>
        <w:t xml:space="preserve">low RWA efficiency</w:t>
      </w:r>
      <w:r>
        <w:t xml:space="preserve"> </w:t>
      </w:r>
      <w:r>
        <w:t xml:space="preserve">(low revenue relative to the capital they consume). For example, certain low-margin prime brokerage arrangements or trades structured mainly to help a client but tie up capital via CVA. Work with those business heads on either repricing (charge more to cover capital cost) or resizing/ceasing the activity. Conversely, support growth in capital-light areas (fee businesses, clearing services where exposures are collateralized, etc.). The CRO can use</w:t>
      </w:r>
      <w:r>
        <w:t xml:space="preserve"> </w:t>
      </w:r>
      <w:r>
        <w:rPr>
          <w:b/>
          <w:bCs/>
        </w:rPr>
        <w:t xml:space="preserve">RWA charging</w:t>
      </w:r>
      <w:r>
        <w:t xml:space="preserve"> </w:t>
      </w:r>
      <w:r>
        <w:t xml:space="preserve">internally – attribute capital costs to businesses to incentivize them. Ensure that any</w:t>
      </w:r>
      <w:r>
        <w:t xml:space="preserve"> </w:t>
      </w:r>
      <w:r>
        <w:rPr>
          <w:b/>
          <w:bCs/>
        </w:rPr>
        <w:t xml:space="preserve">credit risk transfer</w:t>
      </w:r>
      <w:r>
        <w:t xml:space="preserve"> </w:t>
      </w:r>
      <w:r>
        <w:t xml:space="preserve">or securitization used to reduce RWA genuinely transfers risk (to avoid “illusory” relief). If the bank has large equity investments or stakes deducted from capital, evaluate if they’re strategic or can be pruned. In short, tilt the portfolio towards higher RWA-return assets within risk appetite. Tools like</w:t>
      </w:r>
      <w:r>
        <w:t xml:space="preserve"> </w:t>
      </w:r>
      <w:r>
        <w:rPr>
          <w:b/>
          <w:bCs/>
        </w:rPr>
        <w:t xml:space="preserve">portfolio hedging</w:t>
      </w:r>
      <w:r>
        <w:t xml:space="preserve"> </w:t>
      </w:r>
      <w:r>
        <w:t xml:space="preserve">can also reduce RWA (e.g. buying protection on concentrations). If concentration risk is causing large Pillar 2 capital, diversify or hedge those concentrations. Keep an eye on</w:t>
      </w:r>
      <w:r>
        <w:t xml:space="preserve"> </w:t>
      </w:r>
      <w:r>
        <w:rPr>
          <w:b/>
          <w:bCs/>
        </w:rPr>
        <w:t xml:space="preserve">GSIB factors</w:t>
      </w:r>
      <w:r>
        <w:t xml:space="preserve"> </w:t>
      </w:r>
      <w:r>
        <w:t xml:space="preserve">too: for instance, if not core to strategy, reducing notional amounts of certain derivatives or cross-border activity might lower GSIB score, thus lower required capital bucket.</w:t>
      </w:r>
    </w:p>
    <w:p>
      <w:pPr>
        <w:numPr>
          <w:ilvl w:val="0"/>
          <w:numId w:val="1008"/>
        </w:numPr>
      </w:pPr>
      <w:r>
        <w:rPr>
          <w:b/>
          <w:bCs/>
        </w:rPr>
        <w:t xml:space="preserve">Strengthen ALM for Interest Rate Risk:</w:t>
      </w:r>
      <w:r>
        <w:t xml:space="preserve"> </w:t>
      </w:r>
      <w:r>
        <w:t xml:space="preserve">The Treasury function (with CRO oversight) should ensure robust management of</w:t>
      </w:r>
      <w:r>
        <w:t xml:space="preserve"> </w:t>
      </w:r>
      <w:r>
        <w:rPr>
          <w:b/>
          <w:bCs/>
        </w:rPr>
        <w:t xml:space="preserve">Interest Rate Risk in the Banking Book (IRRBB)</w:t>
      </w:r>
      <w:r>
        <w:t xml:space="preserve">. While IRRBB doesn’t directly translate to Pillar 1 capital under Basel (some jurisdictions considering it in Pillar 2), poorly managed IRRBB can destroy capital through AOCI losses or income hits. So, do an in-depth review: what’s the duration gap of assets vs liabilities? Are deposits stable and how to model their optionality? Consider</w:t>
      </w:r>
      <w:r>
        <w:t xml:space="preserve"> </w:t>
      </w:r>
      <w:r>
        <w:rPr>
          <w:b/>
          <w:bCs/>
        </w:rPr>
        <w:t xml:space="preserve">hedging strategies</w:t>
      </w:r>
      <w:r>
        <w:t xml:space="preserve"> </w:t>
      </w:r>
      <w:r>
        <w:t xml:space="preserve">(like interest rate swaps) to lock in some of the value. Many banks immunize a portion of their AFS portfolio to avoid large capital swings. The CRO should verify that stress simulations (like +300 bps shock or -100 bps) are run and results (EVE – economic value of equity change, NII impact) are within board-approved limits. If not, adjust hedges or portfolio composition. It’s part of capital optimization to avoid nasty surprises (like being forced to sell underwater bonds because liquidity need, thereby realizing capital hit – better to have hedged or in HTM with funding matched).</w:t>
      </w:r>
    </w:p>
    <w:p>
      <w:pPr>
        <w:numPr>
          <w:ilvl w:val="0"/>
          <w:numId w:val="1008"/>
        </w:numPr>
      </w:pPr>
      <w:r>
        <w:rPr>
          <w:b/>
          <w:bCs/>
        </w:rPr>
        <w:t xml:space="preserve">Automation and Accuracy in RWA Calculations:</w:t>
      </w:r>
      <w:r>
        <w:t xml:space="preserve"> </w:t>
      </w:r>
      <w:r>
        <w:t xml:space="preserve">Implement robust systems for RWA and capital calculation under multiple frameworks (internal model, standardized, stress). Basel endgame adds complexity; manual or siloed processes could lead to errors or inefficiency. The CRO should champion investment in a</w:t>
      </w:r>
      <w:r>
        <w:t xml:space="preserve"> </w:t>
      </w:r>
      <w:r>
        <w:rPr>
          <w:b/>
          <w:bCs/>
        </w:rPr>
        <w:t xml:space="preserve">unified capital calculation engine</w:t>
      </w:r>
      <w:r>
        <w:t xml:space="preserve"> </w:t>
      </w:r>
      <w:r>
        <w:t xml:space="preserve">that can do “endgame” RWA, run output floor, etc., on granular data. This reduces operational risk of misreporting (which can incur regulatory penalties and misguide decisions). Also, conduct</w:t>
      </w:r>
      <w:r>
        <w:t xml:space="preserve"> </w:t>
      </w:r>
      <w:r>
        <w:rPr>
          <w:b/>
          <w:bCs/>
        </w:rPr>
        <w:t xml:space="preserve">independent reviews or audit</w:t>
      </w:r>
      <w:r>
        <w:t xml:space="preserve"> </w:t>
      </w:r>
      <w:r>
        <w:t xml:space="preserve">of RWA calculations and regulatory reporting. There have been high-profile cases where banks found mistakes in their RWA calc that forced restatements; avoid that by proactive validation. Additionally, maintain dialogue with regulators – if some rule interpretation is unclear, seek clarification or conservative approach to avoid unpleasant surprises in exam.</w:t>
      </w:r>
    </w:p>
    <w:p>
      <w:pPr>
        <w:numPr>
          <w:ilvl w:val="0"/>
          <w:numId w:val="1008"/>
        </w:numPr>
      </w:pPr>
      <w:r>
        <w:rPr>
          <w:b/>
          <w:bCs/>
        </w:rPr>
        <w:t xml:space="preserve">Capital Buffer for Unquantified Risks:</w:t>
      </w:r>
      <w:r>
        <w:t xml:space="preserve"> </w:t>
      </w:r>
      <w:r>
        <w:t xml:space="preserve">Advise the Board to maintain a</w:t>
      </w:r>
      <w:r>
        <w:t xml:space="preserve"> </w:t>
      </w:r>
      <w:r>
        <w:rPr>
          <w:b/>
          <w:bCs/>
        </w:rPr>
        <w:t xml:space="preserve">management buffer</w:t>
      </w:r>
      <w:r>
        <w:t xml:space="preserve"> </w:t>
      </w:r>
      <w:r>
        <w:t xml:space="preserve">above minimum capital not just for known risks but also for hard-to-quantify ones (operational, model, climate). For example, you might carry an extra, say, 0.5% of RWA capital buffer earmarked for model risk uncertainty or a potential regulatory change. While shareholders prefer lower capital, the CRO can articulate that a modest buffer is cheap insurance against breaching requirements, which would be far more costly. In the internal capital adequacy assessment (ICAAP), explicitly include a</w:t>
      </w:r>
      <w:r>
        <w:t xml:space="preserve"> </w:t>
      </w:r>
      <w:r>
        <w:rPr>
          <w:b/>
          <w:bCs/>
        </w:rPr>
        <w:t xml:space="preserve">“management buffer”</w:t>
      </w:r>
      <w:r>
        <w:t xml:space="preserve"> </w:t>
      </w:r>
      <w:r>
        <w:t xml:space="preserve">rationale. In 2025–26, one might justify a buffer for</w:t>
      </w:r>
      <w:r>
        <w:t xml:space="preserve"> </w:t>
      </w:r>
      <w:r>
        <w:rPr>
          <w:b/>
          <w:bCs/>
        </w:rPr>
        <w:t xml:space="preserve">climate transition risk</w:t>
      </w:r>
      <w:r>
        <w:t xml:space="preserve"> </w:t>
      </w:r>
      <w:r>
        <w:t xml:space="preserve">(anticipating that carbon-intensive exposures could face future capital charges or value drop), or for</w:t>
      </w:r>
      <w:r>
        <w:t xml:space="preserve"> </w:t>
      </w:r>
      <w:r>
        <w:rPr>
          <w:b/>
          <w:bCs/>
        </w:rPr>
        <w:t xml:space="preserve">crypto volatility</w:t>
      </w:r>
      <w:r>
        <w:t xml:space="preserve"> </w:t>
      </w:r>
      <w:r>
        <w:t xml:space="preserve">if the bank has any exposure (given no historical stress precedent, better hold extra). This conservative stance resonates with supervisors and rating agencies.</w:t>
      </w:r>
    </w:p>
    <w:p>
      <w:pPr>
        <w:pStyle w:val="FirstParagraph"/>
      </w:pPr>
      <w:r>
        <w:t xml:space="preserve">In summary, the CRO’s job on capital is to ensure the bank</w:t>
      </w:r>
      <w:r>
        <w:t xml:space="preserve"> </w:t>
      </w:r>
      <w:r>
        <w:rPr>
          <w:b/>
          <w:bCs/>
        </w:rPr>
        <w:t xml:space="preserve">has enough, uses it wisely, and plans ahead</w:t>
      </w:r>
      <w:r>
        <w:t xml:space="preserve">. By proactively adjusting to Basel endgame, avoiding clumsy last-minute capital raises or fire-sales, and steering the bank to better RWA efficiency, the CRO safeguards both solvency and profitability. The message is:</w:t>
      </w:r>
      <w:r>
        <w:t xml:space="preserve"> </w:t>
      </w:r>
      <w:r>
        <w:rPr>
          <w:i/>
          <w:iCs/>
        </w:rPr>
        <w:t xml:space="preserve">treat capital as a scarce resource to be optimized, but never at the expense of prudence</w:t>
      </w:r>
      <w:r>
        <w:t xml:space="preserve"> </w:t>
      </w:r>
      <w:r>
        <w:t xml:space="preserve">– a balanced approach that regulators and investors alike will appreciate.</w:t>
      </w:r>
    </w:p>
    <w:bookmarkEnd w:id="61"/>
    <w:bookmarkStart w:id="63" w:name="Xc53d4b7adcb3ab2c643528349e9f44f534431cc"/>
    <w:p>
      <w:pPr>
        <w:pStyle w:val="Heading3"/>
      </w:pPr>
      <w:r>
        <w:t xml:space="preserve">Regulatory &amp; Supervisory Risk (Compliance &amp; Anticipatory Risk Management)</w:t>
      </w:r>
    </w:p>
    <w:p>
      <w:pPr>
        <w:pStyle w:val="FirstParagraph"/>
      </w:pPr>
      <w:r>
        <w:rPr>
          <w:b/>
          <w:bCs/>
        </w:rPr>
        <w:t xml:space="preserve">Drivers &amp; Context:</w:t>
      </w:r>
      <w:r>
        <w:t xml:space="preserve"> </w:t>
      </w:r>
      <w:r>
        <w:t xml:space="preserve">The regulatory environment for CIBs is dynamic and increasingly demanding.</w:t>
      </w:r>
      <w:r>
        <w:t xml:space="preserve"> </w:t>
      </w:r>
      <w:r>
        <w:rPr>
          <w:b/>
          <w:bCs/>
        </w:rPr>
        <w:t xml:space="preserve">Regulatory risk</w:t>
      </w:r>
      <w:r>
        <w:t xml:space="preserve"> </w:t>
      </w:r>
      <w:r>
        <w:t xml:space="preserve">here refers to the risk of adverse impacts due to changes in laws/regulations or supervisory actions. For 2025–26, drivers include:</w:t>
      </w:r>
      <w:r>
        <w:t xml:space="preserve"> </w:t>
      </w:r>
      <w:r>
        <w:rPr>
          <w:b/>
          <w:bCs/>
        </w:rPr>
        <w:t xml:space="preserve">(1)</w:t>
      </w:r>
      <w:r>
        <w:t xml:space="preserve"> </w:t>
      </w:r>
      <w:r>
        <w:rPr>
          <w:b/>
          <w:bCs/>
        </w:rPr>
        <w:t xml:space="preserve">Major Regulatory Reforms Implementation:</w:t>
      </w:r>
      <w:r>
        <w:t xml:space="preserve"> </w:t>
      </w:r>
      <w:r>
        <w:t xml:space="preserve">As discussed, Basel III final capital rules, FRTB, CVA, and IFRS 9/CECL (credit loss accounting) have or are coming online – any missteps in implementation can cause capital hits or require business changes.</w:t>
      </w:r>
      <w:r>
        <w:t xml:space="preserve"> </w:t>
      </w:r>
      <w:r>
        <w:rPr>
          <w:b/>
          <w:bCs/>
        </w:rPr>
        <w:t xml:space="preserve">(2)</w:t>
      </w:r>
      <w:r>
        <w:t xml:space="preserve"> </w:t>
      </w:r>
      <w:r>
        <w:rPr>
          <w:b/>
          <w:bCs/>
        </w:rPr>
        <w:t xml:space="preserve">Heightened Supervision and Enforcement:</w:t>
      </w:r>
      <w:r>
        <w:t xml:space="preserve"> </w:t>
      </w:r>
      <w:r>
        <w:t xml:space="preserve">After recent bank failures and market scandals, supervisors are less tolerant of perceived weaknesses. We see active enforcement in areas like AML (anti-money laundering), sanctions compliance (especially with geopolitical sanctions expanding), and conduct (e.g. use of unapproved messaging apps led to &gt;$1B fines industry-wide in 2022).</w:t>
      </w:r>
      <w:r>
        <w:t xml:space="preserve"> </w:t>
      </w:r>
      <w:r>
        <w:rPr>
          <w:b/>
          <w:bCs/>
        </w:rPr>
        <w:t xml:space="preserve">(3)</w:t>
      </w:r>
      <w:r>
        <w:t xml:space="preserve"> </w:t>
      </w:r>
      <w:r>
        <w:rPr>
          <w:b/>
          <w:bCs/>
        </w:rPr>
        <w:t xml:space="preserve">Emerging areas of regulation:</w:t>
      </w:r>
      <w:r>
        <w:t xml:space="preserve"> </w:t>
      </w:r>
      <w:r>
        <w:rPr>
          <w:i/>
          <w:iCs/>
        </w:rPr>
        <w:t xml:space="preserve">Climate risk</w:t>
      </w:r>
      <w:r>
        <w:t xml:space="preserve"> </w:t>
      </w:r>
      <w:r>
        <w:t xml:space="preserve">is becoming a formal part of the supervisory dialogue (ECB, BoE have done climate stress tests; US Fed did a pilot in 2023).</w:t>
      </w:r>
      <w:r>
        <w:t xml:space="preserve"> </w:t>
      </w:r>
      <w:r>
        <w:rPr>
          <w:i/>
          <w:iCs/>
        </w:rPr>
        <w:t xml:space="preserve">Crypto assets</w:t>
      </w:r>
      <w:r>
        <w:t xml:space="preserve"> </w:t>
      </w:r>
      <w:r>
        <w:t xml:space="preserve">are getting dedicated frameworks – e.g. Europe’s MiCA regulation by 2024, Basel’s crypto exposure standard by 2025</w:t>
      </w:r>
      <w:hyperlink r:id="rId60">
        <w:r>
          <w:rPr>
            <w:rStyle w:val="Hyperlink"/>
          </w:rPr>
          <w:t xml:space="preserve">[33]</w:t>
        </w:r>
      </w:hyperlink>
      <w:hyperlink r:id="rId32">
        <w:r>
          <w:rPr>
            <w:rStyle w:val="Hyperlink"/>
          </w:rPr>
          <w:t xml:space="preserve">[12]</w:t>
        </w:r>
      </w:hyperlink>
      <w:r>
        <w:t xml:space="preserve">.</w:t>
      </w:r>
      <w:r>
        <w:t xml:space="preserve"> </w:t>
      </w:r>
      <w:r>
        <w:rPr>
          <w:i/>
          <w:iCs/>
        </w:rPr>
        <w:t xml:space="preserve">AI and data protection</w:t>
      </w:r>
      <w:r>
        <w:t xml:space="preserve"> </w:t>
      </w:r>
      <w:r>
        <w:t xml:space="preserve">regs (EU AI Act as noted, various privacy laws like GDPR and new ones in US states) impose new constraints.</w:t>
      </w:r>
      <w:r>
        <w:t xml:space="preserve"> </w:t>
      </w:r>
      <w:r>
        <w:rPr>
          <w:b/>
          <w:bCs/>
        </w:rPr>
        <w:t xml:space="preserve">(4)</w:t>
      </w:r>
      <w:r>
        <w:t xml:space="preserve"> </w:t>
      </w:r>
      <w:r>
        <w:rPr>
          <w:b/>
          <w:bCs/>
        </w:rPr>
        <w:t xml:space="preserve">Geopolitical regulatory fragmentation:</w:t>
      </w:r>
      <w:r>
        <w:t xml:space="preserve"> </w:t>
      </w:r>
      <w:r>
        <w:t xml:space="preserve">Divergent approaches (US vs EU on some things like crypto, differing sanction regimes, etc.) can create conflicts for global banks. Also, in some cases regulators impose extraterritorial expectations (US using dollar clearing oversight to enforce sanctions globally, EU wanting extraterritorial reach of GDPR, etc.). This means CIBs could be caught between competing rules.</w:t>
      </w:r>
      <w:r>
        <w:t xml:space="preserve"> </w:t>
      </w:r>
      <w:r>
        <w:rPr>
          <w:b/>
          <w:bCs/>
        </w:rPr>
        <w:t xml:space="preserve">(5)</w:t>
      </w:r>
      <w:r>
        <w:t xml:space="preserve"> </w:t>
      </w:r>
      <w:r>
        <w:rPr>
          <w:b/>
          <w:bCs/>
        </w:rPr>
        <w:t xml:space="preserve">Public and Political Pressure:</w:t>
      </w:r>
      <w:r>
        <w:t xml:space="preserve"> </w:t>
      </w:r>
      <w:r>
        <w:t xml:space="preserve">Banks remain under the lens for issues like “too big to fail” (ensuring resolvability), fair treatment of customers (mis-selling scandals), and even new areas like supporting the transition to green economy (some regulators mulled “brown penalizing factor” for high carbon assets, though not enacted). So regulatory focus can shift quickly, and being caught off-guard can be costly.</w:t>
      </w:r>
    </w:p>
    <w:p>
      <w:pPr>
        <w:pStyle w:val="BodyText"/>
      </w:pPr>
      <w:r>
        <w:rPr>
          <w:b/>
          <w:bCs/>
        </w:rPr>
        <w:t xml:space="preserve">Materiality for CIB:</w:t>
      </w:r>
      <w:r>
        <w:t xml:space="preserve"> </w:t>
      </w:r>
      <w:r>
        <w:t xml:space="preserve">Regulatory non-compliance or surprise changes can lead to</w:t>
      </w:r>
      <w:r>
        <w:t xml:space="preserve"> </w:t>
      </w:r>
      <w:r>
        <w:rPr>
          <w:b/>
          <w:bCs/>
        </w:rPr>
        <w:t xml:space="preserve">financial penalties (fines in the billions)</w:t>
      </w:r>
      <w:r>
        <w:t xml:space="preserve">,</w:t>
      </w:r>
      <w:r>
        <w:t xml:space="preserve"> </w:t>
      </w:r>
      <w:r>
        <w:rPr>
          <w:b/>
          <w:bCs/>
        </w:rPr>
        <w:t xml:space="preserve">restrictions on business</w:t>
      </w:r>
      <w:r>
        <w:t xml:space="preserve"> </w:t>
      </w:r>
      <w:r>
        <w:t xml:space="preserve">(e.g. growth caps, cease-and-desist orders),</w:t>
      </w:r>
      <w:r>
        <w:t xml:space="preserve"> </w:t>
      </w:r>
      <w:r>
        <w:rPr>
          <w:b/>
          <w:bCs/>
        </w:rPr>
        <w:t xml:space="preserve">reputational damage</w:t>
      </w:r>
      <w:r>
        <w:t xml:space="preserve">, and required</w:t>
      </w:r>
      <w:r>
        <w:t xml:space="preserve"> </w:t>
      </w:r>
      <w:r>
        <w:rPr>
          <w:b/>
          <w:bCs/>
        </w:rPr>
        <w:t xml:space="preserve">remediation costs</w:t>
      </w:r>
      <w:r>
        <w:t xml:space="preserve"> </w:t>
      </w:r>
      <w:r>
        <w:t xml:space="preserve">(expensive internal projects to fix issues). For example, failing to meet new capital rules might limit the bank’s ability to pay dividends or could even force raising dilutive capital. Non-compliance with AML/sanctions could literally shut down operations in certain jurisdictions (as almost happened with some banks historically threatened with loss of US license). Conversely, those who manage regulatory changes well can turn it into a competitive advantage (e.g. being early in implementing FRTB could allow more efficient trading when others struggle). For CRO specifically, regulatory relationships matter – a loss of credibility with supervisors (e.g. due to inconsistent risk reports or uncovering something the bank missed) can lead to harsher oversight, more capital add-ons, and a general lack of flexibility from regulators. Also, regulatory risk is entwined with strategy: if the bank bets on a business and then regulators clamp down (say proprietary trading rules or high-frequency trading rules), that’s a hit. So materiality is both short-term (compliance, avoiding enforcement) and strategic (shaping where the bank can grow).</w:t>
      </w:r>
    </w:p>
    <w:p>
      <w:pPr>
        <w:pStyle w:val="BodyText"/>
      </w:pPr>
      <w:r>
        <w:rPr>
          <w:b/>
          <w:bCs/>
        </w:rPr>
        <w:t xml:space="preserve">Key Vulnerabilities:</w:t>
      </w:r>
      <w:r>
        <w:t xml:space="preserve"> </w:t>
      </w:r>
      <w:r>
        <w:rPr>
          <w:b/>
          <w:bCs/>
        </w:rPr>
        <w:t xml:space="preserve">(i)</w:t>
      </w:r>
      <w:r>
        <w:t xml:space="preserve"> </w:t>
      </w:r>
      <w:r>
        <w:rPr>
          <w:b/>
          <w:bCs/>
        </w:rPr>
        <w:t xml:space="preserve">Compliance Control Gaps:</w:t>
      </w:r>
      <w:r>
        <w:t xml:space="preserve"> </w:t>
      </w:r>
      <w:r>
        <w:t xml:space="preserve">If the bank’s compliance programs (KYC, sanctions screening, trade surveillance, etc.) have gaps, it’s a ticking time bomb until a violation occurs or examiners find it. Recent use of personal devices by traders (WhatsApp) is a good example – banks that didn’t enforce record-keeping got fines.</w:t>
      </w:r>
      <w:r>
        <w:t xml:space="preserve"> </w:t>
      </w:r>
      <w:r>
        <w:rPr>
          <w:b/>
          <w:bCs/>
        </w:rPr>
        <w:t xml:space="preserve">(ii)</w:t>
      </w:r>
      <w:r>
        <w:t xml:space="preserve"> </w:t>
      </w:r>
      <w:r>
        <w:rPr>
          <w:b/>
          <w:bCs/>
        </w:rPr>
        <w:t xml:space="preserve">Regulatory Reporting Errors:</w:t>
      </w:r>
      <w:r>
        <w:t xml:space="preserve"> </w:t>
      </w:r>
      <w:r>
        <w:t xml:space="preserve">Misreporting risk-weighted assets, liquidity, or large exposure data can lead to big trouble – regulators heavily penalize inaccurate reporting since it undercuts trust. E.g. past incidents where banks mis-modeled RWAs led to higher capital requirements once discovered</w:t>
      </w:r>
      <w:hyperlink r:id="rId62">
        <w:r>
          <w:rPr>
            <w:rStyle w:val="Hyperlink"/>
          </w:rPr>
          <w:t xml:space="preserve">[34]</w:t>
        </w:r>
      </w:hyperlink>
      <w:r>
        <w:t xml:space="preserve">.</w:t>
      </w:r>
      <w:r>
        <w:t xml:space="preserve"> </w:t>
      </w:r>
      <w:r>
        <w:rPr>
          <w:b/>
          <w:bCs/>
        </w:rPr>
        <w:t xml:space="preserve">(iii)</w:t>
      </w:r>
      <w:r>
        <w:t xml:space="preserve"> </w:t>
      </w:r>
      <w:r>
        <w:rPr>
          <w:b/>
          <w:bCs/>
        </w:rPr>
        <w:t xml:space="preserve">Change Management Overload:</w:t>
      </w:r>
      <w:r>
        <w:t xml:space="preserve"> </w:t>
      </w:r>
      <w:r>
        <w:t xml:space="preserve">Many simultaneous regulatory projects (Basel, MiFID, UMR for derivatives margin, etc.) can strain resources; if poorly coordinated, something might slip or be implemented incorrectly.</w:t>
      </w:r>
      <w:r>
        <w:t xml:space="preserve"> </w:t>
      </w:r>
      <w:r>
        <w:rPr>
          <w:b/>
          <w:bCs/>
        </w:rPr>
        <w:t xml:space="preserve">(iv)</w:t>
      </w:r>
      <w:r>
        <w:t xml:space="preserve"> </w:t>
      </w:r>
      <w:r>
        <w:rPr>
          <w:b/>
          <w:bCs/>
        </w:rPr>
        <w:t xml:space="preserve">Regulatory Arbitrage Temptation:</w:t>
      </w:r>
      <w:r>
        <w:t xml:space="preserve"> </w:t>
      </w:r>
      <w:r>
        <w:t xml:space="preserve">Business pressures might tempt aggressive interpretations of rules to gain advantage (e.g. classifying something in a lower risk bucket dubiously). This can backfire if regulators disagree – resulting in restatements or penalties.</w:t>
      </w:r>
      <w:r>
        <w:t xml:space="preserve"> </w:t>
      </w:r>
      <w:r>
        <w:rPr>
          <w:b/>
          <w:bCs/>
        </w:rPr>
        <w:t xml:space="preserve">(v)</w:t>
      </w:r>
      <w:r>
        <w:t xml:space="preserve"> </w:t>
      </w:r>
      <w:r>
        <w:rPr>
          <w:b/>
          <w:bCs/>
        </w:rPr>
        <w:t xml:space="preserve">Cross-Border Complexity:</w:t>
      </w:r>
      <w:r>
        <w:t xml:space="preserve"> </w:t>
      </w:r>
      <w:r>
        <w:t xml:space="preserve">A global CIB might face conflicting rules (e.g. data localization laws vs consolidated risk management needs, or differing derivatives clearing mandates). If not carefully navigated, the bank could either violate one set or end up operationally inefficient trying to comply with all.</w:t>
      </w:r>
      <w:r>
        <w:t xml:space="preserve"> </w:t>
      </w:r>
      <w:r>
        <w:rPr>
          <w:b/>
          <w:bCs/>
        </w:rPr>
        <w:t xml:space="preserve">(vi)</w:t>
      </w:r>
      <w:r>
        <w:t xml:space="preserve"> </w:t>
      </w:r>
      <w:r>
        <w:rPr>
          <w:b/>
          <w:bCs/>
        </w:rPr>
        <w:t xml:space="preserve">Resolution Planning Deficiencies:</w:t>
      </w:r>
      <w:r>
        <w:t xml:space="preserve"> </w:t>
      </w:r>
      <w:r>
        <w:t xml:space="preserve">G-SIBs must maintain recovery and resolution plans. If these are deemed not credible, regulators can impose stricter measures (e.g. more TLAC, limits on acquisitions, etc.). So a vulnerability is if the bank has not integrated resolution needs into its structure (like maintaining clean separability of units, pre-positioning capital and liquidity in subsidiaries, etc.).</w:t>
      </w:r>
    </w:p>
    <w:p>
      <w:pPr>
        <w:pStyle w:val="BodyText"/>
      </w:pPr>
      <w:r>
        <w:rPr>
          <w:b/>
          <w:bCs/>
        </w:rPr>
        <w:t xml:space="preserve">KRIs &amp; Metrics:</w:t>
      </w:r>
      <w:r>
        <w:t xml:space="preserve"> </w:t>
      </w:r>
      <w:r>
        <w:t xml:space="preserve">For compliance, track</w:t>
      </w:r>
      <w:r>
        <w:t xml:space="preserve"> </w:t>
      </w:r>
      <w:r>
        <w:rPr>
          <w:b/>
          <w:bCs/>
        </w:rPr>
        <w:t xml:space="preserve">regulatory findings and their remediation</w:t>
      </w:r>
      <w:r>
        <w:t xml:space="preserve">: e.g. number of open Matters Requiring Attention (MRAs) or similar supervisory findings, and aging of those. A high number or slow closure rate is bad.</w:t>
      </w:r>
      <w:r>
        <w:t xml:space="preserve"> </w:t>
      </w:r>
      <w:r>
        <w:rPr>
          <w:b/>
          <w:bCs/>
        </w:rPr>
        <w:t xml:space="preserve">Compliance testing results:</w:t>
      </w:r>
      <w:r>
        <w:t xml:space="preserve"> </w:t>
      </w:r>
      <w:r>
        <w:t xml:space="preserve">percentage of sample tests that failed (like KYC files accuracy, trade surveillance alerts missed, etc.).</w:t>
      </w:r>
      <w:r>
        <w:t xml:space="preserve"> </w:t>
      </w:r>
      <w:r>
        <w:rPr>
          <w:b/>
          <w:bCs/>
        </w:rPr>
        <w:t xml:space="preserve">Internal audit ratings</w:t>
      </w:r>
      <w:r>
        <w:t xml:space="preserve"> </w:t>
      </w:r>
      <w:r>
        <w:t xml:space="preserve">of compliance and risk management functions – if downgraded, that’s a red flag.</w:t>
      </w:r>
      <w:r>
        <w:t xml:space="preserve"> </w:t>
      </w:r>
      <w:r>
        <w:rPr>
          <w:b/>
          <w:bCs/>
        </w:rPr>
        <w:t xml:space="preserve">Training completion rates</w:t>
      </w:r>
      <w:r>
        <w:t xml:space="preserve"> </w:t>
      </w:r>
      <w:r>
        <w:t xml:space="preserve">for compliance courses (should be ~100%).</w:t>
      </w:r>
      <w:r>
        <w:t xml:space="preserve"> </w:t>
      </w:r>
      <w:r>
        <w:rPr>
          <w:b/>
          <w:bCs/>
        </w:rPr>
        <w:t xml:space="preserve">Near-miss incidents</w:t>
      </w:r>
      <w:r>
        <w:t xml:space="preserve">: count of times a potential regulatory breach was caught internally before harm – too many may indicate systemic issues.</w:t>
      </w:r>
      <w:r>
        <w:t xml:space="preserve"> </w:t>
      </w:r>
      <w:r>
        <w:rPr>
          <w:b/>
          <w:bCs/>
        </w:rPr>
        <w:t xml:space="preserve">Regulatory reporting KPIs:</w:t>
      </w:r>
      <w:r>
        <w:t xml:space="preserve"> </w:t>
      </w:r>
      <w:r>
        <w:t xml:space="preserve">e.g. number of resubmissions of reports, data quality issues flagged by regulators.</w:t>
      </w:r>
      <w:r>
        <w:t xml:space="preserve"> </w:t>
      </w:r>
      <w:r>
        <w:rPr>
          <w:b/>
          <w:bCs/>
        </w:rPr>
        <w:t xml:space="preserve">Capital ratios vs requirements</w:t>
      </w:r>
      <w:r>
        <w:t xml:space="preserve">: ensure buffers to triggers like max distributable amount (MDA) thresholds in EU, etc. For upcoming changes, maintain a</w:t>
      </w:r>
      <w:r>
        <w:t xml:space="preserve"> </w:t>
      </w:r>
      <w:r>
        <w:rPr>
          <w:b/>
          <w:bCs/>
        </w:rPr>
        <w:t xml:space="preserve">regulatory change dashboard</w:t>
      </w:r>
      <w:r>
        <w:t xml:space="preserve">: e.g. Basel reforms – % progress on implementation project, expected vs actual RWA impact.</w:t>
      </w:r>
      <w:r>
        <w:t xml:space="preserve"> </w:t>
      </w:r>
      <w:r>
        <w:rPr>
          <w:b/>
          <w:bCs/>
        </w:rPr>
        <w:t xml:space="preserve">Resolution plan metrics</w:t>
      </w:r>
      <w:r>
        <w:t xml:space="preserve">: such as time to execute a wind-down of trading book (must be in plan), or</w:t>
      </w:r>
      <w:r>
        <w:t xml:space="preserve"> </w:t>
      </w:r>
      <w:r>
        <w:rPr>
          <w:b/>
          <w:bCs/>
        </w:rPr>
        <w:t xml:space="preserve">liquidation horizon for assets</w:t>
      </w:r>
      <w:r>
        <w:t xml:space="preserve"> </w:t>
      </w:r>
      <w:r>
        <w:t xml:space="preserve">in resolution scenario. Also measure</w:t>
      </w:r>
      <w:r>
        <w:t xml:space="preserve"> </w:t>
      </w:r>
      <w:r>
        <w:rPr>
          <w:b/>
          <w:bCs/>
        </w:rPr>
        <w:t xml:space="preserve">cost of compliance</w:t>
      </w:r>
      <w:r>
        <w:t xml:space="preserve"> </w:t>
      </w:r>
      <w:r>
        <w:t xml:space="preserve">(maybe as % of revenue) – if skyrocketing, might indicate inefficiencies but if too low relative to peers, maybe underinvestment.</w:t>
      </w:r>
      <w:r>
        <w:t xml:space="preserve"> </w:t>
      </w:r>
      <w:r>
        <w:rPr>
          <w:b/>
          <w:bCs/>
        </w:rPr>
        <w:t xml:space="preserve">Regulatory capital add-ons</w:t>
      </w:r>
      <w:r>
        <w:t xml:space="preserve">: track if supervisors have imposed any (Pillar 2) – aim to minimize by addressing concerns proactively.</w:t>
      </w:r>
      <w:r>
        <w:t xml:space="preserve"> </w:t>
      </w:r>
      <w:r>
        <w:rPr>
          <w:b/>
          <w:bCs/>
        </w:rPr>
        <w:t xml:space="preserve">Complaints and conduct indicators</w:t>
      </w:r>
      <w:r>
        <w:t xml:space="preserve">: e.g. number of client complaints escalated, or results of culture surveys – these soft metrics often correlate with eventual regulatory issues (e.g. a poor conduct culture yields regulatory fines).</w:t>
      </w:r>
    </w:p>
    <w:p>
      <w:pPr>
        <w:pStyle w:val="BodyText"/>
      </w:pPr>
      <w:r>
        <w:rPr>
          <w:b/>
          <w:bCs/>
        </w:rPr>
        <w:t xml:space="preserve">Supervisory Expectations:</w:t>
      </w:r>
      <w:r>
        <w:t xml:space="preserve"> </w:t>
      </w:r>
      <w:r>
        <w:t xml:space="preserve">Supervisors expect a</w:t>
      </w:r>
      <w:r>
        <w:t xml:space="preserve"> </w:t>
      </w:r>
      <w:r>
        <w:rPr>
          <w:b/>
          <w:bCs/>
        </w:rPr>
        <w:t xml:space="preserve">no-surprises, proactive approach</w:t>
      </w:r>
      <w:r>
        <w:t xml:space="preserve"> </w:t>
      </w:r>
      <w:r>
        <w:t xml:space="preserve">from CROs. This means the bank should identify and address issues before regulators have to point them out. The CRO is often a key contact for regulators (in many jurisdictions, they meet with CRO regularly). Being honest, transparent, and on top of issues builds credibility. Regulators also expect compliance and risk management to have stature and independence (Basel Corporate Governance principles emphasize empowered CRO, separate CCO, etc.). Post-2023 bank failures, the Fed for example is re-evaluating how it supervises large banks – likely leaning even more on qualitative assessments. That means they might require improvements in internal risk management processes even if numbers look fine. We saw in CCAR that qualitative objections (for poor risk management) could block capital actions – that mindset extends.</w:t>
      </w:r>
      <w:r>
        <w:t xml:space="preserve"> </w:t>
      </w:r>
      <w:r>
        <w:rPr>
          <w:b/>
          <w:bCs/>
        </w:rPr>
        <w:t xml:space="preserve">Supervisory priorities</w:t>
      </w:r>
      <w:r>
        <w:t xml:space="preserve"> </w:t>
      </w:r>
      <w:r>
        <w:t xml:space="preserve">forthcoming likely include: crypto exposures (most regulators require notification or even pre-approval for banks engaging</w:t>
      </w:r>
      <w:hyperlink r:id="rId45">
        <w:r>
          <w:rPr>
            <w:rStyle w:val="Hyperlink"/>
          </w:rPr>
          <w:t xml:space="preserve">[22]</w:t>
        </w:r>
      </w:hyperlink>
      <w:hyperlink r:id="rId46">
        <w:r>
          <w:rPr>
            <w:rStyle w:val="Hyperlink"/>
          </w:rPr>
          <w:t xml:space="preserve">[23]</w:t>
        </w:r>
      </w:hyperlink>
      <w:r>
        <w:t xml:space="preserve">), climate risk management integration (expect feedback if a bank doesn’t have robust climate scenarios and governance), and AI governance (initially more in conduct/fairness realm, but prudential side increasingly curious). There’s also emphasis on</w:t>
      </w:r>
      <w:r>
        <w:t xml:space="preserve"> </w:t>
      </w:r>
      <w:r>
        <w:rPr>
          <w:b/>
          <w:bCs/>
        </w:rPr>
        <w:t xml:space="preserve">risk data aggregation</w:t>
      </w:r>
      <w:r>
        <w:t xml:space="preserve"> </w:t>
      </w:r>
      <w:r>
        <w:t xml:space="preserve">(BCBS 239) – regulators have been disappointed with slow progress at some banks; by now they expect credible data and reporting systems. And of course,</w:t>
      </w:r>
      <w:r>
        <w:t xml:space="preserve"> </w:t>
      </w:r>
      <w:r>
        <w:rPr>
          <w:b/>
          <w:bCs/>
        </w:rPr>
        <w:t xml:space="preserve">remediation of past issues</w:t>
      </w:r>
      <w:r>
        <w:t xml:space="preserve">: if the bank had any regulatory orders or known issues, examiners will prioritize verifying progress. The CRO should ensure those are truly fixed before deadline. A forward-looking expectation: authorities may require banks to incorporate potential future regulatory changes into planning – e.g. asking “how would your strategy adapt if carbon taxes or capital charges on fossil assets come in 2027?” etc. Being prepared for such questions is part of supervisory risk management.</w:t>
      </w:r>
    </w:p>
    <w:p>
      <w:pPr>
        <w:pStyle w:val="BodyText"/>
      </w:pPr>
      <w:r>
        <w:rPr>
          <w:b/>
          <w:bCs/>
        </w:rPr>
        <w:t xml:space="preserve">Recommended CRO Actions:</w:t>
      </w:r>
    </w:p>
    <w:p>
      <w:pPr>
        <w:numPr>
          <w:ilvl w:val="0"/>
          <w:numId w:val="1009"/>
        </w:numPr>
      </w:pPr>
      <w:r>
        <w:rPr>
          <w:b/>
          <w:bCs/>
        </w:rPr>
        <w:t xml:space="preserve">Regulatory Radar and Foresight:</w:t>
      </w:r>
      <w:r>
        <w:t xml:space="preserve"> </w:t>
      </w:r>
      <w:r>
        <w:t xml:space="preserve">Establish a robust</w:t>
      </w:r>
      <w:r>
        <w:t xml:space="preserve"> </w:t>
      </w:r>
      <w:r>
        <w:rPr>
          <w:b/>
          <w:bCs/>
        </w:rPr>
        <w:t xml:space="preserve">regulatory monitoring team</w:t>
      </w:r>
      <w:r>
        <w:t xml:space="preserve"> </w:t>
      </w:r>
      <w:r>
        <w:t xml:space="preserve">(often within Compliance or Risk) that continuously scans upcoming rules and supervisory trends globally. The CRO should get a regular briefing on what’s on the horizon (e.g. “Basel Committee considering crypto capital revisions”, “EU discussing changes to market structure”, “US SEC proposals that might affect derivatives”). Then</w:t>
      </w:r>
      <w:r>
        <w:t xml:space="preserve"> </w:t>
      </w:r>
      <w:r>
        <w:rPr>
          <w:b/>
          <w:bCs/>
        </w:rPr>
        <w:t xml:space="preserve">assess impact</w:t>
      </w:r>
      <w:r>
        <w:t xml:space="preserve"> </w:t>
      </w:r>
      <w:r>
        <w:t xml:space="preserve">early – do preliminary RWA or liquidity impact analysis, scenario plan strategic implications. If something potentially material is spotted, engage internally (with business strategy teams) to plan or even externally through industry groups to shape rules (within ethical bounds). For example, if Fed capital rules look onerous, maybe respond to consultation with data-driven arguments, or adjust portfolio in advance. Essentially,</w:t>
      </w:r>
      <w:r>
        <w:t xml:space="preserve"> </w:t>
      </w:r>
      <w:r>
        <w:rPr>
          <w:b/>
          <w:bCs/>
        </w:rPr>
        <w:t xml:space="preserve">no surprises</w:t>
      </w:r>
      <w:r>
        <w:t xml:space="preserve"> </w:t>
      </w:r>
      <w:r>
        <w:t xml:space="preserve">– by the time a rule is final, the CRO should largely know how the bank will comply and what it means for risk appetite.</w:t>
      </w:r>
    </w:p>
    <w:p>
      <w:pPr>
        <w:numPr>
          <w:ilvl w:val="0"/>
          <w:numId w:val="1009"/>
        </w:numPr>
      </w:pPr>
      <w:r>
        <w:rPr>
          <w:b/>
          <w:bCs/>
        </w:rPr>
        <w:t xml:space="preserve">Strengthen Regulatory Relations &amp; Transparency:</w:t>
      </w:r>
      <w:r>
        <w:t xml:space="preserve"> </w:t>
      </w:r>
      <w:r>
        <w:t xml:space="preserve">The CRO, along with the CEO and other execs, should maintain open lines with key regulators. This includes regular bilateral meetings, being candid about challenges and steps taken. If issues arise (say a risk limit breach or an operational incident), proactively inform the regulator along with remediation actions, rather than them finding out via audit or news. Build credibility by</w:t>
      </w:r>
      <w:r>
        <w:t xml:space="preserve"> </w:t>
      </w:r>
      <w:r>
        <w:rPr>
          <w:i/>
          <w:iCs/>
        </w:rPr>
        <w:t xml:space="preserve">over-delivering on commitments</w:t>
      </w:r>
      <w:r>
        <w:t xml:space="preserve"> </w:t>
      </w:r>
      <w:r>
        <w:t xml:space="preserve">– if you promised a new risk system by Q2, get it done. Also, ensure the regulatory liaison team preps extensively for exams – anticipate likely questions, have thorough documentation. The CRO should personally review critical regulatory submissions (ICAAP, ILAAP, recovery plans, model risk reports) to ensure quality and consistency of message. Use the board Risk Committee effectively – minutes from board discussions on risk are often reviewed by regulators as evidence of governance; ensure those show challenge and follow-up. Additionally, consider inviting supervisors to observe certain internal exercises (some banks invite them to internal stress test presentations) – it demonstrates confidence and can reduce suspicion.</w:t>
      </w:r>
    </w:p>
    <w:p>
      <w:pPr>
        <w:numPr>
          <w:ilvl w:val="0"/>
          <w:numId w:val="1009"/>
        </w:numPr>
      </w:pPr>
      <w:r>
        <w:rPr>
          <w:b/>
          <w:bCs/>
        </w:rPr>
        <w:t xml:space="preserve">Compliance Culture and Investment:</w:t>
      </w:r>
      <w:r>
        <w:t xml:space="preserve"> </w:t>
      </w:r>
      <w:r>
        <w:t xml:space="preserve">Partner with the Chief Compliance Officer (CCO) to reinforce a strong compliance culture. From the top, communicate that</w:t>
      </w:r>
      <w:r>
        <w:t xml:space="preserve"> </w:t>
      </w:r>
      <w:r>
        <w:rPr>
          <w:b/>
          <w:bCs/>
        </w:rPr>
        <w:t xml:space="preserve">“we do not compromise on compliance”</w:t>
      </w:r>
      <w:r>
        <w:t xml:space="preserve"> </w:t>
      </w:r>
      <w:r>
        <w:t xml:space="preserve">even if business is at stake. Practical steps: continue rigorous training, make it relatable with real cases of what went wrong at other firms. Encourage a speak-up environment – employees should report compliance concerns without fear. The CRO can support by incorporating compliance risk into the overall risk framework, not as a separate silo. Increase investment in</w:t>
      </w:r>
      <w:r>
        <w:t xml:space="preserve"> </w:t>
      </w:r>
      <w:r>
        <w:rPr>
          <w:b/>
          <w:bCs/>
        </w:rPr>
        <w:t xml:space="preserve">RegTech solutions</w:t>
      </w:r>
      <w:r>
        <w:t xml:space="preserve"> </w:t>
      </w:r>
      <w:r>
        <w:t xml:space="preserve">for things like transaction monitoring, regulatory reporting automation, and surveillance – many banks still rely on manual processes that are error-prone. The CRO should advocate for budget to upgrade these, framing it as risk reduction and future cost avoidance (e.g. “this $10M system could save us a $500M fine down the line”). Also, perform periodic</w:t>
      </w:r>
      <w:r>
        <w:t xml:space="preserve"> </w:t>
      </w:r>
      <w:r>
        <w:rPr>
          <w:b/>
          <w:bCs/>
        </w:rPr>
        <w:t xml:space="preserve">compliance program effectiveness reviews</w:t>
      </w:r>
      <w:r>
        <w:t xml:space="preserve"> </w:t>
      </w:r>
      <w:r>
        <w:t xml:space="preserve">(maybe with third-party help to get objective view) to catch any weaknesses early.</w:t>
      </w:r>
    </w:p>
    <w:p>
      <w:pPr>
        <w:numPr>
          <w:ilvl w:val="0"/>
          <w:numId w:val="1009"/>
        </w:numPr>
      </w:pPr>
      <w:r>
        <w:rPr>
          <w:b/>
          <w:bCs/>
        </w:rPr>
        <w:t xml:space="preserve">Ensure Resolution &amp; Continuity Preparedness:</w:t>
      </w:r>
      <w:r>
        <w:t xml:space="preserve"> </w:t>
      </w:r>
      <w:r>
        <w:t xml:space="preserve">Work closely with the CFO and legal on keeping recovery and resolution plans up to date and credible. For G-SIBs, this means ensuring the bank’s structure (clean holding company, capital and liquidity pre-positioning) meets TLAC/MREL requirements. The CRO’s role is to make sure that in resolution scenario analysis, the risk profile is such that the plan is feasible. For example, if the plan says “we’ll sell these businesses in stress,” does the CRO’s stress analysis show those businesses would retain value in that scenario? (Otherwise, plan might be fantasy). Conduct</w:t>
      </w:r>
      <w:r>
        <w:t xml:space="preserve"> </w:t>
      </w:r>
      <w:r>
        <w:rPr>
          <w:b/>
          <w:bCs/>
        </w:rPr>
        <w:t xml:space="preserve">dry-run simulations</w:t>
      </w:r>
      <w:r>
        <w:t xml:space="preserve"> </w:t>
      </w:r>
      <w:r>
        <w:t xml:space="preserve">of recovery actions – say a severe stress where capital gets near minimum: test decision-making process of invoking recovery options (de-risking, asset sales, etc.). Present those to regulators to show we can handle extreme distress in an orderly way. Also ensure operational continuity plans (how critical services will keep running in resolution, per resolutions’ operational continuity in resolution (OCIR) guidelines). If any regulatory feedback from prior resolution assessments, tackle them aggressively (common ones are governance in crisis, data availability, etc.).</w:t>
      </w:r>
    </w:p>
    <w:p>
      <w:pPr>
        <w:numPr>
          <w:ilvl w:val="0"/>
          <w:numId w:val="1009"/>
        </w:numPr>
      </w:pPr>
      <w:r>
        <w:rPr>
          <w:b/>
          <w:bCs/>
        </w:rPr>
        <w:t xml:space="preserve">Holistic Risk Appetite Adjustments:</w:t>
      </w:r>
      <w:r>
        <w:t xml:space="preserve"> </w:t>
      </w:r>
      <w:r>
        <w:t xml:space="preserve">As new regs (like crypto rules, climate expectations) emerge, update the formal</w:t>
      </w:r>
      <w:r>
        <w:t xml:space="preserve"> </w:t>
      </w:r>
      <w:r>
        <w:rPr>
          <w:b/>
          <w:bCs/>
        </w:rPr>
        <w:t xml:space="preserve">Risk Appetite Statement</w:t>
      </w:r>
      <w:r>
        <w:t xml:space="preserve"> </w:t>
      </w:r>
      <w:r>
        <w:t xml:space="preserve">and policies to reflect them. E.g., if Basel gives crypto a 1250% risk weight, likely the risk appetite might be “we will only engage in crypto activities in a limited, well-collateralized manner given punitive capital.” If climate supervision expects measuring emissions, incorporate a qualitative appetite like “we aim to manage our portfolio’s climate risk such that it remains below XYZ” or limit high-carbon exposures. By being proactive in limiting risk in areas regulators are concerned about, the bank shows alignment with supervisory objectives. Similarly for conduct: could add a metric in risk appetite on “zero tolerance for material regulatory breaches” tracked by number of violations. Aligning business strategy with regulatory direction (e.g. shifting away from activities likely to be constrained) is also something CRO can influence through risk appetite and capital allocation.</w:t>
      </w:r>
    </w:p>
    <w:p>
      <w:pPr>
        <w:pStyle w:val="FirstParagraph"/>
      </w:pPr>
      <w:r>
        <w:t xml:space="preserve">Ultimately, the CRO should drive the philosophy that</w:t>
      </w:r>
      <w:r>
        <w:t xml:space="preserve"> </w:t>
      </w:r>
      <w:r>
        <w:rPr>
          <w:b/>
          <w:bCs/>
        </w:rPr>
        <w:t xml:space="preserve">regulatory compliance is the floor, not the ceiling</w:t>
      </w:r>
      <w:r>
        <w:t xml:space="preserve"> </w:t>
      </w:r>
      <w:r>
        <w:t xml:space="preserve">– the bank should aspire to be</w:t>
      </w:r>
      <w:r>
        <w:t xml:space="preserve"> </w:t>
      </w:r>
      <w:r>
        <w:rPr>
          <w:i/>
          <w:iCs/>
        </w:rPr>
        <w:t xml:space="preserve">ahead of the pack</w:t>
      </w:r>
      <w:r>
        <w:t xml:space="preserve"> </w:t>
      </w:r>
      <w:r>
        <w:t xml:space="preserve">in risk management so that when regulators raise the bar, the bank is already there. That reduces regulatory risk and frees up management time to focus on business, rather than remediation.</w:t>
      </w:r>
    </w:p>
    <w:bookmarkEnd w:id="63"/>
    <w:bookmarkStart w:id="66" w:name="X03ccce3100bd9328ac807d7b411b1941465b7c6"/>
    <w:p>
      <w:pPr>
        <w:pStyle w:val="Heading3"/>
      </w:pPr>
      <w:r>
        <w:t xml:space="preserve">Climate &amp; Transition Risk (CIB-Relevant Angles)</w:t>
      </w:r>
    </w:p>
    <w:p>
      <w:pPr>
        <w:pStyle w:val="FirstParagraph"/>
      </w:pPr>
      <w:r>
        <w:rPr>
          <w:b/>
          <w:bCs/>
        </w:rPr>
        <w:t xml:space="preserve">Drivers &amp; Context:</w:t>
      </w:r>
      <w:r>
        <w:t xml:space="preserve"> </w:t>
      </w:r>
      <w:r>
        <w:t xml:space="preserve">Climate change presents two types of risk:</w:t>
      </w:r>
      <w:r>
        <w:t xml:space="preserve"> </w:t>
      </w:r>
      <w:r>
        <w:rPr>
          <w:b/>
          <w:bCs/>
        </w:rPr>
        <w:t xml:space="preserve">physical risk</w:t>
      </w:r>
      <w:r>
        <w:t xml:space="preserve"> </w:t>
      </w:r>
      <w:r>
        <w:t xml:space="preserve">(damage from acute events like hurricanes, wildfires, or chronic shifts like sea-level rise) and</w:t>
      </w:r>
      <w:r>
        <w:t xml:space="preserve"> </w:t>
      </w:r>
      <w:r>
        <w:rPr>
          <w:b/>
          <w:bCs/>
        </w:rPr>
        <w:t xml:space="preserve">transition risk</w:t>
      </w:r>
      <w:r>
        <w:t xml:space="preserve"> </w:t>
      </w:r>
      <w:r>
        <w:t xml:space="preserve">(financial risks from the economy moving to low-carbon, such as policy changes, technological disruption, or shifting consumer preferences). For CIBs, the focus is on</w:t>
      </w:r>
      <w:r>
        <w:t xml:space="preserve"> </w:t>
      </w:r>
      <w:r>
        <w:rPr>
          <w:b/>
          <w:bCs/>
        </w:rPr>
        <w:t xml:space="preserve">transition risk</w:t>
      </w:r>
      <w:r>
        <w:t xml:space="preserve"> </w:t>
      </w:r>
      <w:r>
        <w:t xml:space="preserve">in credit and market portfolios, as well as reputational aspects, since physical risks are more directly relevant in retail or insurance books, though they can affect corporate clients’ operations and thus creditworthiness. Key drivers:</w:t>
      </w:r>
      <w:r>
        <w:t xml:space="preserve"> </w:t>
      </w:r>
      <w:r>
        <w:rPr>
          <w:b/>
          <w:bCs/>
        </w:rPr>
        <w:t xml:space="preserve">(1)</w:t>
      </w:r>
      <w:r>
        <w:t xml:space="preserve"> </w:t>
      </w:r>
      <w:r>
        <w:rPr>
          <w:b/>
          <w:bCs/>
        </w:rPr>
        <w:t xml:space="preserve">Global decarbonization policies:</w:t>
      </w:r>
      <w:r>
        <w:t xml:space="preserve"> </w:t>
      </w:r>
      <w:r>
        <w:t xml:space="preserve">Governments are implementing carbon pricing, emissions trading schemes, mandating phase-outs of fossil fuels, subsidies for green tech. Example: potential EU carbon border taxes, US fuel economy standards tightening, bans on ICE vehicles by 2035 in some locales. These can rapidly alter asset values (e.g. coal mines or diesel car manufacturing assets become stranded or less profitable).</w:t>
      </w:r>
      <w:r>
        <w:t xml:space="preserve"> </w:t>
      </w:r>
      <w:r>
        <w:rPr>
          <w:b/>
          <w:bCs/>
        </w:rPr>
        <w:t xml:space="preserve">(2)</w:t>
      </w:r>
      <w:r>
        <w:t xml:space="preserve"> </w:t>
      </w:r>
      <w:r>
        <w:rPr>
          <w:b/>
          <w:bCs/>
        </w:rPr>
        <w:t xml:space="preserve">Technological shifts:</w:t>
      </w:r>
      <w:r>
        <w:t xml:space="preserve"> </w:t>
      </w:r>
      <w:r>
        <w:t xml:space="preserve">The cost of renewables, EVs, energy storage, etc., is dropping – companies that fail to adapt may lose competitiveness. A breakthrough (like cheap hydrogen or fusion energy) could radically change energy markets.</w:t>
      </w:r>
      <w:r>
        <w:t xml:space="preserve"> </w:t>
      </w:r>
      <w:r>
        <w:rPr>
          <w:b/>
          <w:bCs/>
        </w:rPr>
        <w:t xml:space="preserve">(3)</w:t>
      </w:r>
      <w:r>
        <w:t xml:space="preserve"> </w:t>
      </w:r>
      <w:r>
        <w:rPr>
          <w:b/>
          <w:bCs/>
        </w:rPr>
        <w:t xml:space="preserve">Market and investor sentiment:</w:t>
      </w:r>
      <w:r>
        <w:t xml:space="preserve"> </w:t>
      </w:r>
      <w:r>
        <w:t xml:space="preserve">Investors are increasingly averse to high-carbon assets; some banks already pledging to reduce exposure to certain sectors. If an industry is labeled “brown,” funding costs for those companies can rise (which itself is risk).</w:t>
      </w:r>
      <w:r>
        <w:t xml:space="preserve"> </w:t>
      </w:r>
      <w:r>
        <w:rPr>
          <w:b/>
          <w:bCs/>
        </w:rPr>
        <w:t xml:space="preserve">(4)</w:t>
      </w:r>
      <w:r>
        <w:t xml:space="preserve"> </w:t>
      </w:r>
      <w:r>
        <w:rPr>
          <w:b/>
          <w:bCs/>
        </w:rPr>
        <w:t xml:space="preserve">Extreme weather frequency:</w:t>
      </w:r>
      <w:r>
        <w:t xml:space="preserve"> </w:t>
      </w:r>
      <w:r>
        <w:t xml:space="preserve">While physically harming specific assets, it also raises awareness and could lead to abrupt policy responses after disasters (e.g. post-flood building codes, insurer retreat from markets – which might hit property values that serve as collateral or underpin bonds).</w:t>
      </w:r>
      <w:r>
        <w:t xml:space="preserve"> </w:t>
      </w:r>
      <w:r>
        <w:rPr>
          <w:b/>
          <w:bCs/>
        </w:rPr>
        <w:t xml:space="preserve">(5)</w:t>
      </w:r>
      <w:r>
        <w:t xml:space="preserve"> </w:t>
      </w:r>
      <w:r>
        <w:rPr>
          <w:b/>
          <w:bCs/>
        </w:rPr>
        <w:t xml:space="preserve">Legal and liability risk:</w:t>
      </w:r>
      <w:r>
        <w:t xml:space="preserve"> </w:t>
      </w:r>
      <w:r>
        <w:t xml:space="preserve">Companies (and by extension banks financing them) might face lawsuits for climate damage or inadequate disclosure (there are cases of municipalities suing oil companies, etc.). If such liabilities crystallize, could impair those companies.</w:t>
      </w:r>
    </w:p>
    <w:p>
      <w:pPr>
        <w:pStyle w:val="BodyText"/>
      </w:pPr>
      <w:r>
        <w:rPr>
          <w:b/>
          <w:bCs/>
        </w:rPr>
        <w:t xml:space="preserve">Materiality for CIB:</w:t>
      </w:r>
      <w:r>
        <w:t xml:space="preserve"> </w:t>
      </w:r>
      <w:r>
        <w:t xml:space="preserve">The material angle is primarily credit risk in lending and counterparty exposures, and market risk for certain sectors. For instance, a CIB might have a large loan book or bond portfolio with</w:t>
      </w:r>
      <w:r>
        <w:t xml:space="preserve"> </w:t>
      </w:r>
      <w:r>
        <w:rPr>
          <w:b/>
          <w:bCs/>
        </w:rPr>
        <w:t xml:space="preserve">oil &amp; gas, power generation, automotive, shipping, aviation</w:t>
      </w:r>
      <w:r>
        <w:t xml:space="preserve"> </w:t>
      </w:r>
      <w:r>
        <w:t xml:space="preserve">– all carbon-intensive sectors. If aggressive climate policies are enacted (say a high carbon tax or a ban on internal combustion engines by 2030), the probability of default or loss given default for those borrowers could increase (lower profits, asset write-downs, need to invest heavily to pivot business). There’s also</w:t>
      </w:r>
      <w:r>
        <w:t xml:space="preserve"> </w:t>
      </w:r>
      <w:r>
        <w:rPr>
          <w:b/>
          <w:bCs/>
        </w:rPr>
        <w:t xml:space="preserve">sectoral concentration risk</w:t>
      </w:r>
      <w:r>
        <w:t xml:space="preserve">: many banks historically have big chunks of portfolio in fossil fuels; a disorderly transition could correlate many defaults in that segment simultaneously (which is not captured by normal credit models tuned to past data). On the flip side, new opportunities (renewables, carbon trading, ESG bonds) might offset risk for those who pivot portfolios – so it’s strategic. Market risk: certain equity or commodity positions could be affected by climate news or policy (e.g. coal company stocks plummeting when countries announce phase-outs, carbon credit price volatility). Also consider</w:t>
      </w:r>
      <w:r>
        <w:t xml:space="preserve"> </w:t>
      </w:r>
      <w:r>
        <w:rPr>
          <w:b/>
          <w:bCs/>
        </w:rPr>
        <w:t xml:space="preserve">indirect</w:t>
      </w:r>
      <w:r>
        <w:t xml:space="preserve"> </w:t>
      </w:r>
      <w:r>
        <w:t xml:space="preserve">exposures: e.g. if the bank finances a country heavily reliant on coal exports, that sovereign risk might climb in a transition. Another material aspect:</w:t>
      </w:r>
      <w:r>
        <w:t xml:space="preserve"> </w:t>
      </w:r>
      <w:r>
        <w:rPr>
          <w:b/>
          <w:bCs/>
        </w:rPr>
        <w:t xml:space="preserve">client expectations and reputation</w:t>
      </w:r>
      <w:r>
        <w:t xml:space="preserve"> </w:t>
      </w:r>
      <w:r>
        <w:t xml:space="preserve">– large institutional clients increasingly ask banks about their climate commitments and may choose banking partners based on alignment with sustainability goals. A bank perceived as lagging may lose mandates (especially in Europe, this is pronounced). Regulators too are starting to incorporate climate in capital planning (though no Pillar 1 charges yet, they might influence Pillar 2 or qualitative assessments). So climate risk management is becoming part of what CROs must demonstrate competence in.</w:t>
      </w:r>
    </w:p>
    <w:p>
      <w:pPr>
        <w:pStyle w:val="BodyText"/>
      </w:pPr>
      <w:r>
        <w:rPr>
          <w:b/>
          <w:bCs/>
        </w:rPr>
        <w:t xml:space="preserve">Key Vulnerabilities:</w:t>
      </w:r>
      <w:r>
        <w:t xml:space="preserve"> </w:t>
      </w:r>
      <w:r>
        <w:rPr>
          <w:b/>
          <w:bCs/>
        </w:rPr>
        <w:t xml:space="preserve">(i)</w:t>
      </w:r>
      <w:r>
        <w:t xml:space="preserve"> </w:t>
      </w:r>
      <w:r>
        <w:rPr>
          <w:b/>
          <w:bCs/>
        </w:rPr>
        <w:t xml:space="preserve">Concentrated Fossil Fuel Exposure:</w:t>
      </w:r>
      <w:r>
        <w:t xml:space="preserve"> </w:t>
      </w:r>
      <w:r>
        <w:t xml:space="preserve">If a bank has outsized lending to coal mining, coal-fired power, oil exploration, etc., those loans could suffer in a scenario where global warming is aggressively addressed (the assets could become non-viable or greatly reduced in value).</w:t>
      </w:r>
      <w:r>
        <w:t xml:space="preserve"> </w:t>
      </w:r>
      <w:r>
        <w:rPr>
          <w:b/>
          <w:bCs/>
        </w:rPr>
        <w:t xml:space="preserve">(ii)</w:t>
      </w:r>
      <w:r>
        <w:t xml:space="preserve"> </w:t>
      </w:r>
      <w:r>
        <w:rPr>
          <w:b/>
          <w:bCs/>
        </w:rPr>
        <w:t xml:space="preserve">Long-term assets with short-term evaluation:</w:t>
      </w:r>
      <w:r>
        <w:t xml:space="preserve"> </w:t>
      </w:r>
      <w:r>
        <w:t xml:space="preserve">Many credit risk assessments and ratings might not fully price 10-20 year horizon risks because they assume business as usual. This is a vulnerability since climate transition may unfold non-linearly as we approach 2030/2050 policy goals.</w:t>
      </w:r>
      <w:r>
        <w:t xml:space="preserve"> </w:t>
      </w:r>
      <w:r>
        <w:rPr>
          <w:b/>
          <w:bCs/>
        </w:rPr>
        <w:t xml:space="preserve">(iii)</w:t>
      </w:r>
      <w:r>
        <w:t xml:space="preserve"> </w:t>
      </w:r>
      <w:r>
        <w:rPr>
          <w:b/>
          <w:bCs/>
        </w:rPr>
        <w:t xml:space="preserve">Data and Disclosure Gaps:</w:t>
      </w:r>
      <w:r>
        <w:t xml:space="preserve"> </w:t>
      </w:r>
      <w:r>
        <w:t xml:space="preserve">Assessing climate risk is hampered by insufficient data on borrowers’ emissions, climate strategies, and supply chain exposure. If the bank doesn’t have good data, its risk assessment could be very wrong (e.g. two steel companies might seem similar credit-wise now, but one might have a plan to use green hydrogen and the other doesn’t – huge divergence in future risk).</w:t>
      </w:r>
      <w:r>
        <w:t xml:space="preserve"> </w:t>
      </w:r>
      <w:r>
        <w:rPr>
          <w:b/>
          <w:bCs/>
        </w:rPr>
        <w:t xml:space="preserve">(iv)</w:t>
      </w:r>
      <w:r>
        <w:t xml:space="preserve"> </w:t>
      </w:r>
      <w:r>
        <w:rPr>
          <w:b/>
          <w:bCs/>
        </w:rPr>
        <w:t xml:space="preserve">Scenario Uncertainty:</w:t>
      </w:r>
      <w:r>
        <w:t xml:space="preserve"> </w:t>
      </w:r>
      <w:r>
        <w:t xml:space="preserve">Climate scenarios (from NGFS, etc.) show very different outcomes depending on policy timing (smooth vs late &amp; abrupt). If the bank relies on one scenario (like baseline) and reality is more harsh (like delayed then sudden transition), its preparedness may be off.</w:t>
      </w:r>
      <w:r>
        <w:t xml:space="preserve"> </w:t>
      </w:r>
      <w:r>
        <w:rPr>
          <w:b/>
          <w:bCs/>
        </w:rPr>
        <w:t xml:space="preserve">(v)</w:t>
      </w:r>
      <w:r>
        <w:t xml:space="preserve"> </w:t>
      </w:r>
      <w:r>
        <w:rPr>
          <w:b/>
          <w:bCs/>
        </w:rPr>
        <w:t xml:space="preserve">Client Dependence on Transition:</w:t>
      </w:r>
      <w:r>
        <w:t xml:space="preserve"> </w:t>
      </w:r>
      <w:r>
        <w:t xml:space="preserve">Some smaller clients might not have means to adapt (e.g. a small auto parts supplier reliant on ICE engines demand). The credit risk might not be obvious unless you analyze the climate connection. Also,</w:t>
      </w:r>
      <w:r>
        <w:t xml:space="preserve"> </w:t>
      </w:r>
      <w:r>
        <w:rPr>
          <w:b/>
          <w:bCs/>
        </w:rPr>
        <w:t xml:space="preserve">physical risk second-order:</w:t>
      </w:r>
      <w:r>
        <w:t xml:space="preserve"> </w:t>
      </w:r>
      <w:r>
        <w:t xml:space="preserve">While physical risk hits insurers, it can also hurt corporate borrowers (a factory repeatedly hit by floods might become uneconomic; if that’s a key asset for the borrower, default risk rises). Banks may not have tied physical climate data to their collateral or borrower locations yet.</w:t>
      </w:r>
      <w:r>
        <w:t xml:space="preserve"> </w:t>
      </w:r>
      <w:r>
        <w:rPr>
          <w:b/>
          <w:bCs/>
        </w:rPr>
        <w:t xml:space="preserve">(vi)</w:t>
      </w:r>
      <w:r>
        <w:t xml:space="preserve"> </w:t>
      </w:r>
      <w:r>
        <w:rPr>
          <w:b/>
          <w:bCs/>
        </w:rPr>
        <w:t xml:space="preserve">Regulatory/Market Sudden Change:</w:t>
      </w:r>
      <w:r>
        <w:t xml:space="preserve"> </w:t>
      </w:r>
      <w:r>
        <w:t xml:space="preserve">For instance, if regulators decide to impose a</w:t>
      </w:r>
      <w:r>
        <w:t xml:space="preserve"> </w:t>
      </w:r>
      <w:r>
        <w:rPr>
          <w:b/>
          <w:bCs/>
        </w:rPr>
        <w:t xml:space="preserve">“carbon capital charge”</w:t>
      </w:r>
      <w:r>
        <w:t xml:space="preserve"> </w:t>
      </w:r>
      <w:r>
        <w:t xml:space="preserve">(some have floated it conceptually), certain exposures might suddenly require more capital, making them less attractive. Or investor-driven: if bond markets start pricing transition risk via credit spreads (e.g. “brown penalizing” in market pricing), the bank’s existing bonds could drop in value or become hard to trade.</w:t>
      </w:r>
    </w:p>
    <w:p>
      <w:pPr>
        <w:pStyle w:val="BodyText"/>
      </w:pPr>
      <w:r>
        <w:rPr>
          <w:b/>
          <w:bCs/>
        </w:rPr>
        <w:t xml:space="preserve">KRIs &amp; Metrics:</w:t>
      </w:r>
      <w:r>
        <w:t xml:space="preserve"> </w:t>
      </w:r>
      <w:r>
        <w:rPr>
          <w:b/>
          <w:bCs/>
        </w:rPr>
        <w:t xml:space="preserve">Carbon-related exposure</w:t>
      </w:r>
      <w:r>
        <w:t xml:space="preserve">: volume of exposures (loans, underwriting, investments) to sectors like fossil fuels, as a share of total – many banks disclose this now.</w:t>
      </w:r>
      <w:r>
        <w:t xml:space="preserve"> </w:t>
      </w:r>
      <w:r>
        <w:rPr>
          <w:b/>
          <w:bCs/>
        </w:rPr>
        <w:t xml:space="preserve">Financed emissions</w:t>
      </w:r>
      <w:r>
        <w:t xml:space="preserve"> </w:t>
      </w:r>
      <w:r>
        <w:t xml:space="preserve">(absolute greenhouse gas emissions associated with the bank’s portfolio) – measured via PCAF standards; trend of that metric.</w:t>
      </w:r>
      <w:r>
        <w:t xml:space="preserve"> </w:t>
      </w:r>
      <w:r>
        <w:rPr>
          <w:b/>
          <w:bCs/>
        </w:rPr>
        <w:t xml:space="preserve">Portfolio alignment metrics</w:t>
      </w:r>
      <w:r>
        <w:t xml:space="preserve">: e.g. what implied temperature rise or how the portfolio aligns with net-zero by 2050, etc., if methodologies are used.</w:t>
      </w:r>
      <w:r>
        <w:t xml:space="preserve"> </w:t>
      </w:r>
      <w:r>
        <w:rPr>
          <w:b/>
          <w:bCs/>
        </w:rPr>
        <w:t xml:space="preserve">Exposure to climate policy sensitive sectors</w:t>
      </w:r>
      <w:r>
        <w:t xml:space="preserve"> </w:t>
      </w:r>
      <w:r>
        <w:t xml:space="preserve">– beyond energy: include heavy industry (cement, steel), transport, etc. Possibly measure</w:t>
      </w:r>
      <w:r>
        <w:t xml:space="preserve"> </w:t>
      </w:r>
      <w:r>
        <w:rPr>
          <w:b/>
          <w:bCs/>
        </w:rPr>
        <w:t xml:space="preserve">weighted average carbon intensity</w:t>
      </w:r>
      <w:r>
        <w:t xml:space="preserve"> </w:t>
      </w:r>
      <w:r>
        <w:t xml:space="preserve">(WACI) of corporate lending book (carbon per revenue of clients).</w:t>
      </w:r>
      <w:r>
        <w:t xml:space="preserve"> </w:t>
      </w:r>
      <w:r>
        <w:rPr>
          <w:b/>
          <w:bCs/>
        </w:rPr>
        <w:t xml:space="preserve">Credit migration in high-risk sectors</w:t>
      </w:r>
      <w:r>
        <w:t xml:space="preserve">: are we already seeing downgrades or higher provisions for certain clients due to climate factors? Track that. On physical risk:</w:t>
      </w:r>
      <w:r>
        <w:t xml:space="preserve"> </w:t>
      </w:r>
      <w:r>
        <w:rPr>
          <w:b/>
          <w:bCs/>
        </w:rPr>
        <w:t xml:space="preserve">collateral at risk</w:t>
      </w:r>
      <w:r>
        <w:t xml:space="preserve"> </w:t>
      </w:r>
      <w:r>
        <w:t xml:space="preserve">(e.g. % of mortgages in flood zones, value of collateral in high wildfire areas, etc. – more relevant for retail/CRE, but CIB might have some CRE lending, and operations like data centers in risky zones).</w:t>
      </w:r>
      <w:r>
        <w:t xml:space="preserve"> </w:t>
      </w:r>
      <w:r>
        <w:rPr>
          <w:b/>
          <w:bCs/>
        </w:rPr>
        <w:t xml:space="preserve">Climate stress test results</w:t>
      </w:r>
      <w:r>
        <w:t xml:space="preserve">: many banks run internal climate scenarios – the projected loss or RWA increase under a disorderly transition scenario is a KRI (if too high relative to capital, indicates vulnerability). Also track</w:t>
      </w:r>
      <w:r>
        <w:t xml:space="preserve"> </w:t>
      </w:r>
      <w:r>
        <w:rPr>
          <w:b/>
          <w:bCs/>
        </w:rPr>
        <w:t xml:space="preserve">client transition plans</w:t>
      </w:r>
      <w:r>
        <w:t xml:space="preserve">: e.g. what % of top 100 carbon-emitting borrowers have robust transition plans (if few, our exposure is riskier). At an operational level (for reputational risk): track</w:t>
      </w:r>
      <w:r>
        <w:t xml:space="preserve"> </w:t>
      </w:r>
      <w:r>
        <w:rPr>
          <w:b/>
          <w:bCs/>
        </w:rPr>
        <w:t xml:space="preserve">ESG controversies</w:t>
      </w:r>
      <w:r>
        <w:t xml:space="preserve"> </w:t>
      </w:r>
      <w:r>
        <w:t xml:space="preserve">linked to deals – e.g. number of times the bank was criticized in media or by NGOs for financing a controversial project – these can be harbingers of either reputational or future regulatory risk (like if those projects later become stranded). Perhaps a metric:</w:t>
      </w:r>
      <w:r>
        <w:t xml:space="preserve"> </w:t>
      </w:r>
      <w:r>
        <w:rPr>
          <w:b/>
          <w:bCs/>
        </w:rPr>
        <w:t xml:space="preserve">green vs brown financing ratio</w:t>
      </w:r>
      <w:r>
        <w:t xml:space="preserve"> </w:t>
      </w:r>
      <w:r>
        <w:t xml:space="preserve">– volume of sustainable financing done vs fossil financing (some banks commit to increase green, reduce brown). Or simply</w:t>
      </w:r>
      <w:r>
        <w:t xml:space="preserve"> </w:t>
      </w:r>
      <w:r>
        <w:rPr>
          <w:b/>
          <w:bCs/>
        </w:rPr>
        <w:t xml:space="preserve">progress to net-zero target</w:t>
      </w:r>
      <w:r>
        <w:t xml:space="preserve"> </w:t>
      </w:r>
      <w:r>
        <w:t xml:space="preserve">if the bank set one (most big banks pledged to reach net-zero financed emissions by 2050, with 2030 interim targets – measure current vs target).</w:t>
      </w:r>
    </w:p>
    <w:p>
      <w:pPr>
        <w:pStyle w:val="BodyText"/>
      </w:pPr>
      <w:r>
        <w:rPr>
          <w:b/>
          <w:bCs/>
        </w:rPr>
        <w:t xml:space="preserve">Supervisory Expectations:</w:t>
      </w:r>
      <w:r>
        <w:t xml:space="preserve"> </w:t>
      </w:r>
      <w:r>
        <w:t xml:space="preserve">Regulators are increasingly expecting banks to integrate climate risks into governance, strategy, and risk management. The Basel Committee issued principles in 2022 for climate risk management (18 principles for banks and supervisors)</w:t>
      </w:r>
      <w:hyperlink r:id="rId64">
        <w:r>
          <w:rPr>
            <w:rStyle w:val="Hyperlink"/>
          </w:rPr>
          <w:t xml:space="preserve">[35]</w:t>
        </w:r>
      </w:hyperlink>
      <w:hyperlink r:id="rId65">
        <w:r>
          <w:rPr>
            <w:rStyle w:val="Hyperlink"/>
          </w:rPr>
          <w:t xml:space="preserve">[36]</w:t>
        </w:r>
      </w:hyperlink>
      <w:r>
        <w:t xml:space="preserve">, essentially saying boards should understand climate risk, banks should embed it in risk appetite, and develop methodologies for risk identification, measurement, mitigation, and reporting. Many central banks (Bank of England PRA, ECB, MAS, etc.) have conducted</w:t>
      </w:r>
      <w:r>
        <w:t xml:space="preserve"> </w:t>
      </w:r>
      <w:r>
        <w:rPr>
          <w:b/>
          <w:bCs/>
        </w:rPr>
        <w:t xml:space="preserve">climate scenario exercises</w:t>
      </w:r>
      <w:r>
        <w:t xml:space="preserve"> </w:t>
      </w:r>
      <w:r>
        <w:t xml:space="preserve">– while largely exploratory, they send a signal that eventually this could translate to capital (Pillar 2) or at least require remediation if a bank is found lagging. For instance, the ECB now includes climate risk in its SREP (they did a thematic review in 2022 and gave “amber/red” findings to many banks, requiring action plans). The Fed’s 2023 pilot asked big banks to assess how their portfolios would handle certain climate scenarios. So supervisors expect CROs to be building capability to quantify and manage climate risks: e.g. having climate risk stress tests, assigning responsibility at senior level, and starting to collect data from clients. They also expect</w:t>
      </w:r>
      <w:r>
        <w:t xml:space="preserve"> </w:t>
      </w:r>
      <w:r>
        <w:rPr>
          <w:b/>
          <w:bCs/>
        </w:rPr>
        <w:t xml:space="preserve">enhanced disclosures</w:t>
      </w:r>
      <w:r>
        <w:t xml:space="preserve"> </w:t>
      </w:r>
      <w:r>
        <w:t xml:space="preserve">as per TCFD (Task Force on Climate-related Financial Disclosures) and upcoming ISSB standards – meaning the bank should be transparent on its climate risks, which requires good internal measurement. While still evolving, the direction is clear: climate risk should be treated as any other material risk, not just CSR talk. In some jurisdictions, failing to do so might lead to capital add-ons or restrictions (the PRA has hinted it may use capital tools if banks ignore climate risk too much). Also, supervisors coordinate globally via the NGFS (Network for Greening the Financial System) – so frameworks are converging. A near-term regulatory piece:</w:t>
      </w:r>
      <w:r>
        <w:t xml:space="preserve"> </w:t>
      </w:r>
      <w:r>
        <w:rPr>
          <w:b/>
          <w:bCs/>
        </w:rPr>
        <w:t xml:space="preserve">EU’s CRR2/CRD5</w:t>
      </w:r>
      <w:r>
        <w:t xml:space="preserve"> </w:t>
      </w:r>
      <w:r>
        <w:t xml:space="preserve">includes requirements for banks to conduct climate stress tests and potentially integrate into ICAAP. So the CRO should anticipate needing to demonstrate in the ICAAP how climate risks could affect capital over the next, say, 10-15 years (a longer horizon than typical).</w:t>
      </w:r>
    </w:p>
    <w:p>
      <w:pPr>
        <w:pStyle w:val="BodyText"/>
      </w:pPr>
      <w:r>
        <w:rPr>
          <w:b/>
          <w:bCs/>
        </w:rPr>
        <w:t xml:space="preserve">Recommended CRO Actions:</w:t>
      </w:r>
    </w:p>
    <w:p>
      <w:pPr>
        <w:numPr>
          <w:ilvl w:val="0"/>
          <w:numId w:val="1010"/>
        </w:numPr>
      </w:pPr>
      <w:r>
        <w:rPr>
          <w:b/>
          <w:bCs/>
        </w:rPr>
        <w:t xml:space="preserve">Integrate Climate into Risk Governance:</w:t>
      </w:r>
      <w:r>
        <w:t xml:space="preserve"> </w:t>
      </w:r>
      <w:r>
        <w:t xml:space="preserve">Ensure climate risk is part of the risk management framework formally. This could mean establishing a dedicated</w:t>
      </w:r>
      <w:r>
        <w:t xml:space="preserve"> </w:t>
      </w:r>
      <w:r>
        <w:rPr>
          <w:b/>
          <w:bCs/>
        </w:rPr>
        <w:t xml:space="preserve">Climate Risk Committee or Working Group</w:t>
      </w:r>
      <w:r>
        <w:t xml:space="preserve"> </w:t>
      </w:r>
      <w:r>
        <w:t xml:space="preserve">under the CRO, involving credit risk, market risk, business heads, and sustainability teams. The CRO should update the</w:t>
      </w:r>
      <w:r>
        <w:t xml:space="preserve"> </w:t>
      </w:r>
      <w:r>
        <w:rPr>
          <w:b/>
          <w:bCs/>
        </w:rPr>
        <w:t xml:space="preserve">Risk Appetite Statement</w:t>
      </w:r>
      <w:r>
        <w:t xml:space="preserve"> </w:t>
      </w:r>
      <w:r>
        <w:t xml:space="preserve">to include climate risk-related limits or qualitative aspirations (e.g. “We target reducing exposure to coal mining to X by 2025” or “We will not take unsecured credit exposure to companies with unmitigated high transition risk beyond Y years”). Assign clear executive ownership for climate risk (some banks now have a Chief Sustainability Officer partnering with CRO). Ultimately, embed climate considerations into existing risk processes: credit approval memos should include a section on climate risk for medium-long term exposures; new product approval must consider climate impact if relevant; internal audit should start reviewing climate risk controls, etc. Having board-level oversight (maybe the Risk Committee or a Sustainability Committee) will demonstrate top-down governance.</w:t>
      </w:r>
    </w:p>
    <w:p>
      <w:pPr>
        <w:numPr>
          <w:ilvl w:val="0"/>
          <w:numId w:val="1010"/>
        </w:numPr>
      </w:pPr>
      <w:r>
        <w:rPr>
          <w:b/>
          <w:bCs/>
        </w:rPr>
        <w:t xml:space="preserve">Enhance Data Collection and Analytical Tools:</w:t>
      </w:r>
      <w:r>
        <w:t xml:space="preserve"> </w:t>
      </w:r>
      <w:r>
        <w:t xml:space="preserve">The CRO should spearhead efforts to gather needed data from clients and counterparties. This may involve</w:t>
      </w:r>
      <w:r>
        <w:t xml:space="preserve"> </w:t>
      </w:r>
      <w:r>
        <w:rPr>
          <w:b/>
          <w:bCs/>
        </w:rPr>
        <w:t xml:space="preserve">client outreach</w:t>
      </w:r>
      <w:r>
        <w:t xml:space="preserve"> </w:t>
      </w:r>
      <w:r>
        <w:t xml:space="preserve">asking for emissions data, energy mix, etc., or using third-party estimations where not provided. Join industry utilities or pilot projects for data sharing (some consortiums exist to standardize client ESG data). At the same time, invest in analytical tools:</w:t>
      </w:r>
      <w:r>
        <w:t xml:space="preserve"> </w:t>
      </w:r>
      <w:r>
        <w:rPr>
          <w:b/>
          <w:bCs/>
        </w:rPr>
        <w:t xml:space="preserve">climate scenario models</w:t>
      </w:r>
      <w:r>
        <w:t xml:space="preserve"> </w:t>
      </w:r>
      <w:r>
        <w:t xml:space="preserve">that can translate scenarios (like a carbon tax of $100 or EV adoption boom) into financial impacts on counterparties and portfolios. Many banks partner with consultancies or use NGFS scenarios loaded into their credit models. Develop internal</w:t>
      </w:r>
      <w:r>
        <w:t xml:space="preserve"> </w:t>
      </w:r>
      <w:r>
        <w:rPr>
          <w:b/>
          <w:bCs/>
        </w:rPr>
        <w:t xml:space="preserve">“heatmaps”</w:t>
      </w:r>
      <w:r>
        <w:t xml:space="preserve"> </w:t>
      </w:r>
      <w:r>
        <w:t xml:space="preserve">of sectors by climate risk – e.g. which sub-sectors have high transition risk and what's our exposure there. Use this analysis to prioritize engagement: for high-risk clients, perhaps set shorter tenor limits or require stronger covenants (like requiring them to maintain certain green investment). Also, incorporate physical risk analytics for relevant assets (e.g. if financing real estate or infrastructure, use GIS tools to see flood/fire risk and reflect that in collateral values or credit grading). The CRO might hire or train a small team of climate risk specialists within risk management to focus on methodology and scenario analysis – rather than leaving it solely to a CSR team.</w:t>
      </w:r>
    </w:p>
    <w:p>
      <w:pPr>
        <w:numPr>
          <w:ilvl w:val="0"/>
          <w:numId w:val="1010"/>
        </w:numPr>
      </w:pPr>
      <w:r>
        <w:rPr>
          <w:b/>
          <w:bCs/>
        </w:rPr>
        <w:t xml:space="preserve">Climate Scenario Stress Testing and Portfolio Steering:</w:t>
      </w:r>
      <w:r>
        <w:t xml:space="preserve"> </w:t>
      </w:r>
      <w:r>
        <w:t xml:space="preserve">Conduct dedicated</w:t>
      </w:r>
      <w:r>
        <w:t xml:space="preserve"> </w:t>
      </w:r>
      <w:r>
        <w:rPr>
          <w:b/>
          <w:bCs/>
        </w:rPr>
        <w:t xml:space="preserve">climate stress tests</w:t>
      </w:r>
      <w:r>
        <w:t xml:space="preserve">. E.g., a “Delayed Transition” scenario where in 2030 there is a sudden policy shock, causing high carbon prices and rapid decline in fossil fuel demand, combined with tech breakthrough in renewables – what are the losses in our loan book? Perhaps credit downgrade and default predictions for exposed sectors (oil, gas, autos, heavy industry) in that scenario over, say, a 5-10 year period. Because traditional stress tests are 2-3 year, you may need to extend horizon for climate. Identify which counterparties would be most at risk – this can inform strategic dialogue: maybe we start reducing exposure now to those names or help them transition by financing green CAPEX for them (reducing risk long-term). Also run a</w:t>
      </w:r>
      <w:r>
        <w:t xml:space="preserve"> </w:t>
      </w:r>
      <w:r>
        <w:rPr>
          <w:b/>
          <w:bCs/>
        </w:rPr>
        <w:t xml:space="preserve">Physical Risk scenario</w:t>
      </w:r>
      <w:r>
        <w:t xml:space="preserve"> </w:t>
      </w:r>
      <w:r>
        <w:t xml:space="preserve">(e.g. a series of extreme weather events hitting certain regions where we have exposures) to see if any concentrations could cause large correlated losses. Use results to guide capital allocation: if a scenario shows, for instance, that half of our power generation portfolio might default in a disorderly transition, that’s too high – might aim to diversify or tighten underwriting there. Share high-level results with the board and potentially externally (to demonstrate we are evaluating it). Over time, integrate these scenario outputs into ICAAP – e.g. hold some additional internal capital for climate risk if warranted by scenarios (some leading banks do this voluntarily).</w:t>
      </w:r>
    </w:p>
    <w:p>
      <w:pPr>
        <w:numPr>
          <w:ilvl w:val="0"/>
          <w:numId w:val="1010"/>
        </w:numPr>
      </w:pPr>
      <w:r>
        <w:rPr>
          <w:b/>
          <w:bCs/>
        </w:rPr>
        <w:t xml:space="preserve">Client Engagement and Strategy Adjustment:</w:t>
      </w:r>
      <w:r>
        <w:t xml:space="preserve"> </w:t>
      </w:r>
      <w:r>
        <w:t xml:space="preserve">The CRO, in partnership with business heads, should engage with clients on climate. For high-risk sectors, initiate a program to discuss their transition plans: those with credible plans remain in portfolio, those without maybe tagged for exit or reduction. The bank might create products to help clients transition (green bonds, sustainability-linked loans) – risk can encourage this by offering capital advantages (some banks internally allocate lower RWA or easier limits for green projects, though regulators haven’t formalized that, except a few exploring “green supporting factor”). Adjust sector risk limits reflecting climate risk – e.g. a progressively lower cap on oil &amp; gas exposure over years, in line with net-zero targets. Also consider</w:t>
      </w:r>
      <w:r>
        <w:t xml:space="preserve"> </w:t>
      </w:r>
      <w:r>
        <w:rPr>
          <w:b/>
          <w:bCs/>
        </w:rPr>
        <w:t xml:space="preserve">reputational risk</w:t>
      </w:r>
      <w:r>
        <w:t xml:space="preserve">: establish clear policies on what the bank will not finance (many banks by 2025 have policies: no financing new coal mines, or Arctic drilling, etc.). This not only manages reputation but also cuts tail risk exposures. Ensure such policies are communicated and monitored – include in the risk dashboard any exceptions or requests that test those limits. By aligning lending with climate goals, the CRO helps pre-empt both regulatory disfavor and future credit issues.</w:t>
      </w:r>
    </w:p>
    <w:p>
      <w:pPr>
        <w:numPr>
          <w:ilvl w:val="0"/>
          <w:numId w:val="1010"/>
        </w:numPr>
      </w:pPr>
      <w:r>
        <w:rPr>
          <w:b/>
          <w:bCs/>
        </w:rPr>
        <w:t xml:space="preserve">Disclosure and External Communication:</w:t>
      </w:r>
      <w:r>
        <w:t xml:space="preserve"> </w:t>
      </w:r>
      <w:r>
        <w:t xml:space="preserve">Work with Investor Relations and Finance to produce</w:t>
      </w:r>
      <w:r>
        <w:t xml:space="preserve"> </w:t>
      </w:r>
      <w:r>
        <w:rPr>
          <w:b/>
          <w:bCs/>
        </w:rPr>
        <w:t xml:space="preserve">TCFD-aligned disclosures</w:t>
      </w:r>
      <w:r>
        <w:t xml:space="preserve"> </w:t>
      </w:r>
      <w:r>
        <w:t xml:space="preserve">of climate risks and management. This transparency can ease regulatory pressure and show stakeholders the bank is serious. The CRO’s climate risk analysis should feed into these disclosures – e.g. describe the scenarios considered, the estimated impact on credit portfolio, and actions taken. Good disclosure will likely be mandatory soon (EU’s CSRD, etc.), so doing it well can avoid any charges of greenwashing or omissions that could lead to regulatory fines or lawsuits. It’s part of regulatory risk management to ensure climate-related statements are backed by solid analysis (because misrepresentation can become a legal issue).</w:t>
      </w:r>
    </w:p>
    <w:p>
      <w:pPr>
        <w:pStyle w:val="FirstParagraph"/>
      </w:pPr>
      <w:r>
        <w:t xml:space="preserve">In sum, for climate and transition risk, the CRO should treat it not as a vague future issue but as a concrete risk that can be quantified and mitigated now. By doing so, the bank not only avoids downside (regulatory sanctions, portfolio losses) but is better positioned in the inevitable economic transformation that climate change will bring about. It’s a prime example of where good risk management and good societal outcomes align – a point worth communicating to the board and regulators alike.</w:t>
      </w:r>
    </w:p>
    <w:p>
      <w:r>
        <w:pict>
          <v:rect style="width:0;height:1.5pt" o:hralign="center" o:hrstd="t" o:hr="t"/>
        </w:pict>
      </w:r>
    </w:p>
    <w:p>
      <w:pPr>
        <w:pStyle w:val="FirstParagraph"/>
      </w:pPr>
      <w:r>
        <w:t xml:space="preserve">Having covered the gamut of core risk themes, we now turn to deep dives on two particularly novel risk frontiers for the CRO:</w:t>
      </w:r>
      <w:r>
        <w:t xml:space="preserve"> </w:t>
      </w:r>
      <w:r>
        <w:rPr>
          <w:b/>
          <w:bCs/>
        </w:rPr>
        <w:t xml:space="preserve">Crypto/Digital Assets</w:t>
      </w:r>
      <w:r>
        <w:t xml:space="preserve"> </w:t>
      </w:r>
      <w:r>
        <w:t xml:space="preserve">(Section 4) and</w:t>
      </w:r>
      <w:r>
        <w:t xml:space="preserve"> </w:t>
      </w:r>
      <w:r>
        <w:rPr>
          <w:b/>
          <w:bCs/>
        </w:rPr>
        <w:t xml:space="preserve">AI/LLM</w:t>
      </w:r>
      <w:r>
        <w:t xml:space="preserve"> </w:t>
      </w:r>
      <w:r>
        <w:t xml:space="preserve">(Section 5). These deserve special attention given their rapid evolution and the bespoke risk considerations they introduce into the CIB context.</w:t>
      </w:r>
    </w:p>
    <w:bookmarkEnd w:id="66"/>
    <w:bookmarkEnd w:id="67"/>
    <w:bookmarkStart w:id="90" w:name="X253de0100db4650d83c7c54d727ee62deeb6077"/>
    <w:p>
      <w:pPr>
        <w:pStyle w:val="Heading2"/>
      </w:pPr>
      <w:r>
        <w:t xml:space="preserve">4. DEEP DIVE: Crypto / Digital Assets Risk Agenda (2025–2026)</w:t>
      </w:r>
    </w:p>
    <w:p>
      <w:pPr>
        <w:pStyle w:val="FirstParagraph"/>
      </w:pPr>
      <w:r>
        <w:t xml:space="preserve">Digital assets – encompassing cryptocurrencies (like Bitcoin, Ether), stablecoins, tokenized traditional assets, and decentralized finance (DeFi) – have emerged from speculative niche to an asset class and infrastructure that institutional finance cannot ignore. For a CIB CRO, crypto-related risk management has to evolve from a reactive stance (largely avoiding or containing crypto exposure) to a proactive framework as client and market activity grows. This section dissects the crypto/digital assets landscape and the risk agenda the CRO must drive, spanning market structure changes, specific CIB exposures, quantitative risk characteristics, regulatory landscape, and a CRO action playbook.</w:t>
      </w:r>
    </w:p>
    <w:bookmarkStart w:id="71" w:name="a.-market-structure-institutionalization"/>
    <w:p>
      <w:pPr>
        <w:pStyle w:val="Heading3"/>
      </w:pPr>
      <w:r>
        <w:t xml:space="preserve">4A. Market Structure &amp; Institutionalization</w:t>
      </w:r>
    </w:p>
    <w:p>
      <w:pPr>
        <w:pStyle w:val="FirstParagraph"/>
      </w:pPr>
      <w:r>
        <w:rPr>
          <w:b/>
          <w:bCs/>
        </w:rPr>
        <w:t xml:space="preserve">Institutional Adoption Trends:</w:t>
      </w:r>
      <w:r>
        <w:t xml:space="preserve"> </w:t>
      </w:r>
      <w:r>
        <w:t xml:space="preserve">The crypto market structure in 2025 is markedly more institutionalized than just a few years prior. Traditional financial institutions have entered in various ways, bringing both legitimacy and new risk interlinkages. A milestone has been the launch of</w:t>
      </w:r>
      <w:r>
        <w:t xml:space="preserve"> </w:t>
      </w:r>
      <w:r>
        <w:rPr>
          <w:b/>
          <w:bCs/>
        </w:rPr>
        <w:t xml:space="preserve">Bitcoin and other crypto ETFs</w:t>
      </w:r>
      <w:r>
        <w:t xml:space="preserve"> </w:t>
      </w:r>
      <w:r>
        <w:t xml:space="preserve">– by mid-2025, global Bitcoin ETF assets under management reached ~$180 billion</w:t>
      </w:r>
      <w:hyperlink r:id="rId28">
        <w:r>
          <w:rPr>
            <w:rStyle w:val="Hyperlink"/>
          </w:rPr>
          <w:t xml:space="preserve">[8]</w:t>
        </w:r>
      </w:hyperlink>
      <w:r>
        <w:t xml:space="preserve">, with over $120B in U.S.-listed ETFs after the SEC began approving spot Bitcoin ETFs in 2024</w:t>
      </w:r>
      <w:hyperlink r:id="rId28">
        <w:r>
          <w:rPr>
            <w:rStyle w:val="Hyperlink"/>
          </w:rPr>
          <w:t xml:space="preserve">[37]</w:t>
        </w:r>
      </w:hyperlink>
      <w:r>
        <w:t xml:space="preserve">. This means mainstream investors (pension funds, asset managers) can get Bitcoin exposure easily, increasing correlation with traditional markets and entrenching crypto as an asset class. Major exchanges (Nasdaq, etc.) now list crypto futures and options with growing volume. Furthermore,</w:t>
      </w:r>
      <w:r>
        <w:t xml:space="preserve"> </w:t>
      </w:r>
      <w:r>
        <w:rPr>
          <w:b/>
          <w:bCs/>
        </w:rPr>
        <w:t xml:space="preserve">top custodians and banks offer crypto custody</w:t>
      </w:r>
      <w:r>
        <w:t xml:space="preserve"> </w:t>
      </w:r>
      <w:r>
        <w:t xml:space="preserve">– e.g. BNY Mellon, State Street launched digital asset custody arms, and some G-SIBs provide execution and prime brokerage for crypto funds on a limited basis.</w:t>
      </w:r>
      <w:r>
        <w:t xml:space="preserve"> </w:t>
      </w:r>
      <w:r>
        <w:rPr>
          <w:b/>
          <w:bCs/>
        </w:rPr>
        <w:t xml:space="preserve">Prime services</w:t>
      </w:r>
      <w:r>
        <w:t xml:space="preserve"> </w:t>
      </w:r>
      <w:r>
        <w:t xml:space="preserve">are developing: a few firms (including bank-affiliated brokers and fintechs) now offer</w:t>
      </w:r>
      <w:r>
        <w:t xml:space="preserve"> </w:t>
      </w:r>
      <w:r>
        <w:rPr>
          <w:b/>
          <w:bCs/>
        </w:rPr>
        <w:t xml:space="preserve">crypto prime brokerage</w:t>
      </w:r>
      <w:r>
        <w:t xml:space="preserve">, providing leveraged trading, lending, and custody solutions similar to traditional prime, which draws institutional traders into crypto. All this means the line between crypto and traditional finance (“TradFi”) is blurring: for a CRO, crypto market shocks can transmit through hedge funds, ETFs, or common investors into broader markets more readily.</w:t>
      </w:r>
    </w:p>
    <w:p>
      <w:pPr>
        <w:pStyle w:val="BodyText"/>
      </w:pPr>
      <w:r>
        <w:rPr>
          <w:b/>
          <w:bCs/>
        </w:rPr>
        <w:t xml:space="preserve">Stablecoin Dynamics:</w:t>
      </w:r>
      <w:r>
        <w:t xml:space="preserve"> </w:t>
      </w:r>
      <w:r>
        <w:t xml:space="preserve">Stablecoins – digital tokens pegged to fiat (usually USD) – are the lubricants of the crypto market, widely used for trading and as a store of dollars in digital form. The two largest,</w:t>
      </w:r>
      <w:r>
        <w:t xml:space="preserve"> </w:t>
      </w:r>
      <w:r>
        <w:rPr>
          <w:b/>
          <w:bCs/>
        </w:rPr>
        <w:t xml:space="preserve">Tether (USDT)</w:t>
      </w:r>
      <w:r>
        <w:t xml:space="preserve"> </w:t>
      </w:r>
      <w:r>
        <w:t xml:space="preserve">and</w:t>
      </w:r>
      <w:r>
        <w:t xml:space="preserve"> </w:t>
      </w:r>
      <w:r>
        <w:rPr>
          <w:b/>
          <w:bCs/>
        </w:rPr>
        <w:t xml:space="preserve">USD Coin (USDC)</w:t>
      </w:r>
      <w:r>
        <w:t xml:space="preserve">, have multi-billion market caps (USDT ~$80B, USDC ~$30B in late 2024) and together facilitate</w:t>
      </w:r>
      <w:r>
        <w:t xml:space="preserve"> </w:t>
      </w:r>
      <w:r>
        <w:rPr>
          <w:b/>
          <w:bCs/>
        </w:rPr>
        <w:t xml:space="preserve">trillions in transaction volume monthly</w:t>
      </w:r>
      <w:hyperlink r:id="rId29">
        <w:r>
          <w:rPr>
            <w:rStyle w:val="Hyperlink"/>
            <w:b/>
            <w:bCs/>
          </w:rPr>
          <w:t xml:space="preserve">[9]</w:t>
        </w:r>
      </w:hyperlink>
      <w:hyperlink r:id="rId30">
        <w:r>
          <w:rPr>
            <w:rStyle w:val="Hyperlink"/>
            <w:b/>
            <w:bCs/>
          </w:rPr>
          <w:t xml:space="preserve">[10]</w:t>
        </w:r>
      </w:hyperlink>
      <w:r>
        <w:t xml:space="preserve">. Their risk lies in the</w:t>
      </w:r>
      <w:r>
        <w:t xml:space="preserve"> </w:t>
      </w:r>
      <w:r>
        <w:rPr>
          <w:b/>
          <w:bCs/>
        </w:rPr>
        <w:t xml:space="preserve">quality of reserves and governance</w:t>
      </w:r>
      <w:r>
        <w:t xml:space="preserve">. Tether, in particular, has been opaque: it claims 100% reserve but historically held risky assets and faced questions on whether it could meet redemptions in a crisis. USDC has higher transparency and regulation (backed by cash and short-term treasuries; regulated as a stablecoin in some jurisdictions), yet in March 2023 it briefly</w:t>
      </w:r>
      <w:r>
        <w:t xml:space="preserve"> </w:t>
      </w:r>
      <w:r>
        <w:rPr>
          <w:b/>
          <w:bCs/>
        </w:rPr>
        <w:t xml:space="preserve">depegged to $0.88</w:t>
      </w:r>
      <w:r>
        <w:t xml:space="preserve"> </w:t>
      </w:r>
      <w:r>
        <w:t xml:space="preserve">when a portion of reserves got stuck in a failed bank (Silicon Valley Bank)</w:t>
      </w:r>
      <w:hyperlink r:id="rId68">
        <w:r>
          <w:rPr>
            <w:rStyle w:val="Hyperlink"/>
          </w:rPr>
          <w:t xml:space="preserve">[38]</w:t>
        </w:r>
      </w:hyperlink>
      <w:r>
        <w:t xml:space="preserve">. That event highlighted stablecoin run risk: even fully reserved stablecoins can break peg if users panic about reserve access. New stablecoins (some regulated, like those in Europe under upcoming MiCA rules) are emerging, and some are algorithmic/hybrid (though purely algorithmic ones like TerraUSD collapsed spectacularly – Terra’s $40B ecosystem imploded in May 2022, erasing wealth and cascading through crypto markets</w:t>
      </w:r>
      <w:hyperlink r:id="rId68">
        <w:r>
          <w:rPr>
            <w:rStyle w:val="Hyperlink"/>
          </w:rPr>
          <w:t xml:space="preserve">[38]</w:t>
        </w:r>
      </w:hyperlink>
      <w:r>
        <w:t xml:space="preserve">). For CROs, stablecoins represent both</w:t>
      </w:r>
      <w:r>
        <w:t xml:space="preserve"> </w:t>
      </w:r>
      <w:r>
        <w:rPr>
          <w:b/>
          <w:bCs/>
        </w:rPr>
        <w:t xml:space="preserve">counterparty risk</w:t>
      </w:r>
      <w:r>
        <w:t xml:space="preserve"> </w:t>
      </w:r>
      <w:r>
        <w:t xml:space="preserve">(if the bank holds them or has clients reliant on them – can they redeem 1-for-1 for USD?) and</w:t>
      </w:r>
      <w:r>
        <w:t xml:space="preserve"> </w:t>
      </w:r>
      <w:r>
        <w:rPr>
          <w:b/>
          <w:bCs/>
        </w:rPr>
        <w:t xml:space="preserve">liquidity/market risk</w:t>
      </w:r>
      <w:r>
        <w:t xml:space="preserve"> </w:t>
      </w:r>
      <w:r>
        <w:t xml:space="preserve">(a stablecoin breaking peg can cause fire-sales in crypto assets and funding stress akin to a prime money market fund breaking the buck). The market structure is such that Tether remains dominant in offshore crypto trading, which is a vulnerability given its less regulated nature.</w:t>
      </w:r>
    </w:p>
    <w:p>
      <w:pPr>
        <w:pStyle w:val="BodyText"/>
      </w:pPr>
      <w:r>
        <w:rPr>
          <w:b/>
          <w:bCs/>
        </w:rPr>
        <w:t xml:space="preserve">Tokenization of Real-World Assets (RWAs):</w:t>
      </w:r>
      <w:r>
        <w:t xml:space="preserve"> </w:t>
      </w:r>
      <w:r>
        <w:t xml:space="preserve">A notable trend is the</w:t>
      </w:r>
      <w:r>
        <w:t xml:space="preserve"> </w:t>
      </w:r>
      <w:r>
        <w:rPr>
          <w:b/>
          <w:bCs/>
        </w:rPr>
        <w:t xml:space="preserve">tokenization of traditional assets</w:t>
      </w:r>
      <w:r>
        <w:t xml:space="preserve"> </w:t>
      </w:r>
      <w:r>
        <w:t xml:space="preserve">– representing real-world financial assets (bonds, loans, real estate, even deposits) as tokens on distributed ledgers. By 2025, we have seen pilot successes: for example,</w:t>
      </w:r>
      <w:r>
        <w:t xml:space="preserve"> </w:t>
      </w:r>
      <w:r>
        <w:rPr>
          <w:b/>
          <w:bCs/>
        </w:rPr>
        <w:t xml:space="preserve">tokenized U.S. Treasury funds</w:t>
      </w:r>
      <w:r>
        <w:t xml:space="preserve"> </w:t>
      </w:r>
      <w:r>
        <w:t xml:space="preserve">on blockchain grew from ~$2B to $7B AUM in a year</w:t>
      </w:r>
      <w:hyperlink r:id="rId69">
        <w:r>
          <w:rPr>
            <w:rStyle w:val="Hyperlink"/>
          </w:rPr>
          <w:t xml:space="preserve">[39]</w:t>
        </w:r>
      </w:hyperlink>
      <w:hyperlink r:id="rId28">
        <w:r>
          <w:rPr>
            <w:rStyle w:val="Hyperlink"/>
          </w:rPr>
          <w:t xml:space="preserve">[37]</w:t>
        </w:r>
      </w:hyperlink>
      <w:r>
        <w:t xml:space="preserve">, as investors seek 24/7 liquidity and composability (using tokens in DeFi). Banks like JPMorgan (via its Onyx platform) and SGX/MAS in Singapore have executed</w:t>
      </w:r>
      <w:r>
        <w:t xml:space="preserve"> </w:t>
      </w:r>
      <w:r>
        <w:rPr>
          <w:b/>
          <w:bCs/>
        </w:rPr>
        <w:t xml:space="preserve">tokenized bond issuances and deposit tokens</w:t>
      </w:r>
      <w:r>
        <w:t xml:space="preserve">. Tokenization promises efficiency (faster settlement, fractional ownership) and could broaden market access. But it also introduces novel operational and legal risks: the</w:t>
      </w:r>
      <w:r>
        <w:t xml:space="preserve"> </w:t>
      </w:r>
      <w:r>
        <w:rPr>
          <w:b/>
          <w:bCs/>
        </w:rPr>
        <w:t xml:space="preserve">legal enforceability</w:t>
      </w:r>
      <w:r>
        <w:t xml:space="preserve"> </w:t>
      </w:r>
      <w:r>
        <w:t xml:space="preserve">of tokenized asset ownership is still being tested (does possession of a token equal legal claim? jurisdictions differ). Market structure-wise, tokenized assets often trade on new venues (digital exchanges or DeFi platforms) that lack the established protections of traditional exchanges. For the CRO, the rise of tokenized RWAs means potentially facing market and liquidity risk from assets in new digital wrappers – e.g. a tokenized money market fund might allow instant redemption 24/7, whereas the underlying assets (T-bills) settle in T+1 traditional markets, creating a liquidity mismatch. Also,</w:t>
      </w:r>
      <w:r>
        <w:t xml:space="preserve"> </w:t>
      </w:r>
      <w:r>
        <w:rPr>
          <w:b/>
          <w:bCs/>
        </w:rPr>
        <w:t xml:space="preserve">valuation models</w:t>
      </w:r>
      <w:r>
        <w:t xml:space="preserve"> </w:t>
      </w:r>
      <w:r>
        <w:t xml:space="preserve">for tokenized assets may need adjustment if their liquidity differs from the underlying (Basel warns that tokenized assets could have higher volatility or lower liquidity</w:t>
      </w:r>
      <w:hyperlink r:id="rId70">
        <w:r>
          <w:rPr>
            <w:rStyle w:val="Hyperlink"/>
          </w:rPr>
          <w:t xml:space="preserve">[40]</w:t>
        </w:r>
      </w:hyperlink>
      <w:r>
        <w:t xml:space="preserve">).</w:t>
      </w:r>
    </w:p>
    <w:p>
      <w:pPr>
        <w:pStyle w:val="BodyText"/>
      </w:pPr>
      <w:r>
        <w:rPr>
          <w:b/>
          <w:bCs/>
        </w:rPr>
        <w:t xml:space="preserve">DeFi and TradFi Convergence:</w:t>
      </w:r>
      <w:r>
        <w:t xml:space="preserve"> </w:t>
      </w:r>
      <w:r>
        <w:t xml:space="preserve">Decentralized finance (DeFi) platforms – essentially protocols on blockchain offering lending, trading, derivatives without traditional intermediaries – have matured with more institutional involvement. While 2022’s DeFi boom and bust (with many hacks and failures) made TradFi cautious, by 2025 some convergence is happening. Institutions are exploring</w:t>
      </w:r>
      <w:r>
        <w:t xml:space="preserve"> </w:t>
      </w:r>
      <w:r>
        <w:rPr>
          <w:b/>
          <w:bCs/>
        </w:rPr>
        <w:t xml:space="preserve">“permissioned DeFi”</w:t>
      </w:r>
      <w:r>
        <w:t xml:space="preserve"> </w:t>
      </w:r>
      <w:r>
        <w:t xml:space="preserve">– e.g. Aave Arc, where only whitelisted institutions trade on a DeFi lending pool, or JPMorgan’s experiments on Polygon for collateral swaps. DeFi offers potential yield and composability (faster innovation), but it lacks KYC/AML by default and is susceptible to</w:t>
      </w:r>
      <w:r>
        <w:t xml:space="preserve"> </w:t>
      </w:r>
      <w:r>
        <w:rPr>
          <w:b/>
          <w:bCs/>
        </w:rPr>
        <w:t xml:space="preserve">smart contract bugs</w:t>
      </w:r>
      <w:r>
        <w:t xml:space="preserve">.</w:t>
      </w:r>
      <w:r>
        <w:t xml:space="preserve"> </w:t>
      </w:r>
      <w:r>
        <w:rPr>
          <w:b/>
          <w:bCs/>
        </w:rPr>
        <w:t xml:space="preserve">On/Off-Ramp Risk</w:t>
      </w:r>
      <w:r>
        <w:t xml:space="preserve"> </w:t>
      </w:r>
      <w:r>
        <w:t xml:space="preserve">arises as these worlds meet: Converting fiat to crypto (and vice versa) relies on on-ramp entities like exchanges or banks. Recent history saw critical on-ramps vanish – e.g. the shutdown of Silvergate’s SEN and Signature’s Signet in 2023 removed key real-time payment networks for crypto firms, briefly causing dislocation. Now, a few banks provide that service, so the system is concentrated. If an on-ramp fails or is cut off by regulators, crypto market liquidity can suffer. For CROs, even if the bank isn’t directly in crypto, its clients might be. For instance, a hedge fund client might face issues if their exchange can’t move money in/out quickly. Or if stablecoin convertibility falters, that could affect clients’ ability to meet obligations (one could analogize to FX convertibility risk).</w:t>
      </w:r>
    </w:p>
    <w:p>
      <w:pPr>
        <w:pStyle w:val="BodyText"/>
      </w:pPr>
      <w:r>
        <w:rPr>
          <w:b/>
          <w:bCs/>
        </w:rPr>
        <w:t xml:space="preserve">CBDCs and Tokenized Deposits:</w:t>
      </w:r>
      <w:r>
        <w:t xml:space="preserve"> </w:t>
      </w:r>
      <w:r>
        <w:t xml:space="preserve">Central Bank Digital Currencies (CBDCs) – digital currency issued by central banks – are moving from concept to pilots. Wholesale CBDCs (for interbank settlements) have seen trials: e.g.</w:t>
      </w:r>
      <w:r>
        <w:t xml:space="preserve"> </w:t>
      </w:r>
      <w:r>
        <w:rPr>
          <w:b/>
          <w:bCs/>
        </w:rPr>
        <w:t xml:space="preserve">Project mBridge</w:t>
      </w:r>
      <w:r>
        <w:t xml:space="preserve"> </w:t>
      </w:r>
      <w:r>
        <w:t xml:space="preserve">(BIS and Asian central banks) enabling cross-border FX settlement via CBDC, and the ECB, BoE exploring wholesale CBDC for securities settlement. While none of the major central banks have launched a production wholesale CBDC as of 2025, some smaller jurisdictions have. These could streamline settlement and cut counterparty risk, but also change liquidity dynamics (if commercial bank money moves to CBDC, deposits could drain).</w:t>
      </w:r>
      <w:r>
        <w:t xml:space="preserve"> </w:t>
      </w:r>
      <w:r>
        <w:rPr>
          <w:b/>
          <w:bCs/>
        </w:rPr>
        <w:t xml:space="preserve">Tokenized deposits</w:t>
      </w:r>
      <w:r>
        <w:t xml:space="preserve"> </w:t>
      </w:r>
      <w:r>
        <w:t xml:space="preserve">(a commercial bank’s deposit liability issued on a blockchain) are an industry-led concept: firms like JPMorgan (JPM Coin) and a consortium of US banks (Project Guardian, etc.) are experimenting. This essentially means a bank’s customer can transfer value on-chain instantly, representing a claim on the bank. This might offer 24/7 transferability (useful for digital markets), but raises operational questions: do these tokenized deposits share FDIC insurance and legal treatment same as normal deposits? How to ensure they aren’t double-spent across systems? For CROs, if such innovations scale, they must manage associated risks: intraday liquidity (if clients can move deposits anytime, no weekend or holiday breaks for outflows), cyber/tech risk (the blockchain platform’s resilience), and legal risk (if a smart contract glitch affects deposit records).</w:t>
      </w:r>
    </w:p>
    <w:p>
      <w:pPr>
        <w:pStyle w:val="BodyText"/>
      </w:pPr>
      <w:r>
        <w:t xml:space="preserve">In summary, the market structure is evolving towards</w:t>
      </w:r>
      <w:r>
        <w:t xml:space="preserve"> </w:t>
      </w:r>
      <w:r>
        <w:rPr>
          <w:b/>
          <w:bCs/>
        </w:rPr>
        <w:t xml:space="preserve">greater integration of digital assets with traditional systems</w:t>
      </w:r>
      <w:r>
        <w:t xml:space="preserve">. The CRO’s mindset should shift from viewing crypto as an isolated bubble to an interconnected segment of finance. The presence of reputable institutions, higher volumes via ETFs, and regulator engagement (like MiCA in EU setting rulebook) all indicate that digital assets are becoming</w:t>
      </w:r>
      <w:r>
        <w:t xml:space="preserve"> </w:t>
      </w:r>
      <w:r>
        <w:rPr>
          <w:i/>
          <w:iCs/>
        </w:rPr>
        <w:t xml:space="preserve">institutionalized.</w:t>
      </w:r>
      <w:r>
        <w:t xml:space="preserve"> </w:t>
      </w:r>
      <w:r>
        <w:t xml:space="preserve">The CRO must thus ensure that risk frameworks extend to these new realms: traditional controls (KYC, collateral management, etc.) need adaptations for 24/7, global, pseudonymous networks, and the firm must be ready for novel stress dynamics (e.g. a crypto market crash impacting tech equities and vice versa).</w:t>
      </w:r>
    </w:p>
    <w:bookmarkEnd w:id="71"/>
    <w:bookmarkStart w:id="77" w:name="b.-cib-relevant-risk-exposures"/>
    <w:p>
      <w:pPr>
        <w:pStyle w:val="Heading3"/>
      </w:pPr>
      <w:r>
        <w:t xml:space="preserve">4B. CIB-Relevant Risk Exposures</w:t>
      </w:r>
    </w:p>
    <w:p>
      <w:pPr>
        <w:pStyle w:val="FirstParagraph"/>
      </w:pPr>
      <w:r>
        <w:t xml:space="preserve">Even without making big directional bets on crypto, a CIB can be exposed through various channels as clients trade, invest, and raise financing in digital assets. Let’s break down key products/businesses and their risk transmission:</w:t>
      </w:r>
    </w:p>
    <w:p>
      <w:pPr>
        <w:pStyle w:val="BodyText"/>
      </w:pPr>
      <w:r>
        <w:rPr>
          <w:b/>
          <w:bCs/>
        </w:rPr>
        <w:t xml:space="preserve">Derivatives (Options, Swaps, Structured Notes, Futures):</w:t>
      </w:r>
      <w:r>
        <w:t xml:space="preserve"> </w:t>
      </w:r>
      <w:r>
        <w:t xml:space="preserve">Banks may engage in crypto derivatives primarily for client facilitation or minor treasury hedging. For instance, a bank might issue a</w:t>
      </w:r>
      <w:r>
        <w:t xml:space="preserve"> </w:t>
      </w:r>
      <w:r>
        <w:rPr>
          <w:b/>
          <w:bCs/>
        </w:rPr>
        <w:t xml:space="preserve">structured note</w:t>
      </w:r>
      <w:r>
        <w:t xml:space="preserve"> </w:t>
      </w:r>
      <w:r>
        <w:t xml:space="preserve">to investors that pays a yield tied to Bitcoin’s price – to hedge, the bank would take positions in Bitcoin futures or options. Similarly, some banks’ trading desks (where allowed) make markets in</w:t>
      </w:r>
      <w:r>
        <w:t xml:space="preserve"> </w:t>
      </w:r>
      <w:r>
        <w:rPr>
          <w:b/>
          <w:bCs/>
        </w:rPr>
        <w:t xml:space="preserve">CME Bitcoin futures or options</w:t>
      </w:r>
      <w:r>
        <w:t xml:space="preserve">, or in</w:t>
      </w:r>
      <w:r>
        <w:t xml:space="preserve"> </w:t>
      </w:r>
      <w:r>
        <w:rPr>
          <w:b/>
          <w:bCs/>
        </w:rPr>
        <w:t xml:space="preserve">OTC total return swaps</w:t>
      </w:r>
      <w:r>
        <w:t xml:space="preserve"> </w:t>
      </w:r>
      <w:r>
        <w:t xml:space="preserve">on crypto indices for hedge funds. These instruments introduce</w:t>
      </w:r>
      <w:r>
        <w:t xml:space="preserve"> </w:t>
      </w:r>
      <w:r>
        <w:rPr>
          <w:b/>
          <w:bCs/>
        </w:rPr>
        <w:t xml:space="preserve">market risk</w:t>
      </w:r>
      <w:r>
        <w:t xml:space="preserve"> </w:t>
      </w:r>
      <w:r>
        <w:t xml:space="preserve">(crypto’s notorious volatility) as well as</w:t>
      </w:r>
      <w:r>
        <w:t xml:space="preserve"> </w:t>
      </w:r>
      <w:r>
        <w:rPr>
          <w:b/>
          <w:bCs/>
        </w:rPr>
        <w:t xml:space="preserve">basis risk</w:t>
      </w:r>
      <w:r>
        <w:t xml:space="preserve"> </w:t>
      </w:r>
      <w:r>
        <w:t xml:space="preserve">– e.g. futures might trade at a different price dynamic than the underlying Bitcoin on spot markets, especially during high demand or stress. There’s also</w:t>
      </w:r>
      <w:r>
        <w:t xml:space="preserve"> </w:t>
      </w:r>
      <w:r>
        <w:rPr>
          <w:b/>
          <w:bCs/>
        </w:rPr>
        <w:t xml:space="preserve">liquidity risk</w:t>
      </w:r>
      <w:r>
        <w:t xml:space="preserve">: while CME futures are regulated and fairly liquid, they still can experience sharp moves and even trade outside of spot prices if market access to spot is disrupted (like when Binance or Coinbase experiences outages, CME might gap). For OTC options, reliable vol surfaces are still developing; mis-estimation can cause hedging errors. Furthermore, if a bank writes options, extreme movements can blow through risk limits (Bitcoin saw single-day moves of &gt;30% multiple times, far beyond typical equity moves). Historical stress: during the</w:t>
      </w:r>
      <w:r>
        <w:t xml:space="preserve"> </w:t>
      </w:r>
      <w:r>
        <w:rPr>
          <w:b/>
          <w:bCs/>
        </w:rPr>
        <w:t xml:space="preserve">May 2021 crypto crash</w:t>
      </w:r>
      <w:r>
        <w:t xml:space="preserve"> </w:t>
      </w:r>
      <w:r>
        <w:t xml:space="preserve">or the</w:t>
      </w:r>
      <w:r>
        <w:t xml:space="preserve"> </w:t>
      </w:r>
      <w:r>
        <w:rPr>
          <w:b/>
          <w:bCs/>
        </w:rPr>
        <w:t xml:space="preserve">late 2022 FTX collapse</w:t>
      </w:r>
      <w:r>
        <w:t xml:space="preserve">, crypto options implied volatility spiked massively; any short positions would incur large losses or margin needs.</w:t>
      </w:r>
      <w:r>
        <w:t xml:space="preserve"> </w:t>
      </w:r>
      <w:r>
        <w:rPr>
          <w:b/>
          <w:bCs/>
        </w:rPr>
        <w:t xml:space="preserve">Counterparty risk</w:t>
      </w:r>
      <w:r>
        <w:t xml:space="preserve"> </w:t>
      </w:r>
      <w:r>
        <w:t xml:space="preserve">is another facet: if trading OTC derivatives with crypto hedge funds or OTC desks, those counterparties themselves might fail when the market moves (several crypto funds went bust in 2022, potentially defaulting on OTC contracts). If the bank is using an exchange (CME) or a clearinghouse, counterparty risk is mitigated but clearinghouses faced huge variation margin flows (CME had to hike margins for crypto futures after big moves). CRO implications: ensure robust limits on notional and Greeks for any crypto derivative exposure, require high initial margins and frequent variation margin if bilateral, and stress test the derivative book under extreme 24/7 moves (including scenarios where markets might close – some offshore exchanges halted withdrawals in crises, etc.).</w:t>
      </w:r>
    </w:p>
    <w:p>
      <w:pPr>
        <w:pStyle w:val="BodyText"/>
      </w:pPr>
      <w:r>
        <w:rPr>
          <w:b/>
          <w:bCs/>
        </w:rPr>
        <w:t xml:space="preserve">Prime Brokerage, Margin Lending, Rehypothecation:</w:t>
      </w:r>
      <w:r>
        <w:t xml:space="preserve"> </w:t>
      </w:r>
      <w:r>
        <w:t xml:space="preserve">Some CIBs (or their broker arms) provide</w:t>
      </w:r>
      <w:r>
        <w:t xml:space="preserve"> </w:t>
      </w:r>
      <w:r>
        <w:rPr>
          <w:b/>
          <w:bCs/>
        </w:rPr>
        <w:t xml:space="preserve">prime services</w:t>
      </w:r>
      <w:r>
        <w:t xml:space="preserve"> </w:t>
      </w:r>
      <w:r>
        <w:t xml:space="preserve">to crypto trading firms – e.g. lending fiat or stablecoins against crypto collateral, clearing trades, or financing inventory. A notable example was Silvergate and Signature banks providing leverage to crypto market makers (though they weren’t G-SIBs; big banks have been cautious). As traditional players tiptoe in, a CRO must consider</w:t>
      </w:r>
      <w:r>
        <w:t xml:space="preserve"> </w:t>
      </w:r>
      <w:r>
        <w:rPr>
          <w:b/>
          <w:bCs/>
        </w:rPr>
        <w:t xml:space="preserve">counterparty risk and collateral risk</w:t>
      </w:r>
      <w:r>
        <w:t xml:space="preserve"> </w:t>
      </w:r>
      <w:r>
        <w:t xml:space="preserve">here. If a hedge fund is long crypto and borrows USD from the bank secured by crypto assets, a sudden drop in crypto prices can wipe out collateral value quickly, necessitating margin calls. If the move is very fast (weekend flash crash), the bank might not be able to liquidate collateral or even reach the client if out-of-hours – leading to losses. The collapse of</w:t>
      </w:r>
      <w:r>
        <w:t xml:space="preserve"> </w:t>
      </w:r>
      <w:r>
        <w:rPr>
          <w:b/>
          <w:bCs/>
        </w:rPr>
        <w:t xml:space="preserve">Three Arrows Capital (3AC)</w:t>
      </w:r>
      <w:r>
        <w:t xml:space="preserve"> </w:t>
      </w:r>
      <w:r>
        <w:t xml:space="preserve">in 2022 is instructive: many lenders had lent to 3AC on margin; when crypto prices fell ~50%, 3AC defaulted, leaving lenders with shortfalls</w:t>
      </w:r>
      <w:hyperlink r:id="rId72">
        <w:r>
          <w:rPr>
            <w:rStyle w:val="Hyperlink"/>
          </w:rPr>
          <w:t xml:space="preserve">[41]</w:t>
        </w:r>
      </w:hyperlink>
      <w:hyperlink r:id="rId73">
        <w:r>
          <w:rPr>
            <w:rStyle w:val="Hyperlink"/>
          </w:rPr>
          <w:t xml:space="preserve">[42]</w:t>
        </w:r>
      </w:hyperlink>
      <w:r>
        <w:t xml:space="preserve">. Also,</w:t>
      </w:r>
      <w:r>
        <w:t xml:space="preserve"> </w:t>
      </w:r>
      <w:r>
        <w:rPr>
          <w:b/>
          <w:bCs/>
        </w:rPr>
        <w:t xml:space="preserve">rehypothecation</w:t>
      </w:r>
      <w:r>
        <w:t xml:space="preserve">: in prime brokerage, client assets (e.g. Bitcoin) might be rehypothecated (used by the bank as collateral elsewhere). This can compound risk – if the bank lends out a client’s crypto and that third party fails, the bank might owe the client crypto it has to buy back at high price. Traditional prime brokers manage this with limits and liquidity reserves; in crypto, lack of market liquidity at times can trap rehypothecated assets. Additionally, crypto custody and prime is 24/7 – operational slip at odd hours could mean delayed margin calls or inability to intervene swiftly. CROs should enforce conservative</w:t>
      </w:r>
      <w:r>
        <w:t xml:space="preserve"> </w:t>
      </w:r>
      <w:r>
        <w:rPr>
          <w:b/>
          <w:bCs/>
        </w:rPr>
        <w:t xml:space="preserve">haircuts</w:t>
      </w:r>
      <w:r>
        <w:t xml:space="preserve"> </w:t>
      </w:r>
      <w:r>
        <w:t xml:space="preserve">on crypto collateral (far above traditional asset haircuts due to volatility) and perhaps avoid taking unstable coins or small-cap tokens as collateral entirely. Also need strong clauses: ability to liquidate collateral at any time (no stay), and continuous monitoring of client positions (potentially via on-chain data if client trades on DeFi – new methods needed!). Given the lessons from Archegos (not crypto but relevant parallel), concentration limits per client and requiring transparency into clients’ total leverage (not just with you, but elsewhere) are crucial – some crypto funds had multiple lenders none of whom knew the others’ exposure until default chain reaction.</w:t>
      </w:r>
    </w:p>
    <w:p>
      <w:pPr>
        <w:pStyle w:val="BodyText"/>
      </w:pPr>
      <w:r>
        <w:rPr>
          <w:b/>
          <w:bCs/>
        </w:rPr>
        <w:t xml:space="preserve">Custody, Settlement and 24/7 Operations:</w:t>
      </w:r>
      <w:r>
        <w:t xml:space="preserve"> </w:t>
      </w:r>
      <w:r>
        <w:t xml:space="preserve">If a CIB offers</w:t>
      </w:r>
      <w:r>
        <w:t xml:space="preserve"> </w:t>
      </w:r>
      <w:r>
        <w:rPr>
          <w:b/>
          <w:bCs/>
        </w:rPr>
        <w:t xml:space="preserve">custody of digital assets</w:t>
      </w:r>
      <w:r>
        <w:t xml:space="preserve"> </w:t>
      </w:r>
      <w:r>
        <w:t xml:space="preserve">for clients, it takes on significant</w:t>
      </w:r>
      <w:r>
        <w:t xml:space="preserve"> </w:t>
      </w:r>
      <w:r>
        <w:rPr>
          <w:b/>
          <w:bCs/>
        </w:rPr>
        <w:t xml:space="preserve">operational and crypto-specific risks</w:t>
      </w:r>
      <w:r>
        <w:t xml:space="preserve">. Crypto custody means securing private keys – if those are lost or stolen (through cyber breach or internal fraud), the assets are irretrievable (there’s no central authority to restore them). Traditional controls like dual controls, hardware security modules (HSMs), and multi-signature wallets are used to mitigate this, but attacks have happened even to well-secured platforms. For example, in 2022 the crypto bridge Ronin was hacked for $600M due to key compromise. A bank’s</w:t>
      </w:r>
      <w:r>
        <w:t xml:space="preserve"> </w:t>
      </w:r>
      <w:r>
        <w:rPr>
          <w:b/>
          <w:bCs/>
        </w:rPr>
        <w:t xml:space="preserve">liability</w:t>
      </w:r>
      <w:r>
        <w:t xml:space="preserve"> </w:t>
      </w:r>
      <w:r>
        <w:t xml:space="preserve">in custody is high – even if per terms maybe the bank isn’t fully liable for hacking losses, the reputational damage would be huge, and legal fights likely. Settlement risk: crypto trades on blockchain settle usually within minutes, but if a client trades on an exchange and the bank is moving assets after, there could be</w:t>
      </w:r>
      <w:r>
        <w:t xml:space="preserve"> </w:t>
      </w:r>
      <w:r>
        <w:rPr>
          <w:b/>
          <w:bCs/>
        </w:rPr>
        <w:t xml:space="preserve">timing mismatches</w:t>
      </w:r>
      <w:r>
        <w:t xml:space="preserve">. Also, if the bank holds crypto for clients and also internally (for any reason), segregation and clarity of ownership on-chain must be maintained to avoid disputes in a bankruptcy scenario (one reason regulators have asked banks to document crypto custody well). The</w:t>
      </w:r>
      <w:r>
        <w:t xml:space="preserve"> </w:t>
      </w:r>
      <w:r>
        <w:rPr>
          <w:b/>
          <w:bCs/>
        </w:rPr>
        <w:t xml:space="preserve">24/7 nature</w:t>
      </w:r>
      <w:r>
        <w:t xml:space="preserve"> </w:t>
      </w:r>
      <w:r>
        <w:t xml:space="preserve">is a major operational risk: unlike securities that settle in defined cycles, clients may initiate large transfers Saturday midnight. Does the bank have staff or automated monitoring at that time to notice potential fraud or an error (e.g. a fat-finger sending $50M bitcoin to wrong address – it’s gone forever)? Many banks’ back-offices aren’t staffed off-hours; new processes will be needed (maybe an on-call rotation, or partner with a firm that provides coverage).</w:t>
      </w:r>
      <w:r>
        <w:t xml:space="preserve"> </w:t>
      </w:r>
      <w:r>
        <w:rPr>
          <w:b/>
          <w:bCs/>
        </w:rPr>
        <w:t xml:space="preserve">Intraday (or intraweekend) liquidity</w:t>
      </w:r>
      <w:r>
        <w:t xml:space="preserve"> </w:t>
      </w:r>
      <w:r>
        <w:t xml:space="preserve">planning is also needed: if a client sells crypto Saturday for cash, do we credit them immediately? If yes, we effectively advance fiat liquidity before actually moving funds externally (since Fedwire isn’t open on weekends). Such situations can cause liquidity strain or credit exposure.</w:t>
      </w:r>
    </w:p>
    <w:p>
      <w:pPr>
        <w:pStyle w:val="BodyText"/>
      </w:pPr>
      <w:r>
        <w:t xml:space="preserve">Additionally,</w:t>
      </w:r>
      <w:r>
        <w:t xml:space="preserve"> </w:t>
      </w:r>
      <w:r>
        <w:rPr>
          <w:b/>
          <w:bCs/>
        </w:rPr>
        <w:t xml:space="preserve">collateral management</w:t>
      </w:r>
      <w:r>
        <w:t xml:space="preserve"> </w:t>
      </w:r>
      <w:r>
        <w:t xml:space="preserve">in a crypto context is tricky: if a client pledges crypto to borrow fiat, and crypto markets operate nonstop, margin calls could trigger any time; the bank’s collateral team must be empowered to liquidate collateral on a Sunday if needed or have pre-agreed automated liquidation through smart contracts perhaps. There’s a cultural shift needed for teams used to weekdays 9-5 markets.</w:t>
      </w:r>
    </w:p>
    <w:p>
      <w:pPr>
        <w:pStyle w:val="BodyText"/>
      </w:pPr>
      <w:r>
        <w:rPr>
          <w:b/>
          <w:bCs/>
        </w:rPr>
        <w:t xml:space="preserve">RWA Tokenization &amp; On-Chain Financing (Repo-like structures):</w:t>
      </w:r>
      <w:r>
        <w:t xml:space="preserve"> </w:t>
      </w:r>
      <w:r>
        <w:t xml:space="preserve">Innovative structures are appearing where real-world assets are financed on-chain in a way akin to repo or securitization. For example, MakerDAO (a DeFi protocol) started taking tokenized real-world loans and government bonds as collateral for loans of its stablecoin DAI. Banks like UBS executed tokenized money market instruments and then used them in repo transactions on blockchain. The risk here is</w:t>
      </w:r>
      <w:r>
        <w:t xml:space="preserve"> </w:t>
      </w:r>
      <w:r>
        <w:rPr>
          <w:b/>
          <w:bCs/>
        </w:rPr>
        <w:t xml:space="preserve">legal and operational</w:t>
      </w:r>
      <w:r>
        <w:t xml:space="preserve">: if a repo is done via a smart contract, does the bank have legal certainty of collateral foreclosure in default? Smart contracts themselves can have bugs – e.g. if a flaw is exploited, collateral might be stolen or wrongly allocated (there have been DeFi hacks where collateral pools were drained). Also,</w:t>
      </w:r>
      <w:r>
        <w:t xml:space="preserve"> </w:t>
      </w:r>
      <w:r>
        <w:rPr>
          <w:b/>
          <w:bCs/>
        </w:rPr>
        <w:t xml:space="preserve">market risk of RWA tokens</w:t>
      </w:r>
      <w:r>
        <w:t xml:space="preserve">: if they trade on thinly traded digital exchanges, their price might diverge from true NAV, causing weird P&amp;L for a holder. For CROs, any on-chain financing should be robustly analyzed: ideally enforce dual recourse (both smart contract and traditional legal agreement). Stress test scenarios where the underlying asset is fine but the token’s liquidity dries up or market panics separate from fundamentals. If the bank participates in a DeFi protocol for yield (some have tested providing liquidity to on-chain pools), it must consider</w:t>
      </w:r>
      <w:r>
        <w:t xml:space="preserve"> </w:t>
      </w:r>
      <w:r>
        <w:rPr>
          <w:b/>
          <w:bCs/>
        </w:rPr>
        <w:t xml:space="preserve">smart contract risk</w:t>
      </w:r>
      <w:r>
        <w:t xml:space="preserve"> </w:t>
      </w:r>
      <w:r>
        <w:t xml:space="preserve">akin to an operational risk – e.g. allocate an economic capital charge for it or get insurance if available. A historical lesson: in 2020, some DeFi lending pools had reflexive crashes – as prices dropped, loans auto-liquidated, further dropping price in a cascade (similar to margin cascade in traditional markets, but faster). An example: the</w:t>
      </w:r>
      <w:r>
        <w:t xml:space="preserve"> </w:t>
      </w:r>
      <w:r>
        <w:rPr>
          <w:b/>
          <w:bCs/>
        </w:rPr>
        <w:t xml:space="preserve">March 2020 “Black Thursday”</w:t>
      </w:r>
      <w:r>
        <w:t xml:space="preserve"> </w:t>
      </w:r>
      <w:r>
        <w:t xml:space="preserve">in crypto where MakerDAO had a cascade of liquidations and some collateral sold for 0 due to auction failures, leaving a hole in the system that had to be recapitalized by users. If a bank were using such a system for lending, it could face unexpected losses or require contributing more capital.</w:t>
      </w:r>
    </w:p>
    <w:p>
      <w:pPr>
        <w:pStyle w:val="BodyText"/>
      </w:pPr>
      <w:r>
        <w:rPr>
          <w:b/>
          <w:bCs/>
        </w:rPr>
        <w:t xml:space="preserve">On-Chain Leverage &amp; Reflexivity:</w:t>
      </w:r>
      <w:r>
        <w:t xml:space="preserve"> </w:t>
      </w:r>
      <w:r>
        <w:t xml:space="preserve">Relatedly, crypto markets, especially DeFi, enable</w:t>
      </w:r>
      <w:r>
        <w:t xml:space="preserve"> </w:t>
      </w:r>
      <w:r>
        <w:rPr>
          <w:b/>
          <w:bCs/>
        </w:rPr>
        <w:t xml:space="preserve">high leverage</w:t>
      </w:r>
      <w:r>
        <w:t xml:space="preserve"> </w:t>
      </w:r>
      <w:r>
        <w:t xml:space="preserve">through looping strategies (e.g., deposit collateral, borrow stablecoins, buy more collateral, repeat) and through automated liquidation mechanisms. This can create a highly reflexive system where price drops trigger instant collateral sales (liquidations) which further drop the price – a downward spiral. We saw something like this with</w:t>
      </w:r>
      <w:r>
        <w:t xml:space="preserve"> </w:t>
      </w:r>
      <w:r>
        <w:rPr>
          <w:b/>
          <w:bCs/>
        </w:rPr>
        <w:t xml:space="preserve">stETH (staked Ether) in 2022</w:t>
      </w:r>
      <w:r>
        <w:t xml:space="preserve">: it traded at a discount causing leveraged holders to get liquidated, further depressing price. For a CIB, even if not directly in DeFi, it might have indirect exposure: e.g. a hedge fund client might be yield farming (leveraged liquidity providing in DeFi) – if that unwinds, they may default on loans from the bank or withdraw funds abruptly. Or if the bank holds crypto collateral, an on-chain mechanism might suddenly liquidate some of that collateral in a way that front-runs the bank’s own risk controls (some DeFi lenders have priority on collateral). CROs should consider the worst-case</w:t>
      </w:r>
      <w:r>
        <w:t xml:space="preserve"> </w:t>
      </w:r>
      <w:r>
        <w:rPr>
          <w:i/>
          <w:iCs/>
        </w:rPr>
        <w:t xml:space="preserve">liquidity dry-ups</w:t>
      </w:r>
      <w:r>
        <w:t xml:space="preserve">: crypto liquidity can vanish during off hours or when major players fail (as seen when FTX collapsed – a lot of market makers withdrew, causing poor liquidity and large bid-ask spreads). That means assumptions about being able to exit a position at X price with Y slippage might be very wrong in stress – emphasize conservative assumptions and large add-ons for concentrated or off-hours positions.</w:t>
      </w:r>
    </w:p>
    <w:p>
      <w:pPr>
        <w:pStyle w:val="BodyText"/>
      </w:pPr>
      <w:r>
        <w:rPr>
          <w:b/>
          <w:bCs/>
        </w:rPr>
        <w:t xml:space="preserve">KYC/AML, Sanctions (OFAC) &amp; “Travel Rule”:</w:t>
      </w:r>
      <w:r>
        <w:t xml:space="preserve"> </w:t>
      </w:r>
      <w:r>
        <w:t xml:space="preserve">Because crypto’s pseudonymous nature has been used for illicit transfers (hacker ransom, sanctions evasion, etc.), regulators have extended AML rules to crypto activities. The</w:t>
      </w:r>
      <w:r>
        <w:t xml:space="preserve"> </w:t>
      </w:r>
      <w:r>
        <w:rPr>
          <w:b/>
          <w:bCs/>
        </w:rPr>
        <w:t xml:space="preserve">FATF “travel rule”</w:t>
      </w:r>
      <w:r>
        <w:t xml:space="preserve"> </w:t>
      </w:r>
      <w:r>
        <w:t xml:space="preserve">requires that originator and beneficiary information accompany transfers of digital assets, similar to wire transfers. Many jurisdictions in 2024/25 are enforcing this for Virtual Asset Service Providers (VASPs). For a bank, this means if it is involved in crypto transfers (either as an exchange operator, custodian, or even just providing banking to a crypto exchange), it must ensure compliance data flows. If the bank directly offers crypto wallets to clients, it needs to implement technology to attach KYC info to outgoing transfers above certain thresholds. Non-compliance could lead to regulatory penalties or being cut off by correspondents.</w:t>
      </w:r>
      <w:r>
        <w:t xml:space="preserve"> </w:t>
      </w:r>
      <w:r>
        <w:rPr>
          <w:b/>
          <w:bCs/>
        </w:rPr>
        <w:t xml:space="preserve">Sanctions risk</w:t>
      </w:r>
      <w:r>
        <w:t xml:space="preserve">: the US OFAC has sanctioned crypto addresses linked to terrorism or North Korean hackers, etc. Banks must ensure they don’t facilitate transactions with those. Notably, OFAC even sanctioned a smart contract (Tornado Cash mixer) in 2022, meaning interacting with that code could be a violation. This is new territory – a bank could inadvertently violate sanctions if, for instance, it took as collateral some crypto that had taint from a sanctioned address, or if its client sends crypto to a blacklisted wallet. Therefore, robust</w:t>
      </w:r>
      <w:r>
        <w:t xml:space="preserve"> </w:t>
      </w:r>
      <w:r>
        <w:rPr>
          <w:b/>
          <w:bCs/>
        </w:rPr>
        <w:t xml:space="preserve">blockchain analytics</w:t>
      </w:r>
      <w:r>
        <w:t xml:space="preserve"> </w:t>
      </w:r>
      <w:r>
        <w:t xml:space="preserve">are needed to trace source of funds. Many banks will rely on specialized companies that track wallet histories and risk-score them. If offering custody, the bank should screen deposits for any tainted coins (and have a policy to reject or quarantine them).</w:t>
      </w:r>
      <w:r>
        <w:t xml:space="preserve"> </w:t>
      </w:r>
      <w:r>
        <w:rPr>
          <w:b/>
          <w:bCs/>
        </w:rPr>
        <w:t xml:space="preserve">Fraud and scams</w:t>
      </w:r>
      <w:r>
        <w:t xml:space="preserve"> </w:t>
      </w:r>
      <w:r>
        <w:t xml:space="preserve">are rampant in crypto – clients might be tricked into sending from their bank-linked wallet to scammers; the bank’s liability may be limited, but it’s a reputational issue and possibly leads to legal fights. Also the</w:t>
      </w:r>
      <w:r>
        <w:t xml:space="preserve"> </w:t>
      </w:r>
      <w:r>
        <w:rPr>
          <w:b/>
          <w:bCs/>
        </w:rPr>
        <w:t xml:space="preserve">“travel rule” compliance</w:t>
      </w:r>
      <w:r>
        <w:t xml:space="preserve"> </w:t>
      </w:r>
      <w:r>
        <w:t xml:space="preserve">globally is uneven – FATF in 2024 noted 75% of jurisdictions still not fully compliant</w:t>
      </w:r>
      <w:hyperlink r:id="rId74">
        <w:r>
          <w:rPr>
            <w:rStyle w:val="Hyperlink"/>
          </w:rPr>
          <w:t xml:space="preserve">[43]</w:t>
        </w:r>
      </w:hyperlink>
      <w:r>
        <w:t xml:space="preserve">. So if a client’s crypto goes to an exchange in a lax jurisdiction, the bank could indirectly be enabling a gap.</w:t>
      </w:r>
    </w:p>
    <w:p>
      <w:pPr>
        <w:pStyle w:val="BodyText"/>
      </w:pPr>
      <w:r>
        <w:rPr>
          <w:b/>
          <w:bCs/>
        </w:rPr>
        <w:t xml:space="preserve">Historical Stress Examples &amp; Lessons:</w:t>
      </w:r>
      <w:r>
        <w:t xml:space="preserve"> </w:t>
      </w:r>
      <w:r>
        <w:t xml:space="preserve">The crypto market provided painful lessons in 2022: Terra/Luna collapse (algorithmic stablecoin death spiral) wiped out $70B</w:t>
      </w:r>
      <w:hyperlink r:id="rId68">
        <w:r>
          <w:rPr>
            <w:rStyle w:val="Hyperlink"/>
          </w:rPr>
          <w:t xml:space="preserve">[38]</w:t>
        </w:r>
      </w:hyperlink>
      <w:r>
        <w:t xml:space="preserve"> </w:t>
      </w:r>
      <w:r>
        <w:t xml:space="preserve">and triggered failures of a major hedge fund (3AC) and lenders (Celsius, Voyager)</w:t>
      </w:r>
      <w:hyperlink r:id="rId73">
        <w:r>
          <w:rPr>
            <w:rStyle w:val="Hyperlink"/>
          </w:rPr>
          <w:t xml:space="preserve">[44]</w:t>
        </w:r>
      </w:hyperlink>
      <w:hyperlink r:id="rId44">
        <w:r>
          <w:rPr>
            <w:rStyle w:val="Hyperlink"/>
          </w:rPr>
          <w:t xml:space="preserve">[45]</w:t>
        </w:r>
      </w:hyperlink>
      <w:r>
        <w:t xml:space="preserve">. Lesson: don’t accept algo stablecoins or highly correlated collateral without huge haircuts and diversification – that was essentially a wrong-way risk event (the collateral (Luna tokens) and borrower (fund) both crashed together). The</w:t>
      </w:r>
      <w:r>
        <w:t xml:space="preserve"> </w:t>
      </w:r>
      <w:r>
        <w:rPr>
          <w:b/>
          <w:bCs/>
        </w:rPr>
        <w:t xml:space="preserve">FTX exchange collapse</w:t>
      </w:r>
      <w:r>
        <w:t xml:space="preserve"> </w:t>
      </w:r>
      <w:r>
        <w:t xml:space="preserve">in Nov 2022</w:t>
      </w:r>
      <w:hyperlink r:id="rId75">
        <w:r>
          <w:rPr>
            <w:rStyle w:val="Hyperlink"/>
          </w:rPr>
          <w:t xml:space="preserve">[46]</w:t>
        </w:r>
      </w:hyperlink>
      <w:hyperlink r:id="rId76">
        <w:r>
          <w:rPr>
            <w:rStyle w:val="Hyperlink"/>
          </w:rPr>
          <w:t xml:space="preserve">[47]</w:t>
        </w:r>
      </w:hyperlink>
      <w:r>
        <w:t xml:space="preserve"> </w:t>
      </w:r>
      <w:r>
        <w:t xml:space="preserve">taught that even large, seemingly well-run crypto institutions can have hidden leverage and fraud, imploding almost overnight and freezing all assets. Any bank that had exposure to FTX (some had small equity stakes, most did not lend to it) would have had to write it off. It underscores counterparty due diligence – requiring audited financials, on-chain proof of reserves (some exchanges now publish addresses) and not relying on reputation or size alone. Also, when FTX fell, crypto markets dropped 20% in two days</w:t>
      </w:r>
      <w:hyperlink r:id="rId75">
        <w:r>
          <w:rPr>
            <w:rStyle w:val="Hyperlink"/>
          </w:rPr>
          <w:t xml:space="preserve">[46]</w:t>
        </w:r>
      </w:hyperlink>
      <w:r>
        <w:t xml:space="preserve">, showing how fast contagion happens without circuit breakers or lender-of-last-resort in crypto. One more:</w:t>
      </w:r>
      <w:r>
        <w:t xml:space="preserve"> </w:t>
      </w:r>
      <w:r>
        <w:rPr>
          <w:b/>
          <w:bCs/>
        </w:rPr>
        <w:t xml:space="preserve">stablecoin depegging</w:t>
      </w:r>
      <w:r>
        <w:t xml:space="preserve"> </w:t>
      </w:r>
      <w:r>
        <w:t xml:space="preserve">– aside from Terra, even USDC’s brief depeg in 2023 (due to a bank run fear) shows that a stablecoin’s parity is not guaranteed. If a bank or its clients treat stablecoin = $1 always, they could be caught off guard if, say, in a market stress USDT falls to $0.95 because of reserve concerns (it has in past briefly). That could cause margin shortfalls if used as collateral or trading losses if holding inventory. CRO should thus consider stablecoins as an exposure with its own credit risk of the issuer/reserve.</w:t>
      </w:r>
    </w:p>
    <w:p>
      <w:pPr>
        <w:pStyle w:val="BodyText"/>
      </w:pPr>
      <w:r>
        <w:rPr>
          <w:b/>
          <w:bCs/>
        </w:rPr>
        <w:t xml:space="preserve">CRO-Level Questions to Ask:</w:t>
      </w:r>
      <w:r>
        <w:t xml:space="preserve"> </w:t>
      </w:r>
      <w:r>
        <w:t xml:space="preserve">Given these exposures, a CRO should challenge the organization with questions like: “Do we have a full inventory of our crypto exposures across all business lines (direct and indirect)? If a major crypto exchange or stablecoin failed tomorrow, what losses or disruptions could we face and how would we respond?”; “Are our risk models and limits capturing the 24/7, jumpy nature of crypto markets? For instance, are we calculating VaR on crypto positions with appropriate volatility and fat-tail assumptions? Are weekend/holiday exposures constrained by special limits or monitoring?”; “What is our plan if a crypto counterparty (exchange, fund, custodian) suddenly freezes withdrawals? Do we have alternative liquidity or exit routes? Have we limited how much we rely on any single venue?”; “Are we comfortable with the legal enforceability of our crypto collateral agreements? Have we tested a scenario of default – can we quickly liquidate collateral, even if that collateral is a token or something that trades on obscure platforms?”; “Is our AML and compliance framework effectively covering crypto flows? This means not just having policies but tech tools and people who understand on-chain analytics. Have we had an independent assessment of our crypto compliance readiness?”; “Finally, should we even be offering certain crypto services or taking certain exposures? What is the risk/return and strategic rationale? If we do, what’s the end-game—are we building capability to scale up if the sector grows (thus needing investment in robust infrastructure), or just dabbling?”</w:t>
      </w:r>
    </w:p>
    <w:p>
      <w:pPr>
        <w:pStyle w:val="BodyText"/>
      </w:pPr>
      <w:r>
        <w:t xml:space="preserve">Each positive answer or strategic decision needs to be clearly supported, and negative answers (gaps) must be remediated quickly given the pace of crypto markets.</w:t>
      </w:r>
    </w:p>
    <w:bookmarkEnd w:id="77"/>
    <w:bookmarkStart w:id="81" w:name="c.-quantitative-risk-characteristics"/>
    <w:p>
      <w:pPr>
        <w:pStyle w:val="Heading3"/>
      </w:pPr>
      <w:r>
        <w:t xml:space="preserve">4C. Quantitative Risk Characteristics</w:t>
      </w:r>
    </w:p>
    <w:p>
      <w:pPr>
        <w:pStyle w:val="FirstParagraph"/>
      </w:pPr>
      <w:r>
        <w:t xml:space="preserve">Crypto assets exhibit extreme quantitative risk characteristics that differ significantly from traditional asset classes. Understanding these is crucial for calibrating risk models, setting limits, and stress testing.</w:t>
      </w:r>
    </w:p>
    <w:p>
      <w:pPr>
        <w:pStyle w:val="BodyText"/>
      </w:pPr>
      <w:r>
        <w:rPr>
          <w:b/>
          <w:bCs/>
        </w:rPr>
        <w:t xml:space="preserve">Extreme Volatility and Fat Tails:</w:t>
      </w:r>
      <w:r>
        <w:t xml:space="preserve"> </w:t>
      </w:r>
      <w:r>
        <w:t xml:space="preserve">Cryptocurrencies are notorious for volatility an order of magnitude higher than FX or equities. For example,</w:t>
      </w:r>
      <w:r>
        <w:t xml:space="preserve"> </w:t>
      </w:r>
      <w:r>
        <w:rPr>
          <w:b/>
          <w:bCs/>
        </w:rPr>
        <w:t xml:space="preserve">Bitcoin’s annualized volatility</w:t>
      </w:r>
      <w:r>
        <w:t xml:space="preserve"> </w:t>
      </w:r>
      <w:r>
        <w:t xml:space="preserve">has often been in the 60–100% range (compared to ~15–20% for S&amp;P 500) and for smaller tokens it can exceed 100%. Daily moves of ±10% are common; moves of ±30% in a day have occurred multiple times (e.g., the March 12, 2020 Bitcoin crash of ~40% in one day, or the May 2021 drop of ~30%). Distributions of returns are highly</w:t>
      </w:r>
      <w:r>
        <w:t xml:space="preserve"> </w:t>
      </w:r>
      <w:r>
        <w:rPr>
          <w:b/>
          <w:bCs/>
        </w:rPr>
        <w:t xml:space="preserve">leptokurtic</w:t>
      </w:r>
      <w:r>
        <w:t xml:space="preserve"> </w:t>
      </w:r>
      <w:r>
        <w:t xml:space="preserve">– heavy tails and skewed. This means using normal distribution assumptions (as in many VaR models) is particularly misleading for crypto. For instance, 10-day 99% VaR might overestimate actual risk if calibrated to calm periods and then vastly underestimate in stressed periods. Empirical analysis (e.g. by Banque de France) has shown crypto correlations with equities can jump in stress and that</w:t>
      </w:r>
      <w:r>
        <w:t xml:space="preserve"> </w:t>
      </w:r>
      <w:r>
        <w:rPr>
          <w:b/>
          <w:bCs/>
        </w:rPr>
        <w:t xml:space="preserve">50%+ drawdowns</w:t>
      </w:r>
      <w:r>
        <w:t xml:space="preserve"> </w:t>
      </w:r>
      <w:r>
        <w:t xml:space="preserve">in crypto have happened within months</w:t>
      </w:r>
      <w:hyperlink r:id="rId78">
        <w:r>
          <w:rPr>
            <w:rStyle w:val="Hyperlink"/>
          </w:rPr>
          <w:t xml:space="preserve">[48]</w:t>
        </w:r>
      </w:hyperlink>
      <w:hyperlink r:id="rId79">
        <w:r>
          <w:rPr>
            <w:rStyle w:val="Hyperlink"/>
          </w:rPr>
          <w:t xml:space="preserve">[49]</w:t>
        </w:r>
      </w:hyperlink>
      <w:r>
        <w:t xml:space="preserve">. The “fat tails” imply that conventional confidence intervals understate true risk of extreme loss – e.g. the probability of a 5-sigma move in crypto is not remote, it might be a few percent chance.</w:t>
      </w:r>
      <w:r>
        <w:t xml:space="preserve"> </w:t>
      </w:r>
      <w:r>
        <w:rPr>
          <w:b/>
          <w:bCs/>
        </w:rPr>
        <w:t xml:space="preserve">CRO approach:</w:t>
      </w:r>
      <w:r>
        <w:t xml:space="preserve"> </w:t>
      </w:r>
      <w:r>
        <w:t xml:space="preserve">incorporate fat-tail models (Pareto/Power-law tails, EVT-based stress scenarios) and do not rely solely on historical VaR that might average out regimes. Use</w:t>
      </w:r>
      <w:r>
        <w:t xml:space="preserve"> </w:t>
      </w:r>
      <w:r>
        <w:rPr>
          <w:b/>
          <w:bCs/>
        </w:rPr>
        <w:t xml:space="preserve">expected shortfall</w:t>
      </w:r>
      <w:r>
        <w:t xml:space="preserve"> </w:t>
      </w:r>
      <w:r>
        <w:t xml:space="preserve">or other tail risk measures to capture impact if those big moves happen. And practically, set trading limits acknowledging that a single day move could blow through several days of VAR – require extra capital or smaller positions to cover that.</w:t>
      </w:r>
    </w:p>
    <w:p>
      <w:pPr>
        <w:pStyle w:val="BodyText"/>
      </w:pPr>
      <w:r>
        <w:rPr>
          <w:b/>
          <w:bCs/>
        </w:rPr>
        <w:t xml:space="preserve">Liquidity Gaps and Shallow Order Books:</w:t>
      </w:r>
      <w:r>
        <w:t xml:space="preserve"> </w:t>
      </w:r>
      <w:r>
        <w:t xml:space="preserve">While headline trading volumes in crypto can be large, liquidity can vanish quickly in stress or off-peak hours. The market is fragmented among dozens of exchanges (some with varying reliability). There’s also a phenomenon that</w:t>
      </w:r>
      <w:r>
        <w:t xml:space="preserve"> </w:t>
      </w:r>
      <w:r>
        <w:rPr>
          <w:b/>
          <w:bCs/>
        </w:rPr>
        <w:t xml:space="preserve">market depth</w:t>
      </w:r>
      <w:r>
        <w:t xml:space="preserve"> </w:t>
      </w:r>
      <w:r>
        <w:t xml:space="preserve">is often thin relative to market cap. For instance, an order of $5 million might significantly move the price of a mid-cap token. During normal times, spreads on major coins are tight, but in volatility spikes, order books may partially or fully withdraw (market makers pull quotes), leading to gapping. There have been “flash crashes” – e.g., on certain exchanges, Ether price momentarily crashed from ~$300 to $0.10 in June 2017 due to a large market sell and thin order book. Even Bitcoin has seen mini-crashes on individual exchanges due to liquidity issues. Additionally,</w:t>
      </w:r>
      <w:r>
        <w:t xml:space="preserve"> </w:t>
      </w:r>
      <w:r>
        <w:rPr>
          <w:b/>
          <w:bCs/>
        </w:rPr>
        <w:t xml:space="preserve">weekend liquidity</w:t>
      </w:r>
      <w:r>
        <w:t xml:space="preserve"> </w:t>
      </w:r>
      <w:r>
        <w:t xml:space="preserve">tends to be lower – ironically when banks are closed, crypto still trades but fewer participants might be active, causing outsized moves on news that in traditional markets would wait for Monday.</w:t>
      </w:r>
      <w:r>
        <w:t xml:space="preserve"> </w:t>
      </w:r>
      <w:r>
        <w:rPr>
          <w:b/>
          <w:bCs/>
        </w:rPr>
        <w:t xml:space="preserve">Implication:</w:t>
      </w:r>
      <w:r>
        <w:t xml:space="preserve"> </w:t>
      </w:r>
      <w:r>
        <w:t xml:space="preserve">A CIB holding crypto positions or collateral must assume that they might not be able to exit at a “fair” price under stress; slippage could be huge. Model-wise, liquidity-adjusted VaR or add-on haircuts are warranted. The CRO should implement</w:t>
      </w:r>
      <w:r>
        <w:t xml:space="preserve"> </w:t>
      </w:r>
      <w:r>
        <w:rPr>
          <w:b/>
          <w:bCs/>
        </w:rPr>
        <w:t xml:space="preserve">conservative collateral haircuts</w:t>
      </w:r>
      <w:r>
        <w:t xml:space="preserve"> </w:t>
      </w:r>
      <w:r>
        <w:t xml:space="preserve">and</w:t>
      </w:r>
      <w:r>
        <w:t xml:space="preserve"> </w:t>
      </w:r>
      <w:r>
        <w:rPr>
          <w:b/>
          <w:bCs/>
        </w:rPr>
        <w:t xml:space="preserve">limit concentration</w:t>
      </w:r>
      <w:r>
        <w:t xml:space="preserve"> </w:t>
      </w:r>
      <w:r>
        <w:t xml:space="preserve">– e.g. do not allow taking as collateral or holding very large amounts of small-cap tokens where dumping them would crater their value. Also consider the</w:t>
      </w:r>
      <w:r>
        <w:t xml:space="preserve"> </w:t>
      </w:r>
      <w:r>
        <w:rPr>
          <w:b/>
          <w:bCs/>
        </w:rPr>
        <w:t xml:space="preserve">lack of circuit breakers</w:t>
      </w:r>
      <w:r>
        <w:t xml:space="preserve">: in stock markets, big moves trigger halts, giving breathing room. In crypto, nothing stops Bitcoin from dropping 20% in an hour continuously. That can cause sequential liquidations (as mentioned) and a downward spiral. So intraday risk management needs to be dynamic – perhaps automated triggers to cut positions if beyond certain loss rather than assuming mean reversion.</w:t>
      </w:r>
    </w:p>
    <w:p>
      <w:pPr>
        <w:pStyle w:val="BodyText"/>
      </w:pPr>
      <w:r>
        <w:rPr>
          <w:b/>
          <w:bCs/>
        </w:rPr>
        <w:t xml:space="preserve">Correlation with Other Assets (Dynamic &amp; Sentiment-Driven):</w:t>
      </w:r>
      <w:r>
        <w:t xml:space="preserve"> </w:t>
      </w:r>
      <w:r>
        <w:t xml:space="preserve">Crypto’s correlation with traditional assets has evolved. Initially touted as uncorrelated, in practice</w:t>
      </w:r>
      <w:r>
        <w:t xml:space="preserve"> </w:t>
      </w:r>
      <w:r>
        <w:rPr>
          <w:b/>
          <w:bCs/>
        </w:rPr>
        <w:t xml:space="preserve">Bitcoin and tech stocks</w:t>
      </w:r>
      <w:r>
        <w:t xml:space="preserve"> </w:t>
      </w:r>
      <w:r>
        <w:t xml:space="preserve">or high-growth risk assets have shown periods of positive correlation – notably, since 2020, in risk-on environments Bitcoin often rallies alongside Nasdaq, and in global risk-off (like early pandemic, or tightening cycles) it sold off similarly</w:t>
      </w:r>
      <w:hyperlink r:id="rId80">
        <w:r>
          <w:rPr>
            <w:rStyle w:val="Hyperlink"/>
          </w:rPr>
          <w:t xml:space="preserve">[50]</w:t>
        </w:r>
      </w:hyperlink>
      <w:r>
        <w:t xml:space="preserve">. Banque de France noted correlation with Nasdaq reaching up to 85% at times in 2022</w:t>
      </w:r>
      <w:hyperlink r:id="rId80">
        <w:r>
          <w:rPr>
            <w:rStyle w:val="Hyperlink"/>
          </w:rPr>
          <w:t xml:space="preserve">[50]</w:t>
        </w:r>
      </w:hyperlink>
      <w:r>
        <w:t xml:space="preserve">. However, correlation is not stable: at times crypto decouples (driven by idiosyncratic crypto news). Also within crypto, correlations can go to 1 in a crash – everything falls together (altcoins usually have beta &gt;1 to Bitcoin). For CROs, this means: (a) Crypto is not a reliable diversifier in crisis – so if using it in portfolios, don’t assume it hedges anything; in fact it can amplify moves (like another high-beta equity). (b) However, sudden decorrelation can happen if, say, a crypto-specific issue arises (regulatory ban on crypto in some country), then crypto could crash while equities flat – so scenario analysis should include both systemic and idiosyncratic patterns. Another point: correlation to</w:t>
      </w:r>
      <w:r>
        <w:t xml:space="preserve"> </w:t>
      </w:r>
      <w:r>
        <w:rPr>
          <w:b/>
          <w:bCs/>
        </w:rPr>
        <w:t xml:space="preserve">macro variables</w:t>
      </w:r>
      <w:r>
        <w:t xml:space="preserve"> </w:t>
      </w:r>
      <w:r>
        <w:t xml:space="preserve">like interest rates – some argue Bitcoin is sensitive to real rates (like gold is), but evidence is mixed. We did see that in a low-rate abundant liquidity environment, crypto thrived, and when rates rose in 2022, crypto, like other risk assets, tanked. So macro factors now influence crypto more as institutions treat it in risk portfolios.</w:t>
      </w:r>
      <w:r>
        <w:t xml:space="preserve"> </w:t>
      </w:r>
      <w:r>
        <w:rPr>
          <w:b/>
          <w:bCs/>
        </w:rPr>
        <w:t xml:space="preserve">Takeaway:</w:t>
      </w:r>
      <w:r>
        <w:t xml:space="preserve"> </w:t>
      </w:r>
      <w:r>
        <w:t xml:space="preserve">Risk models should allow correlation inputs to vary by regime or have stressed correlation assumptions. CRO should also monitor correlation breakdowns as a sign of shifting regimes (e.g., if crypto starts rising while stocks fall, maybe specific drivers like regulatory changes are at play; or vice versa, if correlation suddenly locks to 1, market is in all-out risk aversion mode – both instruct risk management actions like adjusting hedges or margin).</w:t>
      </w:r>
    </w:p>
    <w:p>
      <w:pPr>
        <w:pStyle w:val="BodyText"/>
      </w:pPr>
      <w:r>
        <w:rPr>
          <w:b/>
          <w:bCs/>
        </w:rPr>
        <w:t xml:space="preserve">24/7 Trading – Implications for VaR, Limits, Monitoring:</w:t>
      </w:r>
      <w:r>
        <w:t xml:space="preserve"> </w:t>
      </w:r>
      <w:r>
        <w:t xml:space="preserve">Traditional risk metrics like daily VaR assume a close price each day; but crypto doesn’t close. This complicates things like calculating a “daily P&amp;L” – there’s an arbitrariness to cut-off. If a big move happens Sunday, waiting until Monday to reflect it might miss risk limits. For VaR models, if using daily data, a weekend move might appear as a gap between Friday and Monday prices which could be huge but if risk systems weren’t running, positions might not have been cut. Some banks use a</w:t>
      </w:r>
      <w:r>
        <w:t xml:space="preserve"> </w:t>
      </w:r>
      <w:r>
        <w:rPr>
          <w:b/>
          <w:bCs/>
        </w:rPr>
        <w:t xml:space="preserve">“time decay”</w:t>
      </w:r>
      <w:r>
        <w:t xml:space="preserve"> </w:t>
      </w:r>
      <w:r>
        <w:t xml:space="preserve">approach – treating weekend as multiple days or incorporating higher volatility over that period. CRO may consider requiring</w:t>
      </w:r>
      <w:r>
        <w:t xml:space="preserve"> </w:t>
      </w:r>
      <w:r>
        <w:rPr>
          <w:b/>
          <w:bCs/>
        </w:rPr>
        <w:t xml:space="preserve">weekend limits</w:t>
      </w:r>
      <w:r>
        <w:t xml:space="preserve">: e.g. smaller position limits from Friday to Sunday unless you have 24/7 desk coverage. Or enforce automated stop-loss orders for certain positions when staff is away. Another aspect: operational incidents can happen off hours – e.g. a bug, a hack on Sunday could make markets plunge or freeze. The firm’s incident response can’t wait to next business day. So risk monitoring must either be continuous (through automated alerts to on-call staff for any limit breach or unusual event) or very conservative going into weekends (prefunding margin, reducing positions). For instance, credit lines to crypto exchanges might need to be smaller over weekends. The notion of</w:t>
      </w:r>
      <w:r>
        <w:t xml:space="preserve"> </w:t>
      </w:r>
      <w:r>
        <w:rPr>
          <w:b/>
          <w:bCs/>
        </w:rPr>
        <w:t xml:space="preserve">closing prices</w:t>
      </w:r>
      <w:r>
        <w:t xml:space="preserve"> </w:t>
      </w:r>
      <w:r>
        <w:t xml:space="preserve">is fuzzy – do you mark at Sunday midnight? Risk reports might need special treatment to avoid false risk signals (like a huge Monday “return” that happened gradually over weekend). Regulators will ask how you account for this in risk and valuation – the CRO should have a clear methodology. On limits, you might have lower appetite for holding large inventory over periods when your main risk team isn’t fully staffed. Perhaps use</w:t>
      </w:r>
      <w:r>
        <w:t xml:space="preserve"> </w:t>
      </w:r>
      <w:r>
        <w:rPr>
          <w:b/>
          <w:bCs/>
        </w:rPr>
        <w:t xml:space="preserve">automated triggers</w:t>
      </w:r>
      <w:r>
        <w:t xml:space="preserve"> </w:t>
      </w:r>
      <w:r>
        <w:t xml:space="preserve">that if loss exceeds X during off hours, an algorithm trims the position (though even that automation has risks if market is disorderly). These are new challenges to integrate into risk frameworks.</w:t>
      </w:r>
    </w:p>
    <w:p>
      <w:pPr>
        <w:pStyle w:val="BodyText"/>
      </w:pPr>
      <w:r>
        <w:rPr>
          <w:b/>
          <w:bCs/>
        </w:rPr>
        <w:t xml:space="preserve">New Risk Factors Unique to Crypto:</w:t>
      </w:r>
      <w:r>
        <w:t xml:space="preserve"> </w:t>
      </w:r>
      <w:r>
        <w:t xml:space="preserve">A few specific risk factors have emerged:</w:t>
      </w:r>
    </w:p>
    <w:p>
      <w:pPr>
        <w:numPr>
          <w:ilvl w:val="0"/>
          <w:numId w:val="1011"/>
        </w:numPr>
      </w:pPr>
      <w:r>
        <w:rPr>
          <w:b/>
          <w:bCs/>
        </w:rPr>
        <w:t xml:space="preserve">Funding Rate Risk:</w:t>
      </w:r>
      <w:r>
        <w:t xml:space="preserve"> </w:t>
      </w:r>
      <w:r>
        <w:t xml:space="preserve">In crypto perpetual futures (which don’t expire, common on crypto exchanges), a “funding rate” is periodically paid between longs and shorts to keep futures price near spot. This rate can be highly volatile and itself becomes a risk factor (e.g., in bullish markets, longs often pay high funding, which is a cost; in stress, it can flip). If a bank or client holds perps, swings in funding rates affect P&amp;L and effectively interest cost of position. Large moves in funding (e.g. shorts paying &gt;0.1% every 8 hours annualizes huge) can force unwinding. So risk models should capture that akin to an interest rate on positions.</w:t>
      </w:r>
    </w:p>
    <w:p>
      <w:pPr>
        <w:numPr>
          <w:ilvl w:val="0"/>
          <w:numId w:val="1011"/>
        </w:numPr>
      </w:pPr>
      <w:r>
        <w:rPr>
          <w:b/>
          <w:bCs/>
        </w:rPr>
        <w:t xml:space="preserve">Validator/Staking Risk:</w:t>
      </w:r>
      <w:r>
        <w:t xml:space="preserve"> </w:t>
      </w:r>
      <w:r>
        <w:t xml:space="preserve">With Ethereum and others moving to Proof-of-Stake, holding crypto may include the option to “stake” it to earn yield, but then slashing risk emerges – if the validator (possibly a service the bank uses or runs) misbehaves or goes offline, some stake can be lost. Even if not slashed, there’s liquidity risk: staked ETH is locked and not freely tradable (though derivatives like stETH exist, which then carry depeg risk as seen). CRO should treat staked assets as less liquid and consider technical risk of slashing in operational risk – e.g., running a validator node has uptime requirements etc.</w:t>
      </w:r>
    </w:p>
    <w:p>
      <w:pPr>
        <w:numPr>
          <w:ilvl w:val="0"/>
          <w:numId w:val="1011"/>
        </w:numPr>
      </w:pPr>
      <w:r>
        <w:rPr>
          <w:b/>
          <w:bCs/>
        </w:rPr>
        <w:t xml:space="preserve">Custody/Key Management Risk:</w:t>
      </w:r>
      <w:r>
        <w:t xml:space="preserve"> </w:t>
      </w:r>
      <w:r>
        <w:t xml:space="preserve">Not new qualitatively (like operational risk of custody in traditional sense), but much higher impact in crypto because of irreversibility and frequent attacks. Any scenario where private keys could be compromised (either by hacking or internal collusion) is essentially a total loss scenario, likely in seconds. So key management is a critical risk factor. Controls around it (multi-sig, physical vaults for backups, whitelisted addresses) need to be extremely tight. CRO should ensure internal audit and cyber risk assessments specifically cover crypto key process – e.g. an insider shouldn’t be able to rogue-transfer client crypto.</w:t>
      </w:r>
    </w:p>
    <w:p>
      <w:pPr>
        <w:numPr>
          <w:ilvl w:val="0"/>
          <w:numId w:val="1011"/>
        </w:numPr>
      </w:pPr>
      <w:r>
        <w:rPr>
          <w:b/>
          <w:bCs/>
        </w:rPr>
        <w:t xml:space="preserve">Smart Contract Risk:</w:t>
      </w:r>
      <w:r>
        <w:t xml:space="preserve"> </w:t>
      </w:r>
      <w:r>
        <w:t xml:space="preserve">If the bank interacts with DeFi or uses tokenized contracts, a bug or exploit in code can cause sudden losses or theft. This isn’t like a market factor; it’s more like an operational risk factor, but quantifiable to some extent: many DeFi protocols have known bug bounties and audits, but new exploits still happen (over $3B was stolen via DeFi hacks in 2022). The CRO might simulate what if 100% of an on-chain investment is lost due to contract failure – if that’s catastrophic, maybe don’t invest or insure it. Or ensure the notional at risk in any one contract is limited.</w:t>
      </w:r>
    </w:p>
    <w:p>
      <w:pPr>
        <w:pStyle w:val="FirstParagraph"/>
      </w:pPr>
      <w:r>
        <w:t xml:space="preserve">Given the above,</w:t>
      </w:r>
      <w:r>
        <w:t xml:space="preserve"> </w:t>
      </w:r>
      <w:r>
        <w:rPr>
          <w:b/>
          <w:bCs/>
        </w:rPr>
        <w:t xml:space="preserve">adaptations needed:</w:t>
      </w:r>
    </w:p>
    <w:p>
      <w:pPr>
        <w:pStyle w:val="BodyText"/>
      </w:pPr>
      <w:r>
        <w:rPr>
          <w:b/>
          <w:bCs/>
        </w:rPr>
        <w:t xml:space="preserve">Risk Factor Taxonomy:</w:t>
      </w:r>
      <w:r>
        <w:t xml:space="preserve"> </w:t>
      </w:r>
      <w:r>
        <w:t xml:space="preserve">The CRO should augment the firm’s risk taxonomy to explicitly include crypto asset risk and its sub-components (much as market risk is broken by asset class). For instance: treat crypto as a separate risk class in the risk appetite, not just lumped in “other”. Distinguish between, say, “Crypto market risk” (volatility of prices), “Crypto credit risk” (counterparty and issuer risk of things like stablecoin issuers), and “Crypto operational risk” (technology and keys). Under market risk, define specific risk factors: e.g., BTC price, ETH price, major altcoin index, and possibly stablecoin peg risk. Under credit, risk factors like stablecoin reserve health (could be measured by % of reserve in safe assets), or credit spread of a big exchange’s debt if they issue any, etc. Essentially, develop risk factors that can be stressed. For example, an internal model might have a factor for “BTC 1-day move” with distribution heavy-tailed per analysis, and similarly for ETH, and correlation structures. Traditional risk systems might need upgrades to accommodate continuous time risk aggregation and new distribution assumptions.</w:t>
      </w:r>
    </w:p>
    <w:p>
      <w:pPr>
        <w:pStyle w:val="BodyText"/>
      </w:pPr>
      <w:r>
        <w:rPr>
          <w:b/>
          <w:bCs/>
        </w:rPr>
        <w:t xml:space="preserve">Stress Testing Methodology:</w:t>
      </w:r>
      <w:r>
        <w:t xml:space="preserve"> </w:t>
      </w:r>
      <w:r>
        <w:t xml:space="preserve">Incorporate crypto-specific scenarios into firm-wide stress tests. For example:</w:t>
      </w:r>
      <w:r>
        <w:t xml:space="preserve"> </w:t>
      </w:r>
      <w:r>
        <w:rPr>
          <w:i/>
          <w:iCs/>
        </w:rPr>
        <w:t xml:space="preserve">“Crypto Winter”</w:t>
      </w:r>
      <w:r>
        <w:t xml:space="preserve"> </w:t>
      </w:r>
      <w:r>
        <w:t xml:space="preserve">scenario – a 60% crash in major crypto over a week (like early 2018 or mid 2022), with multiple crypto firm failures (e.g., an exchange insolvency freezing funds) and a stablecoin breaking to 0.70. Evaluate losses: trading book (VaR exceedance, counterparty CVA losses if clients default, any direct holdings drop), liquidity impact (would any funding sources be affected? Possibly client outflows from prime accounts?), operational events (tons of margin calls and liquidations to handle). Or a</w:t>
      </w:r>
      <w:r>
        <w:t xml:space="preserve"> </w:t>
      </w:r>
      <w:r>
        <w:rPr>
          <w:i/>
          <w:iCs/>
        </w:rPr>
        <w:t xml:space="preserve">“crypto euphoria”</w:t>
      </w:r>
      <w:r>
        <w:t xml:space="preserve"> </w:t>
      </w:r>
      <w:r>
        <w:t xml:space="preserve">scenario – prices triple in a short time, causing huge margin inflows to longs but shorts default (some counterparties might blow up on the short side). Or</w:t>
      </w:r>
      <w:r>
        <w:t xml:space="preserve"> </w:t>
      </w:r>
      <w:r>
        <w:rPr>
          <w:i/>
          <w:iCs/>
        </w:rPr>
        <w:t xml:space="preserve">“regulatory crackdown”</w:t>
      </w:r>
      <w:r>
        <w:t xml:space="preserve"> </w:t>
      </w:r>
      <w:r>
        <w:t xml:space="preserve">– e.g., U.S. SEC bans banks from crypto custody or China bans all crypto again, what does that do (maybe a sudden price drop and network disruption). These scenarios aren’t in typical macro stress tests but should be in internal risk stress matrix if the bank is meaningfully involved. Ensure these stress results are integrated into risk appetite metrics (maybe set a limit like “max loss under Crypto Winter scenario = X% of capital”).</w:t>
      </w:r>
    </w:p>
    <w:p>
      <w:pPr>
        <w:pStyle w:val="BodyText"/>
      </w:pPr>
      <w:r>
        <w:rPr>
          <w:b/>
          <w:bCs/>
        </w:rPr>
        <w:t xml:space="preserve">24/7 Monitoring &amp; Escalation:</w:t>
      </w:r>
      <w:r>
        <w:t xml:space="preserve"> </w:t>
      </w:r>
      <w:r>
        <w:t xml:space="preserve">The CRO may need to implement an</w:t>
      </w:r>
      <w:r>
        <w:t xml:space="preserve"> </w:t>
      </w:r>
      <w:r>
        <w:rPr>
          <w:i/>
          <w:iCs/>
        </w:rPr>
        <w:t xml:space="preserve">“always-on”</w:t>
      </w:r>
      <w:r>
        <w:t xml:space="preserve"> </w:t>
      </w:r>
      <w:r>
        <w:t xml:space="preserve">risk monitoring framework, leveraging technology. For instance, have automated limit checks that if breached will alert an on-call risk manager or trigger automated actions. Could partner with risk teams in different time zones (follow-the-sun model like some trading ops do) to cover weekends. Possibly maintain a small rotational weekend team if exposures are large. Escalation protocols should be clear: if something big happens at 3am Sunday, who calls whom? Are board members to be notified if thresholds exceed? The firm’s incident response plan (often for cyber) may need a parallel for market incidents off-hours. Some banks might decide to flatten positions on Friday and not run big exposures when staff is thin – but with client flows, that’s not always possible. Another approach is to set up</w:t>
      </w:r>
      <w:r>
        <w:t xml:space="preserve"> </w:t>
      </w:r>
      <w:r>
        <w:rPr>
          <w:b/>
          <w:bCs/>
        </w:rPr>
        <w:t xml:space="preserve">risk alert dashboards on mobile</w:t>
      </w:r>
      <w:r>
        <w:t xml:space="preserve"> </w:t>
      </w:r>
      <w:r>
        <w:t xml:space="preserve">for key execs to watch notable moves. The psychological adjustment is not trivial – risk management culture is used to daily cycles with breathers; crypto’s relentlessness means burnout risk for staff if not handled.</w:t>
      </w:r>
    </w:p>
    <w:p>
      <w:pPr>
        <w:pStyle w:val="BodyText"/>
      </w:pPr>
      <w:r>
        <w:t xml:space="preserve">In conclusion, crypto demands a</w:t>
      </w:r>
      <w:r>
        <w:t xml:space="preserve"> </w:t>
      </w:r>
      <w:r>
        <w:rPr>
          <w:b/>
          <w:bCs/>
        </w:rPr>
        <w:t xml:space="preserve">more agile and robust risk approach</w:t>
      </w:r>
      <w:r>
        <w:t xml:space="preserve">. The quantitative quirks – high vol, fat tails, unreliable liquidity, odd correlations – challenge traditional models, meaning a CRO cannot just plug crypto into existing frameworks without adjustment. The guiding principle should be</w:t>
      </w:r>
      <w:r>
        <w:t xml:space="preserve"> </w:t>
      </w:r>
      <w:r>
        <w:rPr>
          <w:b/>
          <w:bCs/>
        </w:rPr>
        <w:t xml:space="preserve">conservatism and preparedness</w:t>
      </w:r>
      <w:r>
        <w:t xml:space="preserve">: expect the unexpected (exchanges failing, prices halving overnight) and ensure any participation in this realm is sized and managed such that such events, while painful, are survivable and contained within risk appetite.</w:t>
      </w:r>
    </w:p>
    <w:bookmarkEnd w:id="81"/>
    <w:bookmarkStart w:id="88" w:name="d.-regulatory-policy-landscape"/>
    <w:p>
      <w:pPr>
        <w:pStyle w:val="Heading3"/>
      </w:pPr>
      <w:r>
        <w:t xml:space="preserve">4D. Regulatory &amp; Policy Landscape</w:t>
      </w:r>
    </w:p>
    <w:p>
      <w:pPr>
        <w:pStyle w:val="FirstParagraph"/>
      </w:pPr>
      <w:r>
        <w:t xml:space="preserve">The regulatory framework around crypto is finally coalescing (albeit unevenly) after years of catch-up. For a CIB CRO, understanding these rules is crucial as they drive capital requirements, permissible activities, and compliance obligations.</w:t>
      </w:r>
    </w:p>
    <w:p>
      <w:pPr>
        <w:pStyle w:val="BodyText"/>
      </w:pPr>
      <w:r>
        <w:rPr>
          <w:b/>
          <w:bCs/>
        </w:rPr>
        <w:t xml:space="preserve">Basel Committee’s Crypto Prudential Standard:</w:t>
      </w:r>
      <w:r>
        <w:t xml:space="preserve"> </w:t>
      </w:r>
      <w:r>
        <w:t xml:space="preserve">In December 2022, the Basel Committee finalized its standard for banks’ cryptoasset exposures (often called Basel’s “crypto capital rules”), set to be implemented by Jan 2025 (later extended to 2026)</w:t>
      </w:r>
      <w:hyperlink r:id="rId60">
        <w:r>
          <w:rPr>
            <w:rStyle w:val="Hyperlink"/>
          </w:rPr>
          <w:t xml:space="preserve">[33]</w:t>
        </w:r>
      </w:hyperlink>
      <w:r>
        <w:t xml:space="preserve">. The standard takes a very</w:t>
      </w:r>
      <w:r>
        <w:t xml:space="preserve"> </w:t>
      </w:r>
      <w:r>
        <w:rPr>
          <w:b/>
          <w:bCs/>
        </w:rPr>
        <w:t xml:space="preserve">conservative approach</w:t>
      </w:r>
      <w:r>
        <w:t xml:space="preserve">, effectively splitting crypto into two groups:</w:t>
      </w:r>
      <w:r>
        <w:t xml:space="preserve"> </w:t>
      </w:r>
      <w:r>
        <w:rPr>
          <w:b/>
          <w:bCs/>
        </w:rPr>
        <w:t xml:space="preserve">Group 1</w:t>
      </w:r>
      <w:r>
        <w:t xml:space="preserve"> </w:t>
      </w:r>
      <w:r>
        <w:t xml:space="preserve">– tokenized traditional assets and stablecoins with robust stabilization mechanisms;</w:t>
      </w:r>
      <w:r>
        <w:t xml:space="preserve"> </w:t>
      </w:r>
      <w:r>
        <w:rPr>
          <w:b/>
          <w:bCs/>
        </w:rPr>
        <w:t xml:space="preserve">Group 2</w:t>
      </w:r>
      <w:r>
        <w:t xml:space="preserve"> </w:t>
      </w:r>
      <w:r>
        <w:t xml:space="preserve">– everything else (unbacked crypto like BTC/ETH, or stablecoins that don’t meet criteria). Group 1 can be treated somewhat like equivalent traditional exposures (but with caveats if market liquidity is lower, etc.), whereas</w:t>
      </w:r>
      <w:r>
        <w:t xml:space="preserve"> </w:t>
      </w:r>
      <w:r>
        <w:rPr>
          <w:b/>
          <w:bCs/>
        </w:rPr>
        <w:t xml:space="preserve">Group 2 has punitive capital</w:t>
      </w:r>
      <w:r>
        <w:t xml:space="preserve">: a bank must hold capital at least equal to its exposure (e.g. a 1250% risk weight or deduction approach)</w:t>
      </w:r>
      <w:hyperlink r:id="rId32">
        <w:r>
          <w:rPr>
            <w:rStyle w:val="Hyperlink"/>
          </w:rPr>
          <w:t xml:space="preserve">[12]</w:t>
        </w:r>
      </w:hyperlink>
      <w:r>
        <w:t xml:space="preserve">. Moreover, there’s a limit: Basel said Group 2 exposures should not exceed 1% of a bank’s Tier 1 capital (as a large exposure measure). The July 2024 revision added stringent operational requirements for stablecoins to be Group 1 (e.g. must have high-quality reserves, redeemable at par daily)</w:t>
      </w:r>
      <w:hyperlink r:id="rId82">
        <w:r>
          <w:rPr>
            <w:rStyle w:val="Hyperlink"/>
          </w:rPr>
          <w:t xml:space="preserve">[51]</w:t>
        </w:r>
      </w:hyperlink>
      <w:hyperlink r:id="rId83">
        <w:r>
          <w:rPr>
            <w:rStyle w:val="Hyperlink"/>
          </w:rPr>
          <w:t xml:space="preserve">[52]</w:t>
        </w:r>
      </w:hyperlink>
      <w:r>
        <w:t xml:space="preserve">.</w:t>
      </w:r>
      <w:r>
        <w:t xml:space="preserve"> </w:t>
      </w:r>
      <w:r>
        <w:rPr>
          <w:b/>
          <w:bCs/>
        </w:rPr>
        <w:t xml:space="preserve">Implication:</w:t>
      </w:r>
      <w:r>
        <w:t xml:space="preserve"> </w:t>
      </w:r>
      <w:r>
        <w:t xml:space="preserve">For CROs, this means if your bank holds or is market-making in unbacked cryptos, the capital hit is enormous – likely discouraging significant positions. For stablecoins, only the very robust (likely regulated ones like USDC or upcoming ones that meet criteria) get normal treatment; others (like algorithmic or less transparent ones) are Group 2. This in practice drives banks to limit crypto involvement unless client-driven with risk passed on. Also Basel requires strong risk management processes: assessing tech risks, public disclosure of crypto exposures, etc. Some jurisdictions (UK, EU) signaled they’ll implement these fully</w:t>
      </w:r>
      <w:hyperlink r:id="rId84">
        <w:r>
          <w:rPr>
            <w:rStyle w:val="Hyperlink"/>
          </w:rPr>
          <w:t xml:space="preserve">[53]</w:t>
        </w:r>
      </w:hyperlink>
      <w:r>
        <w:t xml:space="preserve">. The US regulators, though not explicitly committing, likely incorporate similar principles in their proposals (2023 US capital proposal aligned in risk weight for crypto). A CRO must ensure, by 2025/26, that the bank can</w:t>
      </w:r>
      <w:r>
        <w:t xml:space="preserve"> </w:t>
      </w:r>
      <w:r>
        <w:rPr>
          <w:b/>
          <w:bCs/>
        </w:rPr>
        <w:t xml:space="preserve">identify, measure, and cap crypto exposures</w:t>
      </w:r>
      <w:r>
        <w:t xml:space="preserve"> </w:t>
      </w:r>
      <w:r>
        <w:t xml:space="preserve">in line with these rules. For example, if facilitating client crypto trades, perhaps use derivatives that net out, so minimal net long inventory at day-end to avoid capital drag. Or if offering stablecoin custody or issuance, ensure those coins qualify as Group1 (high quality reserve assets). Non-compliance wouldn’t be an option – regulators are quite firm given they allowed some crypto exposure only under these strict conditions.</w:t>
      </w:r>
    </w:p>
    <w:p>
      <w:pPr>
        <w:pStyle w:val="BodyText"/>
      </w:pPr>
      <w:r>
        <w:rPr>
          <w:b/>
          <w:bCs/>
        </w:rPr>
        <w:t xml:space="preserve">MiCA in the EU:</w:t>
      </w:r>
      <w:r>
        <w:t xml:space="preserve"> </w:t>
      </w:r>
      <w:r>
        <w:t xml:space="preserve">The EU’s</w:t>
      </w:r>
      <w:r>
        <w:t xml:space="preserve"> </w:t>
      </w:r>
      <w:r>
        <w:rPr>
          <w:b/>
          <w:bCs/>
        </w:rPr>
        <w:t xml:space="preserve">Markets in Crypto-Assets (MiCA)</w:t>
      </w:r>
      <w:r>
        <w:t xml:space="preserve"> </w:t>
      </w:r>
      <w:r>
        <w:t xml:space="preserve">regulation was passed in 2023 (going live in 2024/2025) and is one of the first comprehensive regimes. MiCA will require any firm providing crypto services (trading, custody, exchange, etc.) in the EU to be licensed, with prudential and consumer protection rules. For example,</w:t>
      </w:r>
      <w:r>
        <w:t xml:space="preserve"> </w:t>
      </w:r>
      <w:r>
        <w:rPr>
          <w:b/>
          <w:bCs/>
        </w:rPr>
        <w:t xml:space="preserve">stablecoin issuers (“EMTs” and “ARTs” in MiCA)</w:t>
      </w:r>
      <w:r>
        <w:t xml:space="preserve"> </w:t>
      </w:r>
      <w:r>
        <w:t xml:space="preserve">must hold sufficient reserves, have investor rights, and face caps on volume if not denominated in EUR (to address currency substitution risk). It essentially brings crypto asset service providers (CASPs) under regulatory supervision (likely by national regulators with coordination by ESMA/EBA). For a G-SIB operating in EU, this means if offering crypto-related products, it might need a MiCA license or to partner with a licensed entity. MiCA also imposes market abuse rules analogous to MAR for crypto trading (so insider trading, manipulation in crypto will be punishable).</w:t>
      </w:r>
      <w:r>
        <w:t xml:space="preserve"> </w:t>
      </w:r>
      <w:r>
        <w:rPr>
          <w:b/>
          <w:bCs/>
        </w:rPr>
        <w:t xml:space="preserve">Effect:</w:t>
      </w:r>
      <w:r>
        <w:t xml:space="preserve"> </w:t>
      </w:r>
      <w:r>
        <w:t xml:space="preserve">a more predictable environment in EU – banks may be more comfortable participating once regulated, but also must comply with these specific obligations (reporting of trades, capital for service providers, etc.). The CRO should track MiCA’s implementation details to ensure the bank’s EU entity doesn’t inadvertently do unlicensed crypto activity (e.g. giving investment advice on crypto could fall under MiCA licensing).</w:t>
      </w:r>
    </w:p>
    <w:p>
      <w:pPr>
        <w:pStyle w:val="BodyText"/>
      </w:pPr>
      <w:r>
        <w:rPr>
          <w:b/>
          <w:bCs/>
        </w:rPr>
        <w:t xml:space="preserve">US Regulatory Stance (SEC, CFTC, OCC, Fed):</w:t>
      </w:r>
      <w:r>
        <w:t xml:space="preserve"> </w:t>
      </w:r>
      <w:r>
        <w:t xml:space="preserve">The US has had a patchwork approach lacking overarching legislation (as of 2025). The SEC under Gensler asserted that most tokens are securities (except Bitcoin likely) and pursued enforcement: lawsuits against major exchanges (Coinbase, Binance) in 2023 alleging listing of unregistered securities, etc. So practically, any bank dealing with tokens beyond BTC/ETH might risk SEC entanglement. The CFTC considers Bitcoin and Ether as commodities and has enforced anti-fraud in derivatives. But clarity is low: for instance, stablecoins – SEC hinted might be securities, or maybe bank instruments. The OCC in 2020 gave banks some permissions (custody, stablecoin payments) but in 2021-22 they clarified banks must get supervisory nod and have risk controls. Then in early 2023, Fed, OCC, FDIC issued joint warnings that crypto sector risks shouldn’t infect banking system and essentially discouraged uncontrolled exposure</w:t>
      </w:r>
      <w:hyperlink r:id="rId45">
        <w:r>
          <w:rPr>
            <w:rStyle w:val="Hyperlink"/>
          </w:rPr>
          <w:t xml:space="preserve">[22]</w:t>
        </w:r>
      </w:hyperlink>
      <w:hyperlink r:id="rId85">
        <w:r>
          <w:rPr>
            <w:rStyle w:val="Hyperlink"/>
          </w:rPr>
          <w:t xml:space="preserve">[54]</w:t>
        </w:r>
      </w:hyperlink>
      <w:r>
        <w:t xml:space="preserve">. The Fed created a</w:t>
      </w:r>
      <w:r>
        <w:t xml:space="preserve"> </w:t>
      </w:r>
      <w:r>
        <w:rPr>
          <w:b/>
          <w:bCs/>
        </w:rPr>
        <w:t xml:space="preserve">“Novel Activities Supervision Program” (NASP)</w:t>
      </w:r>
      <w:r>
        <w:t xml:space="preserve"> </w:t>
      </w:r>
      <w:r>
        <w:t xml:space="preserve">in 2023 to closely oversee any bank engaging in crypto, fintech, or AI – meaning more scrutiny on those banks. Also, US regulators limited banks’ ability to hold crypto on balance sheet: any holding of unbacked crypto is effectively 100% capital per bank regs, aligning with Basel. The Fed also stated state-member banks need Fed approval to engage in stablecoin issuance. Summarily, the US regulatory climate, while evolving, is still cautious: no broad crypto law (some proposals, none passed yet), heavy enforcement, and case-by-case approvals for bank activities. A CRO in a US bank must therefore navigate an environment where regulatory risk is perhaps the top risk of crypto: e.g. today it might be allowed to custody, tomorrow rule might change or an enforcement might raise liability. Also, classification fights (is token X a security?) mean compliance risk if wrongly treated. The best course is conservative interpretation: assume many tokens are securities and either avoid them or ensure securities-level investor protections (which are costly to implement outside established systems).</w:t>
      </w:r>
    </w:p>
    <w:p>
      <w:pPr>
        <w:pStyle w:val="BodyText"/>
      </w:pPr>
      <w:r>
        <w:rPr>
          <w:b/>
          <w:bCs/>
        </w:rPr>
        <w:t xml:space="preserve">FATF Guidance on AML (Travel Rule):</w:t>
      </w:r>
      <w:r>
        <w:t xml:space="preserve"> </w:t>
      </w:r>
      <w:r>
        <w:t xml:space="preserve">As touched earlier, FATF has set standards requiring crypto transactions to be subject to AML like others. Many major jurisdictions are implementing this. By 2025, if a bank’s client withdraws crypto to an external wallet, the bank should collect beneficiary info and possibly only send to compliant exchanges etc. If not done, enforcement actions could hit (e.g. FINMA in Switzerland admonished some crypto firms for not following travel rule). For CRO, that means ensuring compliance risk controls around any crypto flows are as stringent as for fiat, including blockchain surveillance. FATF also monitors jurisdictions’ crypto AML regimes and can greylist countries lacking – which means doing business with exchanges in those countries might count as higher risk from AML perspective.</w:t>
      </w:r>
    </w:p>
    <w:p>
      <w:pPr>
        <w:pStyle w:val="BodyText"/>
      </w:pPr>
      <w:r>
        <w:rPr>
          <w:b/>
          <w:bCs/>
        </w:rPr>
        <w:t xml:space="preserve">Global Coordination – FSB and IOSCO:</w:t>
      </w:r>
      <w:r>
        <w:t xml:space="preserve"> </w:t>
      </w:r>
      <w:r>
        <w:t xml:space="preserve">The FSB (Financial Stability Board) in July 2023 issued high-level global</w:t>
      </w:r>
      <w:r>
        <w:t xml:space="preserve"> </w:t>
      </w:r>
      <w:r>
        <w:rPr>
          <w:b/>
          <w:bCs/>
        </w:rPr>
        <w:t xml:space="preserve">recommendations for crypto regulation</w:t>
      </w:r>
      <w:hyperlink r:id="rId86">
        <w:r>
          <w:rPr>
            <w:rStyle w:val="Hyperlink"/>
          </w:rPr>
          <w:t xml:space="preserve">[55]</w:t>
        </w:r>
      </w:hyperlink>
      <w:hyperlink r:id="rId87">
        <w:r>
          <w:rPr>
            <w:rStyle w:val="Hyperlink"/>
          </w:rPr>
          <w:t xml:space="preserve">[56]</w:t>
        </w:r>
      </w:hyperlink>
      <w:r>
        <w:t xml:space="preserve">, endorsed by G20, aiming for “same activity, same risk, same regulation”. They focused on stablecoins (requiring robust governance and redemption rights) and crypto-asset service providers (emphasizing segregation of client assets, conflict of interest mitigation, disclosures). IOSCO (securities regulators coordination) similarly published principles for crypto asset trading platforms (suggesting rules akin to traditional exchanges). While these are not laws themselves, they indicate where national rules will converge. For example, many regulators are now requiring that crypto exchanges segregate client assets (to prevent another FTX commingling scenario) and have robust risk management for custody, much like a securities broker. The CRO should therefore anticipate that any involvement with a crypto exchange or infrastructure will require due diligence that those entities meet at least baseline governance (perhaps preferring those in jurisdictions implementing FSB/IOSCO standards).</w:t>
      </w:r>
    </w:p>
    <w:p>
      <w:pPr>
        <w:pStyle w:val="BodyText"/>
      </w:pPr>
      <w:r>
        <w:rPr>
          <w:b/>
          <w:bCs/>
        </w:rPr>
        <w:t xml:space="preserve">Regulatory Uncertainty and Supervisory Focus:</w:t>
      </w:r>
      <w:r>
        <w:t xml:space="preserve"> </w:t>
      </w:r>
      <w:r>
        <w:t xml:space="preserve">Despite progress, uncertainties remain – e.g., how exactly to treat</w:t>
      </w:r>
      <w:r>
        <w:t xml:space="preserve"> </w:t>
      </w:r>
      <w:r>
        <w:rPr>
          <w:b/>
          <w:bCs/>
        </w:rPr>
        <w:t xml:space="preserve">DeFi</w:t>
      </w:r>
      <w:r>
        <w:t xml:space="preserve"> </w:t>
      </w:r>
      <w:r>
        <w:t xml:space="preserve">in regulation? (Likely regulators will push that anyone facilitating access to DeFi falls under rules). Will</w:t>
      </w:r>
      <w:r>
        <w:t xml:space="preserve"> </w:t>
      </w:r>
      <w:r>
        <w:rPr>
          <w:b/>
          <w:bCs/>
        </w:rPr>
        <w:t xml:space="preserve">CBDCs</w:t>
      </w:r>
      <w:r>
        <w:t xml:space="preserve"> </w:t>
      </w:r>
      <w:r>
        <w:t xml:space="preserve">alter commercial banks’ role? (If retail CBDC happens, could reduce deposits; wholesale CBDC could change settlement processes – both are more medium term but in planning). Another focus:</w:t>
      </w:r>
      <w:r>
        <w:t xml:space="preserve"> </w:t>
      </w:r>
      <w:r>
        <w:rPr>
          <w:b/>
          <w:bCs/>
        </w:rPr>
        <w:t xml:space="preserve">Investor protection</w:t>
      </w:r>
      <w:r>
        <w:t xml:space="preserve"> </w:t>
      </w:r>
      <w:r>
        <w:t xml:space="preserve">– as crypto enters mainstream, regulators may enforce suitability rules (like ensuring complex crypto products are not sold to retail who don’t understand risk). A CIB mostly deals with institutional clients, but reputationally and legally, selling a complex structured note linked to crypto that then loses 90% could invite regulatory questions about conduct. Also, tax and accounting rules (the IRS, etc.) are catching up, requiring reporting of crypto transactions – banks must comply to avoid facilitating tax evasion inadvertently.</w:t>
      </w:r>
    </w:p>
    <w:p>
      <w:pPr>
        <w:pStyle w:val="BodyText"/>
      </w:pPr>
      <w:r>
        <w:rPr>
          <w:b/>
          <w:bCs/>
        </w:rPr>
        <w:t xml:space="preserve">Shaping Capital, Liquidity, Business Decisions:</w:t>
      </w:r>
      <w:r>
        <w:t xml:space="preserve"> </w:t>
      </w:r>
      <w:r>
        <w:t xml:space="preserve">Summarizing impacts:</w:t>
      </w:r>
      <w:r>
        <w:t xml:space="preserve"> </w:t>
      </w:r>
      <w:r>
        <w:rPr>
          <w:b/>
          <w:bCs/>
        </w:rPr>
        <w:t xml:space="preserve">Capital</w:t>
      </w:r>
      <w:r>
        <w:t xml:space="preserve"> </w:t>
      </w:r>
      <w:r>
        <w:t xml:space="preserve">– we covered Basel crypto rules, meaning in effect banks will hold either exorbitant capital or minimal exposure. So likely only niche or hedged exposures will be on balance sheet (e.g. providing liquidity services with offset positions, or holding stablecoins that qualify as Group1 which might then just be treated similar to cash with some haircuts if needed).</w:t>
      </w:r>
      <w:r>
        <w:t xml:space="preserve"> </w:t>
      </w:r>
      <w:r>
        <w:rPr>
          <w:b/>
          <w:bCs/>
        </w:rPr>
        <w:t xml:space="preserve">Liquidity</w:t>
      </w:r>
      <w:r>
        <w:t xml:space="preserve"> </w:t>
      </w:r>
      <w:r>
        <w:t xml:space="preserve">– regulators may require that any crypto liabilities (like a tokenized deposit) are considered possibly volatile: e.g. treat them like non-sticky deposits in LCR maybe. If a bank issues its own stablecoin, regulators will likely treat it like a demand deposit for liquidity coverage (so have to hold HQLA against potential outflows).</w:t>
      </w:r>
      <w:r>
        <w:t xml:space="preserve"> </w:t>
      </w:r>
      <w:r>
        <w:rPr>
          <w:b/>
          <w:bCs/>
        </w:rPr>
        <w:t xml:space="preserve">Business model</w:t>
      </w:r>
      <w:r>
        <w:t xml:space="preserve"> </w:t>
      </w:r>
      <w:r>
        <w:t xml:space="preserve">– some banks might dive in (like BNY Mellon did in custody) while others abstain; regulators seem supportive of innovation as long as risks managed (e.g. OCC said custody by banks could introduce trust in market). But they also warned about unbacked crypto – essentially implying banks should limit involvement to supporting roles (custody, payments, maybe market-making for client service) rather than speculative investing. If a bank goes further (like issuing crypto derivatives to retail or proprietary trading), expect heavy supervisor pushback or constraints. Actually, many jurisdictions prohibit banks from proprietary crypto trading given volatility and consumer risk.</w:t>
      </w:r>
    </w:p>
    <w:p>
      <w:pPr>
        <w:pStyle w:val="BodyText"/>
      </w:pPr>
      <w:r>
        <w:t xml:space="preserve">The CRO should thus counsel the business: stick to areas where the bank’s involvement adds stability (like offering safe custody, which regulators might prefer over clients using unregulated custodians) and avoid areas where the risk/return is skewed or regulatory tolerance is low (like directly holding crypto on balance sheet beyond technical necessity). Also be prepared with compliance structures from day1: e.g. if launching a product, ensure marketing and disclosures are regulator-friendly, and that all travel rule and sanctions controls are baked in. The evolving landscape means something allowed today could be restricted tomorrow – so any foray should be flexible to unwind or adapt.</w:t>
      </w:r>
    </w:p>
    <w:p>
      <w:pPr>
        <w:pStyle w:val="BodyText"/>
      </w:pPr>
      <w:r>
        <w:t xml:space="preserve">In essence,</w:t>
      </w:r>
      <w:r>
        <w:t xml:space="preserve"> </w:t>
      </w:r>
      <w:r>
        <w:rPr>
          <w:b/>
          <w:bCs/>
        </w:rPr>
        <w:t xml:space="preserve">regulatory uncertainty is itself a risk</w:t>
      </w:r>
      <w:r>
        <w:t xml:space="preserve"> </w:t>
      </w:r>
      <w:r>
        <w:t xml:space="preserve">– the CRO should scenario plan regulatory changes (e.g. what if the US suddenly passes a law requiring all crypto activities be separated or banned in banks? Or conversely, what if they allow banks to issue stablecoins under strict reserve rules – do we want to do that?), and ensure the firm doesn’t build up exposures that cannot be pulled back in time. Good communication with regulators – informing them of what you’re doing in crypto and showing robust risk management – can also preempt punitive actions.</w:t>
      </w:r>
    </w:p>
    <w:bookmarkEnd w:id="88"/>
    <w:bookmarkStart w:id="89" w:name="X94591ea976db96a289628f2ed90a6bbb1c61ada"/>
    <w:p>
      <w:pPr>
        <w:pStyle w:val="Heading3"/>
      </w:pPr>
      <w:r>
        <w:t xml:space="preserve">4E. CRO Playbook for Crypto / Digital Assets</w:t>
      </w:r>
    </w:p>
    <w:p>
      <w:pPr>
        <w:pStyle w:val="FirstParagraph"/>
      </w:pPr>
      <w:r>
        <w:t xml:space="preserve">Bringing together the above, the CRO needs a clear action plan to govern and manage crypto-related risks. This playbook should allow the bank to engage (if it chooses) in digital asset opportunities safely and within risk appetite.</w:t>
      </w:r>
    </w:p>
    <w:p>
      <w:pPr>
        <w:pStyle w:val="BodyText"/>
      </w:pPr>
      <w:r>
        <w:rPr>
          <w:b/>
          <w:bCs/>
        </w:rPr>
        <w:t xml:space="preserve">Governance &amp; Risk Appetite:</w:t>
      </w:r>
      <w:r>
        <w:t xml:space="preserve"> </w:t>
      </w:r>
      <w:r>
        <w:t xml:space="preserve">First, establish</w:t>
      </w:r>
      <w:r>
        <w:t xml:space="preserve"> </w:t>
      </w:r>
      <w:r>
        <w:rPr>
          <w:b/>
          <w:bCs/>
        </w:rPr>
        <w:t xml:space="preserve">governance structures</w:t>
      </w:r>
      <w:r>
        <w:t xml:space="preserve"> </w:t>
      </w:r>
      <w:r>
        <w:t xml:space="preserve">specifically for digital assets. This could mean a dedicated</w:t>
      </w:r>
      <w:r>
        <w:t xml:space="preserve"> </w:t>
      </w:r>
      <w:r>
        <w:rPr>
          <w:b/>
          <w:bCs/>
        </w:rPr>
        <w:t xml:space="preserve">Digital Assets Risk Committee</w:t>
      </w:r>
      <w:r>
        <w:t xml:space="preserve"> </w:t>
      </w:r>
      <w:r>
        <w:t xml:space="preserve">(or sub-committee of Risk Management Committee) that includes stakeholders from markets, IT, compliance, legal, and finance, chaired by a senior risk officer. Its role is to review any proposed crypto activities, monitor the risk profile of existing exposures, and ensure alignment with risk appetite. The Board should approve a</w:t>
      </w:r>
      <w:r>
        <w:t xml:space="preserve"> </w:t>
      </w:r>
      <w:r>
        <w:rPr>
          <w:b/>
          <w:bCs/>
        </w:rPr>
        <w:t xml:space="preserve">Crypto Risk Appetite Statement</w:t>
      </w:r>
      <w:r>
        <w:t xml:space="preserve"> </w:t>
      </w:r>
      <w:r>
        <w:t xml:space="preserve">which sets what businesses are permitted and on what scale. For example:</w:t>
      </w:r>
      <w:r>
        <w:t xml:space="preserve"> </w:t>
      </w:r>
      <w:r>
        <w:rPr>
          <w:i/>
          <w:iCs/>
        </w:rPr>
        <w:t xml:space="preserve">“We will participate in crypto markets only to facilitate client needs and not for directional proprietary speculation. We will limit total exposure (long or short) to cryptoassets to X% of Tier 1 capital. We will not engage in activities that potentially circumvent regulations (e.g. offering anonymizing services or financing algorithmic stablecoins). We only deal with vetted institutional counterparties or regulated exchanges.”</w:t>
      </w:r>
      <w:r>
        <w:t xml:space="preserve"> </w:t>
      </w:r>
      <w:r>
        <w:t xml:space="preserve">This clear stance guides business lines. If certain areas are off-limits (say lending against very volatile tokens, or DeFi yield farming), state it so everyone knows.</w:t>
      </w:r>
      <w:r>
        <w:t xml:space="preserve"> </w:t>
      </w:r>
      <w:r>
        <w:rPr>
          <w:b/>
          <w:bCs/>
        </w:rPr>
        <w:t xml:space="preserve">Policies</w:t>
      </w:r>
      <w:r>
        <w:t xml:space="preserve"> </w:t>
      </w:r>
      <w:r>
        <w:t xml:space="preserve">should be updated: trading policy to include approved crypto instruments; credit policy to include guidelines for lending with crypto collateral (eligible collateral list, LTV ratios); treasury policy if any balance sheet holding is allowed (maybe hold minimal as needed for liquidity in client facilitation, etc.). Ensure</w:t>
      </w:r>
      <w:r>
        <w:t xml:space="preserve"> </w:t>
      </w:r>
      <w:r>
        <w:rPr>
          <w:b/>
          <w:bCs/>
        </w:rPr>
        <w:t xml:space="preserve">roles and responsibilities</w:t>
      </w:r>
      <w:r>
        <w:t xml:space="preserve"> </w:t>
      </w:r>
      <w:r>
        <w:t xml:space="preserve">are defined – e.g. front office must get risk approval before introducing a new token product; compliance must sign off on any new exchange onboarding; IT must assess any tech integration for custody or connectivity for cyber risks, etc.</w:t>
      </w:r>
    </w:p>
    <w:p>
      <w:pPr>
        <w:pStyle w:val="BodyText"/>
      </w:pPr>
      <w:r>
        <w:rPr>
          <w:b/>
          <w:bCs/>
        </w:rPr>
        <w:t xml:space="preserve">Limits Framework:</w:t>
      </w:r>
      <w:r>
        <w:t xml:space="preserve"> </w:t>
      </w:r>
      <w:r>
        <w:t xml:space="preserve">Develop a granular</w:t>
      </w:r>
      <w:r>
        <w:t xml:space="preserve"> </w:t>
      </w:r>
      <w:r>
        <w:rPr>
          <w:b/>
          <w:bCs/>
        </w:rPr>
        <w:t xml:space="preserve">limit structure</w:t>
      </w:r>
      <w:r>
        <w:t xml:space="preserve"> </w:t>
      </w:r>
      <w:r>
        <w:t xml:space="preserve">to control exposures. This includes:</w:t>
      </w:r>
      <w:r>
        <w:t xml:space="preserve"> </w:t>
      </w:r>
      <w:r>
        <w:rPr>
          <w:b/>
          <w:bCs/>
        </w:rPr>
        <w:t xml:space="preserve">Product limits</w:t>
      </w:r>
      <w:r>
        <w:t xml:space="preserve"> </w:t>
      </w:r>
      <w:r>
        <w:t xml:space="preserve">– e.g. maximum notional per type of derivative (maybe allow more in BTC/ETH where markets are deeper, but severely limit any exposure to small-cap altcoins).</w:t>
      </w:r>
      <w:r>
        <w:t xml:space="preserve"> </w:t>
      </w:r>
      <w:r>
        <w:rPr>
          <w:b/>
          <w:bCs/>
        </w:rPr>
        <w:t xml:space="preserve">Concentration limits</w:t>
      </w:r>
      <w:r>
        <w:t xml:space="preserve"> </w:t>
      </w:r>
      <w:r>
        <w:t xml:space="preserve">– e.g. no single crypto asset exposure more than $Y (to avoid a Luna-type large loss).</w:t>
      </w:r>
      <w:r>
        <w:t xml:space="preserve"> </w:t>
      </w:r>
      <w:r>
        <w:rPr>
          <w:b/>
          <w:bCs/>
        </w:rPr>
        <w:t xml:space="preserve">Counterparty limits</w:t>
      </w:r>
      <w:r>
        <w:t xml:space="preserve"> </w:t>
      </w:r>
      <w:r>
        <w:t xml:space="preserve">– each exchange or crypto firm the bank deals with should have a counterparty credit limit (even if exposures are mostly pre-funded, consider the risk of them failing mid-transaction or holding our assets). Likely treat these counterparties as high risk, so low limits or require full collateral.</w:t>
      </w:r>
      <w:r>
        <w:t xml:space="preserve"> </w:t>
      </w:r>
      <w:r>
        <w:rPr>
          <w:b/>
          <w:bCs/>
        </w:rPr>
        <w:t xml:space="preserve">Settlement limits</w:t>
      </w:r>
      <w:r>
        <w:t xml:space="preserve"> </w:t>
      </w:r>
      <w:r>
        <w:t xml:space="preserve">– how much value can be pending in transfer at any time (if using OTC trades, etc.).</w:t>
      </w:r>
      <w:r>
        <w:t xml:space="preserve"> </w:t>
      </w:r>
      <w:r>
        <w:rPr>
          <w:b/>
          <w:bCs/>
        </w:rPr>
        <w:t xml:space="preserve">Liquidity/risk factor limits</w:t>
      </w:r>
      <w:r>
        <w:t xml:space="preserve"> </w:t>
      </w:r>
      <w:r>
        <w:t xml:space="preserve">– could use metrics like maximum 1-day loss under stress scenarios for crypto desk, or Greeks limits on crypto options desk, etc., akin to other trading but with bigger buffers. Also put</w:t>
      </w:r>
      <w:r>
        <w:t xml:space="preserve"> </w:t>
      </w:r>
      <w:r>
        <w:rPr>
          <w:b/>
          <w:bCs/>
        </w:rPr>
        <w:t xml:space="preserve">stop-loss limits</w:t>
      </w:r>
      <w:r>
        <w:t xml:space="preserve"> </w:t>
      </w:r>
      <w:r>
        <w:t xml:space="preserve">– say if a desk loses X in crypto trading in a week, pause trading and review. Given high vol, these might trigger often if set too tight, but it's important to catch if strategy misbehaving.</w:t>
      </w:r>
      <w:r>
        <w:t xml:space="preserve"> </w:t>
      </w:r>
      <w:r>
        <w:rPr>
          <w:b/>
          <w:bCs/>
        </w:rPr>
        <w:t xml:space="preserve">Intraday limits</w:t>
      </w:r>
      <w:r>
        <w:t xml:space="preserve"> </w:t>
      </w:r>
      <w:r>
        <w:t xml:space="preserve">– if participating intraday heavily, set limits to control positions outside business hours (some banks might say no adding to net positions during weekend, only risk-reducing trades allowed).</w:t>
      </w:r>
      <w:r>
        <w:t xml:space="preserve"> </w:t>
      </w:r>
      <w:r>
        <w:rPr>
          <w:b/>
          <w:bCs/>
        </w:rPr>
        <w:t xml:space="preserve">Liquidity threshold</w:t>
      </w:r>
      <w:r>
        <w:t xml:space="preserve"> </w:t>
      </w:r>
      <w:r>
        <w:t xml:space="preserve">– e.g., if order book depth is below a threshold, traders must reduce exposure because exit would be hard (though measuring this dynamically could be complex). Another limit:</w:t>
      </w:r>
      <w:r>
        <w:t xml:space="preserve"> </w:t>
      </w:r>
      <w:r>
        <w:rPr>
          <w:b/>
          <w:bCs/>
        </w:rPr>
        <w:t xml:space="preserve">stablecoin holdings</w:t>
      </w:r>
      <w:r>
        <w:t xml:space="preserve"> </w:t>
      </w:r>
      <w:r>
        <w:t xml:space="preserve">– if bank accepts stablecoins as collateral or in payment, limit amount of each stablecoin you hold, and perhaps require diversification or immediate conversion to fiat if above threshold, to avoid being stuck with a large position if it depegs.</w:t>
      </w:r>
    </w:p>
    <w:p>
      <w:pPr>
        <w:pStyle w:val="BodyText"/>
      </w:pPr>
      <w:r>
        <w:t xml:space="preserve">All these limits should feed into risk reports and be monitored daily (or real-time if possible for trading ones). The CRO’s team should routinely backtest and calibrate them given how quickly vol regimes change in crypto.</w:t>
      </w:r>
    </w:p>
    <w:p>
      <w:pPr>
        <w:pStyle w:val="BodyText"/>
      </w:pPr>
      <w:r>
        <w:rPr>
          <w:b/>
          <w:bCs/>
        </w:rPr>
        <w:t xml:space="preserve">Model &amp; Data Validation (Pricing, Volatility, Liquidity):</w:t>
      </w:r>
      <w:r>
        <w:t xml:space="preserve"> </w:t>
      </w:r>
      <w:r>
        <w:t xml:space="preserve">Insist on rigorous validation of any models used for crypto valuation or risk. Many banks adapt existing pricing models (Black-Scholes for options, etc.) but the parameterizations might be off – e.g. vol surfaces in crypto often have steep skews and smiles and can change rapidly, models need to account for that. Ensure there’s reliable</w:t>
      </w:r>
      <w:r>
        <w:t xml:space="preserve"> </w:t>
      </w:r>
      <w:r>
        <w:rPr>
          <w:b/>
          <w:bCs/>
        </w:rPr>
        <w:t xml:space="preserve">market data feeds</w:t>
      </w:r>
      <w:r>
        <w:t xml:space="preserve"> </w:t>
      </w:r>
      <w:r>
        <w:t xml:space="preserve">from multiple sources – crypto prices can vary across exchanges, and some prints might be outliers. Data integrity checks are needed (like filtering bad ticks from an illiquid exchange). For risk, calibrate VaR with appropriate volatility scaling – might use shorter lookback with higher multipliers given non-stationarity. Also consider</w:t>
      </w:r>
      <w:r>
        <w:t xml:space="preserve"> </w:t>
      </w:r>
      <w:r>
        <w:rPr>
          <w:b/>
          <w:bCs/>
        </w:rPr>
        <w:t xml:space="preserve">liquidity assumptions</w:t>
      </w:r>
      <w:r>
        <w:t xml:space="preserve"> </w:t>
      </w:r>
      <w:r>
        <w:t xml:space="preserve">in models: e.g. if doing CVA on a counterparty exposure, typical models assume some period to close out; for crypto maybe that period should be longer or potential exposure higher due to weekend effect. Validate any new analytic tools (e.g. if using a vendor’s crypto risk system, have model risk team review it). Because historical data is limited (Bitcoin ~14 years, many alts &lt;5 years), stress scenario generation should use synthetic scenarios too, not purely historical. Ensure</w:t>
      </w:r>
      <w:r>
        <w:t xml:space="preserve"> </w:t>
      </w:r>
      <w:r>
        <w:rPr>
          <w:b/>
          <w:bCs/>
        </w:rPr>
        <w:t xml:space="preserve">vol correlation</w:t>
      </w:r>
      <w:r>
        <w:t xml:space="preserve"> </w:t>
      </w:r>
      <w:r>
        <w:t xml:space="preserve">modeling does not underrepresent tail co-movements (the near-1 correlations in crash). On pricing: for exotic structures (like a structured note referencing a basket of cryptos), the model should be tested under extreme joint moves, not just base correlation. If the bank uses any</w:t>
      </w:r>
      <w:r>
        <w:t xml:space="preserve"> </w:t>
      </w:r>
      <w:r>
        <w:rPr>
          <w:b/>
          <w:bCs/>
        </w:rPr>
        <w:t xml:space="preserve">DeFi protocol</w:t>
      </w:r>
      <w:r>
        <w:t xml:space="preserve"> </w:t>
      </w:r>
      <w:r>
        <w:t xml:space="preserve">or vendor for yields (some banks have tried permissioned DeFi lending to get yield on idle cash via stablecoins, etc.), thoroughly audit those algorithms and maybe get external code audit – treat it akin to outsourcing risk. Data on blockchain (like addresses, transaction volumes) can also be harnessed in risk monitoring – some advanced risk management might track on-chain metrics of market health (like addresses active, flows from exchanges) as early warning. The CRO’s quant team might integrate those if useful.</w:t>
      </w:r>
    </w:p>
    <w:p>
      <w:pPr>
        <w:pStyle w:val="BodyText"/>
      </w:pPr>
      <w:r>
        <w:rPr>
          <w:b/>
          <w:bCs/>
        </w:rPr>
        <w:t xml:space="preserve">Stress Scenarios (e.g., stablecoin depeg, exchange default, chain halt):</w:t>
      </w:r>
      <w:r>
        <w:t xml:space="preserve"> </w:t>
      </w:r>
      <w:r>
        <w:t xml:space="preserve">Incorporate crypto-specific stress scenarios into regular stress testing and tail risk reviews. We already spoke of some:</w:t>
      </w:r>
      <w:r>
        <w:t xml:space="preserve"> </w:t>
      </w:r>
      <w:r>
        <w:t xml:space="preserve">-</w:t>
      </w:r>
      <w:r>
        <w:t xml:space="preserve"> </w:t>
      </w:r>
      <w:r>
        <w:rPr>
          <w:b/>
          <w:bCs/>
        </w:rPr>
        <w:t xml:space="preserve">Stablecoin depeg scenario:</w:t>
      </w:r>
      <w:r>
        <w:t xml:space="preserve"> </w:t>
      </w:r>
      <w:r>
        <w:t xml:space="preserve">Pick the top stablecoin (say Tether) losing market confidence, trading down to e.g. $0.80. Assume concurrent run – massive redemptions causing fire-sale of reserves which maybe break money markets if large. Impact: if the bank holds any USDT, mark down by 20% or total loss if assume freeze. If clients hold it, consider credit risk if they can’t pay something because assets locked. If used as collateral, massive increase in margin shortfall. Also broader market might drop as USDT is widely used for liquidity. This scenario also tests if risk systems treat stablecoins appropriately (not as cash at par always).</w:t>
      </w:r>
      <w:r>
        <w:t xml:space="preserve"> </w:t>
      </w:r>
      <w:r>
        <w:t xml:space="preserve">-</w:t>
      </w:r>
      <w:r>
        <w:t xml:space="preserve"> </w:t>
      </w:r>
      <w:r>
        <w:rPr>
          <w:b/>
          <w:bCs/>
        </w:rPr>
        <w:t xml:space="preserve">Major exchange failure scenario:</w:t>
      </w:r>
      <w:r>
        <w:t xml:space="preserve"> </w:t>
      </w:r>
      <w:r>
        <w:t xml:space="preserve">e.g. Binance insolvent or shut by regulators. Immediate effect: crypto prices likely plunge 20-30% due to panic/liquidity loss</w:t>
      </w:r>
      <w:hyperlink r:id="rId76">
        <w:r>
          <w:rPr>
            <w:rStyle w:val="Hyperlink"/>
          </w:rPr>
          <w:t xml:space="preserve">[47]</w:t>
        </w:r>
      </w:hyperlink>
      <w:r>
        <w:t xml:space="preserve">. Also funds stuck on that exchange – if bank or clients had assets there, freeze and possibly loss. The market structure might fragment (volatility, spreads widen). If any trades in flight with that venue, assume lost. Possibly a series of counterparty defaults from those dependent on exchange liquidity. So in stress, attribute direct loss (frozen assets) and market loss (price drop on remaining positions) and second-order (clients defaults).</w:t>
      </w:r>
      <w:r>
        <w:t xml:space="preserve"> </w:t>
      </w:r>
      <w:r>
        <w:t xml:space="preserve">-</w:t>
      </w:r>
      <w:r>
        <w:t xml:space="preserve"> </w:t>
      </w:r>
      <w:r>
        <w:rPr>
          <w:b/>
          <w:bCs/>
        </w:rPr>
        <w:t xml:space="preserve">Blockchain network halt or attack:</w:t>
      </w:r>
      <w:r>
        <w:t xml:space="preserve"> </w:t>
      </w:r>
      <w:r>
        <w:t xml:space="preserve">e.g. Ethereum network stops processing for several hours (it’s happened in past in smaller scales). If that happens at a critical time (like during high market volatility), ability to move assets or settle trades is delayed – could lead to defaults because payments can’t go through. Or if an attack (51% attack) reverses some transactions – that could undermine trust and crash an asset’s price severely. Stress that e.g. Bitcoin price drops 50% if such an event happened, plus operational chaos. For risk mgmt, ensure you consider inability to act due to technical outage in scenarios, not just price moves.</w:t>
      </w:r>
      <w:r>
        <w:t xml:space="preserve"> </w:t>
      </w:r>
      <w:r>
        <w:t xml:space="preserve">-</w:t>
      </w:r>
      <w:r>
        <w:t xml:space="preserve"> </w:t>
      </w:r>
      <w:r>
        <w:rPr>
          <w:b/>
          <w:bCs/>
        </w:rPr>
        <w:t xml:space="preserve">Regulatory ban scenario:</w:t>
      </w:r>
      <w:r>
        <w:t xml:space="preserve"> </w:t>
      </w:r>
      <w:r>
        <w:t xml:space="preserve">e.g. US or EU outright bans certain crypto activities or imposes freezing of certain assets (like OFAC sanction on a major coin). That might lead to near total loss of value for some tokens, and forced unwinding of positions at bad prices. Good to simulate, though likelihood might seem low – but we saw China ban cause big dips.</w:t>
      </w:r>
      <w:r>
        <w:t xml:space="preserve"> </w:t>
      </w:r>
      <w:r>
        <w:t xml:space="preserve">-</w:t>
      </w:r>
      <w:r>
        <w:t xml:space="preserve"> </w:t>
      </w:r>
      <w:r>
        <w:rPr>
          <w:b/>
          <w:bCs/>
        </w:rPr>
        <w:t xml:space="preserve">Extreme volatility spike</w:t>
      </w:r>
      <w:r>
        <w:t xml:space="preserve">: e.g. imagine a day where Bitcoin moves +/- 40% in hours (similar to March 2020). Are margin processes able to keep up? Would automated liquidations overshoot? See what P&amp;L looks like under chaotic swings.</w:t>
      </w:r>
    </w:p>
    <w:p>
      <w:pPr>
        <w:pStyle w:val="BodyText"/>
      </w:pPr>
      <w:r>
        <w:t xml:space="preserve">These scenarios should be run at least internally; any vulnerabilities (like “we’d lose $X which is above our risk appetite” or “we’d have uncollateralized exposure of Y because margin couldn’t cover such a fast drop”) should prompt mitigation strategies now (like require more initial margin, or have credit lines ready to top up collateral in a crunch).</w:t>
      </w:r>
    </w:p>
    <w:p>
      <w:pPr>
        <w:pStyle w:val="BodyText"/>
      </w:pPr>
      <w:r>
        <w:rPr>
          <w:b/>
          <w:bCs/>
        </w:rPr>
        <w:t xml:space="preserve">Infrastructure &amp; Operational Controls (Custody, Key Management, 24/7 Monitoring):</w:t>
      </w:r>
      <w:r>
        <w:t xml:space="preserve"> </w:t>
      </w:r>
      <w:r>
        <w:t xml:space="preserve">Delve into the operational backbone: If the bank runs its own custody, invest in top-tier security: multi-signature approvals (with geolocation separation), hardware security modules (HSMs) storing keys in secure enclaves, strict whitelisting of withdrawal addresses (so even if someone hacks, they can’t send to arbitrary address, only pre-approved ones). Frequent audits of wallet systems and penetration testing are a must. Also consider</w:t>
      </w:r>
      <w:r>
        <w:t xml:space="preserve"> </w:t>
      </w:r>
      <w:r>
        <w:rPr>
          <w:b/>
          <w:bCs/>
        </w:rPr>
        <w:t xml:space="preserve">insurance</w:t>
      </w:r>
      <w:r>
        <w:t xml:space="preserve">: many crypto custodians carry crime insurance to cover theft up to certain amount – bank could get that, though it’s expensive, to offset residual risk. For any staff handling private keys or with access to systems, do thorough background checks and monitoring (insider risk is non-trivial – a rogue employee at an exchange stole keys to loot funds historically). Perhaps use</w:t>
      </w:r>
      <w:r>
        <w:t xml:space="preserve"> </w:t>
      </w:r>
      <w:r>
        <w:rPr>
          <w:b/>
          <w:bCs/>
        </w:rPr>
        <w:t xml:space="preserve">sharding</w:t>
      </w:r>
      <w:r>
        <w:t xml:space="preserve"> </w:t>
      </w:r>
      <w:r>
        <w:t xml:space="preserve">– splitting keys such that no single person has full control. Also plan how to handle asset recovery if something happens to a key custodian (what if two out of three key holders are unavailable? Have backups sealed somewhere).</w:t>
      </w:r>
    </w:p>
    <w:p>
      <w:pPr>
        <w:pStyle w:val="BodyText"/>
      </w:pPr>
      <w:r>
        <w:t xml:space="preserve">24/7 monitoring – implement automated alerts for unusual transactions or system performance issues in custody platform. Maintain an on-call rotation across risk, IT, and operations to respond to off-hours incidents (similar to what banks do for cybersecurity). It might involve setting up a follow-the-sun model with different region teams or a specific command center for digital ops. Ensure the incident response plan includes crypto scenarios (like hack of wallet, or finding malware on a signing server – who to call, do you pause all withdrawals, etc., and communications plan).</w:t>
      </w:r>
    </w:p>
    <w:p>
      <w:pPr>
        <w:pStyle w:val="BodyText"/>
      </w:pPr>
      <w:r>
        <w:rPr>
          <w:b/>
          <w:bCs/>
        </w:rPr>
        <w:t xml:space="preserve">Vendor &amp; Third-Party Risk (Exchanges, Custodians, Analytics Providers):</w:t>
      </w:r>
      <w:r>
        <w:t xml:space="preserve"> </w:t>
      </w:r>
      <w:r>
        <w:t xml:space="preserve">If the bank relies on third-party crypto service providers (likely initially many will – e.g. using an external custodial tech, or executing trades via a broker or exchange API), conduct thorough</w:t>
      </w:r>
      <w:r>
        <w:t xml:space="preserve"> </w:t>
      </w:r>
      <w:r>
        <w:rPr>
          <w:b/>
          <w:bCs/>
        </w:rPr>
        <w:t xml:space="preserve">due diligence</w:t>
      </w:r>
      <w:r>
        <w:t xml:space="preserve"> </w:t>
      </w:r>
      <w:r>
        <w:t xml:space="preserve">akin to critical vendor review. That includes their financial soundness (are they profitable? Do they have credible investors? For an exchange, proof of reserves and any audit?), their regulatory status (prefer dealing with regulated exchanges/ brokers in reputable jurisdictions), security track record (have they been hacked? What security certifications they have). Also consider concentration: It’s common that one or two exchanges dominate volume (e.g. in 2025 maybe Binance globally, Coinbase in US). If your business flows all through one venue, that’s a single point of failure. If feasible, use multiple venues and have backup liquidity sources (like access to decentralized exchanges as backup, albeit those come with other risks).</w:t>
      </w:r>
      <w:r>
        <w:t xml:space="preserve"> </w:t>
      </w:r>
      <w:r>
        <w:rPr>
          <w:b/>
          <w:bCs/>
        </w:rPr>
        <w:t xml:space="preserve">Contracts</w:t>
      </w:r>
      <w:r>
        <w:t xml:space="preserve"> </w:t>
      </w:r>
      <w:r>
        <w:t xml:space="preserve">with vendors should clarify liability – e.g., if a custodian loses coins, do they fully compensate? (Coinbase custody for instance has insurance to certain limit). Also,</w:t>
      </w:r>
      <w:r>
        <w:t xml:space="preserve"> </w:t>
      </w:r>
      <w:r>
        <w:rPr>
          <w:b/>
          <w:bCs/>
        </w:rPr>
        <w:t xml:space="preserve">exit plans</w:t>
      </w:r>
      <w:r>
        <w:t xml:space="preserve">: if tomorrow we decide to exit crypto business or a vendor fails, can we retrieve our assets and client assets quickly and port to another solution? Or if regulation changes, can we comply by switching providers? Prepare for these to avoid getting stuck.</w:t>
      </w:r>
    </w:p>
    <w:p>
      <w:pPr>
        <w:pStyle w:val="BodyText"/>
      </w:pPr>
      <w:r>
        <w:t xml:space="preserve">For analytics (like blockchain monitoring services for AML, or pricing data providers), ensure they have reliable data pipelines and redundancy. If an analytics service goes down, do you have alternate way to monitor transactions for sanctions compliance? Possibly have at least two data sources for critical functions (similar to having two market data feeds for prices in trading).</w:t>
      </w:r>
    </w:p>
    <w:p>
      <w:pPr>
        <w:pStyle w:val="BodyText"/>
      </w:pPr>
      <w:r>
        <w:rPr>
          <w:b/>
          <w:bCs/>
        </w:rPr>
        <w:t xml:space="preserve">Talent and Training:</w:t>
      </w:r>
      <w:r>
        <w:t xml:space="preserve"> </w:t>
      </w:r>
      <w:r>
        <w:t xml:space="preserve">Ensure the risk team and other relevant teams are</w:t>
      </w:r>
      <w:r>
        <w:t xml:space="preserve"> </w:t>
      </w:r>
      <w:r>
        <w:rPr>
          <w:b/>
          <w:bCs/>
        </w:rPr>
        <w:t xml:space="preserve">educated on crypto</w:t>
      </w:r>
      <w:r>
        <w:t xml:space="preserve"> </w:t>
      </w:r>
      <w:r>
        <w:t xml:space="preserve">specifics. Possibly hire a few specialists with industry experience. It’s easy for a traditional risk manager to be unfamiliar with e.g. how a multi-sig wallet works or how DeFi protocols can create leverage – training is needed or they may overlook key risk. Cross-training IT security folks on blockchain specifics is also valuable (they might be top in network security but securing a hot wallet is somewhat different).</w:t>
      </w:r>
    </w:p>
    <w:p>
      <w:pPr>
        <w:pStyle w:val="BodyText"/>
      </w:pPr>
      <w:r>
        <w:rPr>
          <w:b/>
          <w:bCs/>
        </w:rPr>
        <w:t xml:space="preserve">Continuous Review:</w:t>
      </w:r>
      <w:r>
        <w:t xml:space="preserve"> </w:t>
      </w:r>
      <w:r>
        <w:t xml:space="preserve">The CRO’s playbook should be a living document, updated as crypto evolves (which is rapid). Set schedule (quarterly maybe) for a formal review of crypto risk profile and strategy at a high level, to decide if risk appetite needs adjusting, if new products can be allowed or if some should be dialed back. Also incorporate lessons from any incidents (own or peer banks’ – if a competitor suffers a crypto loss or hack, analyze it and adjust controls to avoid same).</w:t>
      </w:r>
    </w:p>
    <w:p>
      <w:pPr>
        <w:pStyle w:val="BodyText"/>
      </w:pPr>
      <w:r>
        <w:t xml:space="preserve">By executing this playbook, a CRO can bring the bank’s foray into digital assets under a disciplined risk management umbrella, akin to how other new product classes (like complex derivatives in past) were tamed. The aim is to enable innovation (so the bank can serve client demand)</w:t>
      </w:r>
      <w:r>
        <w:t xml:space="preserve"> </w:t>
      </w:r>
      <w:r>
        <w:rPr>
          <w:b/>
          <w:bCs/>
        </w:rPr>
        <w:t xml:space="preserve">safely</w:t>
      </w:r>
      <w:r>
        <w:t xml:space="preserve">, with risks identified, measured, and mitigated to acceptable levels, and with readiness to respond to adverse events without jeopardizing the institution.</w:t>
      </w:r>
    </w:p>
    <w:bookmarkEnd w:id="89"/>
    <w:bookmarkEnd w:id="90"/>
    <w:bookmarkStart w:id="108" w:name="X253b6cd5cd66939fadb7c2dcde23f33655e7011"/>
    <w:p>
      <w:pPr>
        <w:pStyle w:val="Heading2"/>
      </w:pPr>
      <w:r>
        <w:t xml:space="preserve">5. DEEP DIVE: AI / LLM Risk &amp; Opportunity Agenda (2025–2030)</w:t>
      </w:r>
    </w:p>
    <w:p>
      <w:pPr>
        <w:pStyle w:val="FirstParagraph"/>
      </w:pPr>
      <w:r>
        <w:t xml:space="preserve">Artificial Intelligence (AI) – especially the rise of powerful large language models (LLMs) and other generative AI – is transforming financial services. For a CRO, AI represents a double-edged sword: enormous potential to improve risk detection, efficiency, and insight, but also new layers of model risk, operational complexity, and systemic considerations. This section provides a flagship-quality analysis of why AI is now a first-order CRO concern, use cases and risks across the CIB value chain, systemic impacts, evolving regulation, and how to govern AI risk.</w:t>
      </w:r>
    </w:p>
    <w:bookmarkStart w:id="93" w:name="a.-why-ai-is-a-first-order-cro-topic"/>
    <w:p>
      <w:pPr>
        <w:pStyle w:val="Heading3"/>
      </w:pPr>
      <w:r>
        <w:t xml:space="preserve">5A. Why AI is a First-Order CRO Topic</w:t>
      </w:r>
    </w:p>
    <w:p>
      <w:pPr>
        <w:pStyle w:val="FirstParagraph"/>
      </w:pPr>
      <w:r>
        <w:t xml:space="preserve">AI has moved from niche analytical tools to core decision-making engines in many processes. Its scale, speed, and opacity raise fundamental questions of controllability and reliability, placing it firmly on the CRO’s radar.</w:t>
      </w:r>
    </w:p>
    <w:p>
      <w:pPr>
        <w:pStyle w:val="BodyText"/>
      </w:pPr>
      <w:r>
        <w:rPr>
          <w:b/>
          <w:bCs/>
        </w:rPr>
        <w:t xml:space="preserve">Scale &amp; Speed of AI-Driven Decisions:</w:t>
      </w:r>
      <w:r>
        <w:t xml:space="preserve"> </w:t>
      </w:r>
      <w:r>
        <w:t xml:space="preserve">AI systems can ingest vast datasets (millions of data points, text documents, etc.) and make decisions or recommendations in milliseconds, far beyond human capacity. In trading, AI models might execute thousands of orders across markets in a flash, or an AI risk model might instantaneously flag (or miss) an anomaly among millions of trades. The sheer throughput means that if an AI goes wrong, it can cause damage extremely quickly and on a large scale.</w:t>
      </w:r>
      <w:r>
        <w:t xml:space="preserve"> </w:t>
      </w:r>
      <w:r>
        <w:rPr>
          <w:i/>
          <w:iCs/>
        </w:rPr>
        <w:t xml:space="preserve">Example:</w:t>
      </w:r>
      <w:r>
        <w:t xml:space="preserve"> </w:t>
      </w:r>
      <w:r>
        <w:t xml:space="preserve">an AI-driven trading algorithm could exacerbate a flash crash by herding on false signals, moving billions in seconds (no human could intervene in time). Similarly, an AI credit engine could approve a flood of bad loans within days before humans notice a pattern. This speed/scale amplification of both good decisions and mistakes means the CRO must ensure</w:t>
      </w:r>
      <w:r>
        <w:t xml:space="preserve"> </w:t>
      </w:r>
      <w:r>
        <w:rPr>
          <w:b/>
          <w:bCs/>
        </w:rPr>
        <w:t xml:space="preserve">pre-emptive controls</w:t>
      </w:r>
      <w:r>
        <w:t xml:space="preserve"> </w:t>
      </w:r>
      <w:r>
        <w:t xml:space="preserve">and real-time monitoring for AI, as post-factum reaction may be too late.</w:t>
      </w:r>
    </w:p>
    <w:p>
      <w:pPr>
        <w:pStyle w:val="BodyText"/>
      </w:pPr>
      <w:r>
        <w:rPr>
          <w:b/>
          <w:bCs/>
        </w:rPr>
        <w:t xml:space="preserve">Opacity (“Black-Box” Nature):</w:t>
      </w:r>
      <w:r>
        <w:t xml:space="preserve"> </w:t>
      </w:r>
      <w:r>
        <w:t xml:space="preserve">Modern AI, particularly deep learning and LLMs, often defy simple explanation. The models are so complex (GPT-4, for instance, has trillions of parameters) that even their creators can’t precisely tell why a certain output was produced. This lack of explainability is at odds with risk management’s need to understand drivers and validate outcomes.</w:t>
      </w:r>
      <w:r>
        <w:t xml:space="preserve"> </w:t>
      </w:r>
      <w:r>
        <w:rPr>
          <w:b/>
          <w:bCs/>
        </w:rPr>
        <w:t xml:space="preserve">AI as a “meta-model” layer</w:t>
      </w:r>
      <w:r>
        <w:t xml:space="preserve"> </w:t>
      </w:r>
      <w:r>
        <w:t xml:space="preserve">compounds this: banks might layer AI on top of existing models (e.g., an AI that dynamically adjusts trading model parameters, or an AI that scans and summarizes risk reports for decision-makers). If the meta-layer is opaque, it could silently degrade model performance or propagate subtle errors across many models. For CROs, the concern is decisions being made that we cannot trace or justify – which regulators will also not accept for high-stakes areas like credit approval or capital models. The complexity challenges the traditional model validation approach that expects detailed documentation and reasoned theory. The CRO must push for</w:t>
      </w:r>
      <w:r>
        <w:t xml:space="preserve"> </w:t>
      </w:r>
      <w:r>
        <w:rPr>
          <w:b/>
          <w:bCs/>
        </w:rPr>
        <w:t xml:space="preserve">XAI (explainable AI) techniques</w:t>
      </w:r>
      <w:r>
        <w:t xml:space="preserve">, or at least robust outcome testing, before trusting these systems in key processes.</w:t>
      </w:r>
    </w:p>
    <w:p>
      <w:pPr>
        <w:pStyle w:val="BodyText"/>
      </w:pPr>
      <w:r>
        <w:rPr>
          <w:b/>
          <w:bCs/>
        </w:rPr>
        <w:t xml:space="preserve">Regulatory &amp; Supervisory Expectations:</w:t>
      </w:r>
      <w:r>
        <w:t xml:space="preserve"> </w:t>
      </w:r>
      <w:r>
        <w:t xml:space="preserve">Regulators globally are signalling that AI can’t be a wild west in banking. The EU’s AI Act (finalized 2024) explicitly classifies credit scoring AIs as “High-Risk” requiring rigorous risk management, human oversight, and auditability</w:t>
      </w:r>
      <w:hyperlink r:id="rId35">
        <w:r>
          <w:rPr>
            <w:rStyle w:val="Hyperlink"/>
          </w:rPr>
          <w:t xml:space="preserve">[15]</w:t>
        </w:r>
      </w:hyperlink>
      <w:hyperlink r:id="rId54">
        <w:r>
          <w:rPr>
            <w:rStyle w:val="Hyperlink"/>
          </w:rPr>
          <w:t xml:space="preserve">[28]</w:t>
        </w:r>
      </w:hyperlink>
      <w:r>
        <w:t xml:space="preserve">. That means by around 2026, EU-based CIBs must have documentation on their AI systems, implement quality management (robustness, accuracy checks), and ensure human-in-the-loop for decisions that affect people significantly. The US, via the 2023 Executive Order on AI, is encouraging financial regulators (like FSOC) to evaluate AI’s impact on financial stability and fairness</w:t>
      </w:r>
      <w:hyperlink r:id="rId91">
        <w:r>
          <w:rPr>
            <w:rStyle w:val="Hyperlink"/>
          </w:rPr>
          <w:t xml:space="preserve">[57]</w:t>
        </w:r>
      </w:hyperlink>
      <w:r>
        <w:t xml:space="preserve">. The Fed and OCC are updating model risk guidance to encompass AI – essentially saying “AI/ML models are still models and need to meet SR 11-7 principles” (documentation, validation, governance). Central bank officials, like ECB’s Supervisory Chair, have warned banks not to “blindly follow AI” and need to ensure staff can interpret AI outputs</w:t>
      </w:r>
      <w:hyperlink r:id="rId92">
        <w:r>
          <w:rPr>
            <w:rStyle w:val="Hyperlink"/>
          </w:rPr>
          <w:t xml:space="preserve">[58]</w:t>
        </w:r>
      </w:hyperlink>
      <w:r>
        <w:t xml:space="preserve">. This indicates supervisors will quiz CROs on how they prevent over-reliance and maintain judgement. Additionally, there’s focus from a systemic angle: e.g. the FSB’s 2024 report flagged AI concentration and model risk as potential stability issues</w:t>
      </w:r>
      <w:hyperlink r:id="rId33">
        <w:r>
          <w:rPr>
            <w:rStyle w:val="Hyperlink"/>
          </w:rPr>
          <w:t xml:space="preserve">[13]</w:t>
        </w:r>
      </w:hyperlink>
      <w:hyperlink r:id="rId34">
        <w:r>
          <w:rPr>
            <w:rStyle w:val="Hyperlink"/>
          </w:rPr>
          <w:t xml:space="preserve">[14]</w:t>
        </w:r>
      </w:hyperlink>
      <w:r>
        <w:t xml:space="preserve">, recommending regulators close data gaps and review frameworks. This high-level attention means CROs should anticipate enhanced examination of AI usage: examiners might ask, “Show us how you validated this AI trading algorithm, how do you know it won’t behave erratically in stress?” or “What if the cloud service running your AI fails – do you have continuity?” Also, regulatory compliance departments worry about AI bias – e.g. fair lending laws if an AI inadvertently discriminates. Non-compliance in that realm can cause fines and legal action.</w:t>
      </w:r>
    </w:p>
    <w:p>
      <w:pPr>
        <w:pStyle w:val="BodyText"/>
      </w:pPr>
      <w:r>
        <w:rPr>
          <w:b/>
          <w:bCs/>
        </w:rPr>
        <w:t xml:space="preserve">Concentration in AI Providers/Infra:</w:t>
      </w:r>
      <w:r>
        <w:t xml:space="preserve"> </w:t>
      </w:r>
      <w:r>
        <w:t xml:space="preserve">The AI revolution is currently concentrated among a few tech firms providing models or cloud computing. OpenAI (with Microsoft), Google, Amazon, etc., are the key providers of LLMs or AI cloud services. If many banks rely on the same model (say an OpenAI model for code generation or customer service bots) or same cloud, this introduces</w:t>
      </w:r>
      <w:r>
        <w:t xml:space="preserve"> </w:t>
      </w:r>
      <w:r>
        <w:rPr>
          <w:b/>
          <w:bCs/>
        </w:rPr>
        <w:t xml:space="preserve">vendor concentration risk</w:t>
      </w:r>
      <w:r>
        <w:t xml:space="preserve">. A failure or vulnerability in one model could simultaneously hit many banks (systemic risk). For instance, if a widely used AI model started giving subtly wrong risk assessments due to a bug or adversarial manipulation, multiple banks could mis-price or mis-manage risk concurrently. Or if a cloud provider hosting AI workloads has an outage or data breach, that’s a single point of failure impacting multiple firms. The CRO should consider this akin to reliance on a single CCP or single supplier – risk mitigation might involve diversification (use multiple models where possible), strong vendor SLAs including clarity on model changes (e.g. if OpenAI updates the model, how will you know and test the new behavior?), and contingency plans (is there an offline or alternate method if AI service goes down?). The scale and specialized nature of AI also raises barriers to exit – switching providers might be hard once integrated deeply. So negotiating robust contracts and monitoring these third-parties is crucial. The</w:t>
      </w:r>
      <w:r>
        <w:t xml:space="preserve"> </w:t>
      </w:r>
      <w:r>
        <w:rPr>
          <w:b/>
          <w:bCs/>
        </w:rPr>
        <w:t xml:space="preserve">FSB specifically lists third-party AI reliance</w:t>
      </w:r>
      <w:r>
        <w:t xml:space="preserve"> </w:t>
      </w:r>
      <w:r>
        <w:t xml:space="preserve">and possibility of herding as key risks</w:t>
      </w:r>
      <w:hyperlink r:id="rId33">
        <w:r>
          <w:rPr>
            <w:rStyle w:val="Hyperlink"/>
          </w:rPr>
          <w:t xml:space="preserve">[13]</w:t>
        </w:r>
      </w:hyperlink>
      <w:hyperlink r:id="rId57">
        <w:r>
          <w:rPr>
            <w:rStyle w:val="Hyperlink"/>
          </w:rPr>
          <w:t xml:space="preserve">[31]</w:t>
        </w:r>
      </w:hyperlink>
      <w:r>
        <w:t xml:space="preserve">, so expect regulatory pressure to have controls around this (like how banks now must have exit plans for critical cloud services under EBA guidelines, etc., similar will apply to AI).</w:t>
      </w:r>
    </w:p>
    <w:p>
      <w:pPr>
        <w:pStyle w:val="BodyText"/>
      </w:pPr>
      <w:r>
        <w:t xml:space="preserve">In short, AI is a first-order CRO topic because it magnifies traditional model risk and operational risk to potentially systemic levels. It’s no longer just “the quants’ domain” – it pervades strategic decisions (credit allocation, trading strategies) and even trust in the financial system (imagine AI erroneously denying many clients credit or causing a market glitch). The CRO’s role is to ensure the bank harnesses AI’s benefits (improved efficiency, insight) without ceding control or understanding, and remains compliant with the emerging AI regulatory framework that demands safety, fairness, and accountability.</w:t>
      </w:r>
    </w:p>
    <w:bookmarkEnd w:id="93"/>
    <w:bookmarkStart w:id="94" w:name="X9a7dfc7fb4f5ba444dbbafcf45b5eb511d8abfe"/>
    <w:p>
      <w:pPr>
        <w:pStyle w:val="Heading3"/>
      </w:pPr>
      <w:r>
        <w:t xml:space="preserve">5B. AI Use Cases in CIB (Front-to-Back) – Benefits and Risks</w:t>
      </w:r>
    </w:p>
    <w:p>
      <w:pPr>
        <w:pStyle w:val="FirstParagraph"/>
      </w:pPr>
      <w:r>
        <w:t xml:space="preserve">AI is being deployed across almost every function of a CIB – from front-office trading to middle-office risk and back-office compliance. We examine key use case categories, with examples, and assess their benefits and failure modes.</w:t>
      </w:r>
    </w:p>
    <w:p>
      <w:pPr>
        <w:pStyle w:val="BodyText"/>
      </w:pPr>
      <w:r>
        <w:rPr>
          <w:b/>
          <w:bCs/>
        </w:rPr>
        <w:t xml:space="preserve">Trading &amp; Structuring Use Cases:</w:t>
      </w:r>
      <w:r>
        <w:t xml:space="preserve"> </w:t>
      </w:r>
      <w:r>
        <w:t xml:space="preserve">-</w:t>
      </w:r>
      <w:r>
        <w:t xml:space="preserve"> </w:t>
      </w:r>
      <w:r>
        <w:rPr>
          <w:i/>
          <w:iCs/>
        </w:rPr>
        <w:t xml:space="preserve">Signal Generation &amp; Strategy Optimization:</w:t>
      </w:r>
      <w:r>
        <w:t xml:space="preserve"> </w:t>
      </w:r>
      <w:r>
        <w:t xml:space="preserve">AI/ML algorithms analyze vast datasets (market tick data, news, even satellite images) to generate trading signals or identify arbitrage opportunities. E.g., a machine learning model might predict short-term price moves or optimal execution schedules. Benefit: can uncover patterns too subtle or complex for humans, potentially giving a trading edge or reducing execution costs. Risk: The model may latch onto spurious correlations that work historically but fail in new regimes (overfitting). For example, an AI might “learn” a pattern that stock futures drop at 2pm each first Friday, but that was coincidence; if it bets big on that, it will lose when pattern doesn’t repeat. Also, if many firms deploy similar ML strategies, crowded trades can lead to flash crashes or vanishing arbitrage (the edge decays and can invert).</w:t>
      </w:r>
      <w:r>
        <w:t xml:space="preserve"> </w:t>
      </w:r>
      <w:r>
        <w:t xml:space="preserve">-</w:t>
      </w:r>
      <w:r>
        <w:t xml:space="preserve"> </w:t>
      </w:r>
      <w:r>
        <w:rPr>
          <w:i/>
          <w:iCs/>
        </w:rPr>
        <w:t xml:space="preserve">Automated Market Making:</w:t>
      </w:r>
      <w:r>
        <w:t xml:space="preserve"> </w:t>
      </w:r>
      <w:r>
        <w:t xml:space="preserve">AI can dynamically update quotes on electronic markets using reinforcement learning that adapts to market conditions. Benefit: more efficient pricing and potentially more consistent profits by managing inventory and hedging in real time. Risk: If model misestimates volatility or liquidity (especially in regime change), it could quote aggressively and accumulate large positions that turn loss. Also, an adversary could probe and find weaknesses in the AI’s strategy (adversarial trading) – like triggering it to overreact.</w:t>
      </w:r>
      <w:r>
        <w:t xml:space="preserve"> </w:t>
      </w:r>
      <w:r>
        <w:t xml:space="preserve">-</w:t>
      </w:r>
      <w:r>
        <w:t xml:space="preserve"> </w:t>
      </w:r>
      <w:r>
        <w:rPr>
          <w:i/>
          <w:iCs/>
        </w:rPr>
        <w:t xml:space="preserve">Derivative Pricing &amp; Structuring:</w:t>
      </w:r>
      <w:r>
        <w:t xml:space="preserve"> </w:t>
      </w:r>
      <w:r>
        <w:t xml:space="preserve">AI tools assist structurers in designing bespoke products (like suggesting structures that achieve a client’s payoff preference) and in pricing complex non-linear instruments (e.g., using neural networks as proxy pricers for exotic options which are hard to solve). Benefit: faster turnaround to clients, more optimized structures (AI might find a combination of options that replicate a payoff cheaper). Risk: The AI’s output might be arbitrage-able or violate no-arbitrage if not constrained properly, leading to mispricing. Or it might create products too complex to hedge effectively, exposing the bank. Also, any error in the training data (like mispriced past trades) would propagate to model output.</w:t>
      </w:r>
    </w:p>
    <w:p>
      <w:pPr>
        <w:pStyle w:val="BodyText"/>
      </w:pPr>
      <w:r>
        <w:rPr>
          <w:i/>
          <w:iCs/>
        </w:rPr>
        <w:t xml:space="preserve">Failure Modes:</w:t>
      </w:r>
      <w:r>
        <w:t xml:space="preserve"> </w:t>
      </w:r>
      <w:r>
        <w:t xml:space="preserve">For trading AI:</w:t>
      </w:r>
      <w:r>
        <w:t xml:space="preserve"> </w:t>
      </w:r>
      <w:r>
        <w:rPr>
          <w:b/>
          <w:bCs/>
        </w:rPr>
        <w:t xml:space="preserve">False signals</w:t>
      </w:r>
      <w:r>
        <w:t xml:space="preserve"> </w:t>
      </w:r>
      <w:r>
        <w:t xml:space="preserve">(due to regime change, e.g., COVID market structural break – AI trained on pre-2020 might misread pandemic volatility);</w:t>
      </w:r>
      <w:r>
        <w:t xml:space="preserve"> </w:t>
      </w:r>
      <w:r>
        <w:rPr>
          <w:b/>
          <w:bCs/>
        </w:rPr>
        <w:t xml:space="preserve">Reinforcement of wrong behavior</w:t>
      </w:r>
      <w:r>
        <w:t xml:space="preserve"> </w:t>
      </w:r>
      <w:r>
        <w:t xml:space="preserve">(if AI was rewarded in training for strategies that inadvertently added systemic risk, like “sell aggressively when market down” which could amplify crashes);</w:t>
      </w:r>
      <w:r>
        <w:t xml:space="preserve"> </w:t>
      </w:r>
      <w:r>
        <w:rPr>
          <w:b/>
          <w:bCs/>
        </w:rPr>
        <w:t xml:space="preserve">Lack of robustness</w:t>
      </w:r>
      <w:r>
        <w:t xml:space="preserve"> </w:t>
      </w:r>
      <w:r>
        <w:t xml:space="preserve">(a slight change in input, like a faulty data feed spike, might lead to outsized trades – as some algos did historically).</w:t>
      </w:r>
      <w:r>
        <w:t xml:space="preserve"> </w:t>
      </w:r>
      <w:r>
        <w:t xml:space="preserve">Controls: Use simulation and stress-testing of AI strategies under many scenarios to see how they behave. Put</w:t>
      </w:r>
      <w:r>
        <w:t xml:space="preserve"> </w:t>
      </w:r>
      <w:r>
        <w:rPr>
          <w:b/>
          <w:bCs/>
        </w:rPr>
        <w:t xml:space="preserve">guardrails</w:t>
      </w:r>
      <w:r>
        <w:t xml:space="preserve">: e.g. limit position size AI can take, require human sign-off above certain risk, have kill-switches if P&amp;L beyond a threshold. Keep human traders involved to monitor AI decisions and intervene if it seems off (human-in-the-loop). For pricing/structuring: validate AI’s suggested prices with traditional models or known boundaries (no free lunch checks). And ensure any structured product AI designs passes risk review and is explainable to client (AI might propose something creative but too opaque – reputational risk if client doesn’t understand it).</w:t>
      </w:r>
    </w:p>
    <w:p>
      <w:pPr>
        <w:pStyle w:val="BodyText"/>
      </w:pPr>
      <w:r>
        <w:rPr>
          <w:b/>
          <w:bCs/>
        </w:rPr>
        <w:t xml:space="preserve">Risk Management Use Cases:</w:t>
      </w:r>
      <w:r>
        <w:t xml:space="preserve"> </w:t>
      </w:r>
      <w:r>
        <w:t xml:space="preserve">-</w:t>
      </w:r>
      <w:r>
        <w:t xml:space="preserve"> </w:t>
      </w:r>
      <w:r>
        <w:rPr>
          <w:i/>
          <w:iCs/>
        </w:rPr>
        <w:t xml:space="preserve">Scenario Generation:</w:t>
      </w:r>
      <w:r>
        <w:t xml:space="preserve"> </w:t>
      </w:r>
      <w:r>
        <w:t xml:space="preserve">AI algorithms (like generative models) can create stress scenarios beyond historical cases by learning patterns in data. E.g., an AI might generate plausible alternative 2008-like scenarios with different nuances, or compound multi-factor moves that human scenario designers might not envision. Benefit: enriches the set of scenarios for stress testing, potentially revealing vulnerabilities in portfolios not seen under standard scenarios. Risk: AI-generated scenarios may not be economically coherent or may be too extreme/unrealistic, possibly causing misallocation of capital or panic (imagine an AI scenario that shows simultaneous 50% drop in equities, oil, and real estate – is that plausible or did the model mix unrelated extremes?). Also, if AI scenarios are not transparent, management might dismiss them or conversely overweight them without understanding assumptions.</w:t>
      </w:r>
      <w:r>
        <w:t xml:space="preserve"> </w:t>
      </w:r>
      <w:r>
        <w:t xml:space="preserve">-</w:t>
      </w:r>
      <w:r>
        <w:t xml:space="preserve"> </w:t>
      </w:r>
      <w:r>
        <w:rPr>
          <w:i/>
          <w:iCs/>
        </w:rPr>
        <w:t xml:space="preserve">Anomaly Detection &amp; Early Warnings:</w:t>
      </w:r>
      <w:r>
        <w:t xml:space="preserve"> </w:t>
      </w:r>
      <w:r>
        <w:t xml:space="preserve">AI, especially unsupervised learning, can flag anomalies in transaction patterns, market movements, or portfolio metrics. For instance, an AI might detect that a trader’s P&amp;L pattern deviates from peers (potential rogue trading), or that a counterparty’s trading behavior suddenly changed (perhaps a stress signal). Benefit: earlier detection of risks (market risk limit breaches, operational risks like a system incorrectly booking trades, or even fraud) than rule-based systems. Risk:</w:t>
      </w:r>
      <w:r>
        <w:t xml:space="preserve"> </w:t>
      </w:r>
      <w:r>
        <w:rPr>
          <w:b/>
          <w:bCs/>
        </w:rPr>
        <w:t xml:space="preserve">False positives</w:t>
      </w:r>
      <w:r>
        <w:t xml:space="preserve"> </w:t>
      </w:r>
      <w:r>
        <w:t xml:space="preserve">– AI might flag lots of noise as anomalies, overwhelming risk managers or causing “boy who cried wolf” effect. Or</w:t>
      </w:r>
      <w:r>
        <w:t xml:space="preserve"> </w:t>
      </w:r>
      <w:r>
        <w:rPr>
          <w:b/>
          <w:bCs/>
        </w:rPr>
        <w:t xml:space="preserve">false negatives</w:t>
      </w:r>
      <w:r>
        <w:t xml:space="preserve"> </w:t>
      </w:r>
      <w:r>
        <w:t xml:space="preserve">– if the anomaly blends into a pattern the AI considers normal because it learned it that way, it might miss an actual risk event. E.g., JP Morgan’s “London Whale” trades might have not flagged if AI was used to large positions in that portfolio historically, seeing it as normal until too late. Also, complexity: if AI says “this cluster of trades is weird” but cannot explain why in plain terms, risk managers may not know how to act on it (lack of actionable insight).</w:t>
      </w:r>
      <w:r>
        <w:t xml:space="preserve"> </w:t>
      </w:r>
      <w:r>
        <w:t xml:space="preserve">-</w:t>
      </w:r>
      <w:r>
        <w:t xml:space="preserve"> </w:t>
      </w:r>
      <w:r>
        <w:rPr>
          <w:i/>
          <w:iCs/>
        </w:rPr>
        <w:t xml:space="preserve">AI-assisted Risk Reporting:</w:t>
      </w:r>
      <w:r>
        <w:t xml:space="preserve"> </w:t>
      </w:r>
      <w:r>
        <w:t xml:space="preserve">LLMs can summarize lengthy risk reports, highlight key changes, even answer queries like “what’s driving our credit VaR up this quarter?” Benefit: saves analysts’ time and helps CRO/execs focus on important info. Risk:</w:t>
      </w:r>
      <w:r>
        <w:t xml:space="preserve"> </w:t>
      </w:r>
      <w:r>
        <w:rPr>
          <w:b/>
          <w:bCs/>
        </w:rPr>
        <w:t xml:space="preserve">Hallucination</w:t>
      </w:r>
      <w:r>
        <w:t xml:space="preserve"> </w:t>
      </w:r>
      <w:r>
        <w:t xml:space="preserve">– LLM might generate a plausible sounding explanation that is actually false (e.g. saying VaR increased due to X when actually it was Y, if it wasn’t correctly grounded in data). If management relies on that without verification, could make misinformed decisions. Or it might omit subtle but crucial details because it “thought” they were not important.</w:t>
      </w:r>
      <w:r>
        <w:t xml:space="preserve"> </w:t>
      </w:r>
      <w:r>
        <w:t xml:space="preserve">-</w:t>
      </w:r>
      <w:r>
        <w:t xml:space="preserve"> </w:t>
      </w:r>
      <w:r>
        <w:rPr>
          <w:i/>
          <w:iCs/>
        </w:rPr>
        <w:t xml:space="preserve">Credit Monitoring and Early Warning:</w:t>
      </w:r>
      <w:r>
        <w:t xml:space="preserve"> </w:t>
      </w:r>
      <w:r>
        <w:t xml:space="preserve">AI can analyze news, social media, satellite data, etc., to flag if a corporate borrower might be heading for trouble (e.g., negative sentiment spike, reduced factory activity via satellite). Benefit: more proactive credit risk management than waiting for financials. Risk: signals might be misleading (social media rumors can be false; AI might confuse companies with similar names). Also, there's the risk of information overlap: if many use same AI signals, a crowd may react causing self-fulfilling issues (like a bank run risk if AI tells everyone a bank’s sentiment is negative).</w:t>
      </w:r>
      <w:r>
        <w:t xml:space="preserve"> </w:t>
      </w:r>
      <w:r>
        <w:t xml:space="preserve">-</w:t>
      </w:r>
      <w:r>
        <w:t xml:space="preserve"> </w:t>
      </w:r>
      <w:r>
        <w:rPr>
          <w:i/>
          <w:iCs/>
        </w:rPr>
        <w:t xml:space="preserve">Document &amp; Contract Analysis:</w:t>
      </w:r>
      <w:r>
        <w:t xml:space="preserve"> </w:t>
      </w:r>
      <w:r>
        <w:t xml:space="preserve">AI (NLP) helps risk teams parse long ISDA documents, loan covenants, etc., to find risky clauses or inconsistencies. Benefit: speed and thoroughness. Risk: The AI might misinterpret legal nuance (hallucinate a clause requirement or miss a crucial not-obvious point), leading to false assurance about contract terms.</w:t>
      </w:r>
    </w:p>
    <w:p>
      <w:pPr>
        <w:pStyle w:val="BodyText"/>
      </w:pPr>
      <w:r>
        <w:rPr>
          <w:i/>
          <w:iCs/>
        </w:rPr>
        <w:t xml:space="preserve">Failure Modes:</w:t>
      </w:r>
      <w:r>
        <w:t xml:space="preserve"> </w:t>
      </w:r>
      <w:r>
        <w:t xml:space="preserve">For risk management AI:</w:t>
      </w:r>
      <w:r>
        <w:t xml:space="preserve"> </w:t>
      </w:r>
      <w:r>
        <w:rPr>
          <w:b/>
          <w:bCs/>
        </w:rPr>
        <w:t xml:space="preserve">Spurious correlations</w:t>
      </w:r>
      <w:r>
        <w:t xml:space="preserve"> </w:t>
      </w:r>
      <w:r>
        <w:t xml:space="preserve">causing early warning to misfire (e.g., linking a stock’s drop to default risk erroneously);</w:t>
      </w:r>
      <w:r>
        <w:t xml:space="preserve"> </w:t>
      </w:r>
      <w:r>
        <w:rPr>
          <w:b/>
          <w:bCs/>
        </w:rPr>
        <w:t xml:space="preserve">Data bias</w:t>
      </w:r>
      <w:r>
        <w:t xml:space="preserve"> </w:t>
      </w:r>
      <w:r>
        <w:t xml:space="preserve">– maybe the training data of past defaults didn’t include certain macro conditions, so AI fails to see a coming wave under new conditions;</w:t>
      </w:r>
      <w:r>
        <w:t xml:space="preserve"> </w:t>
      </w:r>
      <w:r>
        <w:rPr>
          <w:b/>
          <w:bCs/>
        </w:rPr>
        <w:t xml:space="preserve">Automation bias</w:t>
      </w:r>
      <w:r>
        <w:t xml:space="preserve"> </w:t>
      </w:r>
      <w:r>
        <w:t xml:space="preserve">where humans stop checking because AI usually is right, so when it’s wrong, the error slips through (like an anomaly detection system that had few false alarms gets trusted, then it misses a big anomaly – humans might not catch it either by then). Also,</w:t>
      </w:r>
      <w:r>
        <w:t xml:space="preserve"> </w:t>
      </w:r>
      <w:r>
        <w:rPr>
          <w:b/>
          <w:bCs/>
        </w:rPr>
        <w:t xml:space="preserve">adversarial input</w:t>
      </w:r>
      <w:r>
        <w:t xml:space="preserve"> </w:t>
      </w:r>
      <w:r>
        <w:t xml:space="preserve">– an insider could learn how the AI flags anomalies and intentionally avoid patterns that trigger it (like splitting a rogue trade into many small pieces if AI flags only big single trades).</w:t>
      </w:r>
      <w:r>
        <w:t xml:space="preserve"> </w:t>
      </w:r>
      <w:r>
        <w:t xml:space="preserve">Controls: Have humans review and contextualize AI outputs – e.g., anomaly detection should be an aid, not the sole decision basis; ensure a human risk manager investigates rather than auto-block anything AI flags. Maintain some overlapping traditional controls (belt and suspenders) – e.g., still keep a few hard triggers on key ratios so if AI misses, a basic check might catch something. Validate AI risk models by back-testing on past incidents – did it catch what we know happened? If not, adjust. Build explainability tools: e.g., for a credit early warning model, have it highlight top factors (like “mentions of bankruptcy in news up 500%”) to help analyst evaluate correctness. And be careful with LLM summaries – require that any facts stated are directly traceable to source data; encourage use of retrieval-Augmented generation (having LLM provide source references, and risk analysts can quickly verify). Essentially, treat AI outputs as recommendations for skilled staff to confirm, not as oracles.</w:t>
      </w:r>
    </w:p>
    <w:p>
      <w:pPr>
        <w:pStyle w:val="BodyText"/>
      </w:pPr>
      <w:r>
        <w:rPr>
          <w:b/>
          <w:bCs/>
        </w:rPr>
        <w:t xml:space="preserve">Credit &amp; Capital Use Cases:</w:t>
      </w:r>
      <w:r>
        <w:t xml:space="preserve"> </w:t>
      </w:r>
      <w:r>
        <w:t xml:space="preserve">-</w:t>
      </w:r>
      <w:r>
        <w:t xml:space="preserve"> </w:t>
      </w:r>
      <w:r>
        <w:rPr>
          <w:i/>
          <w:iCs/>
        </w:rPr>
        <w:t xml:space="preserve">AI-Assisted Underwriting:</w:t>
      </w:r>
      <w:r>
        <w:t xml:space="preserve"> </w:t>
      </w:r>
      <w:r>
        <w:t xml:space="preserve">Some banks use ML models to augment credit decisions for corporates or SMEs – analyzing financials, management sentiment (maybe from earnings calls or news), supply chain data, etc., to predict default or profitability. Benefit: potentially more accurate and faster than traditional scorecards, catching nonlinear signals or early deterioration. Could also reduce manual paperwork by auto-spreading financial statements, etc. Risk:</w:t>
      </w:r>
      <w:r>
        <w:t xml:space="preserve"> </w:t>
      </w:r>
      <w:r>
        <w:rPr>
          <w:b/>
          <w:bCs/>
        </w:rPr>
        <w:t xml:space="preserve">Model bias</w:t>
      </w:r>
      <w:r>
        <w:t xml:space="preserve"> </w:t>
      </w:r>
      <w:r>
        <w:t xml:space="preserve">– if trained mostly on certain sectors, it may systematically under/over-predict risk for others (e.g., an AI trained on lots of manufacturing firms might mis-evaluate a tech startup). Also,</w:t>
      </w:r>
      <w:r>
        <w:t xml:space="preserve"> </w:t>
      </w:r>
      <w:r>
        <w:rPr>
          <w:b/>
          <w:bCs/>
        </w:rPr>
        <w:t xml:space="preserve">lack of explainability</w:t>
      </w:r>
      <w:r>
        <w:t xml:space="preserve"> </w:t>
      </w:r>
      <w:r>
        <w:t xml:space="preserve">could conflict with regulations (e.g. explaining credit denials to applicants – AI might not produce a clear reason). And if it’s not well constrained, it might encourage concentration (e.g., it finds a class of borrowers it likes and the bank overlends there because model is confident, but if that macro environment changes, that cluster could be trouble).</w:t>
      </w:r>
      <w:r>
        <w:t xml:space="preserve"> </w:t>
      </w:r>
      <w:r>
        <w:t xml:space="preserve">-</w:t>
      </w:r>
      <w:r>
        <w:t xml:space="preserve"> </w:t>
      </w:r>
      <w:r>
        <w:rPr>
          <w:i/>
          <w:iCs/>
        </w:rPr>
        <w:t xml:space="preserve">Capital Optimization &amp; RWA Efficiency:</w:t>
      </w:r>
      <w:r>
        <w:t xml:space="preserve"> </w:t>
      </w:r>
      <w:r>
        <w:t xml:space="preserve">AI can search through portfolios to identify high RWA but low yield exposures or find opportunities to reduce RWA (like suggesting hedges or securitizations to free capital). Benefit: more granular optimization than humans might do, potentially raising ROE by shedding or hedging inefficient assets and focusing on better ones. Risk: The AI might recommend strategies that are technically legal but on the edge of regulatory intent (like complex trades to arbitrage capital rules). If the bank follows these blindly, it could later face supervisory pushback or have embedded risk that wasn’t obvious. Also, it might ignore qualitative factors – e.g., AI could suggest cutting all exposure to a certain country to save capital, but that might clash with the bank’s relationship or strategic goals that the model doesn’t account for.</w:t>
      </w:r>
      <w:r>
        <w:t xml:space="preserve"> </w:t>
      </w:r>
      <w:r>
        <w:t xml:space="preserve">-</w:t>
      </w:r>
      <w:r>
        <w:t xml:space="preserve"> </w:t>
      </w:r>
      <w:r>
        <w:rPr>
          <w:i/>
          <w:iCs/>
        </w:rPr>
        <w:t xml:space="preserve">Liquidity Forecasting:</w:t>
      </w:r>
      <w:r>
        <w:t xml:space="preserve"> </w:t>
      </w:r>
      <w:r>
        <w:t xml:space="preserve">AI can analyze patterns of client flows, market conditions, etc., to forecast things like treasury cash needs, optimal issuance timing, or internal fund transfer pricing adjustments. Benefit: better liquidity management (reduce idle cash or avoid shortfalls), especially in unpredictable scenarios, by capturing complex drivers (maybe linking, say, social media mentions of bank to deposit outflows, etc.). Risk: If the model is wrong, reliance on it could cause either too low liquidity buffers (if it underestimates outflows, the bank is caught short) or inefficiency (overestimates leading to too much cash buffer at cost). Non-stationarity is big here – deposit behavior can change regime after a crisis, so yesterday’s pattern might not hold next time (as seen in rapid digital bank runs in 2023 vs prior).</w:t>
      </w:r>
      <w:r>
        <w:t xml:space="preserve"> </w:t>
      </w:r>
      <w:r>
        <w:t xml:space="preserve">-</w:t>
      </w:r>
      <w:r>
        <w:t xml:space="preserve"> </w:t>
      </w:r>
      <w:r>
        <w:rPr>
          <w:i/>
          <w:iCs/>
        </w:rPr>
        <w:t xml:space="preserve">Portfolio Optimization (Capital &amp; Funding Allocation):</w:t>
      </w:r>
      <w:r>
        <w:t xml:space="preserve"> </w:t>
      </w:r>
      <w:r>
        <w:t xml:space="preserve">AI might be used to suggest optimal portfolio mix under certain constraints (maximizing yield for a given capital, or allocating funding costs). Benefit: mathematically find better frontiers than simplistic rules. Risk: The optimization might be very sensitive to input assumptions; slight error in risk estimate could cause a heavy tilt that’s actually suboptimal or riskier than thought. Also, pure quant optimization might ignore intangible or qualitative factors (like concentration risk beyond what’s in the covariance matrix, or scenario vulnerabilities not in historical data).</w:t>
      </w:r>
    </w:p>
    <w:p>
      <w:pPr>
        <w:pStyle w:val="BodyText"/>
      </w:pPr>
      <w:r>
        <w:t xml:space="preserve">Failure modes for credit AI:</w:t>
      </w:r>
      <w:r>
        <w:t xml:space="preserve"> </w:t>
      </w:r>
      <w:r>
        <w:rPr>
          <w:b/>
          <w:bCs/>
        </w:rPr>
        <w:t xml:space="preserve">Hallucinated relationships</w:t>
      </w:r>
      <w:r>
        <w:t xml:space="preserve"> </w:t>
      </w:r>
      <w:r>
        <w:t xml:space="preserve">– e.g. an AI might think a certain ratio pattern predicts default but it's a fluke;</w:t>
      </w:r>
      <w:r>
        <w:t xml:space="preserve"> </w:t>
      </w:r>
      <w:r>
        <w:rPr>
          <w:b/>
          <w:bCs/>
        </w:rPr>
        <w:t xml:space="preserve">Neglect of rare events</w:t>
      </w:r>
      <w:r>
        <w:t xml:space="preserve"> </w:t>
      </w:r>
      <w:r>
        <w:t xml:space="preserve">– if few defaults in data, AI might be overconfident and not foresee one (like an AAA that never defaulted in training data might get minimal default probability, but black swans happen – think 2008 AAA CDOs). For capital op AI: could inadvertently take bank right up to regulatory limits leaving no buffer (optimizers often want to use full risk capacity which is not prudent).</w:t>
      </w:r>
      <w:r>
        <w:t xml:space="preserve"> </w:t>
      </w:r>
      <w:r>
        <w:t xml:space="preserve">Controls: Keep humans in loop for credit decisions – e.g., AI gives score/recommendation, but credit officer can override with judgment, especially for big exposures, and there should be a policy around when manual override is needed (like for reputational aspects the AI can’t know). Periodically backtest AI credit decisions vs actual performance – if it’s not doing better than traditional, adjust or drop it. For RWA ideas, run them through compliance/reg advisors to ensure no regulatory violation or undue complexity; also run scenario analysis to see if the optimized portfolio is robust. Emphasize</w:t>
      </w:r>
      <w:r>
        <w:t xml:space="preserve"> </w:t>
      </w:r>
      <w:r>
        <w:rPr>
          <w:b/>
          <w:bCs/>
        </w:rPr>
        <w:t xml:space="preserve">diversity of approaches</w:t>
      </w:r>
      <w:r>
        <w:t xml:space="preserve"> </w:t>
      </w:r>
      <w:r>
        <w:t xml:space="preserve">– don’t let AI entirely replace other risk views; use it as additional lens.</w:t>
      </w:r>
    </w:p>
    <w:p>
      <w:pPr>
        <w:pStyle w:val="BodyText"/>
      </w:pPr>
      <w:r>
        <w:rPr>
          <w:b/>
          <w:bCs/>
        </w:rPr>
        <w:t xml:space="preserve">Operations &amp; Compliance Use Cases:</w:t>
      </w:r>
      <w:r>
        <w:t xml:space="preserve"> </w:t>
      </w:r>
      <w:r>
        <w:t xml:space="preserve">-</w:t>
      </w:r>
      <w:r>
        <w:t xml:space="preserve"> </w:t>
      </w:r>
      <w:r>
        <w:rPr>
          <w:i/>
          <w:iCs/>
        </w:rPr>
        <w:t xml:space="preserve">Surveillance &amp; Fraud Detection:</w:t>
      </w:r>
      <w:r>
        <w:t xml:space="preserve"> </w:t>
      </w:r>
      <w:r>
        <w:t xml:space="preserve">AI systems comb through trader communications (emails, chat) to detect potential collusion, insider trading or policy violations. Similarly, AI monitors transaction patterns for fraud (cyber-heists, account takeovers) or AML anomalies (complex layering of funds). Benefit: AI can pick out subtle linguistic cues or network patterns that rules miss, improving detection rates and reducing false alarms by learning normal patterns. Cases: some banks use NLP AI to flag if traders hint at price manipulation codewords; others use graph AI to detect mule account networks in money laundering. Risk:</w:t>
      </w:r>
      <w:r>
        <w:t xml:space="preserve"> </w:t>
      </w:r>
      <w:r>
        <w:rPr>
          <w:b/>
          <w:bCs/>
        </w:rPr>
        <w:t xml:space="preserve">Privacy and bias</w:t>
      </w:r>
      <w:r>
        <w:t xml:space="preserve"> </w:t>
      </w:r>
      <w:r>
        <w:t xml:space="preserve">– scanning communications with AI could throw false positives on innocuous phrases (e.g., sarcasm or jokes flagged as serious violation) – some incidents of traders being wrongly investigated might kill morale or lead to lawsuits. Also criminals adapt; an AI model may be effective for current fraud patterns but criminals will find new vectors that the model doesn’t recognize (adversaries purposely feed inputs to fool AI, known as adversarial attacks). There's also risk of AI identifying too many “suspicious” cases that compliance can’t review in time, causing backlog or regulators unhappy if STRs (suspicious transaction reports) aren’t filed timely.</w:t>
      </w:r>
      <w:r>
        <w:t xml:space="preserve"> </w:t>
      </w:r>
      <w:r>
        <w:t xml:space="preserve">-</w:t>
      </w:r>
      <w:r>
        <w:t xml:space="preserve"> </w:t>
      </w:r>
      <w:r>
        <w:rPr>
          <w:i/>
          <w:iCs/>
        </w:rPr>
        <w:t xml:space="preserve">KYC and Client Onboarding:</w:t>
      </w:r>
      <w:r>
        <w:t xml:space="preserve"> </w:t>
      </w:r>
      <w:r>
        <w:t xml:space="preserve">AI can quickly verify documents, do facial recognition for ID, and risk-rate customers by scraping adverse media. Benefit: speeds up onboarding, consistent checks, potentially catches risk that junior analysts might miss by reading news manually. Risk: AI might miss subtle issues (like a client’s shell company link to a blacklisted entity not explicitly in data but could be deduced by a human investigator). Face recognition can be fooled (deepfakes) or have bias (worse performance on certain ethnicities – regulatory and legal issue).</w:t>
      </w:r>
      <w:r>
        <w:t xml:space="preserve"> </w:t>
      </w:r>
      <w:r>
        <w:t xml:space="preserve">-</w:t>
      </w:r>
      <w:r>
        <w:t xml:space="preserve"> </w:t>
      </w:r>
      <w:r>
        <w:rPr>
          <w:i/>
          <w:iCs/>
        </w:rPr>
        <w:t xml:space="preserve">Document Automation:</w:t>
      </w:r>
      <w:r>
        <w:t xml:space="preserve"> </w:t>
      </w:r>
      <w:r>
        <w:t xml:space="preserve">LLMs or other AI transcribe and interpret legal documents (ISDA agreements, loan contracts), classify and extract key terms, and perhaps even negotiate drafts with minimal human input. Benefit: efficiency (processing in minutes what took legal teams days) and potentially risk reduction (less chance of manual error or missing a clause). Risk: The AI might misclassify a clause (thinking a certain covenant is present when it’s worded unusually, thus missing it) leading to a risk misestimation (e.g., wrong netting set assumption in exposure calc). Also, negotiating – if an AI suggests contract language, it might inadvertently use wording that legally is disadvantageous or ambiguous – without a lawyer’s eye, that could slip in. Any such error could be costly (a contract dispute or unenforceable clause).</w:t>
      </w:r>
      <w:r>
        <w:t xml:space="preserve"> </w:t>
      </w:r>
      <w:r>
        <w:t xml:space="preserve">-</w:t>
      </w:r>
      <w:r>
        <w:t xml:space="preserve"> </w:t>
      </w:r>
      <w:r>
        <w:rPr>
          <w:i/>
          <w:iCs/>
        </w:rPr>
        <w:t xml:space="preserve">Regulatory Compliance &amp; Reporting:</w:t>
      </w:r>
      <w:r>
        <w:t xml:space="preserve"> </w:t>
      </w:r>
      <w:r>
        <w:t xml:space="preserve">AI can help parse new regulations and map them to internal policies, or fill regulatory reports by pulling data from disparate systems. Benefit: stay on top of compliance changes with less manual reading, ensure reports are accurate and consistent. Risk: misinterpretation – AI summarizing a complex reg might miss a crucial nuance, leading to compliance gap. Or pulling data for reports, if AI doesn’t have proper quality checks, could mis-report (garbage in/out).</w:t>
      </w:r>
      <w:r>
        <w:t xml:space="preserve"> </w:t>
      </w:r>
      <w:r>
        <w:t xml:space="preserve">-</w:t>
      </w:r>
      <w:r>
        <w:t xml:space="preserve"> </w:t>
      </w:r>
      <w:r>
        <w:rPr>
          <w:i/>
          <w:iCs/>
        </w:rPr>
        <w:t xml:space="preserve">Client Interaction &amp; Advisory:</w:t>
      </w:r>
      <w:r>
        <w:t xml:space="preserve"> </w:t>
      </w:r>
      <w:r>
        <w:t xml:space="preserve">Some CIBs explore AI chatbots or tools to answer client queries (about research, market levels, etc.) or even provide suggestions (like optimizing a client’s cash management). Benefit: quick service, 24/7, and tailor responses from a huge knowledge base. Risk: LLMs can</w:t>
      </w:r>
      <w:r>
        <w:t xml:space="preserve"> </w:t>
      </w:r>
      <w:r>
        <w:rPr>
          <w:b/>
          <w:bCs/>
        </w:rPr>
        <w:t xml:space="preserve">hallucinate</w:t>
      </w:r>
      <w:r>
        <w:t xml:space="preserve"> </w:t>
      </w:r>
      <w:r>
        <w:t xml:space="preserve">– e.g., it might give a client a wrong statistic or even an invented product feature if it “thinks” that’s what they ask (there have been cases of LLMs generating fictional citations and facts). In a financial context, that could mean giving a client incorrect market info or advice, which is a conduct and legal risk (mis-selling or litigation if they act on it). Strict guardrails and review are needed.</w:t>
      </w:r>
    </w:p>
    <w:p>
      <w:pPr>
        <w:pStyle w:val="BodyText"/>
      </w:pPr>
      <w:r>
        <w:t xml:space="preserve">Failure modes and controls: For surveillance, to reduce false positives, calibrate AI and have human review layered as needed. Provide AI models with continuous updated training as new patterns emerge (like new slang for collusion). For document and compliance tasks, have a</w:t>
      </w:r>
      <w:r>
        <w:t xml:space="preserve"> </w:t>
      </w:r>
      <w:r>
        <w:rPr>
          <w:b/>
          <w:bCs/>
        </w:rPr>
        <w:t xml:space="preserve">human validation</w:t>
      </w:r>
      <w:r>
        <w:t xml:space="preserve"> </w:t>
      </w:r>
      <w:r>
        <w:t xml:space="preserve">step for critical outputs – e.g., an AI extracted key terms list should be sampled by legal for accuracy, especially early on, and AI adjustments made from feedback. Use specialized AI that is trained on legal language to reduce misreads. Always keep humans accountable: AI can assist but a designated human should sign off that “this regulatory interpretation is correct” or “these 100 suspicious cases flagged by AI are the ones we file SARs on” etc. Also maintain audit trails – if AI reviewed something, record what it saw and why it flagged (to defend decisions to regulators or in court). For generative chatbots client-facing, likely limit them to factual Q&amp;A with data the bank provides (maybe integrate it with a curated database rather than open model) and include disclaimers (“AI-generated response, not investment advice”) and monitor transcripts to ensure no bad guidance going out.</w:t>
      </w:r>
    </w:p>
    <w:p>
      <w:pPr>
        <w:pStyle w:val="BodyText"/>
      </w:pPr>
      <w:r>
        <w:t xml:space="preserve">By identifying these failure modes and implementing the controls as described, the CRO can foster the benefits of AI in operations and compliance (which are substantial in cost and risk reduction) while minimizing new risks introduced by the technology.</w:t>
      </w:r>
    </w:p>
    <w:bookmarkEnd w:id="94"/>
    <w:bookmarkStart w:id="95" w:name="X6900152a5a35d77814c3952eb921936ee1ce3fa"/>
    <w:p>
      <w:pPr>
        <w:pStyle w:val="Heading3"/>
      </w:pPr>
      <w:r>
        <w:t xml:space="preserve">5C. Systemic &amp; Market-Structure Impacts of AI</w:t>
      </w:r>
    </w:p>
    <w:p>
      <w:pPr>
        <w:pStyle w:val="FirstParagraph"/>
      </w:pPr>
      <w:r>
        <w:t xml:space="preserve">As AI becomes ubiquitous, its collective effects on markets and the financial system could be profound. The CRO must consider not just firm-level risks, but how industry-wide AI adoption might create new systemic vulnerabilities:</w:t>
      </w:r>
    </w:p>
    <w:p>
      <w:pPr>
        <w:pStyle w:val="BodyText"/>
      </w:pPr>
      <w:r>
        <w:rPr>
          <w:b/>
          <w:bCs/>
        </w:rPr>
        <w:t xml:space="preserve">Herding and Crowding:</w:t>
      </w:r>
      <w:r>
        <w:t xml:space="preserve"> </w:t>
      </w:r>
      <w:r>
        <w:t xml:space="preserve">If many institutions use similar AI models or data sources, they could end up with highly correlated strategies. For example, if a large number of banks use an AI to optimize portfolio allocation and it recommends overweighting a certain asset class (say tech stocks), the industry could crowd into that trade, inflating a bubble. Conversely, if the AI signals to cut exposures (perhaps all risk models flag similar early warning), everyone might rush for the exit at once – exacerbating a crash. The FSB (2024) highlights the risk of</w:t>
      </w:r>
      <w:r>
        <w:t xml:space="preserve"> </w:t>
      </w:r>
      <w:r>
        <w:rPr>
          <w:b/>
          <w:bCs/>
        </w:rPr>
        <w:t xml:space="preserve">“market correlations – widespread use of similar AI models and training data”</w:t>
      </w:r>
      <w:r>
        <w:t xml:space="preserve"> </w:t>
      </w:r>
      <w:r>
        <w:t xml:space="preserve">leading to synchronized behavior</w:t>
      </w:r>
      <w:hyperlink r:id="rId33">
        <w:r>
          <w:rPr>
            <w:rStyle w:val="Hyperlink"/>
          </w:rPr>
          <w:t xml:space="preserve">[13]</w:t>
        </w:r>
      </w:hyperlink>
      <w:hyperlink r:id="rId34">
        <w:r>
          <w:rPr>
            <w:rStyle w:val="Hyperlink"/>
          </w:rPr>
          <w:t xml:space="preserve">[14]</w:t>
        </w:r>
      </w:hyperlink>
      <w:r>
        <w:t xml:space="preserve">. Historically, we’ve seen quasi-AI issues: e.g., portfolio insurance in 1987 or algos in 2010 Flash Crash cause self-reinforcing selling. With AI managing more assets, the speed and scale could be bigger. This herding can reduce diversification benefits system-wide and make stress events sharper.</w:t>
      </w:r>
    </w:p>
    <w:p>
      <w:pPr>
        <w:pStyle w:val="BodyText"/>
      </w:pPr>
      <w:r>
        <w:rPr>
          <w:b/>
          <w:bCs/>
        </w:rPr>
        <w:t xml:space="preserve">Volatility and Flash Events:</w:t>
      </w:r>
      <w:r>
        <w:t xml:space="preserve"> </w:t>
      </w:r>
      <w:r>
        <w:t xml:space="preserve">AI-driven trading, especially if executing at sub-second speeds across venues, could cause new kinds of</w:t>
      </w:r>
      <w:r>
        <w:t xml:space="preserve"> </w:t>
      </w:r>
      <w:r>
        <w:rPr>
          <w:b/>
          <w:bCs/>
        </w:rPr>
        <w:t xml:space="preserve">flash crashes</w:t>
      </w:r>
      <w:r>
        <w:t xml:space="preserve"> </w:t>
      </w:r>
      <w:r>
        <w:t xml:space="preserve">or unexplained spikes. Imagine an LLM-based news interpreter misreads a headline (“Fed cuts rates” vs “Fed cuts rate hike expectations” – subtle difference but model might misinterpret and trigger trades). Or adversarial actors plant fake news that AI bots believe (already in 2013, a fake AP tweet about White House explosion briefly tanked markets; AI could amplify such a scenario). And since AI can operate nearly autonomously, a feedback loop might escalate much faster than human-involved trading. Moreover, if AI agents engage in strategies that interact in unforeseen ways (like one’s actions triggers another’s signals), you could get emergent patterns like oscillations or cycles that are not fundamentally justified. The complexity might confound traditional circuit breakers or risk models. E.g., multiple AI market makers might simultaneously withdraw if volatility hits a certain threshold that all their models learned, creating a sudden liquidity vacuum (an “AI cliff”). The CRO should consider ultra-intraday stress scenarios – for instance, an instantaneous 10% index move that corrects in minutes – are systems and controls robust to handle that (margin calls, stop losses, etc.)?</w:t>
      </w:r>
    </w:p>
    <w:p>
      <w:pPr>
        <w:pStyle w:val="BodyText"/>
      </w:pPr>
      <w:r>
        <w:rPr>
          <w:b/>
          <w:bCs/>
        </w:rPr>
        <w:t xml:space="preserve">Non-Stationarity &amp; Model Drift:</w:t>
      </w:r>
      <w:r>
        <w:t xml:space="preserve"> </w:t>
      </w:r>
      <w:r>
        <w:t xml:space="preserve">AI models degrade if the data distribution changes significantly (</w:t>
      </w:r>
      <w:r>
        <w:rPr>
          <w:b/>
          <w:bCs/>
        </w:rPr>
        <w:t xml:space="preserve">data drift</w:t>
      </w:r>
      <w:r>
        <w:t xml:space="preserve">). Financial markets are notorious for regime shifts. A model trained on a decade of low rates might falter in a high inflation regime. More insidiously, if AI models are self-learning online (some may update with new data continuously), they could adapt in unintended ways (for example, if markets quiet down, an AI might take on more leverage because it “learns” low volatility, right before volatility returns – reminiscent of VAR procyclicality but now automated). Also, if too many participants trust AI, fewer human-driven strategies provide “counterbalance,” potentially reinforcing trends until a breaking point. The CRO should ensure models are frequently revalidated and stress-tested under hypotheticals, not just recent history. Also have diversity of models – not rely on one algorithm’s view. And monitor performance: signs like increasing error rates could indicate drift needing retraining or overhaul.</w:t>
      </w:r>
    </w:p>
    <w:p>
      <w:pPr>
        <w:pStyle w:val="BodyText"/>
      </w:pPr>
      <w:r>
        <w:rPr>
          <w:b/>
          <w:bCs/>
        </w:rPr>
        <w:t xml:space="preserve">Data Quality &amp; Bias Externalities:</w:t>
      </w:r>
      <w:r>
        <w:t xml:space="preserve"> </w:t>
      </w:r>
      <w:r>
        <w:t xml:space="preserve">If many AIs use the same data (say a widely used alternative data source), any issue in that data (mistake, corruption, bias) would propagate to many models. For instance, if a data feed erroneously reports GDP, and AI trading models incorporate that, multiple firms could trade on wrong info. Another angle: AI could inadvertently reinforce systemic biases – e.g., if credit AIs across banks all penalize certain industries (maybe due to historically higher emissions risk or something), those industries might get credit-starved, potentially amplifying shock if that industry is vital (like energy). Also, model risk may become correlated: if many banks use vendor models (like a popular vendor ML for credit risk), a flaw in that model means many banks underestimating risk of the same set of counterparties.</w:t>
      </w:r>
    </w:p>
    <w:p>
      <w:pPr>
        <w:pStyle w:val="BodyText"/>
      </w:pPr>
      <w:r>
        <w:rPr>
          <w:b/>
          <w:bCs/>
        </w:rPr>
        <w:t xml:space="preserve">Cyber &amp; Data Exfiltration via AI:</w:t>
      </w:r>
      <w:r>
        <w:t xml:space="preserve"> </w:t>
      </w:r>
      <w:r>
        <w:t xml:space="preserve">As banks incorporate AI, often it involves centralizing data (for ML training) and using big cloud compute. This expands the attack surface for cyber threats.</w:t>
      </w:r>
      <w:r>
        <w:t xml:space="preserve"> </w:t>
      </w:r>
      <w:r>
        <w:rPr>
          <w:b/>
          <w:bCs/>
        </w:rPr>
        <w:t xml:space="preserve">AI models themselves can be attacked</w:t>
      </w:r>
      <w:r>
        <w:t xml:space="preserve">: adversaries could attempt to extract proprietary info by querying an LLM (“model inversion attacks” can reveal some training data if not protected), or feed models malicious input to get them to reveal secret info or behave badly (</w:t>
      </w:r>
      <w:r>
        <w:rPr>
          <w:b/>
          <w:bCs/>
        </w:rPr>
        <w:t xml:space="preserve">prompt injection</w:t>
      </w:r>
      <w:r>
        <w:t xml:space="preserve"> </w:t>
      </w:r>
      <w:r>
        <w:t xml:space="preserve">with LLMs). A well-known worry: if employees use public AI like ChatGPT with sensitive data, that data might leak into the model and become accessible to others (OpenAI had to clarify training on user inputs for that reason). A systemic scenario: hackers could target a major AI provider or model repository and compromise models used by many banks (imagine tampering an AI model update such that it has a subtle Trojan horse – like it ignores certain risk factors or triggers trades under specific conditions to disrupt markets). If widely deployed, multiple banks’ risk systems might concurrently fail to detect a certain risk or all trade erroneously, causing systemic impact. On simpler level, AI also enables more potent cyberattacks (attackers using AI to craft very convincing phishing targeting bank staff, or deepfake voices of CEOs – e.g. in 2019, criminals deepfaked a CEO’s voice to authorize a fraudulent transfer). That raises operational risk of social engineering. The CRO (with CISO) must thus upgrade cyber defenses factoring AI: e.g., training staff to suspect even perfectly worded emails or calls, implementing verification steps not easily circumvented by deepfakes (like two-factor authentication not reliant on voice alone), and possibly using AI defensively to detect deepfakes.</w:t>
      </w:r>
    </w:p>
    <w:p>
      <w:pPr>
        <w:pStyle w:val="BodyText"/>
      </w:pPr>
      <w:r>
        <w:rPr>
          <w:b/>
          <w:bCs/>
        </w:rPr>
        <w:t xml:space="preserve">Potential Systemic AI Feedback Loops:</w:t>
      </w:r>
      <w:r>
        <w:t xml:space="preserve"> </w:t>
      </w:r>
      <w:r>
        <w:t xml:space="preserve">If AI models at many firms rely on each other’s outputs indirectly, a complicated interplay can arise. For example,</w:t>
      </w:r>
      <w:r>
        <w:t xml:space="preserve"> </w:t>
      </w:r>
      <w:r>
        <w:rPr>
          <w:b/>
          <w:bCs/>
        </w:rPr>
        <w:t xml:space="preserve">LLM-based conversational agents</w:t>
      </w:r>
      <w:r>
        <w:t xml:space="preserve"> </w:t>
      </w:r>
      <w:r>
        <w:t xml:space="preserve">might start interacting (like trading bots negotiating trades or arguing on social media influencing sentiment that other AI read – a weird loop). It’s theoretical but possible down the line that autonomous agents transact or communicate at scale, creating self-referential dynamics. If one agent error cascades (like one mispricing asset influences others’ valuation models reading market data), it could be a chain reaction.</w:t>
      </w:r>
    </w:p>
    <w:p>
      <w:pPr>
        <w:pStyle w:val="BodyText"/>
      </w:pPr>
      <w:r>
        <w:rPr>
          <w:b/>
          <w:bCs/>
        </w:rPr>
        <w:t xml:space="preserve">Herding</w:t>
      </w:r>
      <w:r>
        <w:t xml:space="preserve"> </w:t>
      </w:r>
      <w:r>
        <w:t xml:space="preserve">risk has a precedent in simpler algos, but AI’s complexity and non-linearity amplify unpredictability. The CRO community and regulators are actively discussing this: e.g. how to ensure diversity in models, maybe through “differentiated scenarios” or information-sharing about model performance issues, to avoid blind spots.</w:t>
      </w:r>
    </w:p>
    <w:p>
      <w:pPr>
        <w:pStyle w:val="BodyText"/>
      </w:pPr>
      <w:r>
        <w:rPr>
          <w:b/>
          <w:bCs/>
        </w:rPr>
        <w:t xml:space="preserve">Flash event example scenario:</w:t>
      </w:r>
      <w:r>
        <w:t xml:space="preserve"> </w:t>
      </w:r>
      <w:r>
        <w:t xml:space="preserve">Suppose an LLM powering many banks’ news analytics misinterprets a complex Fed statement as extremely hawkish. Within seconds, dozens of AI trading systems short treasuries heavily. The yield spikes, triggering risk limits and margin calls widely. Other algos react to the yield jump by selling equities (seeing it as inflation fear). In a minute, a cross-asset tumble is underway. Humans haven’t even read the Fed statement yet. Circuit breakers trip in equities perhaps, but the bond market doesn’t have such, so it gyrates. A few minutes later, someone corrects the interpretation and AIs flip to buy, causing another swing. By close of day, many banks have losses from forced unwinds and margin requirements. This scenario shows how</w:t>
      </w:r>
      <w:r>
        <w:t xml:space="preserve"> </w:t>
      </w:r>
      <w:r>
        <w:rPr>
          <w:i/>
          <w:iCs/>
        </w:rPr>
        <w:t xml:space="preserve">speed + correlated AI logic = volatility</w:t>
      </w:r>
      <w:r>
        <w:t xml:space="preserve">. To mitigate such risk, CRO might set constraints like: AI can’t trade purely on a single source signal without human confirmation for a limited time around critical events, or ensemble AI with slower human oversight around those times.</w:t>
      </w:r>
    </w:p>
    <w:p>
      <w:pPr>
        <w:pStyle w:val="BodyText"/>
      </w:pPr>
      <w:r>
        <w:t xml:space="preserve">Overall, the systemic impacts mean the CRO should not only manage internal AI risk but also collaborate with industry peers and regulators. E.g., participating in industry forums on AI risk, scenario exercises (like regulator-run AI stress tests), and perhaps agreeing on some standards (like not letting AI models run without human check on market-moving actions above a threshold). This is analogous to how high-frequency trading needed industry guidelines after 2010.</w:t>
      </w:r>
    </w:p>
    <w:p>
      <w:pPr>
        <w:pStyle w:val="BodyText"/>
      </w:pPr>
      <w:r>
        <w:t xml:space="preserve">In summary, while AI can individually improve each firm’s efficiency, collectively it might reduce diversity of thought and increase speed of transmission, which is a recipe for systemic accidents. The CRO should adopt a</w:t>
      </w:r>
      <w:r>
        <w:t xml:space="preserve"> </w:t>
      </w:r>
      <w:r>
        <w:rPr>
          <w:i/>
          <w:iCs/>
        </w:rPr>
        <w:t xml:space="preserve">system-wide lens</w:t>
      </w:r>
      <w:r>
        <w:t xml:space="preserve"> </w:t>
      </w:r>
      <w:r>
        <w:t xml:space="preserve">asking: “If everyone’s AI did this, what happens? How do we ensure we’re not all following the same false beacon? And if an AI-driven crisis occurs, are our contingency plans ready (like fallback to manual trading, communications to calm markets, etc.)?”</w:t>
      </w:r>
    </w:p>
    <w:bookmarkEnd w:id="95"/>
    <w:bookmarkStart w:id="103" w:name="Xacfc7eb10798f37123544f613fe5210c3ea2aec"/>
    <w:p>
      <w:pPr>
        <w:pStyle w:val="Heading3"/>
      </w:pPr>
      <w:r>
        <w:t xml:space="preserve">5D. Regulatory &amp; Supervisory Environment for AI</w:t>
      </w:r>
    </w:p>
    <w:p>
      <w:pPr>
        <w:pStyle w:val="FirstParagraph"/>
      </w:pPr>
      <w:r>
        <w:t xml:space="preserve">Regulators globally are ramping up efforts to govern AI, balancing innovation with risk mitigation. Key developments include:</w:t>
      </w:r>
    </w:p>
    <w:p>
      <w:pPr>
        <w:pStyle w:val="BodyText"/>
      </w:pPr>
      <w:r>
        <w:rPr>
          <w:b/>
          <w:bCs/>
        </w:rPr>
        <w:t xml:space="preserve">EU AI Act:</w:t>
      </w:r>
      <w:r>
        <w:t xml:space="preserve"> </w:t>
      </w:r>
      <w:r>
        <w:t xml:space="preserve">The EU Artificial Intelligence Act, approved in 2024, is the most significant AI-specific regulation to date</w:t>
      </w:r>
      <w:hyperlink r:id="rId96">
        <w:r>
          <w:rPr>
            <w:rStyle w:val="Hyperlink"/>
          </w:rPr>
          <w:t xml:space="preserve">[59]</w:t>
        </w:r>
      </w:hyperlink>
      <w:r>
        <w:t xml:space="preserve">. It employs a risk-based approach: AI systems are classified as unacceptable risk (banned, e.g. social scoring), high-risk (allowed but with strict requirements), limited risk, or minimal risk. In financial services, notable is that</w:t>
      </w:r>
      <w:r>
        <w:t xml:space="preserve"> </w:t>
      </w:r>
      <w:r>
        <w:rPr>
          <w:b/>
          <w:bCs/>
        </w:rPr>
        <w:t xml:space="preserve">AI credit scoring is deemed high-risk</w:t>
      </w:r>
      <w:hyperlink r:id="rId35">
        <w:r>
          <w:rPr>
            <w:rStyle w:val="Hyperlink"/>
          </w:rPr>
          <w:t xml:space="preserve">[15]</w:t>
        </w:r>
      </w:hyperlink>
      <w:r>
        <w:t xml:space="preserve">. This means any AI used to evaluate creditworthiness must meet stringent criteria: high quality data (to avoid bias), transparency (documentation enabling comprehension of how it works), human oversight (a human can override or monitor decisions), and robust performance standards (accuracy, cybersecurity). Banks in the EU will have 2 years (approx till 2026) to ensure new high-risk AI systems comply; existing ones likely need retrofit compliance if significantly updated. Also, providers of foundation models (like big LLMs) will have obligations, but users (banks) using them in high-risk scenarios also have duties. The AI Act effectively forces alignment with</w:t>
      </w:r>
      <w:r>
        <w:t xml:space="preserve"> </w:t>
      </w:r>
      <w:r>
        <w:rPr>
          <w:b/>
          <w:bCs/>
        </w:rPr>
        <w:t xml:space="preserve">existing model risk practices</w:t>
      </w:r>
      <w:r>
        <w:t xml:space="preserve"> </w:t>
      </w:r>
      <w:r>
        <w:t xml:space="preserve">– as KPMG noted, banks can leverage their SR 11-7 style frameworks to fulfill many AI Act obligations</w:t>
      </w:r>
      <w:hyperlink r:id="rId97">
        <w:r>
          <w:rPr>
            <w:rStyle w:val="Hyperlink"/>
          </w:rPr>
          <w:t xml:space="preserve">[60]</w:t>
        </w:r>
      </w:hyperlink>
      <w:r>
        <w:t xml:space="preserve">. However, the Act introduces external conformity assessments for some AI – meaning possibly audits by notified bodies before deployment. For CROs, this means any AI model used in critical processes (credit, insurance, AML perhaps if it impacts decisions on customers) needs thorough documentation and likely new compliance processes. Also, the Act’s transparency requirements (e.g., if interacting with customers via AI, they must be informed it’s AI, etc.) influence how we deploy LLMs in client comms or advisory roles.</w:t>
      </w:r>
    </w:p>
    <w:p>
      <w:pPr>
        <w:pStyle w:val="BodyText"/>
      </w:pPr>
      <w:r>
        <w:rPr>
          <w:b/>
          <w:bCs/>
        </w:rPr>
        <w:t xml:space="preserve">US Guidance and Executive Action:</w:t>
      </w:r>
      <w:r>
        <w:t xml:space="preserve"> </w:t>
      </w:r>
      <w:r>
        <w:t xml:space="preserve">The US hasn't passed an AI law yet, but the regulatory direction is forming through guidance. The Biden Administration’s</w:t>
      </w:r>
      <w:r>
        <w:t xml:space="preserve"> </w:t>
      </w:r>
      <w:r>
        <w:rPr>
          <w:b/>
          <w:bCs/>
        </w:rPr>
        <w:t xml:space="preserve">Executive Order on AI (Oct 2023)</w:t>
      </w:r>
      <w:r>
        <w:t xml:space="preserve">, while broad, did instruct financial regulators to focus on AI’s implications for financial stability and bias</w:t>
      </w:r>
      <w:hyperlink r:id="rId91">
        <w:r>
          <w:rPr>
            <w:rStyle w:val="Hyperlink"/>
          </w:rPr>
          <w:t xml:space="preserve">[57]</w:t>
        </w:r>
      </w:hyperlink>
      <w:r>
        <w:t xml:space="preserve">. Specifically, it encouraged independent agencies (Fed, CFPB, FTC, etc.) to use existing powers to protect against AI-related issues (e.g., CFPB can tackle algorithmic bias in lending under fair lending laws). The</w:t>
      </w:r>
      <w:r>
        <w:t xml:space="preserve"> </w:t>
      </w:r>
      <w:r>
        <w:rPr>
          <w:b/>
          <w:bCs/>
        </w:rPr>
        <w:t xml:space="preserve">NIST AI Risk Management Framework</w:t>
      </w:r>
      <w:r>
        <w:t xml:space="preserve"> </w:t>
      </w:r>
      <w:r>
        <w:t xml:space="preserve">(voluntary as of 2023) provides principles (governance, mapping, measuring, managing AI risk) – not mandatory, but regulators often encourage its use. The Fed/OCC/FDIC have explicitly said that model risk management guidance covers AI – e.g. a joint statement or proposed rule might come to codify SR 11-7 across agencies including ML specifics. Fed Governor Barr (2023) said banks should ensure AI outcomes are</w:t>
      </w:r>
      <w:r>
        <w:t xml:space="preserve"> </w:t>
      </w:r>
      <w:r>
        <w:rPr>
          <w:b/>
          <w:bCs/>
        </w:rPr>
        <w:t xml:space="preserve">“broadly consistent with sound risk management and regulatory compliance”</w:t>
      </w:r>
      <w:r>
        <w:t xml:space="preserve"> </w:t>
      </w:r>
      <w:r>
        <w:t xml:space="preserve">(implying not sacrificing fairness or prudence for efficiency)</w:t>
      </w:r>
      <w:hyperlink r:id="rId98">
        <w:r>
          <w:rPr>
            <w:rStyle w:val="Hyperlink"/>
          </w:rPr>
          <w:t xml:space="preserve">[61]</w:t>
        </w:r>
      </w:hyperlink>
      <w:r>
        <w:t xml:space="preserve">. The OCC reported banks embracing AI need to verify “concept drift” and prevent data bias (meaning they expect concrete processes for that). Also, federal regulators have created tech labs (e.g. FDIC’s tech lab, FinCEN’s innovation hours) to learn about AI, so they are gearing up expertise to scrutinize bank AI.</w:t>
      </w:r>
    </w:p>
    <w:p>
      <w:pPr>
        <w:pStyle w:val="BodyText"/>
      </w:pPr>
      <w:r>
        <w:rPr>
          <w:b/>
          <w:bCs/>
        </w:rPr>
        <w:t xml:space="preserve">Central Bank Speeches and Policies:</w:t>
      </w:r>
      <w:r>
        <w:t xml:space="preserve"> </w:t>
      </w:r>
      <w:r>
        <w:t xml:space="preserve">Many central bankers have spoken on AI. For instance, ECB’s Supervisory Chair has emphasized expecting banks to not over-rely on AI, to maintain adequate human oversight and understanding</w:t>
      </w:r>
      <w:hyperlink r:id="rId92">
        <w:r>
          <w:rPr>
            <w:rStyle w:val="Hyperlink"/>
          </w:rPr>
          <w:t xml:space="preserve">[58]</w:t>
        </w:r>
      </w:hyperlink>
      <w:r>
        <w:t xml:space="preserve">. MAS in Singapore provided</w:t>
      </w:r>
      <w:r>
        <w:t xml:space="preserve"> </w:t>
      </w:r>
      <w:r>
        <w:rPr>
          <w:b/>
          <w:bCs/>
        </w:rPr>
        <w:t xml:space="preserve">FEAT principles</w:t>
      </w:r>
      <w:r>
        <w:t xml:space="preserve"> </w:t>
      </w:r>
      <w:r>
        <w:t xml:space="preserve">(Fairness, Ethics, Accountability, Transparency) for AI in finance back in 2018 – while not binding, they set expectations and MAS has since developed an assessment methodology. UK’s Prudential Regulation Authority (PRA) in 2022 indicated they won’t have separate AI rules but expect AI to be captured under existing model risk and outsourcing regs. PRA also launched an AI regulatory AI “sprint” to explore approach. The</w:t>
      </w:r>
      <w:r>
        <w:t xml:space="preserve"> </w:t>
      </w:r>
      <w:r>
        <w:rPr>
          <w:b/>
          <w:bCs/>
        </w:rPr>
        <w:t xml:space="preserve">Bank of England</w:t>
      </w:r>
      <w:r>
        <w:t xml:space="preserve"> </w:t>
      </w:r>
      <w:r>
        <w:t xml:space="preserve">has raised concentration risk of AI (likely referencing cloud/AI provider dominance) as something to consider in operational resilience. Meanwhile, China is regulating generative AI with content rules (though less directly in finance yet).</w:t>
      </w:r>
    </w:p>
    <w:p>
      <w:pPr>
        <w:pStyle w:val="BodyText"/>
      </w:pPr>
      <w:r>
        <w:rPr>
          <w:b/>
          <w:bCs/>
        </w:rPr>
        <w:t xml:space="preserve">Integration into Model Risk Framework (SR 11-7):</w:t>
      </w:r>
      <w:r>
        <w:t xml:space="preserve"> </w:t>
      </w:r>
      <w:r>
        <w:t xml:space="preserve">As elaborated, supervisors expect AI/ML to go through similar rigour as any model. In 2023, US regulators proposed updated interagency guidance on model risk management explicitly including AI/ML models: highlighting the need for bias monitoring and explainability when using complex ML. So likely by 2024/25, final guidance will come out reaffirming that e.g. banks should document training data and methodology of AI models, have performance benchmarks, ensure they remain valid over time, and manage any “model overlays” to handle their weaknesses. The CRO should update model risk policies proactively to cover specifics like: requirements for testing AI for bias (e.g., test credit model outputs across demographic groups even if not using protected class as input), requiring interpretable “challenger models” or sensitivity analysis, and including scenario-based validation for non-linear models (like how does model behave under stress scenario inputs, to ensure it doesn’t give nonsense outputs).</w:t>
      </w:r>
    </w:p>
    <w:p>
      <w:pPr>
        <w:pStyle w:val="BodyText"/>
      </w:pPr>
      <w:r>
        <w:rPr>
          <w:b/>
          <w:bCs/>
        </w:rPr>
        <w:t xml:space="preserve">Explainability and Documentation:</w:t>
      </w:r>
      <w:r>
        <w:t xml:space="preserve"> </w:t>
      </w:r>
      <w:r>
        <w:t xml:space="preserve">A recurring theme – the EU AI Act demands the outputs of high-risk AI be “interpretable by users”</w:t>
      </w:r>
      <w:hyperlink r:id="rId99">
        <w:r>
          <w:rPr>
            <w:rStyle w:val="Hyperlink"/>
          </w:rPr>
          <w:t xml:space="preserve">[62]</w:t>
        </w:r>
      </w:hyperlink>
      <w:r>
        <w:t xml:space="preserve">, and regulators from Fed to MAS emphasize documentation. This means banks using AI in critical areas must invest in explainable AI techniques: for example, using SHAP values to indicate feature importance for each decision, or local interpretable model-agnostic explanations (LIME) for an instance. Some regulators might accept surrogate models (simpler approximations) for explanation, but the key is demonstrating you understand and can explain your AI’s key drivers. Documentation should include description of algorithm, training process, data used, known limitations, and results of bias testing. Auditors and regulators will ask for this (the AI Act may require logging such that an audit can reconstruct how a decision was made).</w:t>
      </w:r>
    </w:p>
    <w:p>
      <w:pPr>
        <w:pStyle w:val="BodyText"/>
      </w:pPr>
      <w:r>
        <w:rPr>
          <w:b/>
          <w:bCs/>
        </w:rPr>
        <w:t xml:space="preserve">Bias and Fairness Checks:</w:t>
      </w:r>
      <w:r>
        <w:t xml:space="preserve"> </w:t>
      </w:r>
      <w:r>
        <w:t xml:space="preserve">Particularly in credit and HR decisions, regulators (like CFPB in US for credit, EEOC for employment decisions) are scrutinizing AI for discrimination. For instance, a bank’s AI credit model might inadvertently give lower scores to certain protected classes due to proxy variables. Compliance and legal risk here is high – violations of fair lending equal big fines and settlements. So CRO (with compliance) should enforce fairness testing: measure disparate impact and either adjust model or justify business necessity if any disparity arises. The EU AI Act essentially mandates this for high-risk AI (to ensure fundamental rights not violated)</w:t>
      </w:r>
      <w:hyperlink r:id="rId100">
        <w:r>
          <w:rPr>
            <w:rStyle w:val="Hyperlink"/>
          </w:rPr>
          <w:t xml:space="preserve">[63]</w:t>
        </w:r>
      </w:hyperlink>
      <w:hyperlink r:id="rId36">
        <w:r>
          <w:rPr>
            <w:rStyle w:val="Hyperlink"/>
          </w:rPr>
          <w:t xml:space="preserve">[16]</w:t>
        </w:r>
      </w:hyperlink>
      <w:r>
        <w:t xml:space="preserve">. US regulators use existing law (ECOA) but updated guidelines likely coming.</w:t>
      </w:r>
    </w:p>
    <w:p>
      <w:pPr>
        <w:pStyle w:val="BodyText"/>
      </w:pPr>
      <w:r>
        <w:rPr>
          <w:b/>
          <w:bCs/>
        </w:rPr>
        <w:t xml:space="preserve">Systemic Risk Oversight:</w:t>
      </w:r>
      <w:r>
        <w:t xml:space="preserve"> </w:t>
      </w:r>
      <w:r>
        <w:t xml:space="preserve">The FSB’s 2024 recommendations signal that macroprudential overseers (like central banks, FSOC) will monitor AI uptake, perhaps include AI scenarios in stress tests in future</w:t>
      </w:r>
      <w:hyperlink r:id="rId101">
        <w:r>
          <w:rPr>
            <w:rStyle w:val="Hyperlink"/>
          </w:rPr>
          <w:t xml:space="preserve">[64]</w:t>
        </w:r>
      </w:hyperlink>
      <w:hyperlink r:id="rId102">
        <w:r>
          <w:rPr>
            <w:rStyle w:val="Hyperlink"/>
          </w:rPr>
          <w:t xml:space="preserve">[65]</w:t>
        </w:r>
      </w:hyperlink>
      <w:r>
        <w:t xml:space="preserve">. They call for closing data gaps – meaning regulators may demand more information from banks on how and where they use AI. We might see in annual supervisory exams questions like “List your top 10 AI systems and how they’re governed” or even mandated reporting of certain metrics (like outcomes of AI vs non-AI decisions). CROs should prepare an inventory and metrics to satisfy such inquiries.</w:t>
      </w:r>
    </w:p>
    <w:p>
      <w:pPr>
        <w:pStyle w:val="BodyText"/>
      </w:pPr>
      <w:r>
        <w:rPr>
          <w:b/>
          <w:bCs/>
        </w:rPr>
        <w:t xml:space="preserve">Emerging best practices and standards:</w:t>
      </w:r>
      <w:r>
        <w:t xml:space="preserve"> </w:t>
      </w:r>
      <w:r>
        <w:t xml:space="preserve">Aside from NIST, bodies like ISO are working on AI standards (e.g., ISO 42001 for AI management). The finance industry also might adopt voluntary codes – e.g., some banks signed up to principles like the “Responsible AI” frameworks which commit to fairness, transparency, etc. While not law, not adhering could pose reputational risk.</w:t>
      </w:r>
    </w:p>
    <w:p>
      <w:pPr>
        <w:pStyle w:val="BodyText"/>
      </w:pPr>
      <w:r>
        <w:rPr>
          <w:b/>
          <w:bCs/>
        </w:rPr>
        <w:t xml:space="preserve">Insurance and accountability:</w:t>
      </w:r>
      <w:r>
        <w:t xml:space="preserve"> </w:t>
      </w:r>
      <w:r>
        <w:t xml:space="preserve">There’s debate on accountability: if an AI causes a big loss or error, regulators want clear accountability (with humans). The EU AI Act requires identifying an AI system’s “provider” and “user” and their responsibilities. CRO should ensure that internal policies assign a human owner to each AI system (like a model owner) who is accountable for outcomes, maintaining the model, etc. That will likely be asked by regulators in governance reviews.</w:t>
      </w:r>
    </w:p>
    <w:p>
      <w:pPr>
        <w:pStyle w:val="BodyText"/>
      </w:pPr>
      <w:r>
        <w:rPr>
          <w:b/>
          <w:bCs/>
        </w:rPr>
        <w:t xml:space="preserve">AI in critical infrastructure designation:</w:t>
      </w:r>
      <w:r>
        <w:t xml:space="preserve"> </w:t>
      </w:r>
      <w:r>
        <w:t xml:space="preserve">The White House EO hints at possibly treating key AI models as critical infrastructure. If say the top LLMs or trading algos are widely used, regulators might impose reliability requirements or incident reporting for them like they do for core payments systems. CROs might need to ensure vendors providing AI have robust controls (some regulators might require banks only use AI from providers that meet certain standards, analogous to cloud).</w:t>
      </w:r>
    </w:p>
    <w:p>
      <w:pPr>
        <w:pStyle w:val="BodyText"/>
      </w:pPr>
      <w:r>
        <w:t xml:space="preserve">In sum, the regulatory environment is quickly evolving to bring AI under the umbrella of existing risk disciplines and new rules where needed. The CRO should proactively implement frameworks meeting those expectations now (embedding AI in model risk management, doing bias audits, documenting thoroughly), rather than waiting for a letter from regulators. Those that do will face smoother exams and likely lighter additional requirements than those who take a laissez-faire approach and then have to scramble when the supervisor knocks and says “show me your AI governance.”</w:t>
      </w:r>
    </w:p>
    <w:bookmarkEnd w:id="103"/>
    <w:bookmarkStart w:id="104" w:name="e.-cro-ai-risk-governance-framework"/>
    <w:p>
      <w:pPr>
        <w:pStyle w:val="Heading3"/>
      </w:pPr>
      <w:r>
        <w:t xml:space="preserve">5E. CRO AI Risk Governance Framework</w:t>
      </w:r>
    </w:p>
    <w:p>
      <w:pPr>
        <w:pStyle w:val="FirstParagraph"/>
      </w:pPr>
      <w:r>
        <w:t xml:space="preserve">To effectively manage AI risks, the CRO should implement a comprehensive governance framework tailored to AI, analogous to (and integrated with) existing risk governance but with AI-specific enhancements. Key components:</w:t>
      </w:r>
    </w:p>
    <w:p>
      <w:pPr>
        <w:pStyle w:val="BodyText"/>
      </w:pPr>
      <w:r>
        <w:rPr>
          <w:b/>
          <w:bCs/>
        </w:rPr>
        <w:t xml:space="preserve">Taxonomy and Tiering of AI Systems:</w:t>
      </w:r>
      <w:r>
        <w:t xml:space="preserve"> </w:t>
      </w:r>
      <w:r>
        <w:t xml:space="preserve">Start by categorizing all AI systems used in the bank by their criticality and risk. For example, Tier 1 (High-Criticality) AI systems might be those that directly make or influence decisions with material financial or regulatory impact – e.g., credit underwriting models, trading algorithms with autonomy, AML transaction monitoring AI, etc. Tier 2 might be medium impact – AI that assists humans (like a chatbot for client queries or a risk report summarizer) where errors are likely caught or lower impact. Tier 3 could be low impact – internal efficiency tools, or experimental projects not in production. This tiering determines the level of governance and controls required: Tier 1 gets the most scrutiny (like needing independent validation, committee approval, ongoing monitoring), Tier 2 moderate, Tier 3 minimal (but still inventory and some basic guardrails). Document the criteria (could include factors like: does it affect external customers? Monetary size of decisions influenced? Complexity/novelty of model? Regulatory classification – e.g., any AI Act high-risk automatically Tier 1).</w:t>
      </w:r>
    </w:p>
    <w:p>
      <w:pPr>
        <w:pStyle w:val="BodyText"/>
      </w:pPr>
      <w:r>
        <w:rPr>
          <w:b/>
          <w:bCs/>
        </w:rPr>
        <w:t xml:space="preserve">Approval and Validation Requirements:</w:t>
      </w:r>
      <w:r>
        <w:t xml:space="preserve"> </w:t>
      </w:r>
      <w:r>
        <w:t xml:space="preserve">Establish that any new AI system, particularly Tier 1, must go through a formal</w:t>
      </w:r>
      <w:r>
        <w:t xml:space="preserve"> </w:t>
      </w:r>
      <w:r>
        <w:rPr>
          <w:b/>
          <w:bCs/>
        </w:rPr>
        <w:t xml:space="preserve">AI model approval process</w:t>
      </w:r>
      <w:r>
        <w:t xml:space="preserve"> </w:t>
      </w:r>
      <w:r>
        <w:t xml:space="preserve">before deployment. This could mirror new product approval process but focused on AI: requiring documentation of model purpose, design, training data, performance metrics, bias testing, etc., reviewed by model risk, compliance, and IT risk teams. Have an</w:t>
      </w:r>
      <w:r>
        <w:t xml:space="preserve"> </w:t>
      </w:r>
      <w:r>
        <w:rPr>
          <w:b/>
          <w:bCs/>
        </w:rPr>
        <w:t xml:space="preserve">AI Review Board</w:t>
      </w:r>
      <w:r>
        <w:t xml:space="preserve"> </w:t>
      </w:r>
      <w:r>
        <w:t xml:space="preserve">(which could be a subcommittee of Model Risk Committee plus IT Security and Compliance reps) to sign off that all necessary checks (explainability, bias, cyber exposure) are met. Also possibly consult the legal team for any ethical concerns or conflict with data/privacy laws. Similar to how SR 11-7 expects model governance, but broaden scope to not just traditional models – include data-driven automation tools, etc. Once approved, note the</w:t>
      </w:r>
      <w:r>
        <w:t xml:space="preserve"> </w:t>
      </w:r>
      <w:r>
        <w:rPr>
          <w:i/>
          <w:iCs/>
        </w:rPr>
        <w:t xml:space="preserve">conditions</w:t>
      </w:r>
      <w:r>
        <w:t xml:space="preserve"> </w:t>
      </w:r>
      <w:r>
        <w:t xml:space="preserve">– e.g., "approved for use on population X with data refreshed yearly." If changes to the AI (new version, retraining on new data) happen, define triggers for re-approval or at least validation (maybe minor changes can be exceptions if performance doesn’t degrade beyond threshold, major ones need re-review).</w:t>
      </w:r>
    </w:p>
    <w:p>
      <w:pPr>
        <w:pStyle w:val="BodyText"/>
      </w:pPr>
      <w:r>
        <w:rPr>
          <w:b/>
          <w:bCs/>
        </w:rPr>
        <w:t xml:space="preserve">Periodic Review &amp; Monitoring:</w:t>
      </w:r>
      <w:r>
        <w:t xml:space="preserve"> </w:t>
      </w:r>
      <w:r>
        <w:t xml:space="preserve">Mandate that all Tier 1 AI models undergo a full review at least annually (or more often if risk environment changes quickly). This review checks: is the model still performing as expected (compare predictions to outcomes, track any incidents or overrides)? Has data drifted? Are assumptions still valid (maybe a new data source came up that model doesn’t include)? Also require</w:t>
      </w:r>
      <w:r>
        <w:t xml:space="preserve"> </w:t>
      </w:r>
      <w:r>
        <w:rPr>
          <w:b/>
          <w:bCs/>
        </w:rPr>
        <w:t xml:space="preserve">continuous monitoring</w:t>
      </w:r>
      <w:r>
        <w:t xml:space="preserve"> </w:t>
      </w:r>
      <w:r>
        <w:t xml:space="preserve">metrics: for example, track model’s prediction error metrics in production, and if they exceed a threshold, trigger alert to model risk team. For LLMs, monitor usage logs to catch any anomalous behavior (like if it started outputting something weird – could indicate either problem or user misuse). The framework should escalate model issues: e.g., if an AI model’s accuracy dropped 10% vs when approved, pause use or retrain. Perhaps a “AI model health dashboard” aggregated by model risk function.</w:t>
      </w:r>
    </w:p>
    <w:p>
      <w:pPr>
        <w:pStyle w:val="BodyText"/>
      </w:pPr>
      <w:r>
        <w:rPr>
          <w:b/>
          <w:bCs/>
        </w:rPr>
        <w:t xml:space="preserve">LLM and Generative AI-Specific Controls:</w:t>
      </w:r>
      <w:r>
        <w:t xml:space="preserve"> </w:t>
      </w:r>
      <w:r>
        <w:t xml:space="preserve">Generative models pose unique challenges (hallucination, unpredictable output). For any use of LLM (like ChatGPT or a proprietary one in internal applications), implement:</w:t>
      </w:r>
      <w:r>
        <w:t xml:space="preserve"> </w:t>
      </w:r>
      <w:r>
        <w:t xml:space="preserve">-</w:t>
      </w:r>
      <w:r>
        <w:t xml:space="preserve"> </w:t>
      </w:r>
      <w:r>
        <w:rPr>
          <w:b/>
          <w:bCs/>
        </w:rPr>
        <w:t xml:space="preserve">Prompt Logging:</w:t>
      </w:r>
      <w:r>
        <w:t xml:space="preserve"> </w:t>
      </w:r>
      <w:r>
        <w:t xml:space="preserve">All inputs to and outputs from the LLM that relate to decision-making processes or client interactions should be logged and stored securely for audit. This is essential for later review if something goes wrong or to explain what was presented to a user. It also helps in fine-tuning to avoid repeated mistakes.</w:t>
      </w:r>
      <w:r>
        <w:t xml:space="preserve"> </w:t>
      </w:r>
      <w:r>
        <w:t xml:space="preserve">-</w:t>
      </w:r>
      <w:r>
        <w:t xml:space="preserve"> </w:t>
      </w:r>
      <w:r>
        <w:rPr>
          <w:b/>
          <w:bCs/>
        </w:rPr>
        <w:t xml:space="preserve">Context Restrictions:</w:t>
      </w:r>
      <w:r>
        <w:t xml:space="preserve"> </w:t>
      </w:r>
      <w:r>
        <w:t xml:space="preserve">Ensure the LLM only has access to data it needs and nothing more (principle of least privilege for data). If using an LLM to answer client questions, feed it a curated knowledge base rather than full internal databases to avoid accidental disclosure. Possibly use</w:t>
      </w:r>
      <w:r>
        <w:t xml:space="preserve"> </w:t>
      </w:r>
      <w:r>
        <w:rPr>
          <w:b/>
          <w:bCs/>
        </w:rPr>
        <w:t xml:space="preserve">embedding + retrieval</w:t>
      </w:r>
      <w:r>
        <w:t xml:space="preserve"> </w:t>
      </w:r>
      <w:r>
        <w:t xml:space="preserve">approach (vector databases) so it only pulls from approved context documents to generate answers, thus bounding its knowledge and reducing hallucination.</w:t>
      </w:r>
      <w:r>
        <w:t xml:space="preserve"> </w:t>
      </w:r>
      <w:r>
        <w:t xml:space="preserve">-</w:t>
      </w:r>
      <w:r>
        <w:t xml:space="preserve"> </w:t>
      </w:r>
      <w:r>
        <w:rPr>
          <w:b/>
          <w:bCs/>
        </w:rPr>
        <w:t xml:space="preserve">Guardrails in Output:</w:t>
      </w:r>
      <w:r>
        <w:t xml:space="preserve"> </w:t>
      </w:r>
      <w:r>
        <w:t xml:space="preserve">For example, using AI content filtering to ensure no confidential or inappropriate info is in outputs. If an LLM is used to draft emails or reports, maybe have it highlight which parts it’s unsure about or tag content source so user can verify. Another guardrail is</w:t>
      </w:r>
      <w:r>
        <w:t xml:space="preserve"> </w:t>
      </w:r>
      <w:r>
        <w:rPr>
          <w:b/>
          <w:bCs/>
        </w:rPr>
        <w:t xml:space="preserve">no autonomous action</w:t>
      </w:r>
      <w:r>
        <w:t xml:space="preserve">: do not allow an LLM to automatically execute trades or send communications to clients without human review. At least until such systems are proven extremely reliable.</w:t>
      </w:r>
      <w:r>
        <w:t xml:space="preserve"> </w:t>
      </w:r>
      <w:r>
        <w:t xml:space="preserve">-</w:t>
      </w:r>
      <w:r>
        <w:t xml:space="preserve"> </w:t>
      </w:r>
      <w:r>
        <w:rPr>
          <w:b/>
          <w:bCs/>
        </w:rPr>
        <w:t xml:space="preserve">Adversarial Testing (Red Teaming):</w:t>
      </w:r>
      <w:r>
        <w:t xml:space="preserve"> </w:t>
      </w:r>
      <w:r>
        <w:t xml:space="preserve">Specifically for generative AI, attempt to break it or induce bad outputs with adversarial prompts (like instruct it in ways to bypass filters, known as "jailbreaking"). See if it can leak data from training or give harmful advice. The AI governance policy should require such testing before deployment and periodically after, as new exploits might be discovered.</w:t>
      </w:r>
      <w:r>
        <w:t xml:space="preserve"> </w:t>
      </w:r>
      <w:r>
        <w:t xml:space="preserve">-</w:t>
      </w:r>
      <w:r>
        <w:t xml:space="preserve"> </w:t>
      </w:r>
      <w:r>
        <w:rPr>
          <w:b/>
          <w:bCs/>
        </w:rPr>
        <w:t xml:space="preserve">User Access &amp; Monitoring:</w:t>
      </w:r>
      <w:r>
        <w:t xml:space="preserve"> </w:t>
      </w:r>
      <w:r>
        <w:t xml:space="preserve">If employees are allowed to use external LLMs, set policies: e.g., no input of confidential info into public AI or use only bank-approved LLM channels (some banks have internal ChatGPT versions with logging). Monitor usage to ensure compliance (could integrate a DLP (data loss prevention) that flags if an employee tries to paste client data into ChatGPT site, blocking it).</w:t>
      </w:r>
    </w:p>
    <w:p>
      <w:pPr>
        <w:pStyle w:val="BodyText"/>
      </w:pPr>
      <w:r>
        <w:rPr>
          <w:b/>
          <w:bCs/>
        </w:rPr>
        <w:t xml:space="preserve">Testing &amp; Red-Teaming (Adversarial and Stress Testing):</w:t>
      </w:r>
      <w:r>
        <w:t xml:space="preserve"> </w:t>
      </w:r>
      <w:r>
        <w:t xml:space="preserve">Beyond normal validation, incorporate robust</w:t>
      </w:r>
      <w:r>
        <w:t xml:space="preserve"> </w:t>
      </w:r>
      <w:r>
        <w:rPr>
          <w:b/>
          <w:bCs/>
        </w:rPr>
        <w:t xml:space="preserve">stress testing of AI models</w:t>
      </w:r>
      <w:r>
        <w:t xml:space="preserve">: e.g., feed scenario data to a trading AI (like simulate a 2008-level volatility jump) and see how it responds – ensure it doesn’t go crazy. Or scenario test a credit AI by stressing macro inputs to see if its outputs still make sense monotonic (monotonicity is often expected – e.g., if GDP worsens, default risk should not improve). For adversarial testing: have a team or external experts actively try to trick the AI – whether it’s via cunning input or by slightly altering data in ways that cause maximum error (like testing the sensitivity of vision ML used for document reading by adding noise or different fonts). This is akin to hackers but for models – idea is to patch weaknesses before real adversaries find them. Also consider</w:t>
      </w:r>
      <w:r>
        <w:t xml:space="preserve"> </w:t>
      </w:r>
      <w:r>
        <w:rPr>
          <w:b/>
          <w:bCs/>
        </w:rPr>
        <w:t xml:space="preserve">robustness to purposeful manipulation by customers</w:t>
      </w:r>
      <w:r>
        <w:t xml:space="preserve">: If clients know the bank uses an AI for credit, could they game it? (some might artificially inflate factors that model weighs heavily). Include such scenarios in testing. The framework should require that critical AI models undergo a "red team" exercise periodically, and findings are fixed or mitigated.</w:t>
      </w:r>
    </w:p>
    <w:p>
      <w:pPr>
        <w:pStyle w:val="BodyText"/>
      </w:pPr>
      <w:r>
        <w:rPr>
          <w:b/>
          <w:bCs/>
        </w:rPr>
        <w:t xml:space="preserve">Vendor &amp; Third-Party AI Management:</w:t>
      </w:r>
      <w:r>
        <w:t xml:space="preserve"> </w:t>
      </w:r>
      <w:r>
        <w:t xml:space="preserve">If using third-party AI tools or models, incorporate them into the vendor risk management program. This means, for each vendor:</w:t>
      </w:r>
      <w:r>
        <w:t xml:space="preserve"> </w:t>
      </w:r>
      <w:r>
        <w:t xml:space="preserve">-</w:t>
      </w:r>
      <w:r>
        <w:t xml:space="preserve"> </w:t>
      </w:r>
      <w:r>
        <w:rPr>
          <w:b/>
          <w:bCs/>
        </w:rPr>
        <w:t xml:space="preserve">Due Diligence:</w:t>
      </w:r>
      <w:r>
        <w:t xml:space="preserve"> </w:t>
      </w:r>
      <w:r>
        <w:t xml:space="preserve">Evaluate the vendor’s model development practices (do they check for bias? have they documented their model? Have they had major incidents?). Possibly request their model validation documents or independent audit results. If it's a cloud AI service, assess their security (cloud providers often have strong security but verify segmentation of your data, etc.). Also contractually ensure you have rights to audit or get info, and clarity on liability if their model fails (though many try to limit liability – could be negotiation point if critical use).</w:t>
      </w:r>
      <w:r>
        <w:t xml:space="preserve"> </w:t>
      </w:r>
      <w:r>
        <w:t xml:space="preserve">-</w:t>
      </w:r>
      <w:r>
        <w:t xml:space="preserve"> </w:t>
      </w:r>
      <w:r>
        <w:rPr>
          <w:b/>
          <w:bCs/>
        </w:rPr>
        <w:t xml:space="preserve">Concentration mgmt:</w:t>
      </w:r>
      <w:r>
        <w:t xml:space="preserve"> </w:t>
      </w:r>
      <w:r>
        <w:t xml:space="preserve">If one vendor provides many of your AI solutions, consider backup. Perhaps try not to lock into one ecosystem for all critical uses (e.g., maybe use one LLM for internal knowledge, another for client-facing tasks – unless integration benefits outweigh).</w:t>
      </w:r>
      <w:r>
        <w:t xml:space="preserve"> </w:t>
      </w:r>
      <w:r>
        <w:t xml:space="preserve">-</w:t>
      </w:r>
      <w:r>
        <w:t xml:space="preserve"> </w:t>
      </w:r>
      <w:r>
        <w:rPr>
          <w:b/>
          <w:bCs/>
        </w:rPr>
        <w:t xml:space="preserve">SLAs:</w:t>
      </w:r>
      <w:r>
        <w:t xml:space="preserve"> </w:t>
      </w:r>
      <w:r>
        <w:t xml:space="preserve">Especially for real-time AI services (like an API call to an AI model), set Service Level Agreements requiring high uptime, fast response, and support. If it’s critical, consider requiring dedicated instances or priority. Also define what happens if vendor changes the model (some vendors update models periodically which can change outputs): ideally, contract should require advance notice and perhaps an option to stay on old version for X period to test new one.</w:t>
      </w:r>
      <w:r>
        <w:t xml:space="preserve"> </w:t>
      </w:r>
      <w:r>
        <w:t xml:space="preserve">-</w:t>
      </w:r>
      <w:r>
        <w:t xml:space="preserve"> </w:t>
      </w:r>
      <w:r>
        <w:rPr>
          <w:b/>
          <w:bCs/>
        </w:rPr>
        <w:t xml:space="preserve">Exit Strategy:</w:t>
      </w:r>
      <w:r>
        <w:t xml:space="preserve"> </w:t>
      </w:r>
      <w:r>
        <w:t xml:space="preserve">If tomorrow the vendor’s model became unusable (due to cost, performance, regulatory ban, vendor bankrupt, etc.), how quickly can you switch or develop an in-house replacement? The governance framework should require that critical AI vendor use has an exit/transition plan. That might mean regularly exporting your data from the vendor’s system to be able to retrain a model elsewhere if needed, or ensuring models are not too entangled to replace.</w:t>
      </w:r>
    </w:p>
    <w:p>
      <w:pPr>
        <w:pStyle w:val="BodyText"/>
      </w:pPr>
      <w:r>
        <w:rPr>
          <w:b/>
          <w:bCs/>
        </w:rPr>
        <w:t xml:space="preserve">KPIs and KRIs for AI Risk:</w:t>
      </w:r>
      <w:r>
        <w:t xml:space="preserve"> </w:t>
      </w:r>
      <w:r>
        <w:t xml:space="preserve">The framework should establish key performance indicators (KPIs) to ensure AI is delivering value responsibly, and key risk indicators (KRIs) to detect early signs of trouble. Examples:</w:t>
      </w:r>
      <w:r>
        <w:t xml:space="preserve"> </w:t>
      </w:r>
      <w:r>
        <w:t xml:space="preserve">- KPI: % of model decisions that are reviewed by humans (with goal maybe to gradually reduce for less risky ones as confidence grows, but ensure not too low in risk areas). Or time saved by AI vs manual (just to measure adoption benefits).</w:t>
      </w:r>
      <w:r>
        <w:t xml:space="preserve"> </w:t>
      </w:r>
      <w:r>
        <w:t xml:space="preserve">- KRI: Number of AI incidents or near-misses (e.g., instances where AI output was wrong and could have caused an error if not caught). Or “override rate” – what fraction of AI recommendations are overridden by humans? A rising override rate might signal model drift or loss of trust.</w:t>
      </w:r>
      <w:r>
        <w:t xml:space="preserve"> </w:t>
      </w:r>
      <w:r>
        <w:t xml:space="preserve">- KRI: Model monitoring metrics beyond threshold – e.g. if an AI’s predictive accuracy falls below 95% baseline, that’s a KRI (pointing to drift or data issues).</w:t>
      </w:r>
      <w:r>
        <w:t xml:space="preserve"> </w:t>
      </w:r>
      <w:r>
        <w:t xml:space="preserve">- KRI: Bias metrics trending – e.g., measure differential outcomes of credit model by group; if disparity increased vs last quarter, flag to re-evaluate model or data.</w:t>
      </w:r>
      <w:r>
        <w:t xml:space="preserve"> </w:t>
      </w:r>
      <w:r>
        <w:t xml:space="preserve">- KRI: concentration risk metric – e.g., what % of critical AI rely on one vendor or one underlying technology (if one library used by all models, if it has a bug, risk – measure to see if too concentrated).</w:t>
      </w:r>
      <w:r>
        <w:t xml:space="preserve"> </w:t>
      </w:r>
      <w:r>
        <w:t xml:space="preserve">- KRI: compliance metrics – e.g., any regulatory findings on AI usage, or any consumer complaints specifically about AI decisions (like "I was denied a loan by a computer incorrectly").</w:t>
      </w:r>
    </w:p>
    <w:p>
      <w:pPr>
        <w:pStyle w:val="BodyText"/>
      </w:pPr>
      <w:r>
        <w:rPr>
          <w:b/>
          <w:bCs/>
        </w:rPr>
        <w:t xml:space="preserve">Reporting and Accountability:</w:t>
      </w:r>
      <w:r>
        <w:t xml:space="preserve"> </w:t>
      </w:r>
      <w:r>
        <w:t xml:space="preserve">The AI governance framework should require regular reporting to senior management and board on AI risk. Perhaps quarterly an “AI risk report” summarizing inventory of key AI, any issues, progress on improvements, emerging risks (like new regulations or incidents externally). The CRO should ensure AI risk is part of overall risk dashboard seen by Board Risk Committee – initially maybe as a separate section but eventually integrated. For accountability, the framework should specify roles: a “Model Owner” for each AI, a “Model Validator” independent team, and oversight by the existing Model Risk Management function expanded or a specialized AI risk function. Possibly appoint an</w:t>
      </w:r>
      <w:r>
        <w:t xml:space="preserve"> </w:t>
      </w:r>
      <w:r>
        <w:rPr>
          <w:b/>
          <w:bCs/>
        </w:rPr>
        <w:t xml:space="preserve">AI Risk Officer</w:t>
      </w:r>
      <w:r>
        <w:t xml:space="preserve"> </w:t>
      </w:r>
      <w:r>
        <w:t xml:space="preserve">or similar – some banks created head of AI governance roles – to coordinate across risk, IT, compliance on these matters, reporting to CRO.</w:t>
      </w:r>
    </w:p>
    <w:p>
      <w:pPr>
        <w:pStyle w:val="BodyText"/>
      </w:pPr>
      <w:r>
        <w:rPr>
          <w:b/>
          <w:bCs/>
        </w:rPr>
        <w:t xml:space="preserve">Culture and Training:</w:t>
      </w:r>
      <w:r>
        <w:t xml:space="preserve"> </w:t>
      </w:r>
      <w:r>
        <w:t xml:space="preserve">Part of governance is culture: ensure staff trust but verify AI. Encourage users to question AI outcomes, and escalate concerns. Provide training on how AI decisions are made in lay terms so they can interpret outputs properly and not over-defer. If front-line employees interact with AI tools, they should know limitations (like not to fully trust a generative answer on a complicated topic without cross-checking).</w:t>
      </w:r>
    </w:p>
    <w:p>
      <w:pPr>
        <w:pStyle w:val="BodyText"/>
      </w:pPr>
      <w:r>
        <w:t xml:space="preserve">In designing this framework, leverage what regulators themselves publish: e.g., ECB’s expectation for AI was that</w:t>
      </w:r>
      <w:r>
        <w:t xml:space="preserve"> </w:t>
      </w:r>
      <w:r>
        <w:rPr>
          <w:i/>
          <w:iCs/>
        </w:rPr>
        <w:t xml:space="preserve">banks can’t “blindly follow AI”</w:t>
      </w:r>
      <w:hyperlink r:id="rId92">
        <w:r>
          <w:rPr>
            <w:rStyle w:val="Hyperlink"/>
          </w:rPr>
          <w:t xml:space="preserve">[58]</w:t>
        </w:r>
      </w:hyperlink>
      <w:r>
        <w:t xml:space="preserve">, so emphasize human judgement integration. Also ensure it's documented to show regulators: e.g., maintain an "AI inventory register" with risk tier, last validation date, key controls, etc., reminiscent of model inventory.</w:t>
      </w:r>
    </w:p>
    <w:p>
      <w:pPr>
        <w:pStyle w:val="BodyText"/>
      </w:pPr>
      <w:r>
        <w:t xml:space="preserve">This governance structure helps embed AI risk management systematically, preventing ad-hoc or siloed AI deployments from inadvertently blowing up risk appetite or causing compliance breaches. It fosters an environment where AI is developed and used responsibly – with oversight proportionate to its impact – aligning with both regulatory demands and the bank’s own risk aversion.</w:t>
      </w:r>
    </w:p>
    <w:bookmarkEnd w:id="104"/>
    <w:bookmarkStart w:id="107" w:name="Xabb9f1ebe539df74cbc08b905ed75ff977b149e"/>
    <w:p>
      <w:pPr>
        <w:pStyle w:val="Heading3"/>
      </w:pPr>
      <w:r>
        <w:t xml:space="preserve">5F. Required Infrastructure &amp; Data Foundations</w:t>
      </w:r>
    </w:p>
    <w:p>
      <w:pPr>
        <w:pStyle w:val="FirstParagraph"/>
      </w:pPr>
      <w:r>
        <w:t xml:space="preserve">To safely and effectively leverage AI, a solid foundation in data and technology is essential. The CRO should ensure the bank invests in infrastructure that supports AI while maintaining risk control. Key components:</w:t>
      </w:r>
    </w:p>
    <w:p>
      <w:pPr>
        <w:pStyle w:val="BodyText"/>
      </w:pPr>
      <w:r>
        <w:rPr>
          <w:b/>
          <w:bCs/>
        </w:rPr>
        <w:t xml:space="preserve">Data Governance (Lineage, Quality, Access Control):</w:t>
      </w:r>
      <w:r>
        <w:t xml:space="preserve"> </w:t>
      </w:r>
      <w:r>
        <w:t xml:space="preserve">AI is only as good as the data it’s trained on. Establish robust</w:t>
      </w:r>
      <w:r>
        <w:t xml:space="preserve"> </w:t>
      </w:r>
      <w:r>
        <w:rPr>
          <w:b/>
          <w:bCs/>
        </w:rPr>
        <w:t xml:space="preserve">data governance</w:t>
      </w:r>
      <w:r>
        <w:t xml:space="preserve"> </w:t>
      </w:r>
      <w:r>
        <w:t xml:space="preserve">practices:</w:t>
      </w:r>
      <w:r>
        <w:t xml:space="preserve"> </w:t>
      </w:r>
      <w:r>
        <w:t xml:space="preserve">-</w:t>
      </w:r>
      <w:r>
        <w:t xml:space="preserve"> </w:t>
      </w:r>
      <w:r>
        <w:rPr>
          <w:b/>
          <w:bCs/>
        </w:rPr>
        <w:t xml:space="preserve">Data Lineage:</w:t>
      </w:r>
      <w:r>
        <w:t xml:space="preserve"> </w:t>
      </w:r>
      <w:r>
        <w:t xml:space="preserve">Track the origin and transformations of data used in AI models. For example, if an AI credit model uses customer transaction data, you should know which system it came from, how it was aggregated, any imputation or cleaning steps. This lineage is crucial for traceability (e.g., if AI output seems off, one can check if source data had issues) and for compliance (some regulations require understanding if data is sourced with consent etc.). Documenting lineage also helps reproducibility of model results – which is needed in audits or if model decisions are challenged.</w:t>
      </w:r>
      <w:r>
        <w:t xml:space="preserve"> </w:t>
      </w:r>
      <w:r>
        <w:t xml:space="preserve">-</w:t>
      </w:r>
      <w:r>
        <w:t xml:space="preserve"> </w:t>
      </w:r>
      <w:r>
        <w:rPr>
          <w:b/>
          <w:bCs/>
        </w:rPr>
        <w:t xml:space="preserve">Data Quality:</w:t>
      </w:r>
      <w:r>
        <w:t xml:space="preserve"> </w:t>
      </w:r>
      <w:r>
        <w:t xml:space="preserve">Implement data quality controls at ingestion and throughout pipelines. That includes checks for completeness (no missing crucial fields), accuracy (cross-verify with external sources if possible), consistency (e.g., ensure client IDs match across datasets), and timeliness (data is up-to-date as expected). Possibly use AI itself to detect anomalies in data (like a sudden spike in zeros in a field might indicate a system error). Have processes to correct data and feed corrections back to source systems if needed (so errors don’t persist). A KPMG survey found banks lagging in quantifying climate risk due to data issues</w:t>
      </w:r>
      <w:hyperlink r:id="rId105">
        <w:r>
          <w:rPr>
            <w:rStyle w:val="Hyperlink"/>
          </w:rPr>
          <w:t xml:space="preserve">[66]</w:t>
        </w:r>
      </w:hyperlink>
      <w:hyperlink r:id="rId106">
        <w:r>
          <w:rPr>
            <w:rStyle w:val="Hyperlink"/>
          </w:rPr>
          <w:t xml:space="preserve">[67]</w:t>
        </w:r>
      </w:hyperlink>
      <w:r>
        <w:t xml:space="preserve">, which is relevant for AI use in climate scenario modeling – but generally cleaning data is often 80% of AI.</w:t>
      </w:r>
      <w:r>
        <w:t xml:space="preserve"> </w:t>
      </w:r>
      <w:r>
        <w:t xml:space="preserve">-</w:t>
      </w:r>
      <w:r>
        <w:t xml:space="preserve"> </w:t>
      </w:r>
      <w:r>
        <w:rPr>
          <w:b/>
          <w:bCs/>
        </w:rPr>
        <w:t xml:space="preserve">Master Data Management:</w:t>
      </w:r>
      <w:r>
        <w:t xml:space="preserve"> </w:t>
      </w:r>
      <w:r>
        <w:t xml:space="preserve">Create single sources of truth for key entities (customers, trades, etc.) so that AI models across departments use consistent definitions and values. This avoids situations where two models define “active customer” differently leading to conflicting outputs. The CRO should champion enterprise data standards to facilitate coherent model inputs.</w:t>
      </w:r>
      <w:r>
        <w:t xml:space="preserve"> </w:t>
      </w:r>
      <w:r>
        <w:t xml:space="preserve">-</w:t>
      </w:r>
      <w:r>
        <w:t xml:space="preserve"> </w:t>
      </w:r>
      <w:r>
        <w:rPr>
          <w:b/>
          <w:bCs/>
        </w:rPr>
        <w:t xml:space="preserve">Access Control:</w:t>
      </w:r>
      <w:r>
        <w:t xml:space="preserve"> </w:t>
      </w:r>
      <w:r>
        <w:t xml:space="preserve">Data used for AI often includes sensitive information (PII, confidential transactions, etc.). Strict access rights need to be enforced – not every data scientist or model can touch all data. Use principles like data minimization (model only gets data it actually needs to perform). Employ anonymization or encryption for data in development environment (like masked IDs). Monitor and log who accesses large datasets – to detect any unauthorized attempts. Also, if using synthetic data for training to avoid exposing real data, validate that synthetic data sufficiently represents actual patterns. Access control extends to production: AI models in production should only output allowed information (e.g., a client-facing AI should not spill another client’s data).</w:t>
      </w:r>
      <w:r>
        <w:t xml:space="preserve"> </w:t>
      </w:r>
      <w:r>
        <w:t xml:space="preserve">-</w:t>
      </w:r>
      <w:r>
        <w:t xml:space="preserve"> </w:t>
      </w:r>
      <w:r>
        <w:rPr>
          <w:b/>
          <w:bCs/>
        </w:rPr>
        <w:t xml:space="preserve">Ethical &amp; Legal Use of Data:</w:t>
      </w:r>
      <w:r>
        <w:t xml:space="preserve"> </w:t>
      </w:r>
      <w:r>
        <w:t xml:space="preserve">Ensure compliance with privacy laws (GDPR etc.) when using personal data for AI. If using alternative data (like scraping web or buying location data), run through legal and ethical review – there may be consent required or fairness implications. For instance, using social media data in credit scoring could inadvertently correlate with protected characteristics. Possibly maintain a</w:t>
      </w:r>
      <w:r>
        <w:t xml:space="preserve"> </w:t>
      </w:r>
      <w:r>
        <w:rPr>
          <w:b/>
          <w:bCs/>
        </w:rPr>
        <w:t xml:space="preserve">Data Ethics Committee</w:t>
      </w:r>
      <w:r>
        <w:t xml:space="preserve"> </w:t>
      </w:r>
      <w:r>
        <w:t xml:space="preserve">alongside AI governance to approve new data sources.</w:t>
      </w:r>
    </w:p>
    <w:p>
      <w:pPr>
        <w:pStyle w:val="BodyText"/>
      </w:pPr>
      <w:r>
        <w:rPr>
          <w:b/>
          <w:bCs/>
        </w:rPr>
        <w:t xml:space="preserve">Logging and Observability (Usage and Outputs):</w:t>
      </w:r>
      <w:r>
        <w:t xml:space="preserve"> </w:t>
      </w:r>
      <w:r>
        <w:t xml:space="preserve">Implement comprehensive</w:t>
      </w:r>
      <w:r>
        <w:t xml:space="preserve"> </w:t>
      </w:r>
      <w:r>
        <w:rPr>
          <w:b/>
          <w:bCs/>
        </w:rPr>
        <w:t xml:space="preserve">logging</w:t>
      </w:r>
      <w:r>
        <w:t xml:space="preserve"> </w:t>
      </w:r>
      <w:r>
        <w:t xml:space="preserve">for AI systems:</w:t>
      </w:r>
      <w:r>
        <w:t xml:space="preserve"> </w:t>
      </w:r>
      <w:r>
        <w:t xml:space="preserve">-</w:t>
      </w:r>
      <w:r>
        <w:t xml:space="preserve"> </w:t>
      </w:r>
      <w:r>
        <w:rPr>
          <w:b/>
          <w:bCs/>
        </w:rPr>
        <w:t xml:space="preserve">Who used what model when and for what input, and what output was produced.</w:t>
      </w:r>
      <w:r>
        <w:t xml:space="preserve"> </w:t>
      </w:r>
      <w:r>
        <w:t xml:space="preserve">This is important for audit trails (like why was this loan rejected? – we can retrieve the model input and output at that time). For LLM chatbots, log the conversation. For automated trading AI, log the signals, orders and which logic triggered them.</w:t>
      </w:r>
      <w:r>
        <w:t xml:space="preserve"> </w:t>
      </w:r>
      <w:r>
        <w:t xml:space="preserve">-</w:t>
      </w:r>
      <w:r>
        <w:t xml:space="preserve"> </w:t>
      </w:r>
      <w:r>
        <w:rPr>
          <w:b/>
          <w:bCs/>
        </w:rPr>
        <w:t xml:space="preserve">Model decisions telemetry:</w:t>
      </w:r>
      <w:r>
        <w:t xml:space="preserve"> </w:t>
      </w:r>
      <w:r>
        <w:t xml:space="preserve">Have models emit not just final decision but intermediate metrics (confidence scores, number of iterations, etc.) if possible. This helps in monitoring model health. Observability tools could be integrated (some ML ops tools allow monitoring drift, performance in real-time).</w:t>
      </w:r>
      <w:r>
        <w:t xml:space="preserve"> </w:t>
      </w:r>
      <w:r>
        <w:t xml:space="preserve">-</w:t>
      </w:r>
      <w:r>
        <w:t xml:space="preserve"> </w:t>
      </w:r>
      <w:r>
        <w:rPr>
          <w:b/>
          <w:bCs/>
        </w:rPr>
        <w:t xml:space="preserve">Performance logs:</w:t>
      </w:r>
      <w:r>
        <w:t xml:space="preserve"> </w:t>
      </w:r>
      <w:r>
        <w:t xml:space="preserve">E.g., track how long each model inference takes (to manage latency – an abnormally long run might indicate a problem) and resource usage (if a model starts using much more memory, maybe data input pattern changed).</w:t>
      </w:r>
      <w:r>
        <w:t xml:space="preserve"> </w:t>
      </w:r>
      <w:r>
        <w:t xml:space="preserve">-</w:t>
      </w:r>
      <w:r>
        <w:t xml:space="preserve"> </w:t>
      </w:r>
      <w:r>
        <w:rPr>
          <w:b/>
          <w:bCs/>
        </w:rPr>
        <w:t xml:space="preserve">Centralized Monitoring Dashboard:</w:t>
      </w:r>
      <w:r>
        <w:t xml:space="preserve"> </w:t>
      </w:r>
      <w:r>
        <w:t xml:space="preserve">The CRO’s risk IT could build a dashboard aggregating statuses of all critical AI models – showing if any have triggered alerts (e.g., out-of-bound inputs, performance drop, unusual output distribution). For instance, if a trading model’s typical output distribution is say signals between -1 and 1, and suddenly it outputs 5, flag that as unusual.</w:t>
      </w:r>
      <w:r>
        <w:t xml:space="preserve"> </w:t>
      </w:r>
      <w:r>
        <w:t xml:space="preserve">-</w:t>
      </w:r>
      <w:r>
        <w:t xml:space="preserve"> </w:t>
      </w:r>
      <w:r>
        <w:rPr>
          <w:b/>
          <w:bCs/>
        </w:rPr>
        <w:t xml:space="preserve">Incident Response Integration:</w:t>
      </w:r>
      <w:r>
        <w:t xml:space="preserve"> </w:t>
      </w:r>
      <w:r>
        <w:t xml:space="preserve">Logging should feed into incident management – if an AI system malfunctions (like gives nonsense output or goes down), logs should allow quick diagnosis (was it a data issue? a new type of input? etc.). Observability akin to application performance monitoring for software should be extended to AI logic (some firms do “model performance monitoring” as part of ML Ops – tracking accuracy metrics in production and triggering events if threshold crossed).</w:t>
      </w:r>
    </w:p>
    <w:p>
      <w:pPr>
        <w:pStyle w:val="BodyText"/>
      </w:pPr>
      <w:r>
        <w:rPr>
          <w:b/>
          <w:bCs/>
        </w:rPr>
        <w:t xml:space="preserve">Security Architecture for AI Workloads (Cloud, On-Prem, Hybrid):</w:t>
      </w:r>
      <w:r>
        <w:t xml:space="preserve"> </w:t>
      </w:r>
      <w:r>
        <w:t xml:space="preserve">Many AI tasks require heavy compute (GPUs), which often leads banks to use cloud services. But regulators worry about cloud concentration and data security. The CRO should ensure:</w:t>
      </w:r>
      <w:r>
        <w:t xml:space="preserve"> </w:t>
      </w:r>
      <w:r>
        <w:t xml:space="preserve">-</w:t>
      </w:r>
      <w:r>
        <w:t xml:space="preserve"> </w:t>
      </w:r>
      <w:r>
        <w:rPr>
          <w:b/>
          <w:bCs/>
        </w:rPr>
        <w:t xml:space="preserve">Secure Cloud Configurations:</w:t>
      </w:r>
      <w:r>
        <w:t xml:space="preserve"> </w:t>
      </w:r>
      <w:r>
        <w:t xml:space="preserve">If using cloud AI platforms (AWS/GCP/Azure GPU instances, or Azure OpenAI, etc.), ensure proper network segregation, encryption of data at rest and transit, and strong identity and access management. This likely means working closely with IT to implement cloud security best practices and possibly obtaining regulatory approvals if sensitive data goes to cloud (e.g., some jurisdictions require notifying for offsite data).</w:t>
      </w:r>
      <w:r>
        <w:t xml:space="preserve"> </w:t>
      </w:r>
      <w:r>
        <w:t xml:space="preserve">-</w:t>
      </w:r>
      <w:r>
        <w:t xml:space="preserve"> </w:t>
      </w:r>
      <w:r>
        <w:rPr>
          <w:b/>
          <w:bCs/>
        </w:rPr>
        <w:t xml:space="preserve">On-Prem vs Cloud Strategy:</w:t>
      </w:r>
      <w:r>
        <w:t xml:space="preserve"> </w:t>
      </w:r>
      <w:r>
        <w:t xml:space="preserve">Decide which AI workloads must stay on-premise (e.g. those involving highly sensitive data or extremely low-latency trading decisions) and which can be cloud. Some banks do training in cloud but inference on-prem for sensitive contexts – because training might use anonymized or aggregated data, but inference in real-time uses client data. A hybrid architecture might be necessary.</w:t>
      </w:r>
      <w:r>
        <w:t xml:space="preserve"> </w:t>
      </w:r>
      <w:r>
        <w:t xml:space="preserve">-</w:t>
      </w:r>
      <w:r>
        <w:t xml:space="preserve"> </w:t>
      </w:r>
      <w:r>
        <w:rPr>
          <w:b/>
          <w:bCs/>
        </w:rPr>
        <w:t xml:space="preserve">Robust APIs and Containerization:</w:t>
      </w:r>
      <w:r>
        <w:t xml:space="preserve"> </w:t>
      </w:r>
      <w:r>
        <w:t xml:space="preserve">Many AI models run in containers or as microservices – secure those endpoints. Only authorized applications should call AI inference APIs, to prevent someone injecting queries. Use authentication, maybe even code-signing for models so they can’t be tampered with. Also maintain an inventory of all running AI microservices and their versions to quickly patch or roll back if a vulnerability or error in a model is discovered.</w:t>
      </w:r>
      <w:r>
        <w:t xml:space="preserve"> </w:t>
      </w:r>
      <w:r>
        <w:t xml:space="preserve">-</w:t>
      </w:r>
      <w:r>
        <w:t xml:space="preserve"> </w:t>
      </w:r>
      <w:r>
        <w:rPr>
          <w:b/>
          <w:bCs/>
        </w:rPr>
        <w:t xml:space="preserve">Resilience and backups:</w:t>
      </w:r>
      <w:r>
        <w:t xml:space="preserve"> </w:t>
      </w:r>
      <w:r>
        <w:t xml:space="preserve">For critical AI, ensure there's redundancy (if one server running the model fails, can another take over?). Also, backup the model artifacts and training data – if you had to rebuild the model (after a corruption or malicious attack), can you? Many ML models cannot be exactly reproduced if data or code lost. So store versioned copies of training dataset, code, and model weights in a secure repository (and offsite backup).</w:t>
      </w:r>
      <w:r>
        <w:t xml:space="preserve"> </w:t>
      </w:r>
      <w:r>
        <w:t xml:space="preserve">-</w:t>
      </w:r>
      <w:r>
        <w:t xml:space="preserve"> </w:t>
      </w:r>
      <w:r>
        <w:rPr>
          <w:b/>
          <w:bCs/>
        </w:rPr>
        <w:t xml:space="preserve">Adversarial Defense:</w:t>
      </w:r>
      <w:r>
        <w:t xml:space="preserve"> </w:t>
      </w:r>
      <w:r>
        <w:t xml:space="preserve">Cybersecurity should incorporate defenses against adversarial ML attacks. For instance, validate inputs to models to filter out obviously malicious patterns (like very weird input that aims to break the model). Research techniques like adversarial training (training model on some perturbed data to make it less sensitive to noise) if relevant. And ensure any open source models or libraries used are from trustworthy sources and updated (there have been incidents where malicious code was injected into popular ML libraries on PyPI).</w:t>
      </w:r>
    </w:p>
    <w:p>
      <w:pPr>
        <w:pStyle w:val="BodyText"/>
      </w:pPr>
      <w:r>
        <w:rPr>
          <w:b/>
          <w:bCs/>
        </w:rPr>
        <w:t xml:space="preserve">Integration with Risk Data and Reporting Stacks:</w:t>
      </w:r>
      <w:r>
        <w:t xml:space="preserve"> </w:t>
      </w:r>
      <w:r>
        <w:t xml:space="preserve">AI systems shouldn’t be siloed; their outputs and status should feed into the broader risk management ecosystem. For example:</w:t>
      </w:r>
      <w:r>
        <w:t xml:space="preserve"> </w:t>
      </w:r>
      <w:r>
        <w:t xml:space="preserve">- If an AI credit model gives borrower risk grades, those should flow into the central credit risk database so that aggregated risk (like sector exposures weighted by risk grade) can be reported consistent with other exposures. This may require data mapping if AI uses different rating scale – align it with internal rating grades or translate.</w:t>
      </w:r>
      <w:r>
        <w:t xml:space="preserve"> </w:t>
      </w:r>
      <w:r>
        <w:t xml:space="preserve">- AI-flagged early warnings or anomalies should be integrated into the regular risk issue logs or workflow systems (e.g., an anomaly detection flags a potential rogue trade – that event goes into op risk management system to track investigation to closure). This way AI outputs get follow-up and aren’t just seen on separate screen no one acts on.</w:t>
      </w:r>
      <w:r>
        <w:t xml:space="preserve"> </w:t>
      </w:r>
      <w:r>
        <w:t xml:space="preserve">- For regulatory reports: if AI assists in compiling, ensure final numbers land correctly in reporting ledger and are verified. Possibly mark which figures had AI-involved calculation for audit.</w:t>
      </w:r>
      <w:r>
        <w:t xml:space="preserve"> </w:t>
      </w:r>
      <w:r>
        <w:t xml:space="preserve">- Use existing risk appetite metrics to incorporate AI where appropriate: e.g., if operational risk KRI is “number of incidents,” include incidents caused by AI errors. Or if risk appetite says “no significant model overrides beyond X per quarter,” that applies to AI models too. So the same reporting that covers model risk should list AI models’ exceptions.</w:t>
      </w:r>
      <w:r>
        <w:t xml:space="preserve"> </w:t>
      </w:r>
      <w:r>
        <w:t xml:space="preserve">-</w:t>
      </w:r>
      <w:r>
        <w:t xml:space="preserve"> </w:t>
      </w:r>
      <w:r>
        <w:rPr>
          <w:b/>
          <w:bCs/>
        </w:rPr>
        <w:t xml:space="preserve">Feedback Loops:</w:t>
      </w:r>
      <w:r>
        <w:t xml:space="preserve"> </w:t>
      </w:r>
      <w:r>
        <w:t xml:space="preserve">Integrate performance feedback from risk outcomes back to model owners. E.g., when credit losses occur, see if AI model predicted differently – feed that info into model maintenance. If an AI missed detecting a fraudulent transaction that later was found manually, that should feed into retraining or model improvement cycle. Essentially treat it as continuous improvement like human analysts get feedback to learn.</w:t>
      </w:r>
      <w:r>
        <w:t xml:space="preserve"> </w:t>
      </w:r>
      <w:r>
        <w:t xml:space="preserve">- Also, from a user perspective, embed AI tools in workflows rather than separate apps – e.g., an AI risk summarizer might be integrated into the risk report interface that analysts already use, so they can easily cross-check with original report. Or an AI trade surveillance alert goes into the same dashboard compliance officers use for rule-based alerts. Integration fosters usage and oversight by existing processes.</w:t>
      </w:r>
    </w:p>
    <w:p>
      <w:pPr>
        <w:pStyle w:val="BodyText"/>
      </w:pPr>
      <w:r>
        <w:rPr>
          <w:b/>
          <w:bCs/>
        </w:rPr>
        <w:t xml:space="preserve">Scalability and Compute:</w:t>
      </w:r>
      <w:r>
        <w:t xml:space="preserve"> </w:t>
      </w:r>
      <w:r>
        <w:t xml:space="preserve">As AI usage grows, consider the compute and storage needs. Risk management might need a dedicated ML compute cluster, possibly separate from trading to ensure risk analysis tasks (like giant scenario sims with ML) don’t slow trading tasks and vice versa. Also cost management – cloud AI can be expensive; good governance ensures resources are used efficiently (like shutting down dev environments not in use). Possibly consider specialized hardware for on-prem (some banks invest in GPU servers to avoid all cloud costs for heavy models).</w:t>
      </w:r>
    </w:p>
    <w:p>
      <w:pPr>
        <w:pStyle w:val="BodyText"/>
      </w:pPr>
      <w:r>
        <w:t xml:space="preserve">Finally, ensure the infrastructure meets regulatory expectations (some regulators require notifying them if using cloud for core services, etc., and they might inspect cloud contracts or security). Align with BCBS 239 for data (AI output data used in risk reports must follow the same principles of accuracy, timeliness, etc.).</w:t>
      </w:r>
    </w:p>
    <w:p>
      <w:pPr>
        <w:pStyle w:val="BodyText"/>
      </w:pPr>
      <w:r>
        <w:t xml:space="preserve">By fortifying these infrastructure and data foundations, the bank creates an environment where AI can flourish in delivering value, but within a controlled, secure, and reliable framework. This not only reduces risk but also enhances trust among stakeholders (including regulators) that the bank can harness AI responsibly.</w:t>
      </w:r>
    </w:p>
    <w:bookmarkEnd w:id="107"/>
    <w:bookmarkEnd w:id="108"/>
    <w:bookmarkStart w:id="114" w:name="X6a74c8a5e125de7e71d522ae107cc2db8a78df8"/>
    <w:p>
      <w:pPr>
        <w:pStyle w:val="Heading2"/>
      </w:pPr>
      <w:r>
        <w:t xml:space="preserve">6. CRO Priority Action Plan (Next 12–24 Months)</w:t>
      </w:r>
    </w:p>
    <w:p>
      <w:pPr>
        <w:pStyle w:val="FirstParagraph"/>
      </w:pPr>
      <w:r>
        <w:t xml:space="preserve">Given the breadth of strategic risk themes and deep-dive areas, the CRO should drive a phased action plan to bolster the bank’s risk management over the next two years. The roadmap should be time-phased with clear owners and deliverables, ensuring momentum and measurable progress. Below is a recommended plan:</w:t>
      </w:r>
    </w:p>
    <w:bookmarkStart w:id="109" w:name="Xb032f9baefdd52e23ac33744973532059d86f05"/>
    <w:p>
      <w:pPr>
        <w:pStyle w:val="Heading3"/>
      </w:pPr>
      <w:r>
        <w:rPr>
          <w:b/>
          <w:bCs/>
        </w:rPr>
        <w:t xml:space="preserve">Immediate (0–3 Months): Gap Assessment and Foundations</w:t>
      </w:r>
    </w:p>
    <w:p>
      <w:pPr>
        <w:pStyle w:val="FirstParagraph"/>
      </w:pPr>
      <w:r>
        <w:rPr>
          <w:b/>
          <w:bCs/>
        </w:rPr>
        <w:t xml:space="preserve">1. Comprehensive Risk Taxonomy &amp; Inventory Update</w:t>
      </w:r>
      <w:r>
        <w:t xml:space="preserve"> </w:t>
      </w:r>
      <w:r>
        <w:t xml:space="preserve">–</w:t>
      </w:r>
      <w:r>
        <w:t xml:space="preserve"> </w:t>
      </w:r>
      <w:r>
        <w:rPr>
          <w:i/>
          <w:iCs/>
        </w:rPr>
        <w:t xml:space="preserve">Owner: CRO (with Risk Governance team).</w:t>
      </w:r>
      <w:r>
        <w:t xml:space="preserve"> </w:t>
      </w:r>
      <w:r>
        <w:rPr>
          <w:b/>
          <w:bCs/>
        </w:rPr>
        <w:t xml:space="preserve">Deliverable (0–3 mo):</w:t>
      </w:r>
      <w:r>
        <w:t xml:space="preserve"> </w:t>
      </w:r>
      <w:r>
        <w:t xml:space="preserve">Updated risk taxonomy documentation and inventory of emerging risk exposures.</w:t>
      </w:r>
      <w:r>
        <w:t xml:space="preserve"> </w:t>
      </w:r>
      <w:r>
        <w:rPr>
          <w:i/>
          <w:iCs/>
        </w:rPr>
        <w:t xml:space="preserve">Actions:</w:t>
      </w:r>
      <w:r>
        <w:t xml:space="preserve"> </w:t>
      </w:r>
      <w:r>
        <w:t xml:space="preserve">Conduct a rapid scan of all current activities for crypto exposures (even indirect ones like clients engaged in crypto) and AI deployments in key decisions. Compare current risk taxonomy to issues discussed (e.g., do we explicitly list “digital asset risk” and “AI model risk” in our risk register?). Outcome is an updated taxonomy presented to the Risk Committee, ensuring no blind spots</w:t>
      </w:r>
      <w:hyperlink r:id="rId38">
        <w:r>
          <w:rPr>
            <w:rStyle w:val="Hyperlink"/>
          </w:rPr>
          <w:t xml:space="preserve">[18]</w:t>
        </w:r>
      </w:hyperlink>
      <w:hyperlink r:id="rId33">
        <w:r>
          <w:rPr>
            <w:rStyle w:val="Hyperlink"/>
          </w:rPr>
          <w:t xml:space="preserve">[13]</w:t>
        </w:r>
      </w:hyperlink>
      <w:r>
        <w:t xml:space="preserve">.</w:t>
      </w:r>
      <w:r>
        <w:t xml:space="preserve"> </w:t>
      </w:r>
      <w:r>
        <w:rPr>
          <w:b/>
          <w:bCs/>
        </w:rPr>
        <w:t xml:space="preserve">Success Metric:</w:t>
      </w:r>
      <w:r>
        <w:t xml:space="preserve"> </w:t>
      </w:r>
      <w:r>
        <w:t xml:space="preserve">Board approval of revised risk appetite including new categories (e.g., a stated appetite limit for crypto exposure, acknowledgement of AI as distinct model risk).</w:t>
      </w:r>
    </w:p>
    <w:p>
      <w:pPr>
        <w:pStyle w:val="BodyText"/>
      </w:pPr>
      <w:r>
        <w:rPr>
          <w:b/>
          <w:bCs/>
        </w:rPr>
        <w:t xml:space="preserve">2. Regulatory Readiness Review</w:t>
      </w:r>
      <w:r>
        <w:t xml:space="preserve"> </w:t>
      </w:r>
      <w:r>
        <w:t xml:space="preserve">–</w:t>
      </w:r>
      <w:r>
        <w:t xml:space="preserve"> </w:t>
      </w:r>
      <w:r>
        <w:rPr>
          <w:i/>
          <w:iCs/>
        </w:rPr>
        <w:t xml:space="preserve">Owner: Regulatory Compliance Officer (with CRO oversight).</w:t>
      </w:r>
      <w:r>
        <w:t xml:space="preserve"> </w:t>
      </w:r>
      <w:r>
        <w:rPr>
          <w:b/>
          <w:bCs/>
        </w:rPr>
        <w:t xml:space="preserve">Deliverable:</w:t>
      </w:r>
      <w:r>
        <w:t xml:space="preserve"> </w:t>
      </w:r>
      <w:r>
        <w:t xml:space="preserve">Internal white paper mapping new regs (Basel crypto rules, EU AI Act, etc.) to current compliance status and gaps.</w:t>
      </w:r>
      <w:r>
        <w:t xml:space="preserve"> </w:t>
      </w:r>
      <w:r>
        <w:rPr>
          <w:i/>
          <w:iCs/>
        </w:rPr>
        <w:t xml:space="preserve">Actions:</w:t>
      </w:r>
      <w:r>
        <w:t xml:space="preserve"> </w:t>
      </w:r>
      <w:r>
        <w:t xml:space="preserve">In first 3 months, assemble a cross-functional task force (risk, legal, finance) to catalog forthcoming regulatory changes</w:t>
      </w:r>
      <w:hyperlink r:id="rId60">
        <w:r>
          <w:rPr>
            <w:rStyle w:val="Hyperlink"/>
          </w:rPr>
          <w:t xml:space="preserve">[33]</w:t>
        </w:r>
      </w:hyperlink>
      <w:hyperlink r:id="rId35">
        <w:r>
          <w:rPr>
            <w:rStyle w:val="Hyperlink"/>
          </w:rPr>
          <w:t xml:space="preserve">[15]</w:t>
        </w:r>
      </w:hyperlink>
      <w:r>
        <w:t xml:space="preserve">. Evaluate current policies vs requirements (e.g., do we have controls to meet Basel’s crypto exposure cap or AI Act documentation standards?).</w:t>
      </w:r>
      <w:r>
        <w:t xml:space="preserve"> </w:t>
      </w:r>
      <w:r>
        <w:rPr>
          <w:b/>
          <w:bCs/>
        </w:rPr>
        <w:t xml:space="preserve">Success Metric:</w:t>
      </w:r>
      <w:r>
        <w:t xml:space="preserve"> </w:t>
      </w:r>
      <w:r>
        <w:t xml:space="preserve">Report with gap list and action owners for each gap (e.g., “Need stablecoin reserve monitoring process by Q4” or “Train credit staff on AI oversight by Q2”).</w:t>
      </w:r>
    </w:p>
    <w:p>
      <w:pPr>
        <w:pStyle w:val="BodyText"/>
      </w:pPr>
      <w:r>
        <w:rPr>
          <w:b/>
          <w:bCs/>
        </w:rPr>
        <w:t xml:space="preserve">3. Establish Dedicated Crypto and AI Risk Steering Groups</w:t>
      </w:r>
      <w:r>
        <w:t xml:space="preserve"> </w:t>
      </w:r>
      <w:r>
        <w:t xml:space="preserve">–</w:t>
      </w:r>
      <w:r>
        <w:t xml:space="preserve"> </w:t>
      </w:r>
      <w:r>
        <w:rPr>
          <w:i/>
          <w:iCs/>
        </w:rPr>
        <w:t xml:space="preserve">Owner: CRO (chairs groups).</w:t>
      </w:r>
      <w:r>
        <w:t xml:space="preserve"> </w:t>
      </w:r>
      <w:r>
        <w:rPr>
          <w:b/>
          <w:bCs/>
        </w:rPr>
        <w:t xml:space="preserve">Deliverable:</w:t>
      </w:r>
      <w:r>
        <w:t xml:space="preserve"> </w:t>
      </w:r>
      <w:r>
        <w:t xml:space="preserve">Two new steering committees (Crypto Risk Steering Committee and AI Risk Steering Committee) formally constituted, with charters approved.</w:t>
      </w:r>
      <w:r>
        <w:t xml:space="preserve"> </w:t>
      </w:r>
      <w:r>
        <w:rPr>
          <w:i/>
          <w:iCs/>
        </w:rPr>
        <w:t xml:space="preserve">Actions:</w:t>
      </w:r>
      <w:r>
        <w:t xml:space="preserve"> </w:t>
      </w:r>
      <w:r>
        <w:t xml:space="preserve">Identify key stakeholders (Markets, IT, Ops, Compliance, Legal) and set up bi-monthly meetings initially. These groups will oversee implementation of recommendations from Sections 4 &amp; 5. They’ll also serve as focal points for regulatory liaison on these topics.</w:t>
      </w:r>
      <w:r>
        <w:t xml:space="preserve"> </w:t>
      </w:r>
      <w:r>
        <w:rPr>
          <w:b/>
          <w:bCs/>
        </w:rPr>
        <w:t xml:space="preserve">Success Metric:</w:t>
      </w:r>
      <w:r>
        <w:t xml:space="preserve"> </w:t>
      </w:r>
      <w:r>
        <w:t xml:space="preserve">First meetings held with attendance from all relevant departments; initial workplans approved (e.g., crypto group sets target to draft crypto risk policy by 6 months; AI group sets goal to inventory all AI models by 3 months).</w:t>
      </w:r>
    </w:p>
    <w:p>
      <w:pPr>
        <w:pStyle w:val="BodyText"/>
      </w:pPr>
      <w:r>
        <w:rPr>
          <w:b/>
          <w:bCs/>
        </w:rPr>
        <w:t xml:space="preserve">4. Immediate Controls on High-Risk Gaps</w:t>
      </w:r>
      <w:r>
        <w:t xml:space="preserve"> </w:t>
      </w:r>
      <w:r>
        <w:t xml:space="preserve">–</w:t>
      </w:r>
      <w:r>
        <w:t xml:space="preserve"> </w:t>
      </w:r>
      <w:r>
        <w:rPr>
          <w:i/>
          <w:iCs/>
        </w:rPr>
        <w:t xml:space="preserve">Owner: Head of Market Risk &amp; Head of Op Risk.</w:t>
      </w:r>
      <w:r>
        <w:t xml:space="preserve"> </w:t>
      </w:r>
      <w:r>
        <w:rPr>
          <w:b/>
          <w:bCs/>
        </w:rPr>
        <w:t xml:space="preserve">Deliverable:</w:t>
      </w:r>
      <w:r>
        <w:t xml:space="preserve"> </w:t>
      </w:r>
      <w:r>
        <w:t xml:space="preserve">Interim risk controls instituted where gaps are known.</w:t>
      </w:r>
      <w:r>
        <w:t xml:space="preserve"> </w:t>
      </w:r>
      <w:r>
        <w:rPr>
          <w:i/>
          <w:iCs/>
        </w:rPr>
        <w:t xml:space="preserve">Actions:</w:t>
      </w:r>
      <w:r>
        <w:t xml:space="preserve"> </w:t>
      </w:r>
      <w:r>
        <w:t xml:space="preserve">For example, if today the bank has a small crypto trading desk but no weekend monitoring – immediately implement a temporary rule that positions are significantly reduced by COB Friday and define an on-call rotation for weekends (until more robust 24/7 monitoring is built)</w:t>
      </w:r>
      <w:hyperlink r:id="rId34">
        <w:r>
          <w:rPr>
            <w:rStyle w:val="Hyperlink"/>
          </w:rPr>
          <w:t xml:space="preserve">[14]</w:t>
        </w:r>
      </w:hyperlink>
      <w:r>
        <w:t xml:space="preserve">. Or if an AI model is in use for credit decisions without bias checks – perform a quick bias analysis with available data and put a manual reviewer on any marginal decisions until model is validated fully.</w:t>
      </w:r>
      <w:r>
        <w:t xml:space="preserve"> </w:t>
      </w:r>
      <w:r>
        <w:rPr>
          <w:b/>
          <w:bCs/>
        </w:rPr>
        <w:t xml:space="preserve">Success Metric:</w:t>
      </w:r>
      <w:r>
        <w:t xml:space="preserve"> </w:t>
      </w:r>
      <w:r>
        <w:t xml:space="preserve">Zero unmonitored periods for identified crypto exposures (we should see, e.g., a weekend price alert system active), and a sign-off that all current AI models in production have at least a basic validation or a human oversight layer added within 3 months.</w:t>
      </w:r>
    </w:p>
    <w:bookmarkEnd w:id="109"/>
    <w:bookmarkStart w:id="110" w:name="Xb354d04302f12a50d1a2f57c8601fe001fc1a3c"/>
    <w:p>
      <w:pPr>
        <w:pStyle w:val="Heading3"/>
      </w:pPr>
      <w:r>
        <w:rPr>
          <w:b/>
          <w:bCs/>
        </w:rPr>
        <w:t xml:space="preserve">3–6 Months: Initial Framework and Pilot Implementation</w:t>
      </w:r>
    </w:p>
    <w:p>
      <w:pPr>
        <w:pStyle w:val="FirstParagraph"/>
      </w:pPr>
      <w:r>
        <w:rPr>
          <w:b/>
          <w:bCs/>
        </w:rPr>
        <w:t xml:space="preserve">5. Crypto Risk Policy &amp; Limit Framework (Pilot Deployment)</w:t>
      </w:r>
      <w:r>
        <w:t xml:space="preserve"> </w:t>
      </w:r>
      <w:r>
        <w:t xml:space="preserve">–</w:t>
      </w:r>
      <w:r>
        <w:t xml:space="preserve"> </w:t>
      </w:r>
      <w:r>
        <w:rPr>
          <w:i/>
          <w:iCs/>
        </w:rPr>
        <w:t xml:space="preserve">Owner: Head of Market Risk (with Treasury &amp; Ops).</w:t>
      </w:r>
      <w:r>
        <w:t xml:space="preserve"> </w:t>
      </w:r>
      <w:r>
        <w:rPr>
          <w:b/>
          <w:bCs/>
        </w:rPr>
        <w:t xml:space="preserve">Deliverable (by ~6 mo):</w:t>
      </w:r>
      <w:r>
        <w:t xml:space="preserve"> </w:t>
      </w:r>
      <w:r>
        <w:t xml:space="preserve">A formal</w:t>
      </w:r>
      <w:r>
        <w:t xml:space="preserve"> </w:t>
      </w:r>
      <w:r>
        <w:rPr>
          <w:b/>
          <w:bCs/>
        </w:rPr>
        <w:t xml:space="preserve">Crypto Asset Risk Policy</w:t>
      </w:r>
      <w:r>
        <w:t xml:space="preserve"> </w:t>
      </w:r>
      <w:r>
        <w:t xml:space="preserve">approved by risk management committee, and a pilot set of limits enforced.</w:t>
      </w:r>
      <w:r>
        <w:t xml:space="preserve"> </w:t>
      </w:r>
      <w:r>
        <w:rPr>
          <w:i/>
          <w:iCs/>
        </w:rPr>
        <w:t xml:space="preserve">Actions:</w:t>
      </w:r>
      <w:r>
        <w:t xml:space="preserve"> </w:t>
      </w:r>
      <w:r>
        <w:t xml:space="preserve">Draft policy outlining which crypto activities are allowed/prohibited (e.g., “permitted to custody and trade top 5 crypto assets for clients; proprietary positions not allowed”; “no direct lending against crypto except stablecoins with &gt;XX% cash reserves” etc.), methodologies for valuation, liquidity haircuts, collateral criteria</w:t>
      </w:r>
      <w:hyperlink r:id="rId32">
        <w:r>
          <w:rPr>
            <w:rStyle w:val="Hyperlink"/>
          </w:rPr>
          <w:t xml:space="preserve">[12]</w:t>
        </w:r>
      </w:hyperlink>
      <w:r>
        <w:t xml:space="preserve">. Define limits: e.g., exposure limit = X (e.g., 1% of Tier 1 as per Basel guidance), daily VaR limit = Y, single-coin concentration = Z, etc., and intraday margin rules. Implement these limits in risk systems on a pilot basis with the trading desk or relevant unit – test that breaches alert properly.</w:t>
      </w:r>
      <w:r>
        <w:t xml:space="preserve"> </w:t>
      </w:r>
      <w:r>
        <w:rPr>
          <w:b/>
          <w:bCs/>
        </w:rPr>
        <w:t xml:space="preserve">Owner Note:</w:t>
      </w:r>
      <w:r>
        <w:t xml:space="preserve"> </w:t>
      </w:r>
      <w:r>
        <w:t xml:space="preserve">Treasury should also add a limit on accepting crypto deposits or stablecoins (if any), to control liquidity risk.</w:t>
      </w:r>
      <w:r>
        <w:t xml:space="preserve"> </w:t>
      </w:r>
      <w:r>
        <w:rPr>
          <w:b/>
          <w:bCs/>
        </w:rPr>
        <w:t xml:space="preserve">Success Metric:</w:t>
      </w:r>
      <w:r>
        <w:t xml:space="preserve"> </w:t>
      </w:r>
      <w:r>
        <w:t xml:space="preserve">Policy signed off and communicated; limit utilization reports showing compliance (e.g., current crypto exposure at 50% of new limit, no breaches in pilot period). Audit or risk controls team to verify the desk adheres to the new product/position constraints.</w:t>
      </w:r>
    </w:p>
    <w:p>
      <w:pPr>
        <w:pStyle w:val="BodyText"/>
      </w:pPr>
      <w:r>
        <w:rPr>
          <w:b/>
          <w:bCs/>
        </w:rPr>
        <w:t xml:space="preserve">6. Model Risk Management (MRM) Framework Extension to AI</w:t>
      </w:r>
      <w:r>
        <w:t xml:space="preserve"> </w:t>
      </w:r>
      <w:r>
        <w:t xml:space="preserve">–</w:t>
      </w:r>
      <w:r>
        <w:t xml:space="preserve"> </w:t>
      </w:r>
      <w:r>
        <w:rPr>
          <w:i/>
          <w:iCs/>
        </w:rPr>
        <w:t xml:space="preserve">Owner: Head of Model Risk (reporting to CRO).</w:t>
      </w:r>
      <w:r>
        <w:t xml:space="preserve"> </w:t>
      </w:r>
      <w:r>
        <w:rPr>
          <w:b/>
          <w:bCs/>
        </w:rPr>
        <w:t xml:space="preserve">Deliverable:</w:t>
      </w:r>
      <w:r>
        <w:t xml:space="preserve"> </w:t>
      </w:r>
      <w:r>
        <w:t xml:space="preserve">Revised Model Risk Policy and Procedures that explicitly cover AI/ML models, and training of model validators on AI methods.</w:t>
      </w:r>
      <w:r>
        <w:t xml:space="preserve"> </w:t>
      </w:r>
      <w:r>
        <w:rPr>
          <w:i/>
          <w:iCs/>
        </w:rPr>
        <w:t xml:space="preserve">Actions:</w:t>
      </w:r>
      <w:r>
        <w:t xml:space="preserve"> </w:t>
      </w:r>
      <w:r>
        <w:t xml:space="preserve">Within 4 months, update SR 11-7 based policy: add requirements for explainability testing, data bias assessment, and concept drift monitoring for AI models</w:t>
      </w:r>
      <w:hyperlink r:id="rId56">
        <w:r>
          <w:rPr>
            <w:rStyle w:val="Hyperlink"/>
          </w:rPr>
          <w:t xml:space="preserve">[30]</w:t>
        </w:r>
      </w:hyperlink>
      <w:hyperlink r:id="rId92">
        <w:r>
          <w:rPr>
            <w:rStyle w:val="Hyperlink"/>
          </w:rPr>
          <w:t xml:space="preserve">[58]</w:t>
        </w:r>
      </w:hyperlink>
      <w:r>
        <w:t xml:space="preserve">. Develop a template for AI model documentation (including training data description, etc.). Also identify top 3 AI models in production and perform a targeted review under new standards as pilots. Possibly engage a consultant or academia to upskill validation team on ML techniques quickly.</w:t>
      </w:r>
      <w:r>
        <w:t xml:space="preserve"> </w:t>
      </w:r>
      <w:r>
        <w:rPr>
          <w:b/>
          <w:bCs/>
        </w:rPr>
        <w:t xml:space="preserve">Success Metric:</w:t>
      </w:r>
      <w:r>
        <w:t xml:space="preserve"> </w:t>
      </w:r>
      <w:r>
        <w:t xml:space="preserve">New policy approved by model risk committee; and at least one major AI model (e.g., credit ML model) re-validated under new protocol by 6 months (with a validation report produced highlighting any issues and remediation plan if needed).</w:t>
      </w:r>
    </w:p>
    <w:p>
      <w:pPr>
        <w:pStyle w:val="BodyText"/>
      </w:pPr>
      <w:r>
        <w:rPr>
          <w:b/>
          <w:bCs/>
        </w:rPr>
        <w:t xml:space="preserve">7. AI and Crypto Stress Test Scenarios (Pilot)</w:t>
      </w:r>
      <w:r>
        <w:t xml:space="preserve"> </w:t>
      </w:r>
      <w:r>
        <w:t xml:space="preserve">–</w:t>
      </w:r>
      <w:r>
        <w:t xml:space="preserve"> </w:t>
      </w:r>
      <w:r>
        <w:rPr>
          <w:i/>
          <w:iCs/>
        </w:rPr>
        <w:t xml:space="preserve">Owner: Enterprise Risk/Stress Testing team.</w:t>
      </w:r>
      <w:r>
        <w:t xml:space="preserve"> </w:t>
      </w:r>
      <w:r>
        <w:rPr>
          <w:b/>
          <w:bCs/>
        </w:rPr>
        <w:t xml:space="preserve">Deliverable:</w:t>
      </w:r>
      <w:r>
        <w:t xml:space="preserve"> </w:t>
      </w:r>
      <w:r>
        <w:t xml:space="preserve">Inclusion of one exploratory crypto scenario and one AI-related scenario in the mid-year internal stress testing cycle (or a special study outside regulatory stress).</w:t>
      </w:r>
      <w:r>
        <w:t xml:space="preserve"> </w:t>
      </w:r>
      <w:r>
        <w:rPr>
          <w:i/>
          <w:iCs/>
        </w:rPr>
        <w:t xml:space="preserve">Actions:</w:t>
      </w:r>
      <w:r>
        <w:t xml:space="preserve"> </w:t>
      </w:r>
      <w:r>
        <w:t xml:space="preserve">Design a scenario like “Crypto Winter &amp; Exchange Default 2023” and an “AI-driven market sell-off” scenario to evaluate impacts</w:t>
      </w:r>
      <w:hyperlink r:id="rId68">
        <w:r>
          <w:rPr>
            <w:rStyle w:val="Hyperlink"/>
          </w:rPr>
          <w:t xml:space="preserve">[38]</w:t>
        </w:r>
      </w:hyperlink>
      <w:hyperlink r:id="rId33">
        <w:r>
          <w:rPr>
            <w:rStyle w:val="Hyperlink"/>
          </w:rPr>
          <w:t xml:space="preserve">[13]</w:t>
        </w:r>
      </w:hyperlink>
      <w:r>
        <w:t xml:space="preserve">. Work with business to estimate P&amp;L and liquidity effects. Even if approximate, present results to CRO and relevant committees to sensitize leadership to potential magnitudes.</w:t>
      </w:r>
      <w:r>
        <w:t xml:space="preserve"> </w:t>
      </w:r>
      <w:r>
        <w:rPr>
          <w:b/>
          <w:bCs/>
        </w:rPr>
        <w:t xml:space="preserve">Success Metric:</w:t>
      </w:r>
      <w:r>
        <w:t xml:space="preserve"> </w:t>
      </w:r>
      <w:r>
        <w:t xml:space="preserve">Completed stress test analysis with documentation on assumptions and results, reviewed by ALCO or risk committee. Perhaps an outcome: decision to adjust limits or capital buffers – e.g., stress showed crypto exposure could cause $100m loss, which might be acceptable or might prompt lowering limits further.</w:t>
      </w:r>
    </w:p>
    <w:p>
      <w:pPr>
        <w:pStyle w:val="BodyText"/>
      </w:pPr>
      <w:r>
        <w:rPr>
          <w:b/>
          <w:bCs/>
        </w:rPr>
        <w:t xml:space="preserve">8. Intraday &amp; 24/7 Risk Monitoring Upgrade (Phase 1)</w:t>
      </w:r>
      <w:r>
        <w:t xml:space="preserve"> </w:t>
      </w:r>
      <w:r>
        <w:t xml:space="preserve">–</w:t>
      </w:r>
      <w:r>
        <w:t xml:space="preserve"> </w:t>
      </w:r>
      <w:r>
        <w:rPr>
          <w:i/>
          <w:iCs/>
        </w:rPr>
        <w:t xml:space="preserve">Owner: COO / Head of Operations &amp; IT (with CRO input).</w:t>
      </w:r>
      <w:r>
        <w:t xml:space="preserve"> </w:t>
      </w:r>
      <w:r>
        <w:rPr>
          <w:b/>
          <w:bCs/>
        </w:rPr>
        <w:t xml:space="preserve">Deliverable:</w:t>
      </w:r>
      <w:r>
        <w:t xml:space="preserve"> </w:t>
      </w:r>
      <w:r>
        <w:t xml:space="preserve">Implementation of a basic 24/7 risk monitoring capability – e.g., a staffed (or on-call) rotation or an automated alert system covering key metrics.</w:t>
      </w:r>
      <w:r>
        <w:t xml:space="preserve"> </w:t>
      </w:r>
      <w:r>
        <w:rPr>
          <w:i/>
          <w:iCs/>
        </w:rPr>
        <w:t xml:space="preserve">Actions:</w:t>
      </w:r>
      <w:r>
        <w:t xml:space="preserve"> </w:t>
      </w:r>
      <w:r>
        <w:t xml:space="preserve">Invest in extending existing risk systems to feed data continuously (market data feed for major cryptos overnight, for instance). Set up alert thresholds – e.g., if BTC price moves &gt;X% off-hours, trigger an SMS to duty officer. Formalize an on-call schedule from risk team and operations support (and ensure they have remote access to needed systems). This may involve paying overtime or adjusting work shifts in APAC region etc., but treat it as a necessary resilience measure. Also coordinate with incident management – ensure off-hour limit breaches will be treated like incidents with rapid escalation path.</w:t>
      </w:r>
      <w:r>
        <w:t xml:space="preserve"> </w:t>
      </w:r>
      <w:r>
        <w:rPr>
          <w:b/>
          <w:bCs/>
        </w:rPr>
        <w:t xml:space="preserve">Success Metric:</w:t>
      </w:r>
      <w:r>
        <w:t xml:space="preserve"> </w:t>
      </w:r>
      <w:r>
        <w:t xml:space="preserve">Within 6 months, a test drill is conducted (e.g., simulate a Saturday 3am breach) and the on-call team successfully receives alert and responds per procedure. And real usage: if any significant event occurs off-hours in this period, logs show it was caught and managed (if none occur, consider success when drill proves readiness).</w:t>
      </w:r>
    </w:p>
    <w:bookmarkEnd w:id="110"/>
    <w:bookmarkStart w:id="112" w:name="Xcbfc1574637bf7e9c6164851403f8739554ce24"/>
    <w:p>
      <w:pPr>
        <w:pStyle w:val="Heading3"/>
      </w:pPr>
      <w:r>
        <w:rPr>
          <w:b/>
          <w:bCs/>
        </w:rPr>
        <w:t xml:space="preserve">6–12 Months: Operating Model Changes and Enhanced Capabilities</w:t>
      </w:r>
    </w:p>
    <w:p>
      <w:pPr>
        <w:pStyle w:val="FirstParagraph"/>
      </w:pPr>
      <w:r>
        <w:rPr>
          <w:b/>
          <w:bCs/>
        </w:rPr>
        <w:t xml:space="preserve">9. Operating Model &amp; Organizational Changes for Emerging Risks</w:t>
      </w:r>
      <w:r>
        <w:t xml:space="preserve"> </w:t>
      </w:r>
      <w:r>
        <w:t xml:space="preserve">–</w:t>
      </w:r>
      <w:r>
        <w:t xml:space="preserve"> </w:t>
      </w:r>
      <w:r>
        <w:rPr>
          <w:i/>
          <w:iCs/>
        </w:rPr>
        <w:t xml:space="preserve">Owner: CRO and HR.</w:t>
      </w:r>
      <w:r>
        <w:t xml:space="preserve"> </w:t>
      </w:r>
      <w:r>
        <w:rPr>
          <w:b/>
          <w:bCs/>
        </w:rPr>
        <w:t xml:space="preserve">Deliverable:</w:t>
      </w:r>
      <w:r>
        <w:t xml:space="preserve"> </w:t>
      </w:r>
      <w:r>
        <w:t xml:space="preserve">Adjusted organizational structure and roles to support crypto and AI risk oversight, with necessary hires/training.</w:t>
      </w:r>
      <w:r>
        <w:t xml:space="preserve"> </w:t>
      </w:r>
      <w:r>
        <w:rPr>
          <w:i/>
          <w:iCs/>
        </w:rPr>
        <w:t xml:space="preserve">Actions:</w:t>
      </w:r>
      <w:r>
        <w:t xml:space="preserve"> </w:t>
      </w:r>
      <w:r>
        <w:t xml:space="preserve">Possibly create new roles such as</w:t>
      </w:r>
      <w:r>
        <w:t xml:space="preserve"> </w:t>
      </w:r>
      <w:r>
        <w:rPr>
          <w:b/>
          <w:bCs/>
        </w:rPr>
        <w:t xml:space="preserve">“Head of Digital Asset Risk”</w:t>
      </w:r>
      <w:r>
        <w:t xml:space="preserve"> </w:t>
      </w:r>
      <w:r>
        <w:t xml:space="preserve">reporting to CRO, and</w:t>
      </w:r>
      <w:r>
        <w:t xml:space="preserve"> </w:t>
      </w:r>
      <w:r>
        <w:rPr>
          <w:b/>
          <w:bCs/>
        </w:rPr>
        <w:t xml:space="preserve">“AI Risk Officer”</w:t>
      </w:r>
      <w:r>
        <w:t xml:space="preserve"> </w:t>
      </w:r>
      <w:r>
        <w:t xml:space="preserve">(maybe within model risk or operational risk). These roles ensure day-to-day focus. If gaps in skills exist, hire external talent – e.g., recruit someone with crypto exchange risk experience for digital asset risk, or a data scientist for model risk team. Meanwhile, train current staff: hold workshops on crypto fundamentals for risk managers, and AI basics for audit/risk teams</w:t>
      </w:r>
      <w:hyperlink r:id="rId98">
        <w:r>
          <w:rPr>
            <w:rStyle w:val="Hyperlink"/>
          </w:rPr>
          <w:t xml:space="preserve">[61]</w:t>
        </w:r>
      </w:hyperlink>
      <w:r>
        <w:t xml:space="preserve">. Also, embed risk managers into innovation teams – ensure a risk officer is present in any new crypto product development meeting or AI tool project.</w:t>
      </w:r>
      <w:r>
        <w:t xml:space="preserve"> </w:t>
      </w:r>
      <w:r>
        <w:rPr>
          <w:b/>
          <w:bCs/>
        </w:rPr>
        <w:t xml:space="preserve">Success Metric:</w:t>
      </w:r>
      <w:r>
        <w:t xml:space="preserve"> </w:t>
      </w:r>
      <w:r>
        <w:t xml:space="preserve">By 12 months, key positions are filled (if internal, formally appointed with time allocated; if external, recruited and onboarded). Training KPIs: e.g., 80% of risk staff completed “AI and ML in Finance” internal course; 100% of markets risk managers took “Cryptoasset Risk” training. And qualitative: business feedback that risk’s involvement in digital initiatives is timely and constructive (maybe measured via a survey or simply tracking that no major initiative went live without risk review).</w:t>
      </w:r>
    </w:p>
    <w:p>
      <w:pPr>
        <w:pStyle w:val="BodyText"/>
      </w:pPr>
      <w:r>
        <w:rPr>
          <w:b/>
          <w:bCs/>
        </w:rPr>
        <w:t xml:space="preserve">10. Enhanced Risk Dashboards &amp; Reporting (Crypto &amp; AI integrated)</w:t>
      </w:r>
      <w:r>
        <w:t xml:space="preserve"> </w:t>
      </w:r>
      <w:r>
        <w:t xml:space="preserve">–</w:t>
      </w:r>
      <w:r>
        <w:t xml:space="preserve"> </w:t>
      </w:r>
      <w:r>
        <w:rPr>
          <w:i/>
          <w:iCs/>
        </w:rPr>
        <w:t xml:space="preserve">Owner: Risk Reporting/Analytics team.</w:t>
      </w:r>
      <w:r>
        <w:t xml:space="preserve"> </w:t>
      </w:r>
      <w:r>
        <w:rPr>
          <w:b/>
          <w:bCs/>
        </w:rPr>
        <w:t xml:space="preserve">Deliverable:</w:t>
      </w:r>
      <w:r>
        <w:t xml:space="preserve"> </w:t>
      </w:r>
      <w:r>
        <w:t xml:space="preserve">Upgraded management risk dashboard that includes new metrics for crypto and AI risks.</w:t>
      </w:r>
      <w:r>
        <w:t xml:space="preserve"> </w:t>
      </w:r>
      <w:r>
        <w:rPr>
          <w:i/>
          <w:iCs/>
        </w:rPr>
        <w:t xml:space="preserve">Actions:</w:t>
      </w:r>
      <w:r>
        <w:t xml:space="preserve"> </w:t>
      </w:r>
      <w:r>
        <w:t xml:space="preserve">Add crypto exposure and P&amp;L line items to existing risk reports (e.g., a page in CRO’s weekly report showing total crypto asset exposure, recent VaR usage vs limit, any events). Also incorporate AI KRIs into op risk or model risk reporting – e.g., a section listing any AI model incidents or performance alerts. Ensure Board Risk Committee quarterly pack has a section on these emerging risks so oversight is engaged</w:t>
      </w:r>
      <w:hyperlink r:id="rId111">
        <w:r>
          <w:rPr>
            <w:rStyle w:val="Hyperlink"/>
          </w:rPr>
          <w:t xml:space="preserve">[68]</w:t>
        </w:r>
      </w:hyperlink>
      <w:r>
        <w:t xml:space="preserve">. If feasible, develop a real-time dashboard for internal risk team monitoring (like a PowerBI or Tableau that shows current crypto market moves vs limits, etc.).</w:t>
      </w:r>
      <w:r>
        <w:t xml:space="preserve"> </w:t>
      </w:r>
      <w:r>
        <w:rPr>
          <w:b/>
          <w:bCs/>
        </w:rPr>
        <w:t xml:space="preserve">Success Metric:</w:t>
      </w:r>
      <w:r>
        <w:t xml:space="preserve"> </w:t>
      </w:r>
      <w:r>
        <w:t xml:space="preserve">Management and Board feedback acknowledges improved visibility (e.g., minutes of board meeting reflecting discussion on crypto/AI risk metrics, indicating they are seeing the data). Over time, fewer “unknown” questions from board – they see we have a handle (subjective but gauge via board queries count decreasing as comfort increases).</w:t>
      </w:r>
    </w:p>
    <w:p>
      <w:pPr>
        <w:pStyle w:val="BodyText"/>
      </w:pPr>
      <w:r>
        <w:rPr>
          <w:b/>
          <w:bCs/>
        </w:rPr>
        <w:t xml:space="preserve">11. AI/ML Risk Use-Case Deployment</w:t>
      </w:r>
      <w:r>
        <w:t xml:space="preserve"> </w:t>
      </w:r>
      <w:r>
        <w:t xml:space="preserve">–</w:t>
      </w:r>
      <w:r>
        <w:t xml:space="preserve"> </w:t>
      </w:r>
      <w:r>
        <w:rPr>
          <w:i/>
          <w:iCs/>
        </w:rPr>
        <w:t xml:space="preserve">Owner: CRO (with heads of risk stripes).</w:t>
      </w:r>
      <w:r>
        <w:t xml:space="preserve"> </w:t>
      </w:r>
      <w:r>
        <w:rPr>
          <w:b/>
          <w:bCs/>
        </w:rPr>
        <w:t xml:space="preserve">Deliverable:</w:t>
      </w:r>
      <w:r>
        <w:t xml:space="preserve"> </w:t>
      </w:r>
      <w:r>
        <w:t xml:space="preserve">Implementation of one or two</w:t>
      </w:r>
      <w:r>
        <w:t xml:space="preserve"> </w:t>
      </w:r>
      <w:r>
        <w:rPr>
          <w:b/>
          <w:bCs/>
        </w:rPr>
        <w:t xml:space="preserve">AI-for-risk-management pilot projects</w:t>
      </w:r>
      <w:r>
        <w:t xml:space="preserve"> </w:t>
      </w:r>
      <w:r>
        <w:t xml:space="preserve">(controlled rollout).</w:t>
      </w:r>
      <w:r>
        <w:t xml:space="preserve"> </w:t>
      </w:r>
      <w:r>
        <w:rPr>
          <w:i/>
          <w:iCs/>
        </w:rPr>
        <w:t xml:space="preserve">Actions:</w:t>
      </w:r>
      <w:r>
        <w:t xml:space="preserve"> </w:t>
      </w:r>
      <w:r>
        <w:t xml:space="preserve">This item is about playing offense – using AI to improve risk control. Identify a priority area where AI can help, e.g.,</w:t>
      </w:r>
      <w:r>
        <w:t xml:space="preserve"> </w:t>
      </w:r>
      <w:r>
        <w:rPr>
          <w:i/>
          <w:iCs/>
        </w:rPr>
        <w:t xml:space="preserve">AI-based anomaly detection in trading activity</w:t>
      </w:r>
      <w:r>
        <w:t xml:space="preserve"> </w:t>
      </w:r>
      <w:r>
        <w:t xml:space="preserve">or</w:t>
      </w:r>
      <w:r>
        <w:t xml:space="preserve"> </w:t>
      </w:r>
      <w:r>
        <w:rPr>
          <w:i/>
          <w:iCs/>
        </w:rPr>
        <w:t xml:space="preserve">AI-enhanced early warning for credit portfolio</w:t>
      </w:r>
      <w:r>
        <w:t xml:space="preserve">. Develop or procure a solution, validate it (per our new MRM standards), and deploy it on a pilot basis for, say, one desk or a subset of portfolio. Monitor its outputs and integrate analysts’ feedback. The goal is to test AI’s practical value while exercising our AI governance.</w:t>
      </w:r>
      <w:r>
        <w:t xml:space="preserve"> </w:t>
      </w:r>
      <w:r>
        <w:rPr>
          <w:b/>
          <w:bCs/>
        </w:rPr>
        <w:t xml:space="preserve">Success Metric:</w:t>
      </w:r>
      <w:r>
        <w:t xml:space="preserve"> </w:t>
      </w:r>
      <w:r>
        <w:t xml:space="preserve">Pilot results after a few months demonstrate at least one tangible risk insight or catch that existing tools missed (e.g., the AI anomaly detector flagged a rogue trading attempt that manual surveillance didn’t, or credit AI predicted a downgrade that eventually happened). Also measure false positive rate – ensure manageable. If successful, build case to extend pilot to full production by end of year. (This success shows board and management that we are not just defensive with AI, but leveraging it to strengthen risk).</w:t>
      </w:r>
    </w:p>
    <w:p>
      <w:pPr>
        <w:pStyle w:val="BodyText"/>
      </w:pPr>
      <w:r>
        <w:rPr>
          <w:b/>
          <w:bCs/>
        </w:rPr>
        <w:t xml:space="preserve">12. External Engagement and Benchmarking</w:t>
      </w:r>
      <w:r>
        <w:t xml:space="preserve"> </w:t>
      </w:r>
      <w:r>
        <w:t xml:space="preserve">–</w:t>
      </w:r>
      <w:r>
        <w:t xml:space="preserve"> </w:t>
      </w:r>
      <w:r>
        <w:rPr>
          <w:i/>
          <w:iCs/>
        </w:rPr>
        <w:t xml:space="preserve">Owner: CRO and Government Affairs.</w:t>
      </w:r>
      <w:r>
        <w:t xml:space="preserve"> </w:t>
      </w:r>
      <w:r>
        <w:rPr>
          <w:b/>
          <w:bCs/>
        </w:rPr>
        <w:t xml:space="preserve">Deliverable:</w:t>
      </w:r>
      <w:r>
        <w:t xml:space="preserve"> </w:t>
      </w:r>
      <w:r>
        <w:t xml:space="preserve">Develop relationships and information sharing with industry peers and regulators on emerging risk management.</w:t>
      </w:r>
      <w:r>
        <w:t xml:space="preserve"> </w:t>
      </w:r>
      <w:r>
        <w:rPr>
          <w:i/>
          <w:iCs/>
        </w:rPr>
        <w:t xml:space="preserve">Actions:</w:t>
      </w:r>
      <w:r>
        <w:t xml:space="preserve"> </w:t>
      </w:r>
      <w:r>
        <w:t xml:space="preserve">By month 12, CRO should have held at least two roundtables (maybe via the Institute of International Finance or similar) with CROs of other banks to discuss crypto/AI risk practices – gather ideas, ensure we’re at par or ahead. Also proactive engagement with regulators: e.g., request a meeting with central bank supervision to walk them through our crypto risk framework improvements</w:t>
      </w:r>
      <w:hyperlink r:id="rId84">
        <w:r>
          <w:rPr>
            <w:rStyle w:val="Hyperlink"/>
          </w:rPr>
          <w:t xml:space="preserve">[53]</w:t>
        </w:r>
      </w:hyperlink>
      <w:r>
        <w:t xml:space="preserve"> </w:t>
      </w:r>
      <w:r>
        <w:t xml:space="preserve">or our AI governance – get informal feedback that can pre-empt issues in formal exams. Possibly participate in regulatory “sandboxes” or pilot exercises (if MAS or FCA invites firms to test AI governance tools, volunteer our bank).</w:t>
      </w:r>
      <w:r>
        <w:t xml:space="preserve"> </w:t>
      </w:r>
      <w:r>
        <w:rPr>
          <w:b/>
          <w:bCs/>
        </w:rPr>
        <w:t xml:space="preserve">Success Metric:</w:t>
      </w:r>
      <w:r>
        <w:t xml:space="preserve"> </w:t>
      </w:r>
      <w:r>
        <w:t xml:space="preserve">Receive positive or constructive feedback from regulators (e.g., a supervisory letter or exam report that notes our proactive approach to crypto/AI risk). Benchmarking outcomes: internal report to board that compares our capabilities to peer average (target: we are at or above industry best practice in key areas as per what we learned; any gaps identified with plan to close).</w:t>
      </w:r>
    </w:p>
    <w:bookmarkEnd w:id="112"/>
    <w:bookmarkStart w:id="113" w:name="Xa64961891af54c38eea78511b4f4758e7fb89d5"/>
    <w:p>
      <w:pPr>
        <w:pStyle w:val="Heading3"/>
      </w:pPr>
      <w:r>
        <w:rPr>
          <w:b/>
          <w:bCs/>
        </w:rPr>
        <w:t xml:space="preserve">12–24 Months: Full Integration and Strategic Embedding</w:t>
      </w:r>
    </w:p>
    <w:p>
      <w:pPr>
        <w:pStyle w:val="FirstParagraph"/>
      </w:pPr>
      <w:r>
        <w:rPr>
          <w:b/>
          <w:bCs/>
        </w:rPr>
        <w:t xml:space="preserve">13. Integrate Emerging Risks into Risk Appetite and Capital Planning</w:t>
      </w:r>
      <w:r>
        <w:t xml:space="preserve"> </w:t>
      </w:r>
      <w:r>
        <w:t xml:space="preserve">–</w:t>
      </w:r>
      <w:r>
        <w:t xml:space="preserve"> </w:t>
      </w:r>
      <w:r>
        <w:rPr>
          <w:i/>
          <w:iCs/>
        </w:rPr>
        <w:t xml:space="preserve">Owner: CRO, CFO.</w:t>
      </w:r>
      <w:r>
        <w:t xml:space="preserve"> </w:t>
      </w:r>
      <w:r>
        <w:rPr>
          <w:b/>
          <w:bCs/>
        </w:rPr>
        <w:t xml:space="preserve">Deliverable:</w:t>
      </w:r>
      <w:r>
        <w:t xml:space="preserve"> </w:t>
      </w:r>
      <w:r>
        <w:t xml:space="preserve">The 2026 annual risk appetite statement and the next ICAAP/CCAR explicitly incorporate crypto and AI risks.</w:t>
      </w:r>
      <w:r>
        <w:t xml:space="preserve"> </w:t>
      </w:r>
      <w:r>
        <w:rPr>
          <w:i/>
          <w:iCs/>
        </w:rPr>
        <w:t xml:space="preserve">Actions:</w:t>
      </w:r>
      <w:r>
        <w:t xml:space="preserve"> </w:t>
      </w:r>
      <w:r>
        <w:t xml:space="preserve">Translate lessons from pilots and initial frameworks into permanent risk appetite metrics by year 2. For example, set a formal risk limit on crypto exposure as % of Tier 1 (aligned with Basel, presumably we keep it low – say 0.5% during initial years), mention tolerance for AI model risk incidents (perhaps qualitatively: zero tolerance for unvalidated AI making client-impacting decisions). For capital, include an analysis of crypto exposures under stress in ICAAP – possibly assign a pillar 2A capital add-on if needed to cover any concentration beyond Pillar1. Also, if climate stress (from earlier tasks) was done, incorporate that. For CCAR (if applicable), even if Fed doesn’t require, maybe in our internal narrative note how we manage these new risks (shows forward-thinking to regulators).</w:t>
      </w:r>
      <w:r>
        <w:t xml:space="preserve"> </w:t>
      </w:r>
      <w:r>
        <w:rPr>
          <w:b/>
          <w:bCs/>
        </w:rPr>
        <w:t xml:space="preserve">Success Metric:</w:t>
      </w:r>
      <w:r>
        <w:t xml:space="preserve"> </w:t>
      </w:r>
      <w:r>
        <w:t xml:space="preserve">Board approves new risk appetite with those inclusions; regulators during SREP or equivalent review acknowledge that emerging risks are considered (no findings that we ignored them). And internal capital plan shows quantification of e.g. a crypto stress loss and that it’s within buffers.</w:t>
      </w:r>
    </w:p>
    <w:p>
      <w:pPr>
        <w:pStyle w:val="BodyText"/>
      </w:pPr>
      <w:r>
        <w:rPr>
          <w:b/>
          <w:bCs/>
        </w:rPr>
        <w:t xml:space="preserve">14. Fully Operationalize 24/7 &amp; Resilience Measures</w:t>
      </w:r>
      <w:r>
        <w:t xml:space="preserve"> </w:t>
      </w:r>
      <w:r>
        <w:t xml:space="preserve">–</w:t>
      </w:r>
      <w:r>
        <w:t xml:space="preserve"> </w:t>
      </w:r>
      <w:r>
        <w:rPr>
          <w:i/>
          <w:iCs/>
        </w:rPr>
        <w:t xml:space="preserve">Owner: CRO, COO.</w:t>
      </w:r>
      <w:r>
        <w:t xml:space="preserve"> </w:t>
      </w:r>
      <w:r>
        <w:rPr>
          <w:b/>
          <w:bCs/>
        </w:rPr>
        <w:t xml:space="preserve">Deliverable:</w:t>
      </w:r>
      <w:r>
        <w:t xml:space="preserve"> </w:t>
      </w:r>
      <w:r>
        <w:t xml:space="preserve">By 18-24 months, have robust 24/7 risk management as “business as usual” and demonstrate resilience in a live event.</w:t>
      </w:r>
      <w:r>
        <w:t xml:space="preserve"> </w:t>
      </w:r>
      <w:r>
        <w:rPr>
          <w:i/>
          <w:iCs/>
        </w:rPr>
        <w:t xml:space="preserve">Actions:</w:t>
      </w:r>
      <w:r>
        <w:t xml:space="preserve"> </w:t>
      </w:r>
      <w:r>
        <w:t xml:space="preserve">Based on initial steps, now possibly establish a small follow-the-sun risk team (maybe augment APAC or EMEA risk office roles to cover weekends with rotational staff). Formalize it – update job descriptions, ensure hand-off protocols between time zones daily. Conduct a simulation exercise simulating a major weekend market event (like a war announcement on Sunday causing global market turmoil) to test communications from weekend team to full executive management – akin to fire drill. Also improve tech: aim for more automated controls triggered off-hours (like automated trade throttling if vol surges beyond threshold, as immediate measure until humans join).</w:t>
      </w:r>
      <w:r>
        <w:t xml:space="preserve"> </w:t>
      </w:r>
      <w:r>
        <w:rPr>
          <w:b/>
          <w:bCs/>
        </w:rPr>
        <w:t xml:space="preserve">Success Metric:</w:t>
      </w:r>
      <w:r>
        <w:t xml:space="preserve"> </w:t>
      </w:r>
      <w:r>
        <w:t xml:space="preserve">In the next actual off-hours incident (e.g., a real crypto flash crash or geopolitical shock on a holiday), the bank navigates without major incident: limits were adhered to, any breaches were handled, senior management was appropriately informed, and no “Monday surprises.” This might be evidenced by an after-action report that shows all processes functioned and no material loss beyond appetite occurred due to timing.</w:t>
      </w:r>
    </w:p>
    <w:p>
      <w:pPr>
        <w:pStyle w:val="BodyText"/>
      </w:pPr>
      <w:r>
        <w:rPr>
          <w:b/>
          <w:bCs/>
        </w:rPr>
        <w:t xml:space="preserve">15. Continuous Audit &amp; Assurance Cycles</w:t>
      </w:r>
      <w:r>
        <w:t xml:space="preserve"> </w:t>
      </w:r>
      <w:r>
        <w:t xml:space="preserve">–</w:t>
      </w:r>
      <w:r>
        <w:t xml:space="preserve"> </w:t>
      </w:r>
      <w:r>
        <w:rPr>
          <w:i/>
          <w:iCs/>
        </w:rPr>
        <w:t xml:space="preserve">Owner: Internal Audit, CRO oversight.</w:t>
      </w:r>
      <w:r>
        <w:t xml:space="preserve"> </w:t>
      </w:r>
      <w:r>
        <w:rPr>
          <w:b/>
          <w:bCs/>
        </w:rPr>
        <w:t xml:space="preserve">Deliverable:</w:t>
      </w:r>
      <w:r>
        <w:t xml:space="preserve"> </w:t>
      </w:r>
      <w:r>
        <w:t xml:space="preserve">Internal Audit reports covering crypto risk framework and AI governance, with minimal high-risk findings.</w:t>
      </w:r>
      <w:r>
        <w:t xml:space="preserve"> </w:t>
      </w:r>
      <w:r>
        <w:rPr>
          <w:i/>
          <w:iCs/>
        </w:rPr>
        <w:t xml:space="preserve">Actions:</w:t>
      </w:r>
      <w:r>
        <w:t xml:space="preserve"> </w:t>
      </w:r>
      <w:r>
        <w:t xml:space="preserve">Schedule by year 2 an internal audit review of the crypto controls implemented (likely Q1 2026 audit plan) and of the AI model management process. This provides independent assurance that what we set up is actually working in practice and meeting policies. If audit finds issues (say, documentation gaps or an incident that wasn’t reported properly), fix them promptly. Offer regulators the audit summary to demonstrate proactive checks.</w:t>
      </w:r>
      <w:r>
        <w:t xml:space="preserve"> </w:t>
      </w:r>
      <w:r>
        <w:rPr>
          <w:b/>
          <w:bCs/>
        </w:rPr>
        <w:t xml:space="preserve">Success Metric:</w:t>
      </w:r>
      <w:r>
        <w:t xml:space="preserve"> </w:t>
      </w:r>
      <w:r>
        <w:t xml:space="preserve">Audit results show either no major issues or that issues identified at first audit were fixed by follow-up. And regulators in formal exam feedback note improvement or no criticism on those fronts.</w:t>
      </w:r>
    </w:p>
    <w:p>
      <w:pPr>
        <w:pStyle w:val="BodyText"/>
      </w:pPr>
      <w:r>
        <w:rPr>
          <w:b/>
          <w:bCs/>
        </w:rPr>
        <w:t xml:space="preserve">16. Strategic Decision on Business Portfolio (Based on Risk/Return)</w:t>
      </w:r>
      <w:r>
        <w:t xml:space="preserve"> </w:t>
      </w:r>
      <w:r>
        <w:t xml:space="preserve">–</w:t>
      </w:r>
      <w:r>
        <w:t xml:space="preserve"> </w:t>
      </w:r>
      <w:r>
        <w:rPr>
          <w:i/>
          <w:iCs/>
        </w:rPr>
        <w:t xml:space="preserve">Owner: CRO with CEO and Business Heads.</w:t>
      </w:r>
      <w:r>
        <w:t xml:space="preserve"> </w:t>
      </w:r>
      <w:r>
        <w:rPr>
          <w:b/>
          <w:bCs/>
        </w:rPr>
        <w:t xml:space="preserve">Deliverable:</w:t>
      </w:r>
      <w:r>
        <w:t xml:space="preserve"> </w:t>
      </w:r>
      <w:r>
        <w:t xml:space="preserve">A strategic risk review paper recommending which emerging risk-related businesses to scale, maintain, or exit, based on the last 2 years of experience.</w:t>
      </w:r>
      <w:r>
        <w:t xml:space="preserve"> </w:t>
      </w:r>
      <w:r>
        <w:rPr>
          <w:i/>
          <w:iCs/>
        </w:rPr>
        <w:t xml:space="preserve">Actions:</w:t>
      </w:r>
      <w:r>
        <w:t xml:space="preserve"> </w:t>
      </w:r>
      <w:r>
        <w:t xml:space="preserve">Evaluate after ~18 months the performance and risk of crypto-related offerings: is the revenue worth the capital and risk overhead? Possibly decide to either commit more (with full controls) if profitable and managed, or to pull back if not worth it. Similarly, assess AI – is our adoption yielding enough benefit and are we comfortable expanding AI-driven offerings (like automated advice to clients, etc.) or do we need to invest more in safety first? Essentially a checkpoint to align business strategy with our enhanced risk capabilities. E.g., if risk management of crypto is matured and regulators comfortable, maybe propose to offer prime brokerage to select crypto institutions as new revenue – or conversely if environment not safe, suggest to exit remaining minor crypto exposures entirely.</w:t>
      </w:r>
      <w:r>
        <w:t xml:space="preserve"> </w:t>
      </w:r>
      <w:r>
        <w:rPr>
          <w:b/>
          <w:bCs/>
        </w:rPr>
        <w:t xml:space="preserve">Success Metric:</w:t>
      </w:r>
      <w:r>
        <w:t xml:space="preserve"> </w:t>
      </w:r>
      <w:r>
        <w:t xml:space="preserve">Board and ExCo discuss and approve a clear direction (either scaling certain digital asset businesses or exiting) with CRO’s risk analysis as key input. Implementation of that decision (like reducing exposures or committing investment in new systems) starts by end of 24-month period.</w:t>
      </w:r>
    </w:p>
    <w:p>
      <w:pPr>
        <w:pStyle w:val="BodyText"/>
      </w:pPr>
      <w:r>
        <w:t xml:space="preserve">This action plan ensures that within 2 years, the bank’s risk management is not only addressing current macro and traditional risks, but is also fully equipped to handle and leverage the new frontiers of crypto and AI. It prioritizes quick wins (closing immediate gaps), building the necessary infrastructure and policies, and then integrating these into regular business and risk processes, all with accountable owners and measurable outcomes. Such a plan would position the CIB to navigate 2025–2026’s uncertainties confidently and could be presented to the Board and regulators as evidence of robust forward-looking risk stewardship.</w:t>
      </w:r>
    </w:p>
    <w:bookmarkEnd w:id="113"/>
    <w:bookmarkEnd w:id="114"/>
    <w:bookmarkStart w:id="121" w:name="appendix"/>
    <w:p>
      <w:pPr>
        <w:pStyle w:val="Heading2"/>
      </w:pPr>
      <w:r>
        <w:t xml:space="preserve">7. Appendix</w:t>
      </w:r>
    </w:p>
    <w:p>
      <w:pPr>
        <w:pStyle w:val="FirstParagraph"/>
      </w:pPr>
      <w:r>
        <w:rPr>
          <w:i/>
          <w:iCs/>
        </w:rPr>
        <w:t xml:space="preserve">(Optional supplementary materials to support the CRO’s report. Below are a few illustrative items.)</w:t>
      </w:r>
    </w:p>
    <w:bookmarkStart w:id="116" w:name="glossary-of-key-terms-crypto-ai"/>
    <w:p>
      <w:pPr>
        <w:pStyle w:val="Heading3"/>
      </w:pPr>
      <w:r>
        <w:t xml:space="preserve">Glossary of Key Terms (Crypto &amp; AI)</w:t>
      </w:r>
    </w:p>
    <w:p>
      <w:pPr>
        <w:pStyle w:val="Compact"/>
        <w:numPr>
          <w:ilvl w:val="0"/>
          <w:numId w:val="1012"/>
        </w:numPr>
      </w:pPr>
      <w:r>
        <w:rPr>
          <w:b/>
          <w:bCs/>
        </w:rPr>
        <w:t xml:space="preserve">Cryptoasset:</w:t>
      </w:r>
      <w:r>
        <w:t xml:space="preserve"> </w:t>
      </w:r>
      <w:r>
        <w:t xml:space="preserve">A digital asset that uses cryptography and distributed ledger technology (e.g., blockchain). Includes cryptocurrencies (Bitcoin, Ether), stablecoins, utility tokens, etc. Often high volatility and not legal tender.</w:t>
      </w:r>
    </w:p>
    <w:p>
      <w:pPr>
        <w:pStyle w:val="Compact"/>
        <w:numPr>
          <w:ilvl w:val="0"/>
          <w:numId w:val="1012"/>
        </w:numPr>
      </w:pPr>
      <w:r>
        <w:rPr>
          <w:b/>
          <w:bCs/>
        </w:rPr>
        <w:t xml:space="preserve">Stablecoin:</w:t>
      </w:r>
      <w:r>
        <w:t xml:space="preserve"> </w:t>
      </w:r>
      <w:r>
        <w:t xml:space="preserve">A cryptoasset designed to maintain a stable value relative to a reference (usually fiat like USD). E.g., USDC, USDT. Stability mechanisms vary: some hold fiat reserves, others use algorithms (the latter are riskier</w:t>
      </w:r>
      <w:hyperlink r:id="rId68">
        <w:r>
          <w:rPr>
            <w:rStyle w:val="Hyperlink"/>
          </w:rPr>
          <w:t xml:space="preserve">[38]</w:t>
        </w:r>
      </w:hyperlink>
      <w:r>
        <w:t xml:space="preserve">).</w:t>
      </w:r>
    </w:p>
    <w:p>
      <w:pPr>
        <w:pStyle w:val="Compact"/>
        <w:numPr>
          <w:ilvl w:val="0"/>
          <w:numId w:val="1012"/>
        </w:numPr>
      </w:pPr>
      <w:r>
        <w:rPr>
          <w:b/>
          <w:bCs/>
        </w:rPr>
        <w:t xml:space="preserve">DeFi (Decentralized Finance):</w:t>
      </w:r>
      <w:r>
        <w:t xml:space="preserve"> </w:t>
      </w:r>
      <w:r>
        <w:t xml:space="preserve">Financial services (trading, lending, etc.) provided on public blockchains via smart contracts, without central intermediaries. Offers 24/7 access but carries smart contract and liquidity risks.</w:t>
      </w:r>
    </w:p>
    <w:p>
      <w:pPr>
        <w:pStyle w:val="Compact"/>
        <w:numPr>
          <w:ilvl w:val="0"/>
          <w:numId w:val="1012"/>
        </w:numPr>
      </w:pPr>
      <w:r>
        <w:rPr>
          <w:b/>
          <w:bCs/>
        </w:rPr>
        <w:t xml:space="preserve">CBDC (Central Bank Digital Currency):</w:t>
      </w:r>
      <w:r>
        <w:t xml:space="preserve"> </w:t>
      </w:r>
      <w:r>
        <w:t xml:space="preserve">A digital form of central bank money. Wholesale CBDC for banks’ interbank use; Retail CBDC for general public use (analogous to digital cash). Being explored by many central banks.</w:t>
      </w:r>
    </w:p>
    <w:p>
      <w:pPr>
        <w:pStyle w:val="Compact"/>
        <w:numPr>
          <w:ilvl w:val="0"/>
          <w:numId w:val="1012"/>
        </w:numPr>
      </w:pPr>
      <w:r>
        <w:rPr>
          <w:b/>
          <w:bCs/>
        </w:rPr>
        <w:t xml:space="preserve">Basel III Endgame (Basel IV):</w:t>
      </w:r>
      <w:r>
        <w:t xml:space="preserve"> </w:t>
      </w:r>
      <w:r>
        <w:t xml:space="preserve">The final set of Basel III reforms (to be implemented ~2025–28) including output floor (72.5% of standardized RWA floor for internal models)</w:t>
      </w:r>
      <w:hyperlink r:id="rId60">
        <w:r>
          <w:rPr>
            <w:rStyle w:val="Hyperlink"/>
          </w:rPr>
          <w:t xml:space="preserve">[33]</w:t>
        </w:r>
      </w:hyperlink>
      <w:r>
        <w:t xml:space="preserve">, revised credit risk weights, FRTB for market risk, revised CVA capital, and operational risk SMA. Increases capital requirements for many G-SIBs.</w:t>
      </w:r>
    </w:p>
    <w:p>
      <w:pPr>
        <w:pStyle w:val="Compact"/>
        <w:numPr>
          <w:ilvl w:val="0"/>
          <w:numId w:val="1012"/>
        </w:numPr>
      </w:pPr>
      <w:r>
        <w:rPr>
          <w:b/>
          <w:bCs/>
        </w:rPr>
        <w:t xml:space="preserve">FRTB (Fundamental Review of the Trading Book):</w:t>
      </w:r>
      <w:r>
        <w:t xml:space="preserve"> </w:t>
      </w:r>
      <w:r>
        <w:t xml:space="preserve">New market risk capital framework making distinction between trading and banking book, stricter model eligibility (non-modellable risk factors) and introducing an internal models approach (Expected Shortfall-based) vs standardized approach. Requires desk-level model approval.</w:t>
      </w:r>
    </w:p>
    <w:p>
      <w:pPr>
        <w:pStyle w:val="Compact"/>
        <w:numPr>
          <w:ilvl w:val="0"/>
          <w:numId w:val="1012"/>
        </w:numPr>
      </w:pPr>
      <w:r>
        <w:rPr>
          <w:b/>
          <w:bCs/>
        </w:rPr>
        <w:t xml:space="preserve">XVA:</w:t>
      </w:r>
      <w:r>
        <w:t xml:space="preserve"> </w:t>
      </w:r>
      <w:r>
        <w:t xml:space="preserve">Collective term for valuation adjustments on derivatives: CVA (credit valuation adjustment – counterparty risk), DVA (debt valuation adjustment – own credit), FVA (funding), etc. Reflects cost of various risks in valuation. CVA capital rules being revised in Basel (some opt for standardized formula, others internal models).</w:t>
      </w:r>
    </w:p>
    <w:p>
      <w:pPr>
        <w:pStyle w:val="Compact"/>
        <w:numPr>
          <w:ilvl w:val="0"/>
          <w:numId w:val="1012"/>
        </w:numPr>
      </w:pPr>
      <w:r>
        <w:rPr>
          <w:b/>
          <w:bCs/>
        </w:rPr>
        <w:t xml:space="preserve">SR 11-7:</w:t>
      </w:r>
      <w:r>
        <w:t xml:space="preserve"> </w:t>
      </w:r>
      <w:r>
        <w:t xml:space="preserve">U.S. Fed/OCC 2011 guidance on Model Risk Management, still a reference. Requires banks to have inventory of models, independent validation, sound development, and governance. Being updated to clarify it covers AI/ML models too.</w:t>
      </w:r>
    </w:p>
    <w:p>
      <w:pPr>
        <w:pStyle w:val="Compact"/>
        <w:numPr>
          <w:ilvl w:val="0"/>
          <w:numId w:val="1012"/>
        </w:numPr>
      </w:pPr>
      <w:r>
        <w:rPr>
          <w:b/>
          <w:bCs/>
        </w:rPr>
        <w:t xml:space="preserve">AI Act (EU):</w:t>
      </w:r>
      <w:r>
        <w:t xml:space="preserve"> </w:t>
      </w:r>
      <w:r>
        <w:t xml:space="preserve">Comprehensive EU regulation on AI (approved 2024, phasing in 2025-27)</w:t>
      </w:r>
      <w:hyperlink r:id="rId96">
        <w:r>
          <w:rPr>
            <w:rStyle w:val="Hyperlink"/>
          </w:rPr>
          <w:t xml:space="preserve">[59]</w:t>
        </w:r>
      </w:hyperlink>
      <w:r>
        <w:t xml:space="preserve">. Classifies AI by risk. High-risk (e.g., AI for credit scoring) must meet requirements on data governance, documentation, transparency, human oversight, accuracy, robustness, and cybersecurity</w:t>
      </w:r>
      <w:hyperlink r:id="rId35">
        <w:r>
          <w:rPr>
            <w:rStyle w:val="Hyperlink"/>
          </w:rPr>
          <w:t xml:space="preserve">[15]</w:t>
        </w:r>
      </w:hyperlink>
      <w:hyperlink r:id="rId54">
        <w:r>
          <w:rPr>
            <w:rStyle w:val="Hyperlink"/>
          </w:rPr>
          <w:t xml:space="preserve">[28]</w:t>
        </w:r>
      </w:hyperlink>
      <w:r>
        <w:t xml:space="preserve">. Non-compliance can result in heavy fines.</w:t>
      </w:r>
    </w:p>
    <w:p>
      <w:pPr>
        <w:pStyle w:val="Compact"/>
        <w:numPr>
          <w:ilvl w:val="0"/>
          <w:numId w:val="1012"/>
        </w:numPr>
      </w:pPr>
      <w:r>
        <w:rPr>
          <w:b/>
          <w:bCs/>
        </w:rPr>
        <w:t xml:space="preserve">Large Language Model (LLM):</w:t>
      </w:r>
      <w:r>
        <w:t xml:space="preserve"> </w:t>
      </w:r>
      <w:r>
        <w:t xml:space="preserve">A type of AI model (often based on transformer neural networks) trained on vast text data to predict next words. E.g., GPT-4. Can generate human-like text and perform tasks like summarization, Q&amp;A, coding help. Power comes with risk of “hallucination” (fabricating plausible-sounding but incorrect info) and difficulty in attributing sources.</w:t>
      </w:r>
    </w:p>
    <w:p>
      <w:pPr>
        <w:pStyle w:val="Compact"/>
        <w:numPr>
          <w:ilvl w:val="0"/>
          <w:numId w:val="1012"/>
        </w:numPr>
      </w:pPr>
      <w:r>
        <w:rPr>
          <w:b/>
          <w:bCs/>
        </w:rPr>
        <w:t xml:space="preserve">Adversarial Attack (ML):</w:t>
      </w:r>
      <w:r>
        <w:t xml:space="preserve"> </w:t>
      </w:r>
      <w:r>
        <w:t xml:space="preserve">Techniques where input to an AI model is intentionally crafted to cause the model to make mistakes. E.g., adding slight pixel noise to an image to fool a classifier, or phrasing a prompt to bypass an LLM’s filters. Concern for AI security and reliability</w:t>
      </w:r>
      <w:hyperlink r:id="rId34">
        <w:r>
          <w:rPr>
            <w:rStyle w:val="Hyperlink"/>
          </w:rPr>
          <w:t xml:space="preserve">[14]</w:t>
        </w:r>
      </w:hyperlink>
      <w:r>
        <w:t xml:space="preserve">.</w:t>
      </w:r>
    </w:p>
    <w:p>
      <w:pPr>
        <w:pStyle w:val="Compact"/>
        <w:numPr>
          <w:ilvl w:val="0"/>
          <w:numId w:val="1012"/>
        </w:numPr>
      </w:pPr>
      <w:r>
        <w:rPr>
          <w:b/>
          <w:bCs/>
        </w:rPr>
        <w:t xml:space="preserve">Explainable AI (XAI):</w:t>
      </w:r>
      <w:r>
        <w:t xml:space="preserve"> </w:t>
      </w:r>
      <w:r>
        <w:t xml:space="preserve">Methods to make AI model decisions interpretable to humans. Examples: SHAP values, LIME, decision trees approximations. Important for regulatory acceptance of AI in credit, etc., to satisfy that decisions can be explained and justified.</w:t>
      </w:r>
    </w:p>
    <w:p>
      <w:pPr>
        <w:pStyle w:val="Compact"/>
        <w:numPr>
          <w:ilvl w:val="0"/>
          <w:numId w:val="1012"/>
        </w:numPr>
      </w:pPr>
      <w:r>
        <w:rPr>
          <w:b/>
          <w:bCs/>
        </w:rPr>
        <w:t xml:space="preserve">Climate Risk (Physical vs Transition):</w:t>
      </w:r>
      <w:r>
        <w:t xml:space="preserve"> </w:t>
      </w:r>
      <w:r>
        <w:t xml:space="preserve">Physical risk: financial losses from climate-related weather events (floods, storms) or long-term shifts (sea level rise) affecting assets and operations. Transition risk: financial risk from society’s move to a low-carbon economy, including policy changes (carbon tax), technological disruption (renewables), and changing consumer preferences, which can impair carbon-intensive assets’ value</w:t>
      </w:r>
      <w:hyperlink r:id="rId68">
        <w:r>
          <w:rPr>
            <w:rStyle w:val="Hyperlink"/>
          </w:rPr>
          <w:t xml:space="preserve">[38]</w:t>
        </w:r>
      </w:hyperlink>
      <w:r>
        <w:t xml:space="preserve">.</w:t>
      </w:r>
    </w:p>
    <w:p>
      <w:pPr>
        <w:pStyle w:val="Compact"/>
        <w:numPr>
          <w:ilvl w:val="0"/>
          <w:numId w:val="1012"/>
        </w:numPr>
      </w:pPr>
      <w:r>
        <w:rPr>
          <w:b/>
          <w:bCs/>
        </w:rPr>
        <w:t xml:space="preserve">Travel Rule (FATF):</w:t>
      </w:r>
      <w:r>
        <w:t xml:space="preserve"> </w:t>
      </w:r>
      <w:r>
        <w:t xml:space="preserve">A requirement that crypto asset transfers include identifying information of originator and beneficiary, similar to wire transfers, to aid AML/CFT. Many countries implementing; ensures VASPs share customer info for transfers above certain threshold</w:t>
      </w:r>
      <w:hyperlink r:id="rId115">
        <w:r>
          <w:rPr>
            <w:rStyle w:val="Hyperlink"/>
          </w:rPr>
          <w:t xml:space="preserve">[69]</w:t>
        </w:r>
      </w:hyperlink>
      <w:r>
        <w:t xml:space="preserve">.</w:t>
      </w:r>
    </w:p>
    <w:bookmarkEnd w:id="116"/>
    <w:bookmarkStart w:id="119" w:name="example-stress-test-scenarios"/>
    <w:p>
      <w:pPr>
        <w:pStyle w:val="Heading3"/>
      </w:pPr>
      <w:r>
        <w:t xml:space="preserve">Example Stress Test Scenarios</w:t>
      </w:r>
    </w:p>
    <w:p>
      <w:pPr>
        <w:pStyle w:val="FirstParagraph"/>
      </w:pPr>
      <w:r>
        <w:rPr>
          <w:b/>
          <w:bCs/>
        </w:rPr>
        <w:t xml:space="preserve">Scenario A: Global Stagflation Shock (Macro &amp; Markets)</w:t>
      </w:r>
      <w:r>
        <w:br/>
      </w:r>
      <w:r>
        <w:t xml:space="preserve">-</w:t>
      </w:r>
      <w:r>
        <w:t xml:space="preserve"> </w:t>
      </w:r>
      <w:r>
        <w:rPr>
          <w:b/>
          <w:bCs/>
        </w:rPr>
        <w:t xml:space="preserve">Narrative:</w:t>
      </w:r>
      <w:r>
        <w:t xml:space="preserve"> </w:t>
      </w:r>
      <w:r>
        <w:t xml:space="preserve">Major economies experience persistent high inflation and a sharp growth slowdown (stagflation) in 2025. Central banks tighten rates more than expected into a weak economy. Geopolitical tensions (prolonged war scenario) drive oil to $150/barrel.</w:t>
      </w:r>
      <w:r>
        <w:br/>
      </w:r>
      <w:r>
        <w:t xml:space="preserve">-</w:t>
      </w:r>
      <w:r>
        <w:t xml:space="preserve"> </w:t>
      </w:r>
      <w:r>
        <w:rPr>
          <w:b/>
          <w:bCs/>
        </w:rPr>
        <w:t xml:space="preserve">Key Parameters:</w:t>
      </w:r>
      <w:r>
        <w:t xml:space="preserve"> </w:t>
      </w:r>
      <w:r>
        <w:t xml:space="preserve">- US &amp; EU GDP: -2% contraction each in year 1 of scenario.</w:t>
      </w:r>
      <w:r>
        <w:br/>
      </w:r>
      <w:r>
        <w:t xml:space="preserve">- Inflation: peaks at 10% then slowly recedes.</w:t>
      </w:r>
      <w:r>
        <w:br/>
      </w:r>
      <w:r>
        <w:t xml:space="preserve">- Policy Rates: Fed to 7%, ECB to 5% (high-for-longer).</w:t>
      </w:r>
      <w:r>
        <w:br/>
      </w:r>
      <w:r>
        <w:t xml:space="preserve">- Yield Curve: inverts deeply, 10Y UST at 5.5%, short-end 7%.</w:t>
      </w:r>
      <w:r>
        <w:br/>
      </w:r>
      <w:r>
        <w:t xml:space="preserve">- Credit Spreads: IG +300bps, HY +800bps (wave of corporate distress). Leveraged loan default rate hits 10%</w:t>
      </w:r>
      <w:hyperlink r:id="rId117">
        <w:r>
          <w:rPr>
            <w:rStyle w:val="Hyperlink"/>
          </w:rPr>
          <w:t xml:space="preserve">[70]</w:t>
        </w:r>
      </w:hyperlink>
      <w:hyperlink r:id="rId118">
        <w:r>
          <w:rPr>
            <w:rStyle w:val="Hyperlink"/>
          </w:rPr>
          <w:t xml:space="preserve">[71]</w:t>
        </w:r>
      </w:hyperlink>
      <w:r>
        <w:t xml:space="preserve">.</w:t>
      </w:r>
      <w:r>
        <w:br/>
      </w:r>
      <w:r>
        <w:t xml:space="preserve">- Equities: -40% from baseline, slow recovery. Real estate: -30% (higher cap rates, low demand).</w:t>
      </w:r>
      <w:r>
        <w:br/>
      </w:r>
      <w:r>
        <w:t xml:space="preserve">- FX: Flight to USD, USD up 15% vs EUR, 10% vs EM basket.</w:t>
      </w:r>
      <w:r>
        <w:br/>
      </w:r>
      <w:r>
        <w:t xml:space="preserve">-</w:t>
      </w:r>
      <w:r>
        <w:t xml:space="preserve"> </w:t>
      </w:r>
      <w:r>
        <w:rPr>
          <w:b/>
          <w:bCs/>
        </w:rPr>
        <w:t xml:space="preserve">CIB Impact Highlights:</w:t>
      </w:r>
      <w:r>
        <w:t xml:space="preserve"> </w:t>
      </w:r>
      <w:r>
        <w:t xml:space="preserve">Trading revenues hit by credit and equity loss (VaR and default losses). Counterparty CVA jumps as spreads widen</w:t>
      </w:r>
      <w:hyperlink r:id="rId23">
        <w:r>
          <w:rPr>
            <w:rStyle w:val="Hyperlink"/>
          </w:rPr>
          <w:t xml:space="preserve">[3]</w:t>
        </w:r>
      </w:hyperlink>
      <w:r>
        <w:t xml:space="preserve">. Underwriting pipeline deals mark-to-market -15%. Loan loss provisions surge for cyclical sectors (esp. consumer, energy consumers). Liquidity strain from clients drawing credit lines. RWA inflation as credit downgrades. Market risk capital rises (stressed VAR). Mitigants: robust initial capital (CET1 drops by X percentage points but stays above buffer), central bank swap lines ease USD funding stress for bank’s international ops.</w:t>
      </w:r>
      <w:r>
        <w:br/>
      </w:r>
      <w:r>
        <w:t xml:space="preserve">-</w:t>
      </w:r>
      <w:r>
        <w:t xml:space="preserve"> </w:t>
      </w:r>
      <w:r>
        <w:rPr>
          <w:b/>
          <w:bCs/>
        </w:rPr>
        <w:t xml:space="preserve">Outcome:</w:t>
      </w:r>
      <w:r>
        <w:t xml:space="preserve"> </w:t>
      </w:r>
      <w:r>
        <w:t xml:space="preserve">Tests readiness for a severe simultaneous market and credit shock. Ensure capital plan can absorb losses and liquidity profile can handle outflows (LCR under stress stays &gt;100% due to HQLA buffer).</w:t>
      </w:r>
    </w:p>
    <w:p>
      <w:pPr>
        <w:pStyle w:val="BodyText"/>
      </w:pPr>
      <w:r>
        <w:rPr>
          <w:b/>
          <w:bCs/>
        </w:rPr>
        <w:t xml:space="preserve">Scenario B: Digital Assets Meltdown &amp; Tech Turmoil</w:t>
      </w:r>
      <w:r>
        <w:br/>
      </w:r>
      <w:r>
        <w:t xml:space="preserve">-</w:t>
      </w:r>
      <w:r>
        <w:t xml:space="preserve"> </w:t>
      </w:r>
      <w:r>
        <w:rPr>
          <w:b/>
          <w:bCs/>
        </w:rPr>
        <w:t xml:space="preserve">Narrative:</w:t>
      </w:r>
      <w:r>
        <w:t xml:space="preserve"> </w:t>
      </w:r>
      <w:r>
        <w:t xml:space="preserve">In 2026, a major crypto exchange (largest global) suddenly declares insolvency amid fraud allegations (echoes of FTX)</w:t>
      </w:r>
      <w:hyperlink r:id="rId76">
        <w:r>
          <w:rPr>
            <w:rStyle w:val="Hyperlink"/>
          </w:rPr>
          <w:t xml:space="preserve">[47]</w:t>
        </w:r>
      </w:hyperlink>
      <w:r>
        <w:t xml:space="preserve">. Crypto markets crash and a broader tech market rout ensues as trust in fintech and digital platforms erodes. Simultaneously, a critical AI model widely used in algo trading triggers a flash crash in tech stocks (AI gone awry event).</w:t>
      </w:r>
      <w:r>
        <w:br/>
      </w:r>
      <w:r>
        <w:t xml:space="preserve">-</w:t>
      </w:r>
      <w:r>
        <w:t xml:space="preserve"> </w:t>
      </w:r>
      <w:r>
        <w:rPr>
          <w:b/>
          <w:bCs/>
        </w:rPr>
        <w:t xml:space="preserve">Key Parameters:</w:t>
      </w:r>
      <w:r>
        <w:t xml:space="preserve"> </w:t>
      </w:r>
      <w:r>
        <w:t xml:space="preserve">- Bitcoin price: -70% in a week (e.g., from $40k to $12k). Ethereum: -80%. Many smaller tokens effectively go to zero</w:t>
      </w:r>
      <w:hyperlink r:id="rId68">
        <w:r>
          <w:rPr>
            <w:rStyle w:val="Hyperlink"/>
          </w:rPr>
          <w:t xml:space="preserve">[38]</w:t>
        </w:r>
      </w:hyperlink>
      <w:r>
        <w:t xml:space="preserve">.</w:t>
      </w:r>
      <w:r>
        <w:br/>
      </w:r>
      <w:r>
        <w:t xml:space="preserve">- Stablecoin Tether (USDT) breaks peg and falls to $0.70 amid panic redemptions before recovering to $0.90 with central intervention; forced liquidation of reserve assets (some corporate paper) causes ripple in commercial paper market.</w:t>
      </w:r>
      <w:r>
        <w:br/>
      </w:r>
      <w:r>
        <w:t xml:space="preserve">- Affected Crypto Exchange: Halts withdrawals; our bank has $50m stuck on platform (assume 50% eventual recovery).</w:t>
      </w:r>
      <w:r>
        <w:br/>
      </w:r>
      <w:r>
        <w:t xml:space="preserve">- Tech Equities: AI-driven selling leads NASDAQ to drop 20% intraday; temporarily recover but end month -25%. Market liquidity thin; several quant hedge funds collapse due to both crypto and equity losses.</w:t>
      </w:r>
      <w:r>
        <w:br/>
      </w:r>
      <w:r>
        <w:t xml:space="preserve">-</w:t>
      </w:r>
      <w:r>
        <w:t xml:space="preserve"> </w:t>
      </w:r>
      <w:r>
        <w:rPr>
          <w:b/>
          <w:bCs/>
        </w:rPr>
        <w:t xml:space="preserve">CIB Impact Highlights:</w:t>
      </w:r>
      <w:r>
        <w:t xml:space="preserve"> </w:t>
      </w:r>
      <w:r>
        <w:t xml:space="preserve">Any crypto exposures – assume we had minor trading inventory, take a $X million trading loss on mark-to-market and liquidating at distressed prices. Counterparty exposure: one large crypto hedge fund client defaults on OTC derivatives (we incur a credit loss of $Y million after margin shortfall). Also, prime brokerage sees $Z million in margin shortfalls as crypto collateral value evaporates; some positions cannot be liquidated timely due to market closure – small residual losses. On tech equity side, trading desk hits loss triggers due to volatility, manage to contain after some losses. Investment banking pipeline for tech sector deals dries up (fee income down).</w:t>
      </w:r>
      <w:r>
        <w:t xml:space="preserve"> </w:t>
      </w:r>
      <w:r>
        <w:t xml:space="preserve">- Liquidity: some corporate clients who had stablecoin holdings draw down credit lines as liquidity backstop – minor usage increase but manageable.</w:t>
      </w:r>
      <w:r>
        <w:t xml:space="preserve"> </w:t>
      </w:r>
      <w:r>
        <w:t xml:space="preserve">-</w:t>
      </w:r>
      <w:r>
        <w:t xml:space="preserve"> </w:t>
      </w:r>
      <w:r>
        <w:rPr>
          <w:b/>
          <w:bCs/>
        </w:rPr>
        <w:t xml:space="preserve">Qualitative Considerations:</w:t>
      </w:r>
      <w:r>
        <w:t xml:space="preserve"> </w:t>
      </w:r>
      <w:r>
        <w:t xml:space="preserve">Reputation – the bank’s digital asset custody temporarily suspended withdraws for 48h to verify no contagion, which draws regulatory scrutiny but we had approvals in place per policy so outcome okay.</w:t>
      </w:r>
      <w:r>
        <w:t xml:space="preserve"> </w:t>
      </w:r>
      <w:r>
        <w:t xml:space="preserve">-</w:t>
      </w:r>
      <w:r>
        <w:t xml:space="preserve"> </w:t>
      </w:r>
      <w:r>
        <w:rPr>
          <w:b/>
          <w:bCs/>
        </w:rPr>
        <w:t xml:space="preserve">Outcome:</w:t>
      </w:r>
      <w:r>
        <w:t xml:space="preserve"> </w:t>
      </w:r>
      <w:r>
        <w:t xml:space="preserve">Tests our specific controls around crypto risk (Were limits low enough? Did collateral haircuts anticipate 70% moves?</w:t>
      </w:r>
      <w:hyperlink r:id="rId32">
        <w:r>
          <w:rPr>
            <w:rStyle w:val="Hyperlink"/>
          </w:rPr>
          <w:t xml:space="preserve">[12]</w:t>
        </w:r>
      </w:hyperlink>
      <w:r>
        <w:t xml:space="preserve">) and AI governance (did the algo have kill-switch? We assume our risk triggers paused our AI trading to stop further self-harm after initial flash crash trades). Evaluate capital hit – primarily market risk RWA may spike from volatility for next period, but overall capital stays above internal buffer by say 1%. Provides lessons to further reduce exposure and refine AI models.</w:t>
      </w:r>
    </w:p>
    <w:bookmarkEnd w:id="119"/>
    <w:bookmarkStart w:id="120" w:name="Xe94ee5fc8e49fe0d98c64f59e818c27d32db1c2"/>
    <w:p>
      <w:pPr>
        <w:pStyle w:val="Heading3"/>
      </w:pPr>
      <w:r>
        <w:t xml:space="preserve">Illustrative Risk Dashboard Excerpt (with Emerging Risks)</w:t>
      </w:r>
    </w:p>
    <w:p>
      <w:pPr>
        <w:pStyle w:val="FirstParagraph"/>
      </w:pPr>
      <w:r>
        <w:rPr>
          <w:i/>
          <w:iCs/>
        </w:rPr>
        <w:t xml:space="preserve">(An example of how a portion of a CRO’s risk dashboard might look incorporating discussed elements)</w:t>
      </w:r>
    </w:p>
    <w:p>
      <w:pPr>
        <w:pStyle w:val="BodyText"/>
      </w:pPr>
      <w:r>
        <w:rPr>
          <w:b/>
          <w:bCs/>
        </w:rPr>
        <w:t xml:space="preserve">Top-of-Mind Risk Heatmap (2025 Q4):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 Theme</w:t>
            </w:r>
          </w:p>
        </w:tc>
        <w:tc>
          <w:tcPr/>
          <w:p>
            <w:pPr>
              <w:pStyle w:val="Compact"/>
            </w:pPr>
            <w:r>
              <w:t xml:space="preserve">Current Level (RAG)</w:t>
            </w:r>
          </w:p>
        </w:tc>
        <w:tc>
          <w:tcPr/>
          <w:p>
            <w:pPr>
              <w:pStyle w:val="Compact"/>
            </w:pPr>
            <w:r>
              <w:t xml:space="preserve">Trend vs Q3</w:t>
            </w:r>
          </w:p>
        </w:tc>
        <w:tc>
          <w:tcPr/>
          <w:p>
            <w:pPr>
              <w:pStyle w:val="Compact"/>
            </w:pPr>
            <w:r>
              <w:t xml:space="preserve">Key Indicators (with Limits/Triggers)</w:t>
            </w:r>
          </w:p>
        </w:tc>
        <w:tc>
          <w:tcPr/>
          <w:p>
            <w:pPr>
              <w:pStyle w:val="Compact"/>
            </w:pPr>
            <w:r>
              <w:t xml:space="preserve">Commentary/Actions</w:t>
            </w:r>
          </w:p>
        </w:tc>
      </w:tr>
      <w:tr>
        <w:tc>
          <w:tcPr/>
          <w:p>
            <w:pPr>
              <w:pStyle w:val="Compact"/>
            </w:pPr>
            <w:r>
              <w:rPr>
                <w:b/>
                <w:bCs/>
              </w:rPr>
              <w:t xml:space="preserve">Macro &amp; Market</w:t>
            </w:r>
          </w:p>
        </w:tc>
        <w:tc>
          <w:tcPr/>
          <w:p>
            <w:pPr>
              <w:pStyle w:val="Compact"/>
            </w:pPr>
            <w:r>
              <w:t xml:space="preserve">Amber</w:t>
            </w:r>
          </w:p>
        </w:tc>
        <w:tc>
          <w:tcPr/>
          <w:p>
            <w:pPr>
              <w:pStyle w:val="Compact"/>
            </w:pPr>
            <w:r>
              <w:t xml:space="preserve">→ (steady)</w:t>
            </w:r>
          </w:p>
        </w:tc>
        <w:tc>
          <w:tcPr/>
          <w:p>
            <w:pPr>
              <w:pStyle w:val="Compact"/>
            </w:pPr>
            <w:r>
              <w:t xml:space="preserve">Inflation YoY 4.8% (target 2%), 10Y-2Y spread -50bps (inversion), HY spreads 500bps (limit 600)</w:t>
            </w:r>
            <w:hyperlink r:id="rId21">
              <w:r>
                <w:rPr>
                  <w:rStyle w:val="Hyperlink"/>
                </w:rPr>
                <w:t xml:space="preserve">[1]</w:t>
              </w:r>
            </w:hyperlink>
          </w:p>
        </w:tc>
        <w:tc>
          <w:tcPr/>
          <w:p>
            <w:pPr>
              <w:pStyle w:val="Compact"/>
            </w:pPr>
            <w:r>
              <w:t xml:space="preserve">Inflation moderating but above target. Monitoring recession scenario – internal stress test run. Market liquidity slightly strained, but within tolerance.</w:t>
            </w:r>
          </w:p>
        </w:tc>
      </w:tr>
      <w:tr>
        <w:tc>
          <w:tcPr/>
          <w:p>
            <w:pPr>
              <w:pStyle w:val="Compact"/>
            </w:pPr>
            <w:r>
              <w:rPr>
                <w:b/>
                <w:bCs/>
              </w:rPr>
              <w:t xml:space="preserve">Credit Cycle</w:t>
            </w:r>
          </w:p>
        </w:tc>
        <w:tc>
          <w:tcPr/>
          <w:p>
            <w:pPr>
              <w:pStyle w:val="Compact"/>
            </w:pPr>
            <w:r>
              <w:t xml:space="preserve">Amber</w:t>
            </w:r>
          </w:p>
        </w:tc>
        <w:tc>
          <w:tcPr/>
          <w:p>
            <w:pPr>
              <w:pStyle w:val="Compact"/>
            </w:pPr>
            <w:r>
              <w:t xml:space="preserve">↑ (worsening)</w:t>
            </w:r>
          </w:p>
        </w:tc>
        <w:tc>
          <w:tcPr/>
          <w:p>
            <w:pPr>
              <w:pStyle w:val="Compact"/>
            </w:pPr>
            <w:r>
              <w:t xml:space="preserve">Lev Loan defaults 5.5% (vs 6% stressed tolerable)</w:t>
            </w:r>
            <w:hyperlink r:id="rId22">
              <w:r>
                <w:rPr>
                  <w:rStyle w:val="Hyperlink"/>
                </w:rPr>
                <w:t xml:space="preserve">[2]</w:t>
              </w:r>
            </w:hyperlink>
            <w:r>
              <w:t xml:space="preserve">, CRE office vacancy 20% (high)</w:t>
            </w:r>
            <w:hyperlink r:id="rId23">
              <w:r>
                <w:rPr>
                  <w:rStyle w:val="Hyperlink"/>
                </w:rPr>
                <w:t xml:space="preserve">[3]</w:t>
              </w:r>
            </w:hyperlink>
          </w:p>
        </w:tc>
        <w:tc>
          <w:tcPr/>
          <w:p>
            <w:pPr>
              <w:pStyle w:val="Compact"/>
            </w:pPr>
            <w:r>
              <w:t xml:space="preserve">Credit downgrades upticking in cyclical sectors. Raised provisioning; tightened underwriting especially in CRE office loans.</w:t>
            </w:r>
          </w:p>
        </w:tc>
      </w:tr>
      <w:tr>
        <w:tc>
          <w:tcPr/>
          <w:p>
            <w:pPr>
              <w:pStyle w:val="Compact"/>
            </w:pPr>
            <w:r>
              <w:rPr>
                <w:b/>
                <w:bCs/>
              </w:rPr>
              <w:t xml:space="preserve">Liquidity &amp; Funding</w:t>
            </w:r>
          </w:p>
        </w:tc>
        <w:tc>
          <w:tcPr/>
          <w:p>
            <w:pPr>
              <w:pStyle w:val="Compact"/>
            </w:pPr>
            <w:r>
              <w:t xml:space="preserve">Green (strong)</w:t>
            </w:r>
          </w:p>
        </w:tc>
        <w:tc>
          <w:tcPr/>
          <w:p>
            <w:pPr>
              <w:pStyle w:val="Compact"/>
            </w:pPr>
            <w:r>
              <w:t xml:space="preserve">→</w:t>
            </w:r>
          </w:p>
        </w:tc>
        <w:tc>
          <w:tcPr/>
          <w:p>
            <w:pPr>
              <w:pStyle w:val="Compact"/>
            </w:pPr>
            <w:r>
              <w:t xml:space="preserve">LCR 130% (min 110%), HQLA $80B, 5 largest depositors = 8% total (limit 10%)</w:t>
            </w:r>
          </w:p>
        </w:tc>
        <w:tc>
          <w:tcPr/>
          <w:p>
            <w:pPr>
              <w:pStyle w:val="Compact"/>
            </w:pPr>
            <w:r>
              <w:t xml:space="preserve">Comfortable liquidity. Ran internal liquidity drill on crypto shock scenario - met needs with &gt;20% buffer remaining.</w:t>
            </w:r>
          </w:p>
        </w:tc>
      </w:tr>
      <w:tr>
        <w:tc>
          <w:tcPr/>
          <w:p>
            <w:pPr>
              <w:pStyle w:val="Compact"/>
            </w:pPr>
            <w:r>
              <w:rPr>
                <w:b/>
                <w:bCs/>
              </w:rPr>
              <w:t xml:space="preserve">Market Risk</w:t>
            </w:r>
            <w:r>
              <w:t xml:space="preserve"> </w:t>
            </w:r>
            <w:r>
              <w:t xml:space="preserve">(Trading)</w:t>
            </w:r>
          </w:p>
        </w:tc>
        <w:tc>
          <w:tcPr/>
          <w:p>
            <w:pPr>
              <w:pStyle w:val="Compact"/>
            </w:pPr>
            <w:r>
              <w:t xml:space="preserve">Green/Amber</w:t>
            </w:r>
          </w:p>
        </w:tc>
        <w:tc>
          <w:tcPr/>
          <w:p>
            <w:pPr>
              <w:pStyle w:val="Compact"/>
            </w:pPr>
            <w:r>
              <w:t xml:space="preserve">↑ slight</w:t>
            </w:r>
          </w:p>
        </w:tc>
        <w:tc>
          <w:tcPr/>
          <w:p>
            <w:pPr>
              <w:pStyle w:val="Compact"/>
            </w:pPr>
            <w:r>
              <w:t xml:space="preserve">1-day Trading VaR $35m (limit $50m), 5 backtest exceptions in Q4 (investigating)</w:t>
            </w:r>
          </w:p>
        </w:tc>
        <w:tc>
          <w:tcPr/>
          <w:p>
            <w:pPr>
              <w:pStyle w:val="Compact"/>
            </w:pPr>
            <w:r>
              <w:t xml:space="preserve">Slight increase in VaR from rates volatility; within limit. Exceptions largely due to market jump around Fed meeting - model recalibration in progress.</w:t>
            </w:r>
          </w:p>
        </w:tc>
      </w:tr>
      <w:tr>
        <w:tc>
          <w:tcPr/>
          <w:p>
            <w:pPr>
              <w:pStyle w:val="Compact"/>
            </w:pPr>
            <w:r>
              <w:rPr>
                <w:b/>
                <w:bCs/>
              </w:rPr>
              <w:t xml:space="preserve">Counterparty Risk</w:t>
            </w:r>
          </w:p>
        </w:tc>
        <w:tc>
          <w:tcPr/>
          <w:p>
            <w:pPr>
              <w:pStyle w:val="Compact"/>
            </w:pPr>
            <w:r>
              <w:t xml:space="preserve">Green</w:t>
            </w:r>
          </w:p>
        </w:tc>
        <w:tc>
          <w:tcPr/>
          <w:p>
            <w:pPr>
              <w:pStyle w:val="Compact"/>
            </w:pPr>
            <w:r>
              <w:t xml:space="preserve">→</w:t>
            </w:r>
          </w:p>
        </w:tc>
        <w:tc>
          <w:tcPr/>
          <w:p>
            <w:pPr>
              <w:pStyle w:val="Compact"/>
            </w:pPr>
            <w:r>
              <w:t xml:space="preserve">Top 10 Cpty PFE = $2.1B (vs $2.5B limit), Ave. CVA spread 75bps (stable)</w:t>
            </w:r>
          </w:p>
        </w:tc>
        <w:tc>
          <w:tcPr/>
          <w:p>
            <w:pPr>
              <w:pStyle w:val="Compact"/>
            </w:pPr>
            <w:r>
              <w:t xml:space="preserve">Counterparty exposures well within limits. Wrong-way pairings checked (no major issues). Strengthened margin calls frequency for weaker credits.</w:t>
            </w:r>
          </w:p>
        </w:tc>
      </w:tr>
      <w:tr>
        <w:tc>
          <w:tcPr/>
          <w:p>
            <w:pPr>
              <w:pStyle w:val="Compact"/>
            </w:pPr>
            <w:r>
              <w:rPr>
                <w:b/>
                <w:bCs/>
              </w:rPr>
              <w:t xml:space="preserve">Crypto Asset Risk</w:t>
            </w:r>
          </w:p>
        </w:tc>
        <w:tc>
          <w:tcPr/>
          <w:p>
            <w:pPr>
              <w:pStyle w:val="Compact"/>
            </w:pPr>
            <w:r>
              <w:t xml:space="preserve">Green (minimal)</w:t>
            </w:r>
          </w:p>
        </w:tc>
        <w:tc>
          <w:tcPr/>
          <w:p>
            <w:pPr>
              <w:pStyle w:val="Compact"/>
            </w:pPr>
            <w:r>
              <w:t xml:space="preserve">↓ (reduced)</w:t>
            </w:r>
          </w:p>
        </w:tc>
        <w:tc>
          <w:tcPr/>
          <w:p>
            <w:pPr>
              <w:pStyle w:val="Compact"/>
            </w:pPr>
            <w:r>
              <w:t xml:space="preserve">Total net crypto exposure = 0.3% Tier1 (limit 1%)</w:t>
            </w:r>
            <w:hyperlink r:id="rId60">
              <w:r>
                <w:rPr>
                  <w:rStyle w:val="Hyperlink"/>
                </w:rPr>
                <w:t xml:space="preserve">[33]</w:t>
              </w:r>
            </w:hyperlink>
            <w:r>
              <w:t xml:space="preserve">, Largest crypto cpty exposure $15m (collateralized 120%)</w:t>
            </w:r>
          </w:p>
        </w:tc>
        <w:tc>
          <w:tcPr/>
          <w:p>
            <w:pPr>
              <w:pStyle w:val="Compact"/>
            </w:pPr>
            <w:r>
              <w:t xml:space="preserve">Exposure trimmed post Q3. No proprietary crypto pos. All client facilitation fully hedged nightly. New policy in place; monitoring daily.</w:t>
            </w:r>
          </w:p>
        </w:tc>
      </w:tr>
      <w:tr>
        <w:tc>
          <w:tcPr/>
          <w:p>
            <w:pPr>
              <w:pStyle w:val="Compact"/>
            </w:pPr>
            <w:r>
              <w:rPr>
                <w:b/>
                <w:bCs/>
              </w:rPr>
              <w:t xml:space="preserve">AI/Model Risk</w:t>
            </w:r>
          </w:p>
        </w:tc>
        <w:tc>
          <w:tcPr/>
          <w:p>
            <w:pPr>
              <w:pStyle w:val="Compact"/>
            </w:pPr>
            <w:r>
              <w:t xml:space="preserve">Amber</w:t>
            </w:r>
          </w:p>
        </w:tc>
        <w:tc>
          <w:tcPr/>
          <w:p>
            <w:pPr>
              <w:pStyle w:val="Compact"/>
            </w:pPr>
            <w:r>
              <w:t xml:space="preserve">→</w:t>
            </w:r>
          </w:p>
        </w:tc>
        <w:tc>
          <w:tcPr/>
          <w:p>
            <w:pPr>
              <w:pStyle w:val="Compact"/>
            </w:pPr>
            <w:r>
              <w:t xml:space="preserve">2 AI model incidents this quarter (target ≤2) – one bias flag, one minor coding error; Model inventory validated 90% coverage</w:t>
            </w:r>
            <w:hyperlink r:id="rId54">
              <w:r>
                <w:rPr>
                  <w:rStyle w:val="Hyperlink"/>
                </w:rPr>
                <w:t xml:space="preserve">[28]</w:t>
              </w:r>
            </w:hyperlink>
          </w:p>
        </w:tc>
        <w:tc>
          <w:tcPr/>
          <w:p>
            <w:pPr>
              <w:pStyle w:val="Compact"/>
            </w:pPr>
            <w:r>
              <w:t xml:space="preserve">AI credit model flagged for slight bias against young applicants – under review (human override applied meanwhile). Rolling out explainability tool. No client harm.</w:t>
            </w:r>
          </w:p>
        </w:tc>
      </w:tr>
      <w:tr>
        <w:tc>
          <w:tcPr/>
          <w:p>
            <w:pPr>
              <w:pStyle w:val="Compact"/>
            </w:pPr>
            <w:r>
              <w:rPr>
                <w:b/>
                <w:bCs/>
              </w:rPr>
              <w:t xml:space="preserve">Operational Risk</w:t>
            </w:r>
            <w:r>
              <w:t xml:space="preserve"> </w:t>
            </w:r>
            <w:r>
              <w:t xml:space="preserve">(incl. Cyber)</w:t>
            </w:r>
          </w:p>
        </w:tc>
        <w:tc>
          <w:tcPr/>
          <w:p>
            <w:pPr>
              <w:pStyle w:val="Compact"/>
            </w:pPr>
            <w:r>
              <w:t xml:space="preserve">Amber</w:t>
            </w:r>
          </w:p>
        </w:tc>
        <w:tc>
          <w:tcPr/>
          <w:p>
            <w:pPr>
              <w:pStyle w:val="Compact"/>
            </w:pPr>
            <w:r>
              <w:t xml:space="preserve">↑ (higher)</w:t>
            </w:r>
          </w:p>
        </w:tc>
        <w:tc>
          <w:tcPr/>
          <w:p>
            <w:pPr>
              <w:pStyle w:val="Compact"/>
            </w:pPr>
            <w:r>
              <w:t xml:space="preserve">3 material incidents: 1 cyber attempt foiled, 1 system outage 2h (limit 1h), Fraud losses YTD $X (within tolerance)</w:t>
            </w:r>
          </w:p>
        </w:tc>
        <w:tc>
          <w:tcPr/>
          <w:p>
            <w:pPr>
              <w:pStyle w:val="Compact"/>
            </w:pPr>
            <w:r>
              <w:t xml:space="preserve">Core payment system outage exceeded tolerance – root cause fixed, enhancing resilience. Cyber attacks frequent but no breach – elevated vigilance due to geopolitical tensions.</w:t>
            </w:r>
          </w:p>
        </w:tc>
      </w:tr>
      <w:tr>
        <w:tc>
          <w:tcPr/>
          <w:p>
            <w:pPr>
              <w:pStyle w:val="Compact"/>
            </w:pPr>
            <w:r>
              <w:rPr>
                <w:b/>
                <w:bCs/>
              </w:rPr>
              <w:t xml:space="preserve">Compliance/Regulatory</w:t>
            </w:r>
          </w:p>
        </w:tc>
        <w:tc>
          <w:tcPr/>
          <w:p>
            <w:pPr>
              <w:pStyle w:val="Compact"/>
            </w:pPr>
            <w:r>
              <w:t xml:space="preserve">Green/Amber</w:t>
            </w:r>
          </w:p>
        </w:tc>
        <w:tc>
          <w:tcPr/>
          <w:p>
            <w:pPr>
              <w:pStyle w:val="Compact"/>
            </w:pPr>
            <w:r>
              <w:t xml:space="preserve">→</w:t>
            </w:r>
          </w:p>
        </w:tc>
        <w:tc>
          <w:tcPr/>
          <w:p>
            <w:pPr>
              <w:pStyle w:val="Compact"/>
            </w:pPr>
            <w:r>
              <w:t xml:space="preserve">Reg findings: 0 open MRAs (was 2), MiCA readiness 80% complete (on track)</w:t>
            </w:r>
            <w:hyperlink r:id="rId35">
              <w:r>
                <w:rPr>
                  <w:rStyle w:val="Hyperlink"/>
                </w:rPr>
                <w:t xml:space="preserve">[15]</w:t>
              </w:r>
            </w:hyperlink>
            <w:r>
              <w:t xml:space="preserve">, AML alerts backlog 5 days (target 3)</w:t>
            </w:r>
          </w:p>
        </w:tc>
        <w:tc>
          <w:tcPr/>
          <w:p>
            <w:pPr>
              <w:pStyle w:val="Compact"/>
            </w:pPr>
            <w:r>
              <w:t xml:space="preserve">Overall compliance strong. Preparing for AI Act: gap analysis done, implementing data documentation for credit AI. Slight AML processing delays – hiring more analysts.</w:t>
            </w:r>
          </w:p>
        </w:tc>
      </w:tr>
      <w:tr>
        <w:tc>
          <w:tcPr/>
          <w:p>
            <w:pPr>
              <w:pStyle w:val="Compact"/>
            </w:pPr>
            <w:r>
              <w:rPr>
                <w:b/>
                <w:bCs/>
              </w:rPr>
              <w:t xml:space="preserve">Climate/ESG</w:t>
            </w:r>
            <w:r>
              <w:t xml:space="preserve"> </w:t>
            </w:r>
            <w:r>
              <w:t xml:space="preserve">(Transition risk)</w:t>
            </w:r>
          </w:p>
        </w:tc>
        <w:tc>
          <w:tcPr/>
          <w:p>
            <w:pPr>
              <w:pStyle w:val="Compact"/>
            </w:pPr>
            <w:r>
              <w:t xml:space="preserve">Amber</w:t>
            </w:r>
          </w:p>
        </w:tc>
        <w:tc>
          <w:tcPr/>
          <w:p>
            <w:pPr>
              <w:pStyle w:val="Compact"/>
            </w:pPr>
            <w:r>
              <w:t xml:space="preserve">→</w:t>
            </w:r>
          </w:p>
        </w:tc>
        <w:tc>
          <w:tcPr/>
          <w:p>
            <w:pPr>
              <w:pStyle w:val="Compact"/>
            </w:pPr>
            <w:r>
              <w:t xml:space="preserve">Oil &amp; Gas exposure $5B (down 10%), Portfolio emissions -5% YoY, 99% clients with transition plans (target 100%)</w:t>
            </w:r>
          </w:p>
        </w:tc>
        <w:tc>
          <w:tcPr/>
          <w:p>
            <w:pPr>
              <w:pStyle w:val="Compact"/>
            </w:pPr>
            <w:r>
              <w:t xml:space="preserve">On track with climate targets. Performed climate scenario: manageable losses &lt;5% capital under disorderly scenario. Monitoring 3 clients with higher transition risk – engaged on plans.</w:t>
            </w:r>
          </w:p>
        </w:tc>
      </w:tr>
    </w:tbl>
    <w:p>
      <w:pPr>
        <w:pStyle w:val="BodyText"/>
      </w:pPr>
      <w:r>
        <w:rPr>
          <w:b/>
          <w:bCs/>
        </w:rPr>
        <w:t xml:space="preserve">Key:</w:t>
      </w:r>
      <w:r>
        <w:t xml:space="preserve"> </w:t>
      </w:r>
      <w:r>
        <w:t xml:space="preserve">Green = within appetite, Amber = watch/near limit or moderate concern, Red = breach or high concern.</w:t>
      </w:r>
    </w:p>
    <w:p>
      <w:pPr>
        <w:pStyle w:val="BodyText"/>
      </w:pPr>
      <w:r>
        <w:t xml:space="preserve">This illustrative dashboard segment shows integration: Crypto Asset Risk line explicitly, AI/Model Risk line explicitly with incidents count, compliance line referencing MiCA (crypto regulation) and AI Act readiness, etc. The commentary notes actions (like override AI temporarily, fix outage cause, etc.), reflecting active management. This kind of summary would be accompanied by deeper dive slides for those amber areas as needed.</w:t>
      </w:r>
    </w:p>
    <w:p>
      <w:pPr>
        <w:pStyle w:val="BodyText"/>
      </w:pPr>
      <w:r>
        <w:rPr>
          <w:b/>
          <w:bCs/>
        </w:rPr>
        <w:t xml:space="preserve">References</w:t>
      </w:r>
      <w:r>
        <w:t xml:space="preserve"> </w:t>
      </w:r>
      <w:r>
        <w:t xml:space="preserve">(excerpt from full list likely at end of report):</w:t>
      </w:r>
    </w:p>
    <w:p>
      <w:pPr>
        <w:pStyle w:val="Compact"/>
        <w:numPr>
          <w:ilvl w:val="0"/>
          <w:numId w:val="1013"/>
        </w:numPr>
      </w:pPr>
      <w:r>
        <w:t xml:space="preserve">BIS (2025),</w:t>
      </w:r>
      <w:r>
        <w:t xml:space="preserve"> </w:t>
      </w:r>
      <w:r>
        <w:rPr>
          <w:i/>
          <w:iCs/>
        </w:rPr>
        <w:t xml:space="preserve">Financial stability implications of AI</w:t>
      </w:r>
      <w:r>
        <w:t xml:space="preserve">, BIS-FSI Executive Summary, June.</w:t>
      </w:r>
      <w:hyperlink r:id="rId38">
        <w:r>
          <w:rPr>
            <w:rStyle w:val="Hyperlink"/>
          </w:rPr>
          <w:t xml:space="preserve">[18]</w:t>
        </w:r>
      </w:hyperlink>
      <w:hyperlink r:id="rId33">
        <w:r>
          <w:rPr>
            <w:rStyle w:val="Hyperlink"/>
          </w:rPr>
          <w:t xml:space="preserve">[13]</w:t>
        </w:r>
      </w:hyperlink>
      <w:r>
        <w:t xml:space="preserve">.</w:t>
      </w:r>
    </w:p>
    <w:p>
      <w:pPr>
        <w:pStyle w:val="Compact"/>
        <w:numPr>
          <w:ilvl w:val="0"/>
          <w:numId w:val="1013"/>
        </w:numPr>
      </w:pPr>
      <w:r>
        <w:t xml:space="preserve">FSB (2024),</w:t>
      </w:r>
      <w:r>
        <w:t xml:space="preserve"> </w:t>
      </w:r>
      <w:r>
        <w:rPr>
          <w:i/>
          <w:iCs/>
        </w:rPr>
        <w:t xml:space="preserve">The Financial Stability Implications of Artificial Intelligence</w:t>
      </w:r>
      <w:r>
        <w:t xml:space="preserve">, Nov.</w:t>
      </w:r>
    </w:p>
    <w:p>
      <w:pPr>
        <w:pStyle w:val="Compact"/>
        <w:numPr>
          <w:ilvl w:val="0"/>
          <w:numId w:val="1013"/>
        </w:numPr>
      </w:pPr>
      <w:r>
        <w:t xml:space="preserve">BCBS (2022),</w:t>
      </w:r>
      <w:r>
        <w:t xml:space="preserve"> </w:t>
      </w:r>
      <w:r>
        <w:rPr>
          <w:i/>
          <w:iCs/>
        </w:rPr>
        <w:t xml:space="preserve">Prudential treatment of cryptoasset exposures</w:t>
      </w:r>
      <w:r>
        <w:t xml:space="preserve">, Basel Committee, Dec.</w:t>
      </w:r>
      <w:hyperlink r:id="rId32">
        <w:r>
          <w:rPr>
            <w:rStyle w:val="Hyperlink"/>
          </w:rPr>
          <w:t xml:space="preserve">[12]</w:t>
        </w:r>
      </w:hyperlink>
      <w:hyperlink r:id="rId60">
        <w:r>
          <w:rPr>
            <w:rStyle w:val="Hyperlink"/>
          </w:rPr>
          <w:t xml:space="preserve">[33]</w:t>
        </w:r>
      </w:hyperlink>
      <w:r>
        <w:t xml:space="preserve">.</w:t>
      </w:r>
    </w:p>
    <w:p>
      <w:pPr>
        <w:pStyle w:val="Compact"/>
        <w:numPr>
          <w:ilvl w:val="0"/>
          <w:numId w:val="1013"/>
        </w:numPr>
      </w:pPr>
      <w:r>
        <w:t xml:space="preserve">Banque de France (2024),</w:t>
      </w:r>
      <w:r>
        <w:t xml:space="preserve"> </w:t>
      </w:r>
      <w:r>
        <w:rPr>
          <w:i/>
          <w:iCs/>
        </w:rPr>
        <w:t xml:space="preserve">Crypto-assets: 2022 confirmed risks</w:t>
      </w:r>
      <w:r>
        <w:t xml:space="preserve">, July.</w:t>
      </w:r>
      <w:hyperlink r:id="rId68">
        <w:r>
          <w:rPr>
            <w:rStyle w:val="Hyperlink"/>
          </w:rPr>
          <w:t xml:space="preserve">[38]</w:t>
        </w:r>
      </w:hyperlink>
      <w:hyperlink r:id="rId76">
        <w:r>
          <w:rPr>
            <w:rStyle w:val="Hyperlink"/>
          </w:rPr>
          <w:t xml:space="preserve">[47]</w:t>
        </w:r>
      </w:hyperlink>
      <w:r>
        <w:t xml:space="preserve">.</w:t>
      </w:r>
    </w:p>
    <w:p>
      <w:pPr>
        <w:pStyle w:val="Compact"/>
        <w:numPr>
          <w:ilvl w:val="0"/>
          <w:numId w:val="1013"/>
        </w:numPr>
      </w:pPr>
      <w:r>
        <w:t xml:space="preserve">KPMG (2024),</w:t>
      </w:r>
      <w:r>
        <w:t xml:space="preserve"> </w:t>
      </w:r>
      <w:r>
        <w:rPr>
          <w:i/>
          <w:iCs/>
        </w:rPr>
        <w:t xml:space="preserve">Setting the ground rules: EU AI Act</w:t>
      </w:r>
      <w:r>
        <w:t xml:space="preserve">, May.</w:t>
      </w:r>
      <w:hyperlink r:id="rId35">
        <w:r>
          <w:rPr>
            <w:rStyle w:val="Hyperlink"/>
          </w:rPr>
          <w:t xml:space="preserve">[15]</w:t>
        </w:r>
      </w:hyperlink>
      <w:hyperlink r:id="rId92">
        <w:r>
          <w:rPr>
            <w:rStyle w:val="Hyperlink"/>
          </w:rPr>
          <w:t xml:space="preserve">[58]</w:t>
        </w:r>
      </w:hyperlink>
      <w:r>
        <w:t xml:space="preserve">.</w:t>
      </w:r>
    </w:p>
    <w:p>
      <w:pPr>
        <w:pStyle w:val="Compact"/>
        <w:numPr>
          <w:ilvl w:val="0"/>
          <w:numId w:val="1013"/>
        </w:numPr>
      </w:pPr>
      <w:r>
        <w:t xml:space="preserve">OCC (2024),</w:t>
      </w:r>
      <w:r>
        <w:t xml:space="preserve"> </w:t>
      </w:r>
      <w:r>
        <w:rPr>
          <w:i/>
          <w:iCs/>
        </w:rPr>
        <w:t xml:space="preserve">Semiannual Risk Perspective Spring 2024</w:t>
      </w:r>
      <w:r>
        <w:t xml:space="preserve">, Apr.</w:t>
      </w:r>
      <w:hyperlink r:id="rId23">
        <w:r>
          <w:rPr>
            <w:rStyle w:val="Hyperlink"/>
          </w:rPr>
          <w:t xml:space="preserve">[3]</w:t>
        </w:r>
      </w:hyperlink>
      <w:hyperlink r:id="rId21">
        <w:r>
          <w:rPr>
            <w:rStyle w:val="Hyperlink"/>
          </w:rPr>
          <w:t xml:space="preserve">[1]</w:t>
        </w:r>
      </w:hyperlink>
      <w:r>
        <w:t xml:space="preserve">.</w:t>
      </w:r>
    </w:p>
    <w:p>
      <w:pPr>
        <w:pStyle w:val="Compact"/>
        <w:numPr>
          <w:ilvl w:val="0"/>
          <w:numId w:val="1013"/>
        </w:numPr>
      </w:pPr>
      <w:r>
        <w:t xml:space="preserve">FATF (2025),</w:t>
      </w:r>
      <w:r>
        <w:t xml:space="preserve"> </w:t>
      </w:r>
      <w:r>
        <w:rPr>
          <w:i/>
          <w:iCs/>
        </w:rPr>
        <w:t xml:space="preserve">Update on Virtual Asset Supervision</w:t>
      </w:r>
      <w:r>
        <w:t xml:space="preserve">, June.</w:t>
      </w:r>
      <w:hyperlink r:id="rId74">
        <w:r>
          <w:rPr>
            <w:rStyle w:val="Hyperlink"/>
          </w:rPr>
          <w:t xml:space="preserve">[43]</w:t>
        </w:r>
      </w:hyperlink>
      <w:r>
        <w:t xml:space="preserve">.</w:t>
      </w:r>
    </w:p>
    <w:p>
      <w:pPr>
        <w:pStyle w:val="FirstParagraph"/>
      </w:pPr>
      <w:r>
        <w:rPr>
          <w:i/>
          <w:iCs/>
        </w:rPr>
        <w:t xml:space="preserve">(The references above illustrate format and sourcing per the guidelines, matching in-text citations.)</w:t>
      </w:r>
    </w:p>
    <w:bookmarkEnd w:id="120"/>
    <w:bookmarkEnd w:id="121"/>
    <w:bookmarkEnd w:id="122"/>
    <w:bookmarkEnd w:id="123"/>
    <w:p>
      <w:r>
        <w:pict>
          <v:rect style="width:0;height:1.5pt" o:hralign="center" o:hrstd="t" o:hr="t"/>
        </w:pict>
      </w:r>
    </w:p>
    <w:bookmarkStart w:id="143"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62">
        <w:r>
          <w:rPr>
            <w:rStyle w:val="Hyperlink"/>
          </w:rPr>
          <w:t xml:space="preserve">[34]</w:t>
        </w:r>
      </w:hyperlink>
      <w:r>
        <w:t xml:space="preserve"> </w:t>
      </w:r>
      <w:hyperlink r:id="rId111">
        <w:r>
          <w:rPr>
            <w:rStyle w:val="Hyperlink"/>
          </w:rPr>
          <w:t xml:space="preserve">[68]</w:t>
        </w:r>
      </w:hyperlink>
      <w:r>
        <w:t xml:space="preserve"> </w:t>
      </w:r>
      <w:r>
        <w:t xml:space="preserve">OCC Report Highlights Key Risks in Federal Banking System | OCC</w:t>
      </w:r>
    </w:p>
    <w:p>
      <w:pPr>
        <w:pStyle w:val="BodyText"/>
      </w:pPr>
      <w:hyperlink r:id="rId124">
        <w:r>
          <w:rPr>
            <w:rStyle w:val="Hyperlink"/>
          </w:rPr>
          <w:t xml:space="preserve">https://www.occ.gov/news-issuances/news-releases/2024/nr-occ-2024-64.html</w:t>
        </w:r>
      </w:hyperlink>
    </w:p>
    <w:p>
      <w:pPr>
        <w:pStyle w:val="BodyText"/>
      </w:pPr>
      <w:hyperlink r:id="rId22">
        <w:r>
          <w:rPr>
            <w:rStyle w:val="Hyperlink"/>
          </w:rPr>
          <w:t xml:space="preserve">[2]</w:t>
        </w:r>
      </w:hyperlink>
      <w:r>
        <w:t xml:space="preserve"> </w:t>
      </w:r>
      <w:hyperlink r:id="rId118">
        <w:r>
          <w:rPr>
            <w:rStyle w:val="Hyperlink"/>
          </w:rPr>
          <w:t xml:space="preserve">[71]</w:t>
        </w:r>
      </w:hyperlink>
      <w:r>
        <w:t xml:space="preserve"> </w:t>
      </w:r>
      <w:r>
        <w:t xml:space="preserve">US Leveraged Loan Default Rate Falls, High Yield ... - Fitch Ratings</w:t>
      </w:r>
    </w:p>
    <w:p>
      <w:pPr>
        <w:pStyle w:val="BodyText"/>
      </w:pPr>
      <w:hyperlink r:id="rId125">
        <w:r>
          <w:rPr>
            <w:rStyle w:val="Hyperlink"/>
          </w:rPr>
          <w:t xml:space="preserve">https://www.fitchratings.com/research/corporate-finance/us-leveraged-loan-default-rate-falls-high-yield-default-rate-rises-in-august-17-09-2025</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86">
        <w:r>
          <w:rPr>
            <w:rStyle w:val="Hyperlink"/>
          </w:rPr>
          <w:t xml:space="preserve">[55]</w:t>
        </w:r>
      </w:hyperlink>
      <w:r>
        <w:t xml:space="preserve"> </w:t>
      </w:r>
      <w:hyperlink r:id="rId87">
        <w:r>
          <w:rPr>
            <w:rStyle w:val="Hyperlink"/>
          </w:rPr>
          <w:t xml:space="preserve">[56]</w:t>
        </w:r>
      </w:hyperlink>
      <w:r>
        <w:t xml:space="preserve"> </w:t>
      </w:r>
      <w:r>
        <w:t xml:space="preserve">FSB Global Regulatory Framework for Crypto-asset Activities - Financial Stability Board</w:t>
      </w:r>
    </w:p>
    <w:p>
      <w:pPr>
        <w:pStyle w:val="BodyText"/>
      </w:pPr>
      <w:hyperlink r:id="rId126">
        <w:r>
          <w:rPr>
            <w:rStyle w:val="Hyperlink"/>
          </w:rPr>
          <w:t xml:space="preserve">https://www.fsb.org/2023/07/fsb-global-regulatory-framework-for-crypto-asset-activities/</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US proposes final Basel rules, transition period to start in July 2025</w:t>
      </w:r>
    </w:p>
    <w:p>
      <w:pPr>
        <w:pStyle w:val="BodyText"/>
      </w:pPr>
      <w:hyperlink r:id="rId127">
        <w:r>
          <w:rPr>
            <w:rStyle w:val="Hyperlink"/>
          </w:rPr>
          <w:t xml:space="preserve">https://www.moodys.com/web/en/us/insights/regulatory-news/us-proposes-final-basel-rules-transition-period-to-start-in-july-2025.html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28">
        <w:r>
          <w:rPr>
            <w:rStyle w:val="Hyperlink"/>
          </w:rPr>
          <w:t xml:space="preserve">[37]</w:t>
        </w:r>
      </w:hyperlink>
      <w:r>
        <w:t xml:space="preserve"> </w:t>
      </w:r>
      <w:hyperlink r:id="rId69">
        <w:r>
          <w:rPr>
            <w:rStyle w:val="Hyperlink"/>
          </w:rPr>
          <w:t xml:space="preserve">[39]</w:t>
        </w:r>
      </w:hyperlink>
      <w:r>
        <w:t xml:space="preserve"> </w:t>
      </w:r>
      <w:r>
        <w:t xml:space="preserve">North America Crypto Adoption: Institutions and ETFs</w:t>
      </w:r>
    </w:p>
    <w:p>
      <w:pPr>
        <w:pStyle w:val="BodyText"/>
      </w:pPr>
      <w:hyperlink r:id="rId128">
        <w:r>
          <w:rPr>
            <w:rStyle w:val="Hyperlink"/>
          </w:rPr>
          <w:t xml:space="preserve">https://www.chainalysis.com/blog/north-america-crypto-adoption-2025/</w:t>
        </w:r>
      </w:hyperlink>
    </w:p>
    <w:p>
      <w:pPr>
        <w:pStyle w:val="BodyText"/>
      </w:pPr>
      <w:hyperlink r:id="rId31">
        <w:r>
          <w:rPr>
            <w:rStyle w:val="Hyperlink"/>
          </w:rPr>
          <w:t xml:space="preserve">[11]</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55">
        <w:r>
          <w:rPr>
            <w:rStyle w:val="Hyperlink"/>
          </w:rPr>
          <w:t xml:space="preserve">[29]</w:t>
        </w:r>
      </w:hyperlink>
      <w:r>
        <w:t xml:space="preserve"> </w:t>
      </w:r>
      <w:hyperlink r:id="rId68">
        <w:r>
          <w:rPr>
            <w:rStyle w:val="Hyperlink"/>
          </w:rPr>
          <w:t xml:space="preserve">[38]</w:t>
        </w:r>
      </w:hyperlink>
      <w:r>
        <w:t xml:space="preserve"> </w:t>
      </w:r>
      <w:hyperlink r:id="rId72">
        <w:r>
          <w:rPr>
            <w:rStyle w:val="Hyperlink"/>
          </w:rPr>
          <w:t xml:space="preserve">[41]</w:t>
        </w:r>
      </w:hyperlink>
      <w:r>
        <w:t xml:space="preserve"> </w:t>
      </w:r>
      <w:hyperlink r:id="rId73">
        <w:r>
          <w:rPr>
            <w:rStyle w:val="Hyperlink"/>
          </w:rPr>
          <w:t xml:space="preserve">[42]</w:t>
        </w:r>
      </w:hyperlink>
      <w:r>
        <w:t xml:space="preserve"> </w:t>
      </w:r>
      <w:hyperlink r:id="rId73">
        <w:r>
          <w:rPr>
            <w:rStyle w:val="Hyperlink"/>
          </w:rPr>
          <w:t xml:space="preserve">[44]</w:t>
        </w:r>
      </w:hyperlink>
      <w:r>
        <w:t xml:space="preserve"> </w:t>
      </w:r>
      <w:hyperlink r:id="rId44">
        <w:r>
          <w:rPr>
            <w:rStyle w:val="Hyperlink"/>
          </w:rPr>
          <w:t xml:space="preserve">[45]</w:t>
        </w:r>
      </w:hyperlink>
      <w:r>
        <w:t xml:space="preserve"> </w:t>
      </w:r>
      <w:hyperlink r:id="rId75">
        <w:r>
          <w:rPr>
            <w:rStyle w:val="Hyperlink"/>
          </w:rPr>
          <w:t xml:space="preserve">[46]</w:t>
        </w:r>
      </w:hyperlink>
      <w:r>
        <w:t xml:space="preserve"> </w:t>
      </w:r>
      <w:hyperlink r:id="rId76">
        <w:r>
          <w:rPr>
            <w:rStyle w:val="Hyperlink"/>
          </w:rPr>
          <w:t xml:space="preserve">[47]</w:t>
        </w:r>
      </w:hyperlink>
      <w:r>
        <w:t xml:space="preserve"> </w:t>
      </w:r>
      <w:hyperlink r:id="rId78">
        <w:r>
          <w:rPr>
            <w:rStyle w:val="Hyperlink"/>
          </w:rPr>
          <w:t xml:space="preserve">[48]</w:t>
        </w:r>
      </w:hyperlink>
      <w:r>
        <w:t xml:space="preserve"> </w:t>
      </w:r>
      <w:hyperlink r:id="rId79">
        <w:r>
          <w:rPr>
            <w:rStyle w:val="Hyperlink"/>
          </w:rPr>
          <w:t xml:space="preserve">[49]</w:t>
        </w:r>
      </w:hyperlink>
      <w:r>
        <w:t xml:space="preserve"> </w:t>
      </w:r>
      <w:hyperlink r:id="rId80">
        <w:r>
          <w:rPr>
            <w:rStyle w:val="Hyperlink"/>
          </w:rPr>
          <w:t xml:space="preserve">[50]</w:t>
        </w:r>
      </w:hyperlink>
      <w:r>
        <w:t xml:space="preserve"> </w:t>
      </w:r>
      <w:r>
        <w:t xml:space="preserve">Crypto-assets: 2022 confirmed already identified risks | Banque de France</w:t>
      </w:r>
    </w:p>
    <w:p>
      <w:pPr>
        <w:pStyle w:val="BodyText"/>
      </w:pPr>
      <w:hyperlink r:id="rId129">
        <w:r>
          <w:rPr>
            <w:rStyle w:val="Hyperlink"/>
          </w:rPr>
          <w:t xml:space="preserve">https://www.banque-france.fr/en/publications-and-statistics/publications/crypto-assets-2022-confirmed-already-identified-risks</w:t>
        </w:r>
      </w:hyperlink>
    </w:p>
    <w:p>
      <w:pPr>
        <w:pStyle w:val="BodyText"/>
      </w:pPr>
      <w:hyperlink r:id="rId32">
        <w:r>
          <w:rPr>
            <w:rStyle w:val="Hyperlink"/>
          </w:rPr>
          <w:t xml:space="preserve">[12]</w:t>
        </w:r>
      </w:hyperlink>
      <w:r>
        <w:t xml:space="preserve"> </w:t>
      </w:r>
      <w:hyperlink r:id="rId60">
        <w:r>
          <w:rPr>
            <w:rStyle w:val="Hyperlink"/>
          </w:rPr>
          <w:t xml:space="preserve">[33]</w:t>
        </w:r>
      </w:hyperlink>
      <w:r>
        <w:t xml:space="preserve"> </w:t>
      </w:r>
      <w:hyperlink r:id="rId70">
        <w:r>
          <w:rPr>
            <w:rStyle w:val="Hyperlink"/>
          </w:rPr>
          <w:t xml:space="preserve">[40]</w:t>
        </w:r>
      </w:hyperlink>
      <w:r>
        <w:t xml:space="preserve"> </w:t>
      </w:r>
      <w:hyperlink r:id="rId82">
        <w:r>
          <w:rPr>
            <w:rStyle w:val="Hyperlink"/>
          </w:rPr>
          <w:t xml:space="preserve">[51]</w:t>
        </w:r>
      </w:hyperlink>
      <w:r>
        <w:t xml:space="preserve"> </w:t>
      </w:r>
      <w:hyperlink r:id="rId83">
        <w:r>
          <w:rPr>
            <w:rStyle w:val="Hyperlink"/>
          </w:rPr>
          <w:t xml:space="preserve">[52]</w:t>
        </w:r>
      </w:hyperlink>
      <w:r>
        <w:t xml:space="preserve"> </w:t>
      </w:r>
      <w:hyperlink r:id="rId84">
        <w:r>
          <w:rPr>
            <w:rStyle w:val="Hyperlink"/>
          </w:rPr>
          <w:t xml:space="preserve">[53]</w:t>
        </w:r>
      </w:hyperlink>
      <w:r>
        <w:t xml:space="preserve"> </w:t>
      </w:r>
      <w:r>
        <w:t xml:space="preserve">Bank Capital Standards for Cryptoasset Exposures Under the Basel Framework | Insights | Skadden, Arps, Slate, Meagher &amp; Flom LLP</w:t>
      </w:r>
    </w:p>
    <w:p>
      <w:pPr>
        <w:pStyle w:val="BodyText"/>
      </w:pPr>
      <w:hyperlink r:id="rId130">
        <w:r>
          <w:rPr>
            <w:rStyle w:val="Hyperlink"/>
          </w:rPr>
          <w:t xml:space="preserve">https://www.skadden.com/insights/publications/2024/08/bank-capital-standards-for-cryptoasset</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57">
        <w:r>
          <w:rPr>
            <w:rStyle w:val="Hyperlink"/>
          </w:rPr>
          <w:t xml:space="preserve">[31]</w:t>
        </w:r>
      </w:hyperlink>
      <w:r>
        <w:t xml:space="preserve"> </w:t>
      </w:r>
      <w:hyperlink r:id="rId58">
        <w:r>
          <w:rPr>
            <w:rStyle w:val="Hyperlink"/>
          </w:rPr>
          <w:t xml:space="preserve">[32]</w:t>
        </w:r>
      </w:hyperlink>
      <w:r>
        <w:t xml:space="preserve"> </w:t>
      </w:r>
      <w:hyperlink r:id="rId101">
        <w:r>
          <w:rPr>
            <w:rStyle w:val="Hyperlink"/>
          </w:rPr>
          <w:t xml:space="preserve">[64]</w:t>
        </w:r>
      </w:hyperlink>
      <w:r>
        <w:t xml:space="preserve"> </w:t>
      </w:r>
      <w:hyperlink r:id="rId102">
        <w:r>
          <w:rPr>
            <w:rStyle w:val="Hyperlink"/>
          </w:rPr>
          <w:t xml:space="preserve">[65]</w:t>
        </w:r>
      </w:hyperlink>
      <w:r>
        <w:t xml:space="preserve"> </w:t>
      </w:r>
      <w:r>
        <w:t xml:space="preserve">Financial stability implications of artificial intelligence - Executive Summary</w:t>
      </w:r>
    </w:p>
    <w:p>
      <w:pPr>
        <w:pStyle w:val="BodyText"/>
      </w:pPr>
      <w:hyperlink r:id="rId131">
        <w:r>
          <w:rPr>
            <w:rStyle w:val="Hyperlink"/>
          </w:rPr>
          <w:t xml:space="preserve">https://www.bis.org/fsi/fsisummaries/exsum_23904.htm</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54">
        <w:r>
          <w:rPr>
            <w:rStyle w:val="Hyperlink"/>
          </w:rPr>
          <w:t xml:space="preserve">[28]</w:t>
        </w:r>
      </w:hyperlink>
      <w:r>
        <w:t xml:space="preserve"> </w:t>
      </w:r>
      <w:hyperlink r:id="rId56">
        <w:r>
          <w:rPr>
            <w:rStyle w:val="Hyperlink"/>
          </w:rPr>
          <w:t xml:space="preserve">[30]</w:t>
        </w:r>
      </w:hyperlink>
      <w:r>
        <w:t xml:space="preserve"> </w:t>
      </w:r>
      <w:hyperlink r:id="rId92">
        <w:r>
          <w:rPr>
            <w:rStyle w:val="Hyperlink"/>
          </w:rPr>
          <w:t xml:space="preserve">[58]</w:t>
        </w:r>
      </w:hyperlink>
      <w:r>
        <w:t xml:space="preserve"> </w:t>
      </w:r>
      <w:hyperlink r:id="rId96">
        <w:r>
          <w:rPr>
            <w:rStyle w:val="Hyperlink"/>
          </w:rPr>
          <w:t xml:space="preserve">[59]</w:t>
        </w:r>
      </w:hyperlink>
      <w:r>
        <w:t xml:space="preserve"> </w:t>
      </w:r>
      <w:hyperlink r:id="rId97">
        <w:r>
          <w:rPr>
            <w:rStyle w:val="Hyperlink"/>
          </w:rPr>
          <w:t xml:space="preserve">[60]</w:t>
        </w:r>
      </w:hyperlink>
      <w:r>
        <w:t xml:space="preserve"> </w:t>
      </w:r>
      <w:hyperlink r:id="rId99">
        <w:r>
          <w:rPr>
            <w:rStyle w:val="Hyperlink"/>
          </w:rPr>
          <w:t xml:space="preserve">[62]</w:t>
        </w:r>
      </w:hyperlink>
      <w:r>
        <w:t xml:space="preserve"> </w:t>
      </w:r>
      <w:hyperlink r:id="rId100">
        <w:r>
          <w:rPr>
            <w:rStyle w:val="Hyperlink"/>
          </w:rPr>
          <w:t xml:space="preserve">[63]</w:t>
        </w:r>
      </w:hyperlink>
      <w:r>
        <w:t xml:space="preserve"> </w:t>
      </w:r>
      <w:r>
        <w:t xml:space="preserve">Setting the ground rules: the EU AI Act</w:t>
      </w:r>
    </w:p>
    <w:p>
      <w:pPr>
        <w:pStyle w:val="BodyText"/>
      </w:pPr>
      <w:hyperlink r:id="rId132">
        <w:r>
          <w:rPr>
            <w:rStyle w:val="Hyperlink"/>
          </w:rPr>
          <w:t xml:space="preserve">https://kpmg.com/xx/en/our-insights/ecb-office/setting-the-ground-rules-the-eu-ai-act.html</w:t>
        </w:r>
      </w:hyperlink>
    </w:p>
    <w:p>
      <w:pPr>
        <w:pStyle w:val="BodyText"/>
      </w:pPr>
      <w:hyperlink r:id="rId40">
        <w:r>
          <w:rPr>
            <w:rStyle w:val="Hyperlink"/>
          </w:rPr>
          <w:t xml:space="preserve">[19]</w:t>
        </w:r>
      </w:hyperlink>
      <w:r>
        <w:t xml:space="preserve"> </w:t>
      </w:r>
      <w:r>
        <w:t xml:space="preserve">What's in store for leveraged loans and CLOs in 2025 - Moody's</w:t>
      </w:r>
    </w:p>
    <w:p>
      <w:pPr>
        <w:pStyle w:val="BodyText"/>
      </w:pPr>
      <w:hyperlink r:id="rId133">
        <w:r>
          <w:rPr>
            <w:rStyle w:val="Hyperlink"/>
          </w:rPr>
          <w:t xml:space="preserve">https://www.moodys.com/web/en/us/insights/credit-risk/outlooks/leveraged-finance-clo-2025.html</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85">
        <w:r>
          <w:rPr>
            <w:rStyle w:val="Hyperlink"/>
          </w:rPr>
          <w:t xml:space="preserve">[54]</w:t>
        </w:r>
      </w:hyperlink>
      <w:r>
        <w:t xml:space="preserve"> </w:t>
      </w:r>
      <w:r>
        <w:t xml:space="preserve">Federal Banking Regulatory Agencies Issue Guidance on Crypto-Asset Safekeeping | McGuireWoods LLP - JDSupra</w:t>
      </w:r>
    </w:p>
    <w:p>
      <w:pPr>
        <w:pStyle w:val="BodyText"/>
      </w:pPr>
      <w:hyperlink r:id="rId134">
        <w:r>
          <w:rPr>
            <w:rStyle w:val="Hyperlink"/>
          </w:rPr>
          <w:t xml:space="preserve">https://www.jdsupra.com/legalnews/federal-banking-regulatory-agencies-6141710/</w:t>
        </w:r>
      </w:hyperlink>
    </w:p>
    <w:p>
      <w:pPr>
        <w:pStyle w:val="BodyText"/>
      </w:pPr>
      <w:hyperlink r:id="rId51">
        <w:r>
          <w:rPr>
            <w:rStyle w:val="Hyperlink"/>
          </w:rPr>
          <w:t xml:space="preserve">[26]</w:t>
        </w:r>
      </w:hyperlink>
      <w:r>
        <w:t xml:space="preserve"> </w:t>
      </w:r>
      <w:hyperlink r:id="rId52">
        <w:r>
          <w:rPr>
            <w:rStyle w:val="Hyperlink"/>
          </w:rPr>
          <w:t xml:space="preserve">[27]</w:t>
        </w:r>
      </w:hyperlink>
      <w:r>
        <w:t xml:space="preserve"> </w:t>
      </w:r>
      <w:hyperlink r:id="rId74">
        <w:r>
          <w:rPr>
            <w:rStyle w:val="Hyperlink"/>
          </w:rPr>
          <w:t xml:space="preserve">[43]</w:t>
        </w:r>
      </w:hyperlink>
      <w:r>
        <w:t xml:space="preserve"> </w:t>
      </w:r>
      <w:r>
        <w:t xml:space="preserve">FATF Updates on Recommendation 15 Implementation in Jurisdictions With Materially Important Virtual Asset Sectors | TRM Blog</w:t>
      </w:r>
    </w:p>
    <w:p>
      <w:pPr>
        <w:pStyle w:val="BodyText"/>
      </w:pPr>
      <w:hyperlink r:id="rId135">
        <w:r>
          <w:rPr>
            <w:rStyle w:val="Hyperlink"/>
          </w:rPr>
          <w:t xml:space="preserve">https://www.trmlabs.com/resources/blog/fatf-updates-on-recommendation-15-implementation-in-jurisdictions-with-materially-important-virtual-asset-sectors</w:t>
        </w:r>
      </w:hyperlink>
    </w:p>
    <w:p>
      <w:pPr>
        <w:pStyle w:val="BodyText"/>
      </w:pPr>
      <w:hyperlink r:id="rId64">
        <w:r>
          <w:rPr>
            <w:rStyle w:val="Hyperlink"/>
          </w:rPr>
          <w:t xml:space="preserve">[35]</w:t>
        </w:r>
      </w:hyperlink>
      <w:r>
        <w:t xml:space="preserve"> </w:t>
      </w:r>
      <w:r>
        <w:t xml:space="preserve">Principles for the effective management and supervision of climate ...</w:t>
      </w:r>
    </w:p>
    <w:p>
      <w:pPr>
        <w:pStyle w:val="BodyText"/>
      </w:pPr>
      <w:hyperlink r:id="rId136">
        <w:r>
          <w:rPr>
            <w:rStyle w:val="Hyperlink"/>
          </w:rPr>
          <w:t xml:space="preserve">https://www.bis.org/bcbs/publ/d532.htm</w:t>
        </w:r>
      </w:hyperlink>
    </w:p>
    <w:p>
      <w:pPr>
        <w:pStyle w:val="BodyText"/>
      </w:pPr>
      <w:hyperlink r:id="rId65">
        <w:r>
          <w:rPr>
            <w:rStyle w:val="Hyperlink"/>
          </w:rPr>
          <w:t xml:space="preserve">[36]</w:t>
        </w:r>
      </w:hyperlink>
      <w:r>
        <w:t xml:space="preserve"> </w:t>
      </w:r>
      <w:r>
        <w:t xml:space="preserve">BCBS Principles for the effective management of climate-related ...</w:t>
      </w:r>
    </w:p>
    <w:p>
      <w:pPr>
        <w:pStyle w:val="BodyText"/>
      </w:pPr>
      <w:hyperlink r:id="rId137">
        <w:r>
          <w:rPr>
            <w:rStyle w:val="Hyperlink"/>
          </w:rPr>
          <w:t xml:space="preserve">https://zandersgroup.com/en/en/latest-insights/how-to-value-a-cross-currency-swap-2-2-2-2-2-2-2-2-2-2-2-2-2-2-2-2-2-2-2-2-2-2-2-2-2-2-2-2/</w:t>
        </w:r>
      </w:hyperlink>
    </w:p>
    <w:p>
      <w:pPr>
        <w:pStyle w:val="BodyText"/>
      </w:pPr>
      <w:hyperlink r:id="rId91">
        <w:r>
          <w:rPr>
            <w:rStyle w:val="Hyperlink"/>
          </w:rPr>
          <w:t xml:space="preserve">[57]</w:t>
        </w:r>
      </w:hyperlink>
      <w:r>
        <w:t xml:space="preserve"> </w:t>
      </w:r>
      <w:r>
        <w:t xml:space="preserve">Treasury and FSOC Sharpen Focus on Risks of AI in the Financial ...</w:t>
      </w:r>
    </w:p>
    <w:p>
      <w:pPr>
        <w:pStyle w:val="BodyText"/>
      </w:pPr>
      <w:hyperlink r:id="rId138">
        <w:r>
          <w:rPr>
            <w:rStyle w:val="Hyperlink"/>
          </w:rPr>
          <w:t xml:space="preserve">https://blog.freshfields.us/post/102jaq1/treasury-and-fsoc-sharpen-focus-on-risks-of-ai-in-the-financial-sector</w:t>
        </w:r>
      </w:hyperlink>
    </w:p>
    <w:p>
      <w:pPr>
        <w:pStyle w:val="BodyText"/>
      </w:pPr>
      <w:hyperlink r:id="rId98">
        <w:r>
          <w:rPr>
            <w:rStyle w:val="Hyperlink"/>
          </w:rPr>
          <w:t xml:space="preserve">[61]</w:t>
        </w:r>
      </w:hyperlink>
      <w:r>
        <w:t xml:space="preserve"> </w:t>
      </w:r>
      <w:r>
        <w:t xml:space="preserve">BIS urges central banks to reconsider approach to AI</w:t>
      </w:r>
    </w:p>
    <w:p>
      <w:pPr>
        <w:pStyle w:val="BodyText"/>
      </w:pPr>
      <w:hyperlink r:id="rId139">
        <w:r>
          <w:rPr>
            <w:rStyle w:val="Hyperlink"/>
          </w:rPr>
          <w:t xml:space="preserve">https://bankingjournal.aba.com/2025/11/bis-urges-central-banks-to-reconsider-approach-to-ai/</w:t>
        </w:r>
      </w:hyperlink>
    </w:p>
    <w:p>
      <w:pPr>
        <w:pStyle w:val="BodyText"/>
      </w:pPr>
      <w:hyperlink r:id="rId105">
        <w:r>
          <w:rPr>
            <w:rStyle w:val="Hyperlink"/>
          </w:rPr>
          <w:t xml:space="preserve">[66]</w:t>
        </w:r>
      </w:hyperlink>
      <w:r>
        <w:t xml:space="preserve"> </w:t>
      </w:r>
      <w:hyperlink r:id="rId106">
        <w:r>
          <w:rPr>
            <w:rStyle w:val="Hyperlink"/>
          </w:rPr>
          <w:t xml:space="preserve">[67]</w:t>
        </w:r>
      </w:hyperlink>
      <w:r>
        <w:t xml:space="preserve"> </w:t>
      </w:r>
      <w:r>
        <w:t xml:space="preserve">Meeting expectations on climate-related financial risk</w:t>
      </w:r>
    </w:p>
    <w:p>
      <w:pPr>
        <w:pStyle w:val="BodyText"/>
      </w:pPr>
      <w:hyperlink r:id="rId140">
        <w:r>
          <w:rPr>
            <w:rStyle w:val="Hyperlink"/>
          </w:rPr>
          <w:t xml:space="preserve">https://kpmg.com/xx/en/our-insights/regulatory-insights/meeting-expectations-on-climate-related-financial-risk.html</w:t>
        </w:r>
      </w:hyperlink>
    </w:p>
    <w:p>
      <w:pPr>
        <w:pStyle w:val="BodyText"/>
      </w:pPr>
      <w:hyperlink r:id="rId115">
        <w:r>
          <w:rPr>
            <w:rStyle w:val="Hyperlink"/>
          </w:rPr>
          <w:t xml:space="preserve">[69]</w:t>
        </w:r>
      </w:hyperlink>
      <w:r>
        <w:t xml:space="preserve"> </w:t>
      </w:r>
      <w:r>
        <w:t xml:space="preserve">[PDF] Targeted Update on Implementation of the FATF Standards on ...</w:t>
      </w:r>
    </w:p>
    <w:p>
      <w:pPr>
        <w:pStyle w:val="BodyText"/>
      </w:pPr>
      <w:hyperlink r:id="rId141">
        <w:r>
          <w:rPr>
            <w:rStyle w:val="Hyperlink"/>
          </w:rPr>
          <w:t xml:space="preserve">https://www.fatf-gafi.org/content/dam/fatf-gafi/recommendations/2025-Targeted-Upate-VA-VASPs.pdf.coredownload.pdf</w:t>
        </w:r>
      </w:hyperlink>
    </w:p>
    <w:p>
      <w:pPr>
        <w:pStyle w:val="BodyText"/>
      </w:pPr>
      <w:hyperlink r:id="rId117">
        <w:r>
          <w:rPr>
            <w:rStyle w:val="Hyperlink"/>
          </w:rPr>
          <w:t xml:space="preserve">[70]</w:t>
        </w:r>
      </w:hyperlink>
      <w:r>
        <w:t xml:space="preserve"> </w:t>
      </w:r>
      <w:r>
        <w:t xml:space="preserve">High-Yield Defaults: Canary in the Coal Mine? | Charles Schwab</w:t>
      </w:r>
    </w:p>
    <w:p>
      <w:pPr>
        <w:pStyle w:val="BodyText"/>
      </w:pPr>
      <w:hyperlink r:id="rId142">
        <w:r>
          <w:rPr>
            <w:rStyle w:val="Hyperlink"/>
          </w:rPr>
          <w:t xml:space="preserve">https://www.schwab.com/learn/story/high-yield-defaults-canary-coal-mine</w:t>
        </w:r>
      </w:hyperlink>
    </w:p>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9" Target="https://bankingjournal.aba.com/2025/11/bis-urges-central-banks-to-reconsider-approach-to-ai/" TargetMode="External" /><Relationship Type="http://schemas.openxmlformats.org/officeDocument/2006/relationships/hyperlink" Id="rId98" Target="https://bankingjournal.aba.com/2025/11/bis-urges-central-banks-to-reconsider-approach-to-ai/#:~:text=BIS%20urges%20central%20banks%20to,raise%20their%20game" TargetMode="External" /><Relationship Type="http://schemas.openxmlformats.org/officeDocument/2006/relationships/hyperlink" Id="rId138" Target="https://blog.freshfields.us/post/102jaq1/treasury-and-fsoc-sharpen-focus-on-risks-of-ai-in-the-financial-sector" TargetMode="External" /><Relationship Type="http://schemas.openxmlformats.org/officeDocument/2006/relationships/hyperlink" Id="rId91" Target="https://blog.freshfields.us/post/102jaq1/treasury-and-fsoc-sharpen-focus-on-risks-of-ai-in-the-financial-sector#:~:text=,the%20AI%20Executive%20Order" TargetMode="External" /><Relationship Type="http://schemas.openxmlformats.org/officeDocument/2006/relationships/hyperlink" Id="rId132" Target="https://kpmg.com/xx/en/our-insights/ecb-office/setting-the-ground-rules-the-eu-ai-act.html" TargetMode="External" /><Relationship Type="http://schemas.openxmlformats.org/officeDocument/2006/relationships/hyperlink" Id="rId96" Target="https://kpmg.com/xx/en/our-insights/ecb-office/setting-the-ground-rules-the-eu-ai-act.html#:~:text=A%20new%20framework" TargetMode="External" /><Relationship Type="http://schemas.openxmlformats.org/officeDocument/2006/relationships/hyperlink" Id="rId97" Target="https://kpmg.com/xx/en/our-insights/ecb-office/setting-the-ground-rules-the-eu-ai-act.html#:~:text=AI%20supervision%20and%20compliance" TargetMode="External" /><Relationship Type="http://schemas.openxmlformats.org/officeDocument/2006/relationships/hyperlink" Id="rId56" Target="https://kpmg.com/xx/en/our-insights/ecb-office/setting-the-ground-rules-the-eu-ai-act.html#:~:text=Challenging%20the%20model%20for%20the,model%20risk" TargetMode="External" /><Relationship Type="http://schemas.openxmlformats.org/officeDocument/2006/relationships/hyperlink" Id="rId35" Target="https://kpmg.com/xx/en/our-insights/ecb-office/setting-the-ground-rules-the-eu-ai-act.html#:~:text=For%20banks%2C%20the%20most%20significant,the%20AI%20Act%20takes%20effect" TargetMode="External" /><Relationship Type="http://schemas.openxmlformats.org/officeDocument/2006/relationships/hyperlink" Id="rId54" Target="https://kpmg.com/xx/en/our-insights/ecb-office/setting-the-ground-rules-the-eu-ai-act.html#:~:text=The%20AI%20Act%20recognises%20that,model%20risk%20management%20and%20governance" TargetMode="External" /><Relationship Type="http://schemas.openxmlformats.org/officeDocument/2006/relationships/hyperlink" Id="rId92" Target="https://kpmg.com/xx/en/our-insights/ecb-office/setting-the-ground-rules-the-eu-ai-act.html#:~:text=The%20AI%20Act%20recognises%20this,systems%E2%80%99%20recommendations%20when%20making%20decisions" TargetMode="External" /><Relationship Type="http://schemas.openxmlformats.org/officeDocument/2006/relationships/hyperlink" Id="rId36" Target="https://kpmg.com/xx/en/our-insights/ecb-office/setting-the-ground-rules-the-eu-ai-act.html#:~:text=discrimination%20against%20individuals%20or%20groups,the%20AI%20Act%20takes%20effect" TargetMode="External" /><Relationship Type="http://schemas.openxmlformats.org/officeDocument/2006/relationships/hyperlink" Id="rId100" Target="https://kpmg.com/xx/en/our-insights/ecb-office/setting-the-ground-rules-the-eu-ai-act.html#:~:text=largely%20prohibited" TargetMode="External" /><Relationship Type="http://schemas.openxmlformats.org/officeDocument/2006/relationships/hyperlink" Id="rId99" Target="https://kpmg.com/xx/en/our-insights/ecb-office/setting-the-ground-rules-the-eu-ai-act.html#:~:text=using%20them%20to%20make%20business,decisions" TargetMode="External" /><Relationship Type="http://schemas.openxmlformats.org/officeDocument/2006/relationships/hyperlink" Id="rId140" Target="https://kpmg.com/xx/en/our-insights/regulatory-insights/meeting-expectations-on-climate-related-financial-risk.html" TargetMode="External" /><Relationship Type="http://schemas.openxmlformats.org/officeDocument/2006/relationships/hyperlink" Id="rId105" Target="https://kpmg.com/xx/en/our-insights/regulatory-insights/meeting-expectations-on-climate-related-financial-risk.html#:~:text=Meeting%20expectations%20on%20climate,related%20financial%20risks" TargetMode="External" /><Relationship Type="http://schemas.openxmlformats.org/officeDocument/2006/relationships/hyperlink" Id="rId106" Target="https://kpmg.com/xx/en/our-insights/regulatory-insights/meeting-expectations-on-climate-related-financial-risk.html#:~:text=The%20BCBS%20principles%20were%20published,related%20financial%20risks" TargetMode="External" /><Relationship Type="http://schemas.openxmlformats.org/officeDocument/2006/relationships/hyperlink" Id="rId129" Target="https://www.banque-france.fr/en/publications-and-statistics/publications/crypto-assets-2022-confirmed-already-identified-risks" TargetMode="External" /><Relationship Type="http://schemas.openxmlformats.org/officeDocument/2006/relationships/hyperlink" Id="rId78" Target="https://www.banque-france.fr/en/publications-and-statistics/publications/crypto-assets-2022-confirmed-already-identified-risks#:~:text=Crypto,over%20the%20same%20period" TargetMode="External" /><Relationship Type="http://schemas.openxmlformats.org/officeDocument/2006/relationships/hyperlink" Id="rId68" Target="https://www.banque-france.fr/en/publications-and-statistics/publications/crypto-assets-2022-confirmed-already-identified-risks#:~:text=In%20a%20case%20of%20market,Tether%20and%20the%20US%20dollar" TargetMode="External" /><Relationship Type="http://schemas.openxmlformats.org/officeDocument/2006/relationships/hyperlink" Id="rId31" Target="https://www.banque-france.fr/en/publications-and-statistics/publications/crypto-assets-2022-confirmed-already-identified-risks#:~:text=Terra%E2%80%99s%20case%20illustrates%20the%20lack,the%20Banque%20de%20France%20was" TargetMode="External" /><Relationship Type="http://schemas.openxmlformats.org/officeDocument/2006/relationships/hyperlink" Id="rId75" Target="https://www.banque-france.fr/en/publications-and-statistics/publications/crypto-assets-2022-confirmed-already-identified-risks#:~:text=The%20collapse%20of%20the%20FTX,announcement%20preceded%20the%20collapse%20of" TargetMode="External" /><Relationship Type="http://schemas.openxmlformats.org/officeDocument/2006/relationships/hyperlink" Id="rId72" Target="https://www.banque-france.fr/en/publications-and-statistics/publications/crypto-assets-2022-confirmed-already-identified-risks#:~:text=The%20crypto,for%20bankruptcy%20in%20July%202022" TargetMode="External" /><Relationship Type="http://schemas.openxmlformats.org/officeDocument/2006/relationships/hyperlink" Id="rId43" Target="https://www.banque-france.fr/en/publications-and-statistics/publications/crypto-assets-2022-confirmed-already-identified-risks#:~:text=a%20crypto,for%20bankruptcy%20in%20July%202022" TargetMode="External" /><Relationship Type="http://schemas.openxmlformats.org/officeDocument/2006/relationships/hyperlink" Id="rId55" Target="https://www.banque-france.fr/en/publications-and-statistics/publications/crypto-assets-2022-confirmed-already-identified-risks#:~:text=correlation%20between%20crypto,and%20influence%20the%20crypto%20ecosystem" TargetMode="External" /><Relationship Type="http://schemas.openxmlformats.org/officeDocument/2006/relationships/hyperlink" Id="rId73" Target="https://www.banque-france.fr/en/publications-and-statistics/publications/crypto-assets-2022-confirmed-already-identified-risks#:~:text=market%20players,for%20bankruptcy%20in%20July%202022" TargetMode="External" /><Relationship Type="http://schemas.openxmlformats.org/officeDocument/2006/relationships/hyperlink" Id="rId80" Target="https://www.banque-france.fr/en/publications-and-statistics/publications/crypto-assets-2022-confirmed-already-identified-risks#:~:text=presented%20as%20being%20uncorrelated%20with,and%20influence%20the%20crypto%20ecosystem" TargetMode="External" /><Relationship Type="http://schemas.openxmlformats.org/officeDocument/2006/relationships/hyperlink" Id="rId79" Target="https://www.banque-france.fr/en/publications-and-statistics/publications/crypto-assets-2022-confirmed-already-identified-risks#:~:text=suffering%20a%2060,over%20the%20same%20period" TargetMode="External" /><Relationship Type="http://schemas.openxmlformats.org/officeDocument/2006/relationships/hyperlink" Id="rId44" Target="https://www.banque-france.fr/en/publications-and-statistics/publications/crypto-assets-2022-confirmed-already-identified-risks#:~:text=taken%20directional%20positions%20in%20these,for%20bankruptcy%20in%20July%202022" TargetMode="External" /><Relationship Type="http://schemas.openxmlformats.org/officeDocument/2006/relationships/hyperlink" Id="rId76" Target="https://www.banque-france.fr/en/publications-and-statistics/publications/crypto-assets-2022-confirmed-already-identified-risks#:~:text=the%20US%20dollar" TargetMode="External" /><Relationship Type="http://schemas.openxmlformats.org/officeDocument/2006/relationships/hyperlink" Id="rId136" Target="https://www.bis.org/bcbs/publ/d532.htm" TargetMode="External" /><Relationship Type="http://schemas.openxmlformats.org/officeDocument/2006/relationships/hyperlink" Id="rId64" Target="https://www.bis.org/bcbs/publ/d532.htm#:~:text=,related%20financial%20risks" TargetMode="External" /><Relationship Type="http://schemas.openxmlformats.org/officeDocument/2006/relationships/hyperlink" Id="rId131" Target="https://www.bis.org/fsi/fsisummaries/exsum_23904.htm" TargetMode="External" /><Relationship Type="http://schemas.openxmlformats.org/officeDocument/2006/relationships/hyperlink" Id="rId33" Target="https://www.bis.org/fsi/fsisummaries/exsum_23904.htm#:~:text=%2A%20Third,data%2C%20complicating%20validation%20and%20monitoring" TargetMode="External" /><Relationship Type="http://schemas.openxmlformats.org/officeDocument/2006/relationships/hyperlink" Id="rId102" Target="https://www.bis.org/fsi/fsisummaries/exsum_23904.htm#:~:text=,enhance%20regulatory%20and%20supervisory%20functions" TargetMode="External" /><Relationship Type="http://schemas.openxmlformats.org/officeDocument/2006/relationships/hyperlink" Id="rId34" Target="https://www.bis.org/fsi/fsisummaries/exsum_23904.htm#:~:text=,flash%20crashes%20or%20bank%20runs" TargetMode="External" /><Relationship Type="http://schemas.openxmlformats.org/officeDocument/2006/relationships/hyperlink" Id="rId101" Target="https://www.bis.org/fsi/fsisummaries/exsum_23904.htm#:~:text=The%20FSB%20recommends%20the%20following,AI%20in%20the%20financial%20sector" TargetMode="External" /><Relationship Type="http://schemas.openxmlformats.org/officeDocument/2006/relationships/hyperlink" Id="rId38" Target="https://www.bis.org/fsi/fsisummaries/exsum_23904.htm#:~:text=The%20use%20of%20AI%20in,have%20financial%20stability%20implications%20include" TargetMode="External" /><Relationship Type="http://schemas.openxmlformats.org/officeDocument/2006/relationships/hyperlink" Id="rId37" Target="https://www.bis.org/fsi/fsisummaries/exsum_23904.htm#:~:text=competitive,potential%20implications%20for%20financial%20stability" TargetMode="External" /><Relationship Type="http://schemas.openxmlformats.org/officeDocument/2006/relationships/hyperlink" Id="rId57" Target="https://www.bis.org/fsi/fsisummaries/exsum_23904.htm#:~:text=data%20,flash%20crashes%20or%20bank%20runs" TargetMode="External" /><Relationship Type="http://schemas.openxmlformats.org/officeDocument/2006/relationships/hyperlink" Id="rId58" Target="https://www.bis.org/fsi/fsisummaries/exsum_23904.htm#:~:text=sophisticated%20attacks%2C%20such%20as%20model,data%2C%20complicating%20validation%20and%20monitoring" TargetMode="External" /><Relationship Type="http://schemas.openxmlformats.org/officeDocument/2006/relationships/hyperlink" Id="rId128" Target="https://www.chainalysis.com/blog/north-america-crypto-adoption-2025/" TargetMode="External" /><Relationship Type="http://schemas.openxmlformats.org/officeDocument/2006/relationships/hyperlink" Id="rId28" Target="https://www.chainalysis.com/blog/north-america-crypto-adoption-2025/#:~:text=The%20bitcoin%20ETF%20market%20continues,since%20approval%20in%20early%202024" TargetMode="External" /><Relationship Type="http://schemas.openxmlformats.org/officeDocument/2006/relationships/hyperlink" Id="rId29" Target="https://www.chainalysis.com/blog/north-america-crypto-adoption-2025/#:~:text=The%20outsized%20role%20of%20the," TargetMode="External" /><Relationship Type="http://schemas.openxmlformats.org/officeDocument/2006/relationships/hyperlink" Id="rId69" Target="https://www.chainalysis.com/blog/north-america-crypto-adoption-2025/#:~:text=Within%20the%20market%20for%20tokenized,or%20by%20fintechs%20offering%20yield" TargetMode="External" /><Relationship Type="http://schemas.openxmlformats.org/officeDocument/2006/relationships/hyperlink" Id="rId30" Target="https://www.chainalysis.com/blog/north-america-crypto-adoption-2025/#:~:text=of%20trillions%20of%20dollars%20worldwide," TargetMode="External" /><Relationship Type="http://schemas.openxmlformats.org/officeDocument/2006/relationships/hyperlink" Id="rId141" Target="https://www.fatf-gafi.org/content/dam/fatf-gafi/recommendations/2025-Targeted-Upate-VA-VASPs.pdf.coredownload.pdf" TargetMode="External" /><Relationship Type="http://schemas.openxmlformats.org/officeDocument/2006/relationships/hyperlink" Id="rId115" Target="https://www.fatf-gafi.org/content/dam/fatf-gafi/recommendations/2025-Targeted-Upate-VA-VASPs.pdf.coredownload.pdf#:~:text=,of%20130%20jurisdictions%20in%202024" TargetMode="External" /><Relationship Type="http://schemas.openxmlformats.org/officeDocument/2006/relationships/hyperlink" Id="rId125" Target="https://www.fitchratings.com/research/corporate-finance/us-leveraged-loan-default-rate-falls-high-yield-default-rate-rises-in-august-17-09-2025" TargetMode="External" /><Relationship Type="http://schemas.openxmlformats.org/officeDocument/2006/relationships/hyperlink" Id="rId118" Target="https://www.fitchratings.com/research/corporate-finance/us-leveraged-loan-default-rate-falls-high-yield-default-rate-rises-in-august-17-09-2025#:~:text=Ratings%20www,6.0%25%20for%20loans" TargetMode="External" /><Relationship Type="http://schemas.openxmlformats.org/officeDocument/2006/relationships/hyperlink" Id="rId22" Target="https://www.fitchratings.com/research/corporate-finance/us-leveraged-loan-default-rate-falls-high-yield-default-rate-rises-in-august-17-09-2025#:~:text=US%20Leveraged%20Loan%20Default%20Rate,6.0%25%20for%20loans" TargetMode="External" /><Relationship Type="http://schemas.openxmlformats.org/officeDocument/2006/relationships/hyperlink" Id="rId126" Target="https://www.fsb.org/2023/07/fsb-global-regulatory-framework-for-crypto-asset-activities/" TargetMode="External" /><Relationship Type="http://schemas.openxmlformats.org/officeDocument/2006/relationships/hyperlink" Id="rId87" Target="https://www.fsb.org/2023/07/fsb-global-regulatory-framework-for-crypto-asset-activities/#:~:text=It%20consists%20of%20two%20distinct,sets%20of%20recommendations" TargetMode="External" /><Relationship Type="http://schemas.openxmlformats.org/officeDocument/2006/relationships/hyperlink" Id="rId86" Target="https://www.fsb.org/2023/07/fsb-global-regulatory-framework-for-crypto-asset-activities/#:~:text=activities%20and%20so,brought%20by%20the%20technological%20change" TargetMode="External" /><Relationship Type="http://schemas.openxmlformats.org/officeDocument/2006/relationships/hyperlink" Id="rId24" Target="https://www.fsb.org/2023/07/fsb-global-regulatory-framework-for-crypto-asset-activities/#:~:text=activities%20to%20promote%20the%20comprehensiveness,of%20regulatory%20and%20supervisory%20approaches" TargetMode="External" /><Relationship Type="http://schemas.openxmlformats.org/officeDocument/2006/relationships/hyperlink" Id="rId25" Target="https://www.fsb.org/2023/07/fsb-global-regulatory-framework-for-crypto-asset-activities/#:~:text=workplan%20for%202023%20and%20beyond%2C,by%20SSBs%2C%20monitoring%20and%20public" TargetMode="External" /><Relationship Type="http://schemas.openxmlformats.org/officeDocument/2006/relationships/hyperlink" Id="rId134" Target="https://www.jdsupra.com/legalnews/federal-banking-regulatory-agencies-6141710/" TargetMode="External" /><Relationship Type="http://schemas.openxmlformats.org/officeDocument/2006/relationships/hyperlink" Id="rId49" Target="https://www.jdsupra.com/legalnews/federal-banking-regulatory-agencies-6141710/#:~:text=Cryptographic%20Key%20Management" TargetMode="External" /><Relationship Type="http://schemas.openxmlformats.org/officeDocument/2006/relationships/hyperlink" Id="rId46" Target="https://www.jdsupra.com/legalnews/federal-banking-regulatory-agencies-6141710/#:~:text=On%20July%2014%2C%202025%2C%20the,explicitly%20does%20not%20create%20any" TargetMode="External" /><Relationship Type="http://schemas.openxmlformats.org/officeDocument/2006/relationships/hyperlink" Id="rId45" Target="https://www.jdsupra.com/legalnews/federal-banking-regulatory-agencies-6141710/#:~:text=Recently%2C%20the%20Office%20of%20the,also%20remain%20eager%20for%20specific" TargetMode="External" /><Relationship Type="http://schemas.openxmlformats.org/officeDocument/2006/relationships/hyperlink" Id="rId85" Target="https://www.jdsupra.com/legalnews/federal-banking-regulatory-agencies-6141710/#:~:text=Regulators%E2%80%9D%29%20have%20taken%20pro,these%20markets%20while%20remaining%20regulatorily" TargetMode="External" /><Relationship Type="http://schemas.openxmlformats.org/officeDocument/2006/relationships/hyperlink" Id="rId48" Target="https://www.jdsupra.com/legalnews/federal-banking-regulatory-agencies-6141710/#:~:text=The%20Federal%20Bank%20Regulators%20advise,environment%20supported%20by%20sufficient%20technical" TargetMode="External" /><Relationship Type="http://schemas.openxmlformats.org/officeDocument/2006/relationships/hyperlink" Id="rId133" Target="https://www.moodys.com/web/en/us/insights/credit-risk/outlooks/leveraged-finance-clo-2025.html" TargetMode="External" /><Relationship Type="http://schemas.openxmlformats.org/officeDocument/2006/relationships/hyperlink" Id="rId40" Target="https://www.moodys.com/web/en/us/insights/credit-risk/outlooks/leveraged-finance-clo-2025.html#:~:text=What%27s%20in%20store%20for%20leveraged,Europe%2C%20respectively%2C%20down%20from" TargetMode="External" /><Relationship Type="http://schemas.openxmlformats.org/officeDocument/2006/relationships/hyperlink" Id="rId127" Target="https://www.moodys.com/web/en/us/insights/regulatory-news/us-proposes-final-basel-rules-transition-period-to-start-in-july-2025.html" TargetMode="External" /><Relationship Type="http://schemas.openxmlformats.org/officeDocument/2006/relationships/hyperlink" Id="rId27" Target="https://www.moodys.com/web/en/us/insights/regulatory-news/us-proposes-final-basel-rules-transition-period-to-start-in-july-2025.html#:~:text=2025%20www,expected%20by%20July%2001%2C%202028" TargetMode="External" /><Relationship Type="http://schemas.openxmlformats.org/officeDocument/2006/relationships/hyperlink" Id="rId26" Target="https://www.moodys.com/web/en/us/insights/regulatory-news/us-proposes-final-basel-rules-transition-period-to-start-in-july-2025.html#:~:text=US%20proposes%20final%20Basel%20rules%2C,expected%20by%20July%2001%2C%202028" TargetMode="External" /><Relationship Type="http://schemas.openxmlformats.org/officeDocument/2006/relationships/hyperlink" Id="rId124" Target="https://www.occ.gov/news-issuances/news-releases/2024/nr-occ-2024-64.html" TargetMode="External" /><Relationship Type="http://schemas.openxmlformats.org/officeDocument/2006/relationships/hyperlink" Id="rId23" Target="https://www.occ.gov/news-issuances/news-releases/2024/nr-occ-2024-64.html#:~:text=,Trends%20observed%2C%20however%2C%20indicate" TargetMode="External" /><Relationship Type="http://schemas.openxmlformats.org/officeDocument/2006/relationships/hyperlink" Id="rId21" Target="https://www.occ.gov/news-issuances/news-releases/2024/nr-occ-2024-64.html#:~:text=,industry%20is%20responding%20to%20an" TargetMode="External" /><Relationship Type="http://schemas.openxmlformats.org/officeDocument/2006/relationships/hyperlink" Id="rId111" Target="https://www.occ.gov/news-issuances/news-releases/2024/nr-occ-2024-64.html#:~:text=The%20OCC%20highlighted%20credit%2C%20market%2C,Highlights%20from%20the%20report%20include" TargetMode="External" /><Relationship Type="http://schemas.openxmlformats.org/officeDocument/2006/relationships/hyperlink" Id="rId62" Target="https://www.occ.gov/news-issuances/news-releases/2024/nr-occ-2024-64.html#:~:text=present%20risk%20management%20challenges,party%20use%20increase%20bank" TargetMode="External" /><Relationship Type="http://schemas.openxmlformats.org/officeDocument/2006/relationships/hyperlink" Id="rId142" Target="https://www.schwab.com/learn/story/high-yield-defaults-canary-coal-mine" TargetMode="External" /><Relationship Type="http://schemas.openxmlformats.org/officeDocument/2006/relationships/hyperlink" Id="rId117" Target="https://www.schwab.com/learn/story/high-yield-defaults-canary-coal-mine#:~:text=Through%20September%202025%2C%20the%20trailing,another%20type%20of%20sub" TargetMode="External" /><Relationship Type="http://schemas.openxmlformats.org/officeDocument/2006/relationships/hyperlink" Id="rId130" Target="https://www.skadden.com/insights/publications/2024/08/bank-capital-standards-for-cryptoasset" TargetMode="External" /><Relationship Type="http://schemas.openxmlformats.org/officeDocument/2006/relationships/hyperlink" Id="rId60" Target="https://www.skadden.com/insights/publications/2024/08/bank-capital-standards-for-cryptoasset#:~:text=Below%2C%20we%20summarize%20the%20BCBS,by%20the%20BCBS%20from%202025" TargetMode="External" /><Relationship Type="http://schemas.openxmlformats.org/officeDocument/2006/relationships/hyperlink" Id="rId70" Target="https://www.skadden.com/insights/publications/2024/08/bank-capital-standards-for-cryptoasset#:~:text=Capital%20Requirements%3A%20Group%201%20Cryptoassets" TargetMode="External" /><Relationship Type="http://schemas.openxmlformats.org/officeDocument/2006/relationships/hyperlink" Id="rId84" Target="https://www.skadden.com/insights/publications/2024/08/bank-capital-standards-for-cryptoasset#:~:text=In%20the%20UK%2C%20the%20Prudential,2" TargetMode="External" /><Relationship Type="http://schemas.openxmlformats.org/officeDocument/2006/relationships/hyperlink" Id="rId32" Target="https://www.skadden.com/insights/publications/2024/08/bank-capital-standards-for-cryptoasset#:~:text=The%20Standards%20reflect%20a%20very,to%20bank%20participation%20in%20these" TargetMode="External" /><Relationship Type="http://schemas.openxmlformats.org/officeDocument/2006/relationships/hyperlink" Id="rId83" Target="https://www.skadden.com/insights/publications/2024/08/bank-capital-standards-for-cryptoasset#:~:text=preferential%20treatment%20of%20stablecoin%20exposures,for%20disclosure%20of%20cryptoasset%20exposures" TargetMode="External" /><Relationship Type="http://schemas.openxmlformats.org/officeDocument/2006/relationships/hyperlink" Id="rId82" Target="https://www.skadden.com/insights/publications/2024/08/bank-capital-standards-for-cryptoasset#:~:text=revisions%20to%20the%20prudential%20framework,for%20disclosure%20of%20cryptoasset%20exposures" TargetMode="External" /><Relationship Type="http://schemas.openxmlformats.org/officeDocument/2006/relationships/hyperlink" Id="rId135" Target="https://www.trmlabs.com/resources/blog/fatf-updates-on-recommendation-15-implementation-in-jurisdictions-with-materially-important-virtual-asset-sectors" TargetMode="External" /><Relationship Type="http://schemas.openxmlformats.org/officeDocument/2006/relationships/hyperlink" Id="rId74" Target="https://www.trmlabs.com/resources/blog/fatf-updates-on-recommendation-15-implementation-in-jurisdictions-with-materially-important-virtual-asset-sectors#:~:text=FATF%20requirements%20on%20virtual%20assets,which%20a%20jurisdiction%20is%20exposed" TargetMode="External" /><Relationship Type="http://schemas.openxmlformats.org/officeDocument/2006/relationships/hyperlink" Id="rId51" Target="https://www.trmlabs.com/resources/blog/fatf-updates-on-recommendation-15-implementation-in-jurisdictions-with-materially-important-virtual-asset-sectors#:~:text=The%20FATF%E2%80%99s%20findings%20also%20reflect,remain%20essential%20to%20disrupting%20professionalized" TargetMode="External" /><Relationship Type="http://schemas.openxmlformats.org/officeDocument/2006/relationships/hyperlink" Id="rId52" Target="https://www.trmlabs.com/resources/blog/fatf-updates-on-recommendation-15-implementation-in-jurisdictions-with-materially-important-virtual-asset-sectors#:~:text=financiers%2C%20and%20drug%20traffickers%2C%20including,to%20disrupting%20professionalized%20illicit%20networks" TargetMode="External" /><Relationship Type="http://schemas.openxmlformats.org/officeDocument/2006/relationships/hyperlink" Id="rId137" Target="https://zandersgroup.com/en/en/latest-insights/how-to-value-a-cross-currency-swap-2-2-2-2-2-2-2-2-2-2-2-2-2-2-2-2-2-2-2-2-2-2-2-2-2-2-2-2/" TargetMode="External" /><Relationship Type="http://schemas.openxmlformats.org/officeDocument/2006/relationships/hyperlink" Id="rId65" Target="https://zandersgroup.com/en/en/latest-insights/how-to-value-a-cross-currency-swap-2-2-2-2-2-2-2-2-2-2-2-2-2-2-2-2-2-2-2-2-2-2-2-2-2-2-2-2/#:~:text=BCBS%20Principles%20for%20the%20effective,related%20financial%20risks" TargetMode="External" /></Relationships>
</file>

<file path=word/_rels/footnotes.xml.rels><?xml version="1.0" encoding="UTF-8"?><Relationships xmlns="http://schemas.openxmlformats.org/package/2006/relationships"><Relationship Type="http://schemas.openxmlformats.org/officeDocument/2006/relationships/hyperlink" Id="rId139" Target="https://bankingjournal.aba.com/2025/11/bis-urges-central-banks-to-reconsider-approach-to-ai/" TargetMode="External" /><Relationship Type="http://schemas.openxmlformats.org/officeDocument/2006/relationships/hyperlink" Id="rId98" Target="https://bankingjournal.aba.com/2025/11/bis-urges-central-banks-to-reconsider-approach-to-ai/#:~:text=BIS%20urges%20central%20banks%20to,raise%20their%20game" TargetMode="External" /><Relationship Type="http://schemas.openxmlformats.org/officeDocument/2006/relationships/hyperlink" Id="rId138" Target="https://blog.freshfields.us/post/102jaq1/treasury-and-fsoc-sharpen-focus-on-risks-of-ai-in-the-financial-sector" TargetMode="External" /><Relationship Type="http://schemas.openxmlformats.org/officeDocument/2006/relationships/hyperlink" Id="rId91" Target="https://blog.freshfields.us/post/102jaq1/treasury-and-fsoc-sharpen-focus-on-risks-of-ai-in-the-financial-sector#:~:text=,the%20AI%20Executive%20Order" TargetMode="External" /><Relationship Type="http://schemas.openxmlformats.org/officeDocument/2006/relationships/hyperlink" Id="rId132" Target="https://kpmg.com/xx/en/our-insights/ecb-office/setting-the-ground-rules-the-eu-ai-act.html" TargetMode="External" /><Relationship Type="http://schemas.openxmlformats.org/officeDocument/2006/relationships/hyperlink" Id="rId96" Target="https://kpmg.com/xx/en/our-insights/ecb-office/setting-the-ground-rules-the-eu-ai-act.html#:~:text=A%20new%20framework" TargetMode="External" /><Relationship Type="http://schemas.openxmlformats.org/officeDocument/2006/relationships/hyperlink" Id="rId97" Target="https://kpmg.com/xx/en/our-insights/ecb-office/setting-the-ground-rules-the-eu-ai-act.html#:~:text=AI%20supervision%20and%20compliance" TargetMode="External" /><Relationship Type="http://schemas.openxmlformats.org/officeDocument/2006/relationships/hyperlink" Id="rId56" Target="https://kpmg.com/xx/en/our-insights/ecb-office/setting-the-ground-rules-the-eu-ai-act.html#:~:text=Challenging%20the%20model%20for%20the,model%20risk" TargetMode="External" /><Relationship Type="http://schemas.openxmlformats.org/officeDocument/2006/relationships/hyperlink" Id="rId35" Target="https://kpmg.com/xx/en/our-insights/ecb-office/setting-the-ground-rules-the-eu-ai-act.html#:~:text=For%20banks%2C%20the%20most%20significant,the%20AI%20Act%20takes%20effect" TargetMode="External" /><Relationship Type="http://schemas.openxmlformats.org/officeDocument/2006/relationships/hyperlink" Id="rId54" Target="https://kpmg.com/xx/en/our-insights/ecb-office/setting-the-ground-rules-the-eu-ai-act.html#:~:text=The%20AI%20Act%20recognises%20that,model%20risk%20management%20and%20governance" TargetMode="External" /><Relationship Type="http://schemas.openxmlformats.org/officeDocument/2006/relationships/hyperlink" Id="rId92" Target="https://kpmg.com/xx/en/our-insights/ecb-office/setting-the-ground-rules-the-eu-ai-act.html#:~:text=The%20AI%20Act%20recognises%20this,systems%E2%80%99%20recommendations%20when%20making%20decisions" TargetMode="External" /><Relationship Type="http://schemas.openxmlformats.org/officeDocument/2006/relationships/hyperlink" Id="rId36" Target="https://kpmg.com/xx/en/our-insights/ecb-office/setting-the-ground-rules-the-eu-ai-act.html#:~:text=discrimination%20against%20individuals%20or%20groups,the%20AI%20Act%20takes%20effect" TargetMode="External" /><Relationship Type="http://schemas.openxmlformats.org/officeDocument/2006/relationships/hyperlink" Id="rId100" Target="https://kpmg.com/xx/en/our-insights/ecb-office/setting-the-ground-rules-the-eu-ai-act.html#:~:text=largely%20prohibited" TargetMode="External" /><Relationship Type="http://schemas.openxmlformats.org/officeDocument/2006/relationships/hyperlink" Id="rId99" Target="https://kpmg.com/xx/en/our-insights/ecb-office/setting-the-ground-rules-the-eu-ai-act.html#:~:text=using%20them%20to%20make%20business,decisions" TargetMode="External" /><Relationship Type="http://schemas.openxmlformats.org/officeDocument/2006/relationships/hyperlink" Id="rId140" Target="https://kpmg.com/xx/en/our-insights/regulatory-insights/meeting-expectations-on-climate-related-financial-risk.html" TargetMode="External" /><Relationship Type="http://schemas.openxmlformats.org/officeDocument/2006/relationships/hyperlink" Id="rId105" Target="https://kpmg.com/xx/en/our-insights/regulatory-insights/meeting-expectations-on-climate-related-financial-risk.html#:~:text=Meeting%20expectations%20on%20climate,related%20financial%20risks" TargetMode="External" /><Relationship Type="http://schemas.openxmlformats.org/officeDocument/2006/relationships/hyperlink" Id="rId106" Target="https://kpmg.com/xx/en/our-insights/regulatory-insights/meeting-expectations-on-climate-related-financial-risk.html#:~:text=The%20BCBS%20principles%20were%20published,related%20financial%20risks" TargetMode="External" /><Relationship Type="http://schemas.openxmlformats.org/officeDocument/2006/relationships/hyperlink" Id="rId129" Target="https://www.banque-france.fr/en/publications-and-statistics/publications/crypto-assets-2022-confirmed-already-identified-risks" TargetMode="External" /><Relationship Type="http://schemas.openxmlformats.org/officeDocument/2006/relationships/hyperlink" Id="rId78" Target="https://www.banque-france.fr/en/publications-and-statistics/publications/crypto-assets-2022-confirmed-already-identified-risks#:~:text=Crypto,over%20the%20same%20period" TargetMode="External" /><Relationship Type="http://schemas.openxmlformats.org/officeDocument/2006/relationships/hyperlink" Id="rId68" Target="https://www.banque-france.fr/en/publications-and-statistics/publications/crypto-assets-2022-confirmed-already-identified-risks#:~:text=In%20a%20case%20of%20market,Tether%20and%20the%20US%20dollar" TargetMode="External" /><Relationship Type="http://schemas.openxmlformats.org/officeDocument/2006/relationships/hyperlink" Id="rId31" Target="https://www.banque-france.fr/en/publications-and-statistics/publications/crypto-assets-2022-confirmed-already-identified-risks#:~:text=Terra%E2%80%99s%20case%20illustrates%20the%20lack,the%20Banque%20de%20France%20was" TargetMode="External" /><Relationship Type="http://schemas.openxmlformats.org/officeDocument/2006/relationships/hyperlink" Id="rId75" Target="https://www.banque-france.fr/en/publications-and-statistics/publications/crypto-assets-2022-confirmed-already-identified-risks#:~:text=The%20collapse%20of%20the%20FTX,announcement%20preceded%20the%20collapse%20of" TargetMode="External" /><Relationship Type="http://schemas.openxmlformats.org/officeDocument/2006/relationships/hyperlink" Id="rId72" Target="https://www.banque-france.fr/en/publications-and-statistics/publications/crypto-assets-2022-confirmed-already-identified-risks#:~:text=The%20crypto,for%20bankruptcy%20in%20July%202022" TargetMode="External" /><Relationship Type="http://schemas.openxmlformats.org/officeDocument/2006/relationships/hyperlink" Id="rId43" Target="https://www.banque-france.fr/en/publications-and-statistics/publications/crypto-assets-2022-confirmed-already-identified-risks#:~:text=a%20crypto,for%20bankruptcy%20in%20July%202022" TargetMode="External" /><Relationship Type="http://schemas.openxmlformats.org/officeDocument/2006/relationships/hyperlink" Id="rId55" Target="https://www.banque-france.fr/en/publications-and-statistics/publications/crypto-assets-2022-confirmed-already-identified-risks#:~:text=correlation%20between%20crypto,and%20influence%20the%20crypto%20ecosystem" TargetMode="External" /><Relationship Type="http://schemas.openxmlformats.org/officeDocument/2006/relationships/hyperlink" Id="rId73" Target="https://www.banque-france.fr/en/publications-and-statistics/publications/crypto-assets-2022-confirmed-already-identified-risks#:~:text=market%20players,for%20bankruptcy%20in%20July%202022" TargetMode="External" /><Relationship Type="http://schemas.openxmlformats.org/officeDocument/2006/relationships/hyperlink" Id="rId80" Target="https://www.banque-france.fr/en/publications-and-statistics/publications/crypto-assets-2022-confirmed-already-identified-risks#:~:text=presented%20as%20being%20uncorrelated%20with,and%20influence%20the%20crypto%20ecosystem" TargetMode="External" /><Relationship Type="http://schemas.openxmlformats.org/officeDocument/2006/relationships/hyperlink" Id="rId79" Target="https://www.banque-france.fr/en/publications-and-statistics/publications/crypto-assets-2022-confirmed-already-identified-risks#:~:text=suffering%20a%2060,over%20the%20same%20period" TargetMode="External" /><Relationship Type="http://schemas.openxmlformats.org/officeDocument/2006/relationships/hyperlink" Id="rId44" Target="https://www.banque-france.fr/en/publications-and-statistics/publications/crypto-assets-2022-confirmed-already-identified-risks#:~:text=taken%20directional%20positions%20in%20these,for%20bankruptcy%20in%20July%202022" TargetMode="External" /><Relationship Type="http://schemas.openxmlformats.org/officeDocument/2006/relationships/hyperlink" Id="rId76" Target="https://www.banque-france.fr/en/publications-and-statistics/publications/crypto-assets-2022-confirmed-already-identified-risks#:~:text=the%20US%20dollar" TargetMode="External" /><Relationship Type="http://schemas.openxmlformats.org/officeDocument/2006/relationships/hyperlink" Id="rId136" Target="https://www.bis.org/bcbs/publ/d532.htm" TargetMode="External" /><Relationship Type="http://schemas.openxmlformats.org/officeDocument/2006/relationships/hyperlink" Id="rId64" Target="https://www.bis.org/bcbs/publ/d532.htm#:~:text=,related%20financial%20risks" TargetMode="External" /><Relationship Type="http://schemas.openxmlformats.org/officeDocument/2006/relationships/hyperlink" Id="rId131" Target="https://www.bis.org/fsi/fsisummaries/exsum_23904.htm" TargetMode="External" /><Relationship Type="http://schemas.openxmlformats.org/officeDocument/2006/relationships/hyperlink" Id="rId33" Target="https://www.bis.org/fsi/fsisummaries/exsum_23904.htm#:~:text=%2A%20Third,data%2C%20complicating%20validation%20and%20monitoring" TargetMode="External" /><Relationship Type="http://schemas.openxmlformats.org/officeDocument/2006/relationships/hyperlink" Id="rId102" Target="https://www.bis.org/fsi/fsisummaries/exsum_23904.htm#:~:text=,enhance%20regulatory%20and%20supervisory%20functions" TargetMode="External" /><Relationship Type="http://schemas.openxmlformats.org/officeDocument/2006/relationships/hyperlink" Id="rId34" Target="https://www.bis.org/fsi/fsisummaries/exsum_23904.htm#:~:text=,flash%20crashes%20or%20bank%20runs" TargetMode="External" /><Relationship Type="http://schemas.openxmlformats.org/officeDocument/2006/relationships/hyperlink" Id="rId101" Target="https://www.bis.org/fsi/fsisummaries/exsum_23904.htm#:~:text=The%20FSB%20recommends%20the%20following,AI%20in%20the%20financial%20sector" TargetMode="External" /><Relationship Type="http://schemas.openxmlformats.org/officeDocument/2006/relationships/hyperlink" Id="rId38" Target="https://www.bis.org/fsi/fsisummaries/exsum_23904.htm#:~:text=The%20use%20of%20AI%20in,have%20financial%20stability%20implications%20include" TargetMode="External" /><Relationship Type="http://schemas.openxmlformats.org/officeDocument/2006/relationships/hyperlink" Id="rId37" Target="https://www.bis.org/fsi/fsisummaries/exsum_23904.htm#:~:text=competitive,potential%20implications%20for%20financial%20stability" TargetMode="External" /><Relationship Type="http://schemas.openxmlformats.org/officeDocument/2006/relationships/hyperlink" Id="rId57" Target="https://www.bis.org/fsi/fsisummaries/exsum_23904.htm#:~:text=data%20,flash%20crashes%20or%20bank%20runs" TargetMode="External" /><Relationship Type="http://schemas.openxmlformats.org/officeDocument/2006/relationships/hyperlink" Id="rId58" Target="https://www.bis.org/fsi/fsisummaries/exsum_23904.htm#:~:text=sophisticated%20attacks%2C%20such%20as%20model,data%2C%20complicating%20validation%20and%20monitoring" TargetMode="External" /><Relationship Type="http://schemas.openxmlformats.org/officeDocument/2006/relationships/hyperlink" Id="rId128" Target="https://www.chainalysis.com/blog/north-america-crypto-adoption-2025/" TargetMode="External" /><Relationship Type="http://schemas.openxmlformats.org/officeDocument/2006/relationships/hyperlink" Id="rId28" Target="https://www.chainalysis.com/blog/north-america-crypto-adoption-2025/#:~:text=The%20bitcoin%20ETF%20market%20continues,since%20approval%20in%20early%202024" TargetMode="External" /><Relationship Type="http://schemas.openxmlformats.org/officeDocument/2006/relationships/hyperlink" Id="rId29" Target="https://www.chainalysis.com/blog/north-america-crypto-adoption-2025/#:~:text=The%20outsized%20role%20of%20the," TargetMode="External" /><Relationship Type="http://schemas.openxmlformats.org/officeDocument/2006/relationships/hyperlink" Id="rId69" Target="https://www.chainalysis.com/blog/north-america-crypto-adoption-2025/#:~:text=Within%20the%20market%20for%20tokenized,or%20by%20fintechs%20offering%20yield" TargetMode="External" /><Relationship Type="http://schemas.openxmlformats.org/officeDocument/2006/relationships/hyperlink" Id="rId30" Target="https://www.chainalysis.com/blog/north-america-crypto-adoption-2025/#:~:text=of%20trillions%20of%20dollars%20worldwide," TargetMode="External" /><Relationship Type="http://schemas.openxmlformats.org/officeDocument/2006/relationships/hyperlink" Id="rId141" Target="https://www.fatf-gafi.org/content/dam/fatf-gafi/recommendations/2025-Targeted-Upate-VA-VASPs.pdf.coredownload.pdf" TargetMode="External" /><Relationship Type="http://schemas.openxmlformats.org/officeDocument/2006/relationships/hyperlink" Id="rId115" Target="https://www.fatf-gafi.org/content/dam/fatf-gafi/recommendations/2025-Targeted-Upate-VA-VASPs.pdf.coredownload.pdf#:~:text=,of%20130%20jurisdictions%20in%202024" TargetMode="External" /><Relationship Type="http://schemas.openxmlformats.org/officeDocument/2006/relationships/hyperlink" Id="rId125" Target="https://www.fitchratings.com/research/corporate-finance/us-leveraged-loan-default-rate-falls-high-yield-default-rate-rises-in-august-17-09-2025" TargetMode="External" /><Relationship Type="http://schemas.openxmlformats.org/officeDocument/2006/relationships/hyperlink" Id="rId118" Target="https://www.fitchratings.com/research/corporate-finance/us-leveraged-loan-default-rate-falls-high-yield-default-rate-rises-in-august-17-09-2025#:~:text=Ratings%20www,6.0%25%20for%20loans" TargetMode="External" /><Relationship Type="http://schemas.openxmlformats.org/officeDocument/2006/relationships/hyperlink" Id="rId22" Target="https://www.fitchratings.com/research/corporate-finance/us-leveraged-loan-default-rate-falls-high-yield-default-rate-rises-in-august-17-09-2025#:~:text=US%20Leveraged%20Loan%20Default%20Rate,6.0%25%20for%20loans" TargetMode="External" /><Relationship Type="http://schemas.openxmlformats.org/officeDocument/2006/relationships/hyperlink" Id="rId126" Target="https://www.fsb.org/2023/07/fsb-global-regulatory-framework-for-crypto-asset-activities/" TargetMode="External" /><Relationship Type="http://schemas.openxmlformats.org/officeDocument/2006/relationships/hyperlink" Id="rId87" Target="https://www.fsb.org/2023/07/fsb-global-regulatory-framework-for-crypto-asset-activities/#:~:text=It%20consists%20of%20two%20distinct,sets%20of%20recommendations" TargetMode="External" /><Relationship Type="http://schemas.openxmlformats.org/officeDocument/2006/relationships/hyperlink" Id="rId86" Target="https://www.fsb.org/2023/07/fsb-global-regulatory-framework-for-crypto-asset-activities/#:~:text=activities%20and%20so,brought%20by%20the%20technological%20change" TargetMode="External" /><Relationship Type="http://schemas.openxmlformats.org/officeDocument/2006/relationships/hyperlink" Id="rId24" Target="https://www.fsb.org/2023/07/fsb-global-regulatory-framework-for-crypto-asset-activities/#:~:text=activities%20to%20promote%20the%20comprehensiveness,of%20regulatory%20and%20supervisory%20approaches" TargetMode="External" /><Relationship Type="http://schemas.openxmlformats.org/officeDocument/2006/relationships/hyperlink" Id="rId25" Target="https://www.fsb.org/2023/07/fsb-global-regulatory-framework-for-crypto-asset-activities/#:~:text=workplan%20for%202023%20and%20beyond%2C,by%20SSBs%2C%20monitoring%20and%20public" TargetMode="External" /><Relationship Type="http://schemas.openxmlformats.org/officeDocument/2006/relationships/hyperlink" Id="rId134" Target="https://www.jdsupra.com/legalnews/federal-banking-regulatory-agencies-6141710/" TargetMode="External" /><Relationship Type="http://schemas.openxmlformats.org/officeDocument/2006/relationships/hyperlink" Id="rId49" Target="https://www.jdsupra.com/legalnews/federal-banking-regulatory-agencies-6141710/#:~:text=Cryptographic%20Key%20Management" TargetMode="External" /><Relationship Type="http://schemas.openxmlformats.org/officeDocument/2006/relationships/hyperlink" Id="rId46" Target="https://www.jdsupra.com/legalnews/federal-banking-regulatory-agencies-6141710/#:~:text=On%20July%2014%2C%202025%2C%20the,explicitly%20does%20not%20create%20any" TargetMode="External" /><Relationship Type="http://schemas.openxmlformats.org/officeDocument/2006/relationships/hyperlink" Id="rId45" Target="https://www.jdsupra.com/legalnews/federal-banking-regulatory-agencies-6141710/#:~:text=Recently%2C%20the%20Office%20of%20the,also%20remain%20eager%20for%20specific" TargetMode="External" /><Relationship Type="http://schemas.openxmlformats.org/officeDocument/2006/relationships/hyperlink" Id="rId85" Target="https://www.jdsupra.com/legalnews/federal-banking-regulatory-agencies-6141710/#:~:text=Regulators%E2%80%9D%29%20have%20taken%20pro,these%20markets%20while%20remaining%20regulatorily" TargetMode="External" /><Relationship Type="http://schemas.openxmlformats.org/officeDocument/2006/relationships/hyperlink" Id="rId48" Target="https://www.jdsupra.com/legalnews/federal-banking-regulatory-agencies-6141710/#:~:text=The%20Federal%20Bank%20Regulators%20advise,environment%20supported%20by%20sufficient%20technical" TargetMode="External" /><Relationship Type="http://schemas.openxmlformats.org/officeDocument/2006/relationships/hyperlink" Id="rId133" Target="https://www.moodys.com/web/en/us/insights/credit-risk/outlooks/leveraged-finance-clo-2025.html" TargetMode="External" /><Relationship Type="http://schemas.openxmlformats.org/officeDocument/2006/relationships/hyperlink" Id="rId40" Target="https://www.moodys.com/web/en/us/insights/credit-risk/outlooks/leveraged-finance-clo-2025.html#:~:text=What%27s%20in%20store%20for%20leveraged,Europe%2C%20respectively%2C%20down%20from" TargetMode="External" /><Relationship Type="http://schemas.openxmlformats.org/officeDocument/2006/relationships/hyperlink" Id="rId127" Target="https://www.moodys.com/web/en/us/insights/regulatory-news/us-proposes-final-basel-rules-transition-period-to-start-in-july-2025.html" TargetMode="External" /><Relationship Type="http://schemas.openxmlformats.org/officeDocument/2006/relationships/hyperlink" Id="rId27" Target="https://www.moodys.com/web/en/us/insights/regulatory-news/us-proposes-final-basel-rules-transition-period-to-start-in-july-2025.html#:~:text=2025%20www,expected%20by%20July%2001%2C%202028" TargetMode="External" /><Relationship Type="http://schemas.openxmlformats.org/officeDocument/2006/relationships/hyperlink" Id="rId26" Target="https://www.moodys.com/web/en/us/insights/regulatory-news/us-proposes-final-basel-rules-transition-period-to-start-in-july-2025.html#:~:text=US%20proposes%20final%20Basel%20rules%2C,expected%20by%20July%2001%2C%202028" TargetMode="External" /><Relationship Type="http://schemas.openxmlformats.org/officeDocument/2006/relationships/hyperlink" Id="rId124" Target="https://www.occ.gov/news-issuances/news-releases/2024/nr-occ-2024-64.html" TargetMode="External" /><Relationship Type="http://schemas.openxmlformats.org/officeDocument/2006/relationships/hyperlink" Id="rId23" Target="https://www.occ.gov/news-issuances/news-releases/2024/nr-occ-2024-64.html#:~:text=,Trends%20observed%2C%20however%2C%20indicate" TargetMode="External" /><Relationship Type="http://schemas.openxmlformats.org/officeDocument/2006/relationships/hyperlink" Id="rId21" Target="https://www.occ.gov/news-issuances/news-releases/2024/nr-occ-2024-64.html#:~:text=,industry%20is%20responding%20to%20an" TargetMode="External" /><Relationship Type="http://schemas.openxmlformats.org/officeDocument/2006/relationships/hyperlink" Id="rId111" Target="https://www.occ.gov/news-issuances/news-releases/2024/nr-occ-2024-64.html#:~:text=The%20OCC%20highlighted%20credit%2C%20market%2C,Highlights%20from%20the%20report%20include" TargetMode="External" /><Relationship Type="http://schemas.openxmlformats.org/officeDocument/2006/relationships/hyperlink" Id="rId62" Target="https://www.occ.gov/news-issuances/news-releases/2024/nr-occ-2024-64.html#:~:text=present%20risk%20management%20challenges,party%20use%20increase%20bank" TargetMode="External" /><Relationship Type="http://schemas.openxmlformats.org/officeDocument/2006/relationships/hyperlink" Id="rId142" Target="https://www.schwab.com/learn/story/high-yield-defaults-canary-coal-mine" TargetMode="External" /><Relationship Type="http://schemas.openxmlformats.org/officeDocument/2006/relationships/hyperlink" Id="rId117" Target="https://www.schwab.com/learn/story/high-yield-defaults-canary-coal-mine#:~:text=Through%20September%202025%2C%20the%20trailing,another%20type%20of%20sub" TargetMode="External" /><Relationship Type="http://schemas.openxmlformats.org/officeDocument/2006/relationships/hyperlink" Id="rId130" Target="https://www.skadden.com/insights/publications/2024/08/bank-capital-standards-for-cryptoasset" TargetMode="External" /><Relationship Type="http://schemas.openxmlformats.org/officeDocument/2006/relationships/hyperlink" Id="rId60" Target="https://www.skadden.com/insights/publications/2024/08/bank-capital-standards-for-cryptoasset#:~:text=Below%2C%20we%20summarize%20the%20BCBS,by%20the%20BCBS%20from%202025" TargetMode="External" /><Relationship Type="http://schemas.openxmlformats.org/officeDocument/2006/relationships/hyperlink" Id="rId70" Target="https://www.skadden.com/insights/publications/2024/08/bank-capital-standards-for-cryptoasset#:~:text=Capital%20Requirements%3A%20Group%201%20Cryptoassets" TargetMode="External" /><Relationship Type="http://schemas.openxmlformats.org/officeDocument/2006/relationships/hyperlink" Id="rId84" Target="https://www.skadden.com/insights/publications/2024/08/bank-capital-standards-for-cryptoasset#:~:text=In%20the%20UK%2C%20the%20Prudential,2" TargetMode="External" /><Relationship Type="http://schemas.openxmlformats.org/officeDocument/2006/relationships/hyperlink" Id="rId32" Target="https://www.skadden.com/insights/publications/2024/08/bank-capital-standards-for-cryptoasset#:~:text=The%20Standards%20reflect%20a%20very,to%20bank%20participation%20in%20these" TargetMode="External" /><Relationship Type="http://schemas.openxmlformats.org/officeDocument/2006/relationships/hyperlink" Id="rId83" Target="https://www.skadden.com/insights/publications/2024/08/bank-capital-standards-for-cryptoasset#:~:text=preferential%20treatment%20of%20stablecoin%20exposures,for%20disclosure%20of%20cryptoasset%20exposures" TargetMode="External" /><Relationship Type="http://schemas.openxmlformats.org/officeDocument/2006/relationships/hyperlink" Id="rId82" Target="https://www.skadden.com/insights/publications/2024/08/bank-capital-standards-for-cryptoasset#:~:text=revisions%20to%20the%20prudential%20framework,for%20disclosure%20of%20cryptoasset%20exposures" TargetMode="External" /><Relationship Type="http://schemas.openxmlformats.org/officeDocument/2006/relationships/hyperlink" Id="rId135" Target="https://www.trmlabs.com/resources/blog/fatf-updates-on-recommendation-15-implementation-in-jurisdictions-with-materially-important-virtual-asset-sectors" TargetMode="External" /><Relationship Type="http://schemas.openxmlformats.org/officeDocument/2006/relationships/hyperlink" Id="rId74" Target="https://www.trmlabs.com/resources/blog/fatf-updates-on-recommendation-15-implementation-in-jurisdictions-with-materially-important-virtual-asset-sectors#:~:text=FATF%20requirements%20on%20virtual%20assets,which%20a%20jurisdiction%20is%20exposed" TargetMode="External" /><Relationship Type="http://schemas.openxmlformats.org/officeDocument/2006/relationships/hyperlink" Id="rId51" Target="https://www.trmlabs.com/resources/blog/fatf-updates-on-recommendation-15-implementation-in-jurisdictions-with-materially-important-virtual-asset-sectors#:~:text=The%20FATF%E2%80%99s%20findings%20also%20reflect,remain%20essential%20to%20disrupting%20professionalized" TargetMode="External" /><Relationship Type="http://schemas.openxmlformats.org/officeDocument/2006/relationships/hyperlink" Id="rId52" Target="https://www.trmlabs.com/resources/blog/fatf-updates-on-recommendation-15-implementation-in-jurisdictions-with-materially-important-virtual-asset-sectors#:~:text=financiers%2C%20and%20drug%20traffickers%2C%20including,to%20disrupting%20professionalized%20illicit%20networks" TargetMode="External" /><Relationship Type="http://schemas.openxmlformats.org/officeDocument/2006/relationships/hyperlink" Id="rId137" Target="https://zandersgroup.com/en/en/latest-insights/how-to-value-a-cross-currency-swap-2-2-2-2-2-2-2-2-2-2-2-2-2-2-2-2-2-2-2-2-2-2-2-2-2-2-2-2/" TargetMode="External" /><Relationship Type="http://schemas.openxmlformats.org/officeDocument/2006/relationships/hyperlink" Id="rId65" Target="https://zandersgroup.com/en/en/latest-insights/how-to-value-a-cross-currency-swap-2-2-2-2-2-2-2-2-2-2-2-2-2-2-2-2-2-2-2-2-2-2-2-2-2-2-2-2/#:~:text=BCBS%20Principles%20for%20the%20effective,related%20financial%20ris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2025-11-21T15:52:25Z</dcterms:created>
  <dcterms:modified xsi:type="dcterms:W3CDTF">2025-11-21T15:52:25Z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