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40"/>
      </w:pPr>
    </w:p>
    <w:p>
      <w:pPr>
        <w:spacing w:after="40"/>
      </w:pPr>
    </w:p>
    <w:p>
      <w:pPr>
        <w:spacing w:after="80"/>
        <w:jc w:val="center"/>
      </w:pPr>
      <w:r>
        <w:rPr>
          <w:rFonts w:ascii="Arial" w:cs="Arial" w:eastAsia="Arial" w:hAnsi="Arial"/>
          <w:b/>
          <w:bCs/>
          <w:color w:val="1B2A4A"/>
          <w:sz w:val="56"/>
          <w:szCs w:val="56"/>
        </w:rPr>
        <w:t xml:space="preserve">CIB AI EXPOSURE MAPPING</w:t>
      </w:r>
    </w:p>
    <w:p>
      <w:pPr>
        <w:spacing w:after="50"/>
        <w:jc w:val="center"/>
      </w:pPr>
      <w:r>
        <w:rPr>
          <w:rFonts w:ascii="Arial" w:cs="Arial" w:eastAsia="Arial" w:hAnsi="Arial"/>
          <w:color w:val="3A7CA5"/>
          <w:sz w:val="28"/>
          <w:szCs w:val="28"/>
        </w:rPr>
        <w:t xml:space="preserve">SINGLE-NAME UNIVERSE &amp; RISK ANALYSIS</w:t>
      </w:r>
    </w:p>
    <w:p>
      <w:pPr>
        <w:spacing w:after="40"/>
      </w:pPr>
    </w:p>
    <w:p>
      <w:pPr>
        <w:spacing w:after="30"/>
        <w:jc w:val="center"/>
      </w:pPr>
      <w:r>
        <w:rPr>
          <w:rFonts w:ascii="Arial" w:cs="Arial" w:eastAsia="Arial" w:hAnsi="Arial"/>
          <w:color w:val="4A5568"/>
          <w:sz w:val="20"/>
          <w:szCs w:val="20"/>
        </w:rPr>
        <w:t xml:space="preserve">Hyperscalers  |  Semiconductors &amp; AI Hardware  |  Data Centers  |  Neoclouds  |  LLMs &amp; Early-Stage AI</w:t>
      </w:r>
    </w:p>
    <w:p>
      <w:pPr>
        <w:spacing w:after="80"/>
      </w:pPr>
    </w:p>
    <w:p>
      <w:pPr>
        <w:spacing w:after="30"/>
        <w:jc w:val="center"/>
      </w:pPr>
      <w:r>
        <w:rPr>
          <w:rFonts w:ascii="Arial" w:cs="Arial" w:eastAsia="Arial" w:hAnsi="Arial"/>
          <w:color w:val="2D3748"/>
          <w:sz w:val="22"/>
          <w:szCs w:val="22"/>
        </w:rPr>
        <w:t xml:space="preserve">50+ Issuers &amp; Counterparties Mapped Across Five AI Value Chain Categories</w:t>
      </w:r>
    </w:p>
    <w:p>
      <w:pPr>
        <w:spacing w:after="30"/>
        <w:jc w:val="center"/>
      </w:pPr>
      <w:r>
        <w:rPr>
          <w:rFonts w:ascii="Arial" w:cs="Arial" w:eastAsia="Arial" w:hAnsi="Arial"/>
          <w:color w:val="4A5568"/>
          <w:sz w:val="20"/>
          <w:szCs w:val="20"/>
        </w:rPr>
        <w:t xml:space="preserve">Complete with Financial Data, AI Revenue Attribution, Capex Analysis, Risk Rationale &amp; CIB Exposure Assessment</w:t>
      </w:r>
    </w:p>
    <w:p>
      <w:pPr>
        <w:spacing w:after="120"/>
      </w:pPr>
    </w:p>
    <w:p>
      <w:pPr>
        <w:jc w:val="center"/>
      </w:pPr>
      <w:r>
        <w:rPr>
          <w:rFonts w:ascii="Arial" w:cs="Arial" w:eastAsia="Arial" w:hAnsi="Arial"/>
          <w:i/>
          <w:iCs/>
          <w:color w:val="4A5568"/>
          <w:sz w:val="20"/>
          <w:szCs w:val="20"/>
        </w:rPr>
        <w:t xml:space="preserve">Market Risk Analytics | Corporate &amp; Investment Banking</w:t>
      </w:r>
    </w:p>
    <w:p>
      <w:pPr>
        <w:jc w:val="center"/>
      </w:pPr>
      <w:r>
        <w:rPr>
          <w:rFonts w:ascii="Arial" w:cs="Arial" w:eastAsia="Arial" w:hAnsi="Arial"/>
          <w:i/>
          <w:iCs/>
          <w:color w:val="4A5568"/>
          <w:sz w:val="18"/>
          <w:szCs w:val="18"/>
        </w:rPr>
        <w:t xml:space="preserve">February 2026 | Data as of Q3–Q4 2025 Earnings Cycle + January–February 2026 Funding Rounds</w:t>
      </w:r>
    </w:p>
    <w:p>
      <w:r>
        <w:br w:type="page"/>
      </w:r>
    </w:p>
    <w:p>
      <w:pPr>
        <w:pStyle w:val="Heading1"/>
      </w:pPr>
      <w:r>
        <w:t xml:space="preserve">Executive Summary</w:t>
      </w:r>
    </w:p>
    <w:p>
      <w:pPr>
        <w:spacing w:after="80" w:line="264"/>
      </w:pPr>
      <w:r>
        <w:rPr>
          <w:rFonts w:ascii="Arial" w:cs="Arial" w:eastAsia="Arial" w:hAnsi="Arial"/>
          <w:color w:val="2D3748"/>
          <w:sz w:val="18"/>
          <w:szCs w:val="18"/>
        </w:rPr>
        <w:t xml:space="preserve">This report provides a single-name mapping of the AI exposure universe organized into the five categories most relevant to a large CIB’s risk management, trading, lending, and advisory functions: Hyperscalers, Semiconductors &amp; AI Hardware, Data Centers, Neoclouds, and LLMs &amp; Early-Stage AI Companies. Each issuer is profiled with current financial data, AI revenue attribution, capex intensity, and a CIB-specific risk assessment covering equity, credit, operational, and revenue exposure.</w:t>
      </w:r>
    </w:p>
    <w:p>
      <w:pPr>
        <w:spacing w:after="40"/>
      </w:pPr>
    </w:p>
    <w:p>
      <w:pPr>
        <w:spacing w:before="160" w:after="70"/>
      </w:pPr>
      <w:r>
        <w:rPr>
          <w:rFonts w:ascii="Arial" w:cs="Arial" w:eastAsia="Arial" w:hAnsi="Arial"/>
          <w:b/>
          <w:bCs/>
          <w:color w:val="2C3E6B"/>
          <w:sz w:val="21"/>
          <w:szCs w:val="21"/>
        </w:rPr>
        <w:t xml:space="preserve">The AI Market in Numbers (as of February 2026)</w:t>
      </w:r>
    </w:p>
    <w:p>
      <w:pPr>
        <w:pStyle w:val="ListParagraph"/>
        <w:numPr>
          <w:ilvl w:val="0"/>
          <w:numId w:val="2"/>
        </w:numPr>
        <w:spacing w:after="50" w:line="264"/>
      </w:pPr>
      <w:r>
        <w:rPr>
          <w:rFonts w:ascii="Arial" w:cs="Arial" w:eastAsia="Arial" w:hAnsi="Arial"/>
          <w:color w:val="2D3748"/>
          <w:sz w:val="18"/>
          <w:szCs w:val="18"/>
        </w:rPr>
        <w:t xml:space="preserve">Big Five hyperscaler capex: $602B projected for 2026 (+36% YoY), with 75% (~$450B) directly tied to AI infrastructure (CreditSights)</w:t>
      </w:r>
    </w:p>
    <w:p>
      <w:pPr>
        <w:pStyle w:val="ListParagraph"/>
        <w:numPr>
          <w:ilvl w:val="0"/>
          <w:numId w:val="2"/>
        </w:numPr>
        <w:spacing w:after="50" w:line="264"/>
      </w:pPr>
      <w:r>
        <w:rPr>
          <w:rFonts w:ascii="Arial" w:cs="Arial" w:eastAsia="Arial" w:hAnsi="Arial"/>
          <w:color w:val="2D3748"/>
          <w:sz w:val="18"/>
          <w:szCs w:val="18"/>
        </w:rPr>
        <w:t xml:space="preserve">Hyperscaler debt issuance: $121B raised in 2025; Morgan Stanley/JPMorgan project $1.5T in tech sector debt over coming years</w:t>
      </w:r>
    </w:p>
    <w:p>
      <w:pPr>
        <w:pStyle w:val="ListParagraph"/>
        <w:numPr>
          <w:ilvl w:val="0"/>
          <w:numId w:val="2"/>
        </w:numPr>
        <w:spacing w:after="50" w:line="264"/>
      </w:pPr>
      <w:r>
        <w:rPr>
          <w:rFonts w:ascii="Arial" w:cs="Arial" w:eastAsia="Arial" w:hAnsi="Arial"/>
          <w:color w:val="2D3748"/>
          <w:sz w:val="18"/>
          <w:szCs w:val="18"/>
        </w:rPr>
        <w:t xml:space="preserve">NVIDIA: $57B Q3 revenue (+62% YoY); 86% market share in AI data center chips; $3.4T market cap</w:t>
      </w:r>
    </w:p>
    <w:p>
      <w:pPr>
        <w:pStyle w:val="ListParagraph"/>
        <w:numPr>
          <w:ilvl w:val="0"/>
          <w:numId w:val="2"/>
        </w:numPr>
        <w:spacing w:after="50" w:line="264"/>
      </w:pPr>
      <w:r>
        <w:rPr>
          <w:rFonts w:ascii="Arial" w:cs="Arial" w:eastAsia="Arial" w:hAnsi="Arial"/>
          <w:color w:val="2D3748"/>
          <w:sz w:val="18"/>
          <w:szCs w:val="18"/>
        </w:rPr>
        <w:t xml:space="preserve">Broadcom: $20B AI FY2025 revenue (+63% YoY); $73B backlog; 5 confirmed custom ASIC customers including OpenAI</w:t>
      </w:r>
    </w:p>
    <w:p>
      <w:pPr>
        <w:pStyle w:val="ListParagraph"/>
        <w:numPr>
          <w:ilvl w:val="0"/>
          <w:numId w:val="2"/>
        </w:numPr>
        <w:spacing w:after="50" w:line="264"/>
      </w:pPr>
      <w:r>
        <w:rPr>
          <w:rFonts w:ascii="Arial" w:cs="Arial" w:eastAsia="Arial" w:hAnsi="Arial"/>
          <w:color w:val="2D3748"/>
          <w:sz w:val="18"/>
          <w:szCs w:val="18"/>
        </w:rPr>
        <w:t xml:space="preserve">CoreWeave: $55.6B revenue backlog; $5.1B 2025 revenue guidance; $14B debt; IPO’d at $40, now ~$106</w:t>
      </w:r>
    </w:p>
    <w:p>
      <w:pPr>
        <w:pStyle w:val="ListParagraph"/>
        <w:numPr>
          <w:ilvl w:val="0"/>
          <w:numId w:val="2"/>
        </w:numPr>
        <w:spacing w:after="50" w:line="264"/>
      </w:pPr>
      <w:r>
        <w:rPr>
          <w:rFonts w:ascii="Arial" w:cs="Arial" w:eastAsia="Arial" w:hAnsi="Arial"/>
          <w:color w:val="2D3748"/>
          <w:sz w:val="18"/>
          <w:szCs w:val="18"/>
        </w:rPr>
        <w:t xml:space="preserve">Private AI labs combined valuation: OpenAI ($500B) + Anthropic ($350B) + xAI ($230B) = ~$1.08 TRILLION in private market value</w:t>
      </w:r>
    </w:p>
    <w:p>
      <w:pPr>
        <w:pStyle w:val="ListParagraph"/>
        <w:numPr>
          <w:ilvl w:val="0"/>
          <w:numId w:val="2"/>
        </w:numPr>
        <w:spacing w:after="50" w:line="264"/>
      </w:pPr>
      <w:r>
        <w:rPr>
          <w:rFonts w:ascii="Arial" w:cs="Arial" w:eastAsia="Arial" w:hAnsi="Arial"/>
          <w:color w:val="2D3748"/>
          <w:sz w:val="18"/>
          <w:szCs w:val="18"/>
        </w:rPr>
        <w:t xml:space="preserve">Anthropic closing $20B+ round at $350B valuation (Feb 2026) — nearly doubled in 5 months; NVIDIA/Microsoft contributing up to $15B</w:t>
      </w:r>
    </w:p>
    <w:p>
      <w:pPr>
        <w:pStyle w:val="ListParagraph"/>
        <w:numPr>
          <w:ilvl w:val="0"/>
          <w:numId w:val="2"/>
        </w:numPr>
        <w:spacing w:after="50" w:line="264"/>
      </w:pPr>
      <w:r>
        <w:rPr>
          <w:rFonts w:ascii="Arial" w:cs="Arial" w:eastAsia="Arial" w:hAnsi="Arial"/>
          <w:color w:val="2D3748"/>
          <w:sz w:val="18"/>
          <w:szCs w:val="18"/>
        </w:rPr>
        <w:t xml:space="preserve">Total private AI funding in 2025: $225.8B (CB Insights) — nearly double 2024; OpenAI/Anthropic/xAI alone = $86.3B (38% of total)</w:t>
      </w:r>
    </w:p>
    <w:p>
      <w:pPr>
        <w:pStyle w:val="ListParagraph"/>
        <w:numPr>
          <w:ilvl w:val="0"/>
          <w:numId w:val="2"/>
        </w:numPr>
        <w:spacing w:after="50" w:line="264"/>
      </w:pPr>
      <w:r>
        <w:rPr>
          <w:rFonts w:ascii="Arial" w:cs="Arial" w:eastAsia="Arial" w:hAnsi="Arial"/>
          <w:color w:val="2D3748"/>
          <w:sz w:val="18"/>
          <w:szCs w:val="18"/>
        </w:rPr>
        <w:t xml:space="preserve">AI revenue realization gap: ~$25B in AI services revenue in 2025 vs. $400B+ infrastructure spending — the central risk tension</w:t>
      </w:r>
    </w:p>
    <w:p>
      <w:pPr>
        <w:pStyle w:val="ListParagraph"/>
        <w:numPr>
          <w:ilvl w:val="0"/>
          <w:numId w:val="2"/>
        </w:numPr>
        <w:spacing w:after="50" w:line="264"/>
      </w:pPr>
      <w:r>
        <w:rPr>
          <w:rFonts w:ascii="Arial" w:cs="Arial" w:eastAsia="Arial" w:hAnsi="Arial"/>
          <w:color w:val="2D3748"/>
          <w:sz w:val="18"/>
          <w:szCs w:val="18"/>
        </w:rPr>
        <w:t xml:space="preserve">Capex-to-cash-flow: hyperscalers now at 94% of OCF (net of dividends/buybacks) per BofA — approaching structural external financing need</w:t>
      </w:r>
    </w:p>
    <w:p>
      <w:pPr>
        <w:spacing w:after="40"/>
      </w:pPr>
    </w:p>
    <w:p>
      <w:pPr>
        <w:spacing w:before="160" w:after="70"/>
      </w:pPr>
      <w:r>
        <w:rPr>
          <w:rFonts w:ascii="Arial" w:cs="Arial" w:eastAsia="Arial" w:hAnsi="Arial"/>
          <w:b/>
          <w:bCs/>
          <w:color w:val="2C3E6B"/>
          <w:sz w:val="21"/>
          <w:szCs w:val="21"/>
        </w:rPr>
        <w:t xml:space="preserve">How to Read This Report</w:t>
      </w:r>
    </w:p>
    <w:p>
      <w:pPr>
        <w:spacing w:after="80" w:line="264"/>
      </w:pPr>
      <w:r>
        <w:rPr>
          <w:rFonts w:ascii="Arial" w:cs="Arial" w:eastAsia="Arial" w:hAnsi="Arial"/>
          <w:color w:val="2D3748"/>
          <w:sz w:val="18"/>
          <w:szCs w:val="18"/>
        </w:rPr>
        <w:t xml:space="preserve">Each of the five sections contains a detailed company table with standardized columns appropriate to that category, followed by a synthesis of the key CIB exposure implications. The categories are designed to be mutually exclusive at the company level (each name appears once) but the cross-category transmission channels — how a shock in one layer propagates to others — are addressed in the final section.</w:t>
      </w:r>
    </w:p>
    <w:p>
      <w:r>
        <w:br w:type="page"/>
      </w:r>
    </w:p>
    <w:p>
      <w:pPr>
        <w:pStyle w:val="Heading1"/>
      </w:pPr>
      <w:r>
        <w:t xml:space="preserve">Category Definitions &amp; Mapping Logic</w:t>
      </w:r>
    </w:p>
    <w:p>
      <w:pPr>
        <w:spacing w:after="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1A365D" w:sz="3"/>
              <w:left w:val="none" w:sz="0"/>
              <w:bottom w:val="single" w:color="1A365D" w:sz="3"/>
              <w:right w:val="none" w:sz="0"/>
            </w:tcBorders>
            <w:shd w:fill="1A365D" w:val="clear"/>
            <w:tcMar>
              <w:top w:type="dxa" w:w="60"/>
              <w:left w:type="dxa" w:w="140"/>
              <w:bottom w:type="dxa" w:w="60"/>
              <w:right w:type="dxa" w:w="140"/>
            </w:tcMar>
          </w:tcPr>
          <w:p>
            <w:r>
              <w:rPr>
                <w:rFonts w:ascii="Arial" w:cs="Arial" w:eastAsia="Arial" w:hAnsi="Arial"/>
                <w:b/>
                <w:bCs/>
                <w:color w:val="FFFFFF"/>
                <w:sz w:val="24"/>
                <w:szCs w:val="24"/>
              </w:rPr>
              <w:t xml:space="preserve">HYPERSCALERS</w:t>
            </w:r>
          </w:p>
        </w:tc>
      </w:tr>
    </w:tbl>
    <w:p>
      <w:pPr>
        <w:spacing w:after="80" w:line="264"/>
      </w:pPr>
      <w:r>
        <w:rPr>
          <w:rFonts w:ascii="Arial" w:cs="Arial" w:eastAsia="Arial" w:hAnsi="Arial"/>
          <w:color w:val="2D3748"/>
          <w:sz w:val="18"/>
          <w:szCs w:val="18"/>
        </w:rPr>
        <w:t xml:space="preserve">The “Big Five” mega-cap cloud platforms (Microsoft, Amazon, Alphabet, Meta, Oracle) that constitute the demand engine of the AI buildout. These companies are spending $600B+ annually on infrastructure, predominantly AI-related. They are simultaneously the CIB’s largest counterparties across equity trading, credit, lending, advisory, and vendor relationships. A hyperscaler capex cut is the single most impactful risk event for the entire AI ecosystem — it propagates instantaneously to semiconductors, data centers, neoclouds, and power. Hyperscaler debt issuance ($121B in 2025) makes them among the largest IG credit exposures in any CIB portfolio.</w:t>
      </w:r>
    </w:p>
    <w:p>
      <w:pPr>
        <w:spacing w:after="80" w:line="264"/>
      </w:pPr>
      <w:r>
        <w:rPr>
          <w:rFonts w:ascii="Arial" w:cs="Arial" w:eastAsia="Arial" w:hAnsi="Arial"/>
          <w:b/>
          <w:bCs/>
          <w:color w:val="2D3748"/>
          <w:sz w:val="18"/>
          <w:szCs w:val="18"/>
        </w:rPr>
        <w:t xml:space="preserve">Key Metrics to Monitor: </w:t>
      </w:r>
      <w:r>
        <w:rPr>
          <w:rFonts w:ascii="Arial" w:cs="Arial" w:eastAsia="Arial" w:hAnsi="Arial"/>
          <w:color w:val="2D3748"/>
          <w:sz w:val="18"/>
          <w:szCs w:val="18"/>
        </w:rPr>
        <w:t xml:space="preserve">Capex guidance, capital intensity (capex/revenue), debt issuance trajectory, cloud revenue growth, AI monetization progress</w:t>
      </w:r>
    </w:p>
    <w:p>
      <w:pPr>
        <w:spacing w:after="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6B2737" w:sz="3"/>
              <w:left w:val="none" w:sz="0"/>
              <w:bottom w:val="single" w:color="6B2737" w:sz="3"/>
              <w:right w:val="none" w:sz="0"/>
            </w:tcBorders>
            <w:shd w:fill="6B2737" w:val="clear"/>
            <w:tcMar>
              <w:top w:type="dxa" w:w="60"/>
              <w:left w:type="dxa" w:w="140"/>
              <w:bottom w:type="dxa" w:w="60"/>
              <w:right w:type="dxa" w:w="140"/>
            </w:tcMar>
          </w:tcPr>
          <w:p>
            <w:r>
              <w:rPr>
                <w:rFonts w:ascii="Arial" w:cs="Arial" w:eastAsia="Arial" w:hAnsi="Arial"/>
                <w:b/>
                <w:bCs/>
                <w:color w:val="FFFFFF"/>
                <w:sz w:val="24"/>
                <w:szCs w:val="24"/>
              </w:rPr>
              <w:t xml:space="preserve">SEMICONDUCTORS &amp; AI HARDWARE</w:t>
            </w:r>
          </w:p>
        </w:tc>
      </w:tr>
    </w:tbl>
    <w:p>
      <w:pPr>
        <w:spacing w:after="80" w:line="264"/>
      </w:pPr>
      <w:r>
        <w:rPr>
          <w:rFonts w:ascii="Arial" w:cs="Arial" w:eastAsia="Arial" w:hAnsi="Arial"/>
          <w:color w:val="2D3748"/>
          <w:sz w:val="18"/>
          <w:szCs w:val="18"/>
        </w:rPr>
        <w:t xml:space="preserve">Companies that design, manufacture, or enable the physical compute layer of AI: GPUs (NVIDIA, AMD), custom ASICs (Broadcom, Marvell), foundry manufacturing (TSMC), lithography (ASML), memory (Micron), and server assembly (SMCI). This layer has the highest market beta to AI sentiment — NVIDIA alone is ~6% of the S&amp;P 500. A 30% NVIDIA drawdown mechanically reduces index value by ~1.8% before contagion. Semiconductor credit is predominantly IG, but spreads are widening as capex intensity rises across the supply chain.</w:t>
      </w:r>
    </w:p>
    <w:p>
      <w:pPr>
        <w:spacing w:after="80" w:line="264"/>
      </w:pPr>
      <w:r>
        <w:rPr>
          <w:rFonts w:ascii="Arial" w:cs="Arial" w:eastAsia="Arial" w:hAnsi="Arial"/>
          <w:b/>
          <w:bCs/>
          <w:color w:val="2D3748"/>
          <w:sz w:val="18"/>
          <w:szCs w:val="18"/>
        </w:rPr>
        <w:t xml:space="preserve">Key Metrics to Monitor: </w:t>
      </w:r>
      <w:r>
        <w:rPr>
          <w:rFonts w:ascii="Arial" w:cs="Arial" w:eastAsia="Arial" w:hAnsi="Arial"/>
          <w:color w:val="2D3748"/>
          <w:sz w:val="18"/>
          <w:szCs w:val="18"/>
        </w:rPr>
        <w:t xml:space="preserve">AI revenue %, GPU shipment volumes, gross margins, customer concentration, geopolitical exposure (Taiwan, export controls)</w:t>
      </w:r>
    </w:p>
    <w:p>
      <w:pPr>
        <w:spacing w:after="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1D4E4E" w:sz="3"/>
              <w:left w:val="none" w:sz="0"/>
              <w:bottom w:val="single" w:color="1D4E4E" w:sz="3"/>
              <w:right w:val="none" w:sz="0"/>
            </w:tcBorders>
            <w:shd w:fill="1D4E4E" w:val="clear"/>
            <w:tcMar>
              <w:top w:type="dxa" w:w="60"/>
              <w:left w:type="dxa" w:w="140"/>
              <w:bottom w:type="dxa" w:w="60"/>
              <w:right w:type="dxa" w:w="140"/>
            </w:tcMar>
          </w:tcPr>
          <w:p>
            <w:r>
              <w:rPr>
                <w:rFonts w:ascii="Arial" w:cs="Arial" w:eastAsia="Arial" w:hAnsi="Arial"/>
                <w:b/>
                <w:bCs/>
                <w:color w:val="FFFFFF"/>
                <w:sz w:val="24"/>
                <w:szCs w:val="24"/>
              </w:rPr>
              <w:t xml:space="preserve">DATA CENTERS</w:t>
            </w:r>
          </w:p>
        </w:tc>
      </w:tr>
    </w:tbl>
    <w:p>
      <w:pPr>
        <w:spacing w:after="80" w:line="264"/>
      </w:pPr>
      <w:r>
        <w:rPr>
          <w:rFonts w:ascii="Arial" w:cs="Arial" w:eastAsia="Arial" w:hAnsi="Arial"/>
          <w:color w:val="2D3748"/>
          <w:sz w:val="18"/>
          <w:szCs w:val="18"/>
        </w:rPr>
        <w:t xml:space="preserve">Traditional data center operators, predominantly structured as REITs, that own and operate the physical real estate housing AI compute. Equinix and Digital Realty constitute essentially the entire publicly traded DC REIT universe. These companies are undergoing a massive buildout cycle ($4–5B/yr at Equinix alone through 2029) driven by hyperscaler demand. CIB exposure spans CRE lending (DC-secured), REIT credit, Wealth Management model portfolios, and real estate advisory. The key differentiator from Neoclouds is that traditional DC operators lease space/power; they do not own or operate GPUs.</w:t>
      </w:r>
    </w:p>
    <w:p>
      <w:pPr>
        <w:spacing w:after="80" w:line="264"/>
      </w:pPr>
      <w:r>
        <w:rPr>
          <w:rFonts w:ascii="Arial" w:cs="Arial" w:eastAsia="Arial" w:hAnsi="Arial"/>
          <w:b/>
          <w:bCs/>
          <w:color w:val="2D3748"/>
          <w:sz w:val="18"/>
          <w:szCs w:val="18"/>
        </w:rPr>
        <w:t xml:space="preserve">Key Metrics to Monitor: </w:t>
      </w:r>
      <w:r>
        <w:rPr>
          <w:rFonts w:ascii="Arial" w:cs="Arial" w:eastAsia="Arial" w:hAnsi="Arial"/>
          <w:color w:val="2D3748"/>
          <w:sz w:val="18"/>
          <w:szCs w:val="18"/>
        </w:rPr>
        <w:t xml:space="preserve">Connected MW, FFO/AFFO growth, occupancy, development pipeline, lease duration, power access</w:t>
      </w:r>
    </w:p>
    <w:p>
      <w:pPr>
        <w:spacing w:after="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5B3A8C" w:sz="3"/>
              <w:left w:val="none" w:sz="0"/>
              <w:bottom w:val="single" w:color="5B3A8C" w:sz="3"/>
              <w:right w:val="none" w:sz="0"/>
            </w:tcBorders>
            <w:shd w:fill="5B3A8C" w:val="clear"/>
            <w:tcMar>
              <w:top w:type="dxa" w:w="60"/>
              <w:left w:type="dxa" w:w="140"/>
              <w:bottom w:type="dxa" w:w="60"/>
              <w:right w:type="dxa" w:w="140"/>
            </w:tcMar>
          </w:tcPr>
          <w:p>
            <w:r>
              <w:rPr>
                <w:rFonts w:ascii="Arial" w:cs="Arial" w:eastAsia="Arial" w:hAnsi="Arial"/>
                <w:b/>
                <w:bCs/>
                <w:color w:val="FFFFFF"/>
                <w:sz w:val="24"/>
                <w:szCs w:val="24"/>
              </w:rPr>
              <w:t xml:space="preserve">NEOCLOUDS</w:t>
            </w:r>
          </w:p>
        </w:tc>
      </w:tr>
    </w:tbl>
    <w:p>
      <w:pPr>
        <w:spacing w:after="80" w:line="264"/>
      </w:pPr>
      <w:r>
        <w:rPr>
          <w:rFonts w:ascii="Arial" w:cs="Arial" w:eastAsia="Arial" w:hAnsi="Arial"/>
          <w:color w:val="2D3748"/>
          <w:sz w:val="18"/>
          <w:szCs w:val="18"/>
        </w:rPr>
        <w:t xml:space="preserve">A new category of specialized AI cloud infrastructure providers that own GPUs and rent compute capacity on-demand, purpose-built for AI training and inference workloads. CoreWeave pioneered the model; Nebius, IREN, Applied Digital, Lambda, and Crusoe are key competitors. The neocloud market is projected at $35B in 2026, growing at 46% CAGR to $237B by 2031. These companies fill a structural gap: hyperscalers cannot build fast enough to meet AI compute demand, so neoclouds provide overflow capacity under long-term contracts. The risk profile is extreme: massive leverage (CoreWeave at 4.8x D/E with $34B off-balance sheet leases), GPU-collateralized debt, negative free cash flow, and single-customer concentration. CIB exposure is primarily credit risk and potential ECM (IPO/follow-on) revenue.</w:t>
      </w:r>
    </w:p>
    <w:p>
      <w:pPr>
        <w:spacing w:after="80" w:line="264"/>
      </w:pPr>
      <w:r>
        <w:rPr>
          <w:rFonts w:ascii="Arial" w:cs="Arial" w:eastAsia="Arial" w:hAnsi="Arial"/>
          <w:b/>
          <w:bCs/>
          <w:color w:val="2D3748"/>
          <w:sz w:val="18"/>
          <w:szCs w:val="18"/>
        </w:rPr>
        <w:t xml:space="preserve">Key Metrics to Monitor: </w:t>
      </w:r>
      <w:r>
        <w:rPr>
          <w:rFonts w:ascii="Arial" w:cs="Arial" w:eastAsia="Arial" w:hAnsi="Arial"/>
          <w:color w:val="2D3748"/>
          <w:sz w:val="18"/>
          <w:szCs w:val="18"/>
        </w:rPr>
        <w:t xml:space="preserve">Revenue backlog, connected MW vs. contracted MW, debt/leverage, customer concentration, GPU procurement access, FCF trajectory</w:t>
      </w:r>
    </w:p>
    <w:p>
      <w:pPr>
        <w:spacing w:after="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8B4513" w:sz="3"/>
              <w:left w:val="none" w:sz="0"/>
              <w:bottom w:val="single" w:color="8B4513" w:sz="3"/>
              <w:right w:val="none" w:sz="0"/>
            </w:tcBorders>
            <w:shd w:fill="8B4513" w:val="clear"/>
            <w:tcMar>
              <w:top w:type="dxa" w:w="60"/>
              <w:left w:type="dxa" w:w="140"/>
              <w:bottom w:type="dxa" w:w="60"/>
              <w:right w:type="dxa" w:w="140"/>
            </w:tcMar>
          </w:tcPr>
          <w:p>
            <w:r>
              <w:rPr>
                <w:rFonts w:ascii="Arial" w:cs="Arial" w:eastAsia="Arial" w:hAnsi="Arial"/>
                <w:b/>
                <w:bCs/>
                <w:color w:val="FFFFFF"/>
                <w:sz w:val="24"/>
                <w:szCs w:val="24"/>
              </w:rPr>
              <w:t xml:space="preserve">LLMs &amp; EARLY-STAGE AI COMPANIES</w:t>
            </w:r>
          </w:p>
        </w:tc>
      </w:tr>
    </w:tbl>
    <w:p>
      <w:pPr>
        <w:spacing w:after="80" w:line="264"/>
      </w:pPr>
      <w:r>
        <w:rPr>
          <w:rFonts w:ascii="Arial" w:cs="Arial" w:eastAsia="Arial" w:hAnsi="Arial"/>
          <w:color w:val="2D3748"/>
          <w:sz w:val="18"/>
          <w:szCs w:val="18"/>
        </w:rPr>
        <w:t xml:space="preserve">Private (and select public) companies developing frontier AI foundation models. OpenAI ($500B), Anthropic ($350B), and xAI ($230B) together represent ~$1.08T in private market value — more than any single public company except NVIDIA, MSFT, AAPL, and AMZN. Also includes next-generation labs (Thinking Machines, SSI), AI platforms (Databricks), and strategic European lab (Mistral). This layer represents the single largest potential CIB revenue opportunity (IPO underwriting for $1T+ OpenAI, $350B Anthropic) but also the most opaque risk exposure — valuations defy all conventional metrics (OpenAI at 167x revenue), cash burn is accelerating ($47B projected by 2028 for OpenAI), and the path to profitability depends on monetizing AI capabilities that remain largely unproven at enterprise scale.</w:t>
      </w:r>
    </w:p>
    <w:p>
      <w:pPr>
        <w:spacing w:after="80" w:line="264"/>
      </w:pPr>
      <w:r>
        <w:rPr>
          <w:rFonts w:ascii="Arial" w:cs="Arial" w:eastAsia="Arial" w:hAnsi="Arial"/>
          <w:b/>
          <w:bCs/>
          <w:color w:val="2D3748"/>
          <w:sz w:val="18"/>
          <w:szCs w:val="18"/>
        </w:rPr>
        <w:t xml:space="preserve">Key Metrics to Monitor: </w:t>
      </w:r>
      <w:r>
        <w:rPr>
          <w:rFonts w:ascii="Arial" w:cs="Arial" w:eastAsia="Arial" w:hAnsi="Arial"/>
          <w:color w:val="2D3748"/>
          <w:sz w:val="18"/>
          <w:szCs w:val="18"/>
        </w:rPr>
        <w:t xml:space="preserve">Valuation, revenue run-rate, cash burn, funding history, IPO timeline, competitive position, key investors</w:t>
      </w:r>
    </w:p>
    <w:p>
      <w:pPr>
        <w:spacing w:after="40"/>
      </w:pPr>
    </w:p>
    <w:p>
      <w:r>
        <w:br w:type="page"/>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1A365D" w:sz="3"/>
              <w:left w:val="none" w:sz="0"/>
              <w:bottom w:val="single" w:color="1A365D" w:sz="3"/>
              <w:right w:val="none" w:sz="0"/>
            </w:tcBorders>
            <w:shd w:fill="1A365D" w:val="clear"/>
            <w:tcMar>
              <w:top w:type="dxa" w:w="60"/>
              <w:left w:type="dxa" w:w="140"/>
              <w:bottom w:type="dxa" w:w="60"/>
              <w:right w:type="dxa" w:w="140"/>
            </w:tcMar>
          </w:tcPr>
          <w:p>
            <w:r>
              <w:rPr>
                <w:rFonts w:ascii="Arial" w:cs="Arial" w:eastAsia="Arial" w:hAnsi="Arial"/>
                <w:b/>
                <w:bCs/>
                <w:color w:val="FFFFFF"/>
                <w:sz w:val="24"/>
                <w:szCs w:val="24"/>
              </w:rPr>
              <w:t xml:space="preserve">1. HYPERSCALERS</w:t>
            </w:r>
          </w:p>
        </w:tc>
      </w:tr>
    </w:tbl>
    <w:p>
      <w:pPr>
        <w:spacing w:after="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00"/>
        <w:gridCol w:w="950"/>
        <w:gridCol w:w="500"/>
        <w:gridCol w:w="1300"/>
        <w:gridCol w:w="1300"/>
        <w:gridCol w:w="600"/>
        <w:gridCol w:w="900"/>
        <w:gridCol w:w="1000"/>
        <w:gridCol w:w="6990"/>
      </w:tblGrid>
      <w:tr>
        <w:tc>
          <w:tcPr>
            <w:tcW w:type="dxa" w:w="500"/>
            <w:tcBorders>
              <w:top w:val="single" w:color="B0B8C8" w:sz="1"/>
              <w:left w:val="single" w:color="B0B8C8" w:sz="1"/>
              <w:bottom w:val="single" w:color="B0B8C8" w:sz="1"/>
              <w:right w:val="single" w:color="B0B8C8" w:sz="1"/>
            </w:tcBorders>
            <w:shd w:fill="1A365D" w:val="clear"/>
            <w:tcMar>
              <w:top w:type="dxa" w:w="50"/>
              <w:left w:type="dxa" w:w="80"/>
              <w:bottom w:type="dxa" w:w="50"/>
              <w:right w:type="dxa" w:w="80"/>
            </w:tcMar>
            <w:vAlign w:val="center"/>
          </w:tcPr>
          <w:p>
            <w:r>
              <w:rPr>
                <w:rFonts w:ascii="Arial" w:cs="Arial" w:eastAsia="Arial" w:hAnsi="Arial"/>
                <w:b/>
                <w:bCs/>
                <w:color w:val="FFFFFF"/>
                <w:sz w:val="16"/>
                <w:szCs w:val="16"/>
              </w:rPr>
              <w:t xml:space="preserve">Ticker</w:t>
            </w:r>
          </w:p>
        </w:tc>
        <w:tc>
          <w:tcPr>
            <w:tcW w:type="dxa" w:w="950"/>
            <w:tcBorders>
              <w:top w:val="single" w:color="B0B8C8" w:sz="1"/>
              <w:left w:val="single" w:color="B0B8C8" w:sz="1"/>
              <w:bottom w:val="single" w:color="B0B8C8" w:sz="1"/>
              <w:right w:val="single" w:color="B0B8C8" w:sz="1"/>
            </w:tcBorders>
            <w:shd w:fill="1A365D" w:val="clear"/>
            <w:tcMar>
              <w:top w:type="dxa" w:w="50"/>
              <w:left w:type="dxa" w:w="80"/>
              <w:bottom w:type="dxa" w:w="50"/>
              <w:right w:type="dxa" w:w="80"/>
            </w:tcMar>
            <w:vAlign w:val="center"/>
          </w:tcPr>
          <w:p>
            <w:r>
              <w:rPr>
                <w:rFonts w:ascii="Arial" w:cs="Arial" w:eastAsia="Arial" w:hAnsi="Arial"/>
                <w:b/>
                <w:bCs/>
                <w:color w:val="FFFFFF"/>
                <w:sz w:val="16"/>
                <w:szCs w:val="16"/>
              </w:rPr>
              <w:t xml:space="preserve">Company</w:t>
            </w:r>
          </w:p>
        </w:tc>
        <w:tc>
          <w:tcPr>
            <w:tcW w:type="dxa" w:w="500"/>
            <w:tcBorders>
              <w:top w:val="single" w:color="B0B8C8" w:sz="1"/>
              <w:left w:val="single" w:color="B0B8C8" w:sz="1"/>
              <w:bottom w:val="single" w:color="B0B8C8" w:sz="1"/>
              <w:right w:val="single" w:color="B0B8C8" w:sz="1"/>
            </w:tcBorders>
            <w:shd w:fill="1A365D" w:val="clear"/>
            <w:tcMar>
              <w:top w:type="dxa" w:w="50"/>
              <w:left w:type="dxa" w:w="80"/>
              <w:bottom w:type="dxa" w:w="50"/>
              <w:right w:type="dxa" w:w="80"/>
            </w:tcMar>
            <w:vAlign w:val="center"/>
          </w:tcPr>
          <w:p>
            <w:r>
              <w:rPr>
                <w:rFonts w:ascii="Arial" w:cs="Arial" w:eastAsia="Arial" w:hAnsi="Arial"/>
                <w:b/>
                <w:bCs/>
                <w:color w:val="FFFFFF"/>
                <w:sz w:val="16"/>
                <w:szCs w:val="16"/>
              </w:rPr>
              <w:t xml:space="preserve">Mkt Cap</w:t>
            </w:r>
          </w:p>
        </w:tc>
        <w:tc>
          <w:tcPr>
            <w:tcW w:type="dxa" w:w="1300"/>
            <w:tcBorders>
              <w:top w:val="single" w:color="B0B8C8" w:sz="1"/>
              <w:left w:val="single" w:color="B0B8C8" w:sz="1"/>
              <w:bottom w:val="single" w:color="B0B8C8" w:sz="1"/>
              <w:right w:val="single" w:color="B0B8C8" w:sz="1"/>
            </w:tcBorders>
            <w:shd w:fill="1A365D" w:val="clear"/>
            <w:tcMar>
              <w:top w:type="dxa" w:w="50"/>
              <w:left w:type="dxa" w:w="80"/>
              <w:bottom w:type="dxa" w:w="50"/>
              <w:right w:type="dxa" w:w="80"/>
            </w:tcMar>
            <w:vAlign w:val="center"/>
          </w:tcPr>
          <w:p>
            <w:r>
              <w:rPr>
                <w:rFonts w:ascii="Arial" w:cs="Arial" w:eastAsia="Arial" w:hAnsi="Arial"/>
                <w:b/>
                <w:bCs/>
                <w:color w:val="FFFFFF"/>
                <w:sz w:val="16"/>
                <w:szCs w:val="16"/>
              </w:rPr>
              <w:t xml:space="preserve">AI Revenue / Metric</w:t>
            </w:r>
          </w:p>
        </w:tc>
        <w:tc>
          <w:tcPr>
            <w:tcW w:type="dxa" w:w="1300"/>
            <w:tcBorders>
              <w:top w:val="single" w:color="B0B8C8" w:sz="1"/>
              <w:left w:val="single" w:color="B0B8C8" w:sz="1"/>
              <w:bottom w:val="single" w:color="B0B8C8" w:sz="1"/>
              <w:right w:val="single" w:color="B0B8C8" w:sz="1"/>
            </w:tcBorders>
            <w:shd w:fill="1A365D" w:val="clear"/>
            <w:tcMar>
              <w:top w:type="dxa" w:w="50"/>
              <w:left w:type="dxa" w:w="80"/>
              <w:bottom w:type="dxa" w:w="50"/>
              <w:right w:type="dxa" w:w="80"/>
            </w:tcMar>
            <w:vAlign w:val="center"/>
          </w:tcPr>
          <w:p>
            <w:r>
              <w:rPr>
                <w:rFonts w:ascii="Arial" w:cs="Arial" w:eastAsia="Arial" w:hAnsi="Arial"/>
                <w:b/>
                <w:bCs/>
                <w:color w:val="FFFFFF"/>
                <w:sz w:val="16"/>
                <w:szCs w:val="16"/>
              </w:rPr>
              <w:t xml:space="preserve">2025–26 Capex</w:t>
            </w:r>
          </w:p>
        </w:tc>
        <w:tc>
          <w:tcPr>
            <w:tcW w:type="dxa" w:w="600"/>
            <w:tcBorders>
              <w:top w:val="single" w:color="B0B8C8" w:sz="1"/>
              <w:left w:val="single" w:color="B0B8C8" w:sz="1"/>
              <w:bottom w:val="single" w:color="B0B8C8" w:sz="1"/>
              <w:right w:val="single" w:color="B0B8C8" w:sz="1"/>
            </w:tcBorders>
            <w:shd w:fill="1A365D" w:val="clear"/>
            <w:tcMar>
              <w:top w:type="dxa" w:w="50"/>
              <w:left w:type="dxa" w:w="80"/>
              <w:bottom w:type="dxa" w:w="50"/>
              <w:right w:type="dxa" w:w="80"/>
            </w:tcMar>
            <w:vAlign w:val="center"/>
          </w:tcPr>
          <w:p>
            <w:r>
              <w:rPr>
                <w:rFonts w:ascii="Arial" w:cs="Arial" w:eastAsia="Arial" w:hAnsi="Arial"/>
                <w:b/>
                <w:bCs/>
                <w:color w:val="FFFFFF"/>
                <w:sz w:val="16"/>
                <w:szCs w:val="16"/>
              </w:rPr>
              <w:t xml:space="preserve">AI %</w:t>
            </w:r>
          </w:p>
        </w:tc>
        <w:tc>
          <w:tcPr>
            <w:tcW w:type="dxa" w:w="900"/>
            <w:tcBorders>
              <w:top w:val="single" w:color="B0B8C8" w:sz="1"/>
              <w:left w:val="single" w:color="B0B8C8" w:sz="1"/>
              <w:bottom w:val="single" w:color="B0B8C8" w:sz="1"/>
              <w:right w:val="single" w:color="B0B8C8" w:sz="1"/>
            </w:tcBorders>
            <w:shd w:fill="1A365D" w:val="clear"/>
            <w:tcMar>
              <w:top w:type="dxa" w:w="50"/>
              <w:left w:type="dxa" w:w="80"/>
              <w:bottom w:type="dxa" w:w="50"/>
              <w:right w:type="dxa" w:w="80"/>
            </w:tcMar>
            <w:vAlign w:val="center"/>
          </w:tcPr>
          <w:p>
            <w:r>
              <w:rPr>
                <w:rFonts w:ascii="Arial" w:cs="Arial" w:eastAsia="Arial" w:hAnsi="Arial"/>
                <w:b/>
                <w:bCs/>
                <w:color w:val="FFFFFF"/>
                <w:sz w:val="16"/>
                <w:szCs w:val="16"/>
              </w:rPr>
              <w:t xml:space="preserve">Cap. Intensity</w:t>
            </w:r>
          </w:p>
        </w:tc>
        <w:tc>
          <w:tcPr>
            <w:tcW w:type="dxa" w:w="1000"/>
            <w:tcBorders>
              <w:top w:val="single" w:color="B0B8C8" w:sz="1"/>
              <w:left w:val="single" w:color="B0B8C8" w:sz="1"/>
              <w:bottom w:val="single" w:color="B0B8C8" w:sz="1"/>
              <w:right w:val="single" w:color="B0B8C8" w:sz="1"/>
            </w:tcBorders>
            <w:shd w:fill="1A365D" w:val="clear"/>
            <w:tcMar>
              <w:top w:type="dxa" w:w="50"/>
              <w:left w:type="dxa" w:w="80"/>
              <w:bottom w:type="dxa" w:w="50"/>
              <w:right w:type="dxa" w:w="80"/>
            </w:tcMar>
            <w:vAlign w:val="center"/>
          </w:tcPr>
          <w:p>
            <w:r>
              <w:rPr>
                <w:rFonts w:ascii="Arial" w:cs="Arial" w:eastAsia="Arial" w:hAnsi="Arial"/>
                <w:b/>
                <w:bCs/>
                <w:color w:val="FFFFFF"/>
                <w:sz w:val="16"/>
                <w:szCs w:val="16"/>
              </w:rPr>
              <w:t xml:space="preserve">Debt Posture</w:t>
            </w:r>
          </w:p>
        </w:tc>
        <w:tc>
          <w:tcPr>
            <w:tcW w:type="dxa" w:w="6990"/>
            <w:tcBorders>
              <w:top w:val="single" w:color="B0B8C8" w:sz="1"/>
              <w:left w:val="single" w:color="B0B8C8" w:sz="1"/>
              <w:bottom w:val="single" w:color="B0B8C8" w:sz="1"/>
              <w:right w:val="single" w:color="B0B8C8" w:sz="1"/>
            </w:tcBorders>
            <w:shd w:fill="1A365D" w:val="clear"/>
            <w:tcMar>
              <w:top w:type="dxa" w:w="50"/>
              <w:left w:type="dxa" w:w="80"/>
              <w:bottom w:type="dxa" w:w="50"/>
              <w:right w:type="dxa" w:w="80"/>
            </w:tcMar>
            <w:vAlign w:val="center"/>
          </w:tcPr>
          <w:p>
            <w:r>
              <w:rPr>
                <w:rFonts w:ascii="Arial" w:cs="Arial" w:eastAsia="Arial" w:hAnsi="Arial"/>
                <w:b/>
                <w:bCs/>
                <w:color w:val="FFFFFF"/>
                <w:sz w:val="16"/>
                <w:szCs w:val="16"/>
              </w:rPr>
              <w:t xml:space="preserve">CIB Exposure Rationale &amp; Risk Profile</w:t>
            </w:r>
          </w:p>
        </w:tc>
      </w:tr>
      <w:tr>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MSFT</w:t>
            </w:r>
          </w:p>
        </w:tc>
        <w:tc>
          <w:tcPr>
            <w:tcW w:type="dxa" w:w="9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Microsoft (Azure)</w:t>
            </w:r>
          </w:p>
        </w:tc>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$3.2T</w:t>
            </w:r>
          </w:p>
        </w:tc>
        <w:tc>
          <w:tcPr>
            <w:tcW w:type="dxa" w:w="13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Azure AI run-rate $96B+; Copilot adds $10B+</w:t>
            </w:r>
          </w:p>
        </w:tc>
        <w:tc>
          <w:tcPr>
            <w:tcW w:type="dxa" w:w="13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$34.9B Q3’25 (+75% YoY); FY26 guided higher</w:t>
            </w:r>
          </w:p>
        </w:tc>
        <w:tc>
          <w:tcPr>
            <w:tcW w:type="dxa" w:w="6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~50% growth driver</w:t>
            </w:r>
          </w:p>
        </w:tc>
        <w:tc>
          <w:tcPr>
            <w:tcW w:type="dxa" w:w="9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~45% of revenue</w:t>
            </w:r>
          </w:p>
        </w:tc>
        <w:tc>
          <w:tcPr>
            <w:tcW w:type="dxa" w:w="1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~$50B total long-term; issuing to fund AI</w:t>
            </w:r>
          </w:p>
        </w:tc>
        <w:tc>
          <w:tcPr>
            <w:tcW w:type="dxa" w:w="699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Largest enterprise cloud + OpenAI exclusive partnership ($13B invested). Azure AI growing 33%+. Capital intensity at 45% of revenue — historically unthinkable for MSFT. Copilot embedded across 400M+ Office users. GitHub Copilot dominant AI coding tool. First hyperscaler to restart nuclear plant (TMI via Constellation PPA). Largest single-company capex program in corporate history.</w:t>
            </w:r>
          </w:p>
        </w:tc>
      </w:tr>
      <w:tr>
        <w:tc>
          <w:tcPr>
            <w:tcW w:type="dxa" w:w="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AMZN</w:t>
            </w:r>
          </w:p>
        </w:tc>
        <w:tc>
          <w:tcPr>
            <w:tcW w:type="dxa" w:w="9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Amazon.com (AWS)</w:t>
            </w:r>
          </w:p>
        </w:tc>
        <w:tc>
          <w:tcPr>
            <w:tcW w:type="dxa" w:w="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$2.3T</w:t>
            </w:r>
          </w:p>
        </w:tc>
        <w:tc>
          <w:tcPr>
            <w:tcW w:type="dxa" w:w="13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AI services $50B+ run-rate; Bedrock, Trainium, SageMaker</w:t>
            </w:r>
          </w:p>
        </w:tc>
        <w:tc>
          <w:tcPr>
            <w:tcW w:type="dxa" w:w="13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$125B 2025 guidance (+61% YoY); Q3 alone $35.1B</w:t>
            </w:r>
          </w:p>
        </w:tc>
        <w:tc>
          <w:tcPr>
            <w:tcW w:type="dxa" w:w="6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~65% of operating income from AWS</w:t>
            </w:r>
          </w:p>
        </w:tc>
        <w:tc>
          <w:tcPr>
            <w:tcW w:type="dxa" w:w="9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~88% of projected OCF</w:t>
            </w:r>
          </w:p>
        </w:tc>
        <w:tc>
          <w:tcPr>
            <w:tcW w:type="dxa" w:w="1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$108B long-term; tapping bond markets for AI infra</w:t>
            </w:r>
          </w:p>
        </w:tc>
        <w:tc>
          <w:tcPr>
            <w:tcW w:type="dxa" w:w="699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Largest cloud provider globally. AWS added 3.8 GW of DC capacity in trailing 12 months — most of any hyperscaler. Custom Trainium/Inferentia chips reduce NVIDIA dependency. Bedrock AI platform multi-model. $8B invested in Anthropic. Andy Jassy: “As fast as we’re adding capacity, we’re monetizing it.”</w:t>
            </w:r>
          </w:p>
        </w:tc>
      </w:tr>
      <w:tr>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GOOGL</w:t>
            </w:r>
          </w:p>
        </w:tc>
        <w:tc>
          <w:tcPr>
            <w:tcW w:type="dxa" w:w="9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Alphabet (Google Cloud + DeepMind)</w:t>
            </w:r>
          </w:p>
        </w:tc>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$2.3T</w:t>
            </w:r>
          </w:p>
        </w:tc>
        <w:tc>
          <w:tcPr>
            <w:tcW w:type="dxa" w:w="13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Google Cloud ~$46B annual; AI-enhanced Search/YouTube</w:t>
            </w:r>
          </w:p>
        </w:tc>
        <w:tc>
          <w:tcPr>
            <w:tcW w:type="dxa" w:w="13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$91–93B 2025 (3x increases from initial $52.5B)</w:t>
            </w:r>
          </w:p>
        </w:tc>
        <w:tc>
          <w:tcPr>
            <w:tcW w:type="dxa" w:w="6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~15% of revenue (Cloud); AI drives ad targeting</w:t>
            </w:r>
          </w:p>
        </w:tc>
        <w:tc>
          <w:tcPr>
            <w:tcW w:type="dxa" w:w="9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~27% of revenue</w:t>
            </w:r>
          </w:p>
        </w:tc>
        <w:tc>
          <w:tcPr>
            <w:tcW w:type="dxa" w:w="1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Relatively low leverage; initiated CDS trading Nov 2025</w:t>
            </w:r>
          </w:p>
        </w:tc>
        <w:tc>
          <w:tcPr>
            <w:tcW w:type="dxa" w:w="699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DeepMind frontier lab (Gemini model family). Custom TPU chips manufactured by Broadcom/TSMC — vertically integrated inference. Cloud growing ~30%. Largest AI research talent pool. Search monopoly generating cash to fund AI buildout. Waymo autonomous driving. YouTube AI content recommendation engine.</w:t>
            </w:r>
          </w:p>
        </w:tc>
      </w:tr>
      <w:tr>
        <w:tc>
          <w:tcPr>
            <w:tcW w:type="dxa" w:w="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META</w:t>
            </w:r>
          </w:p>
        </w:tc>
        <w:tc>
          <w:tcPr>
            <w:tcW w:type="dxa" w:w="9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Meta Platforms (FAIR Lab)</w:t>
            </w:r>
          </w:p>
        </w:tc>
        <w:tc>
          <w:tcPr>
            <w:tcW w:type="dxa" w:w="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$1.6T</w:t>
            </w:r>
          </w:p>
        </w:tc>
        <w:tc>
          <w:tcPr>
            <w:tcW w:type="dxa" w:w="13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AI drives ad targeting + Llama infra spend</w:t>
            </w:r>
          </w:p>
        </w:tc>
        <w:tc>
          <w:tcPr>
            <w:tcW w:type="dxa" w:w="13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$66–72B 2025; potentially $100B in 2026</w:t>
            </w:r>
          </w:p>
        </w:tc>
        <w:tc>
          <w:tcPr>
            <w:tcW w:type="dxa" w:w="6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AI core to ad revenue optimization</w:t>
            </w:r>
          </w:p>
        </w:tc>
        <w:tc>
          <w:tcPr>
            <w:tcW w:type="dxa" w:w="9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~42% of revenue</w:t>
            </w:r>
          </w:p>
        </w:tc>
        <w:tc>
          <w:tcPr>
            <w:tcW w:type="dxa" w:w="1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$40B+ bonds issued in 2025; CDS initiated Nov 2025</w:t>
            </w:r>
          </w:p>
        </w:tc>
        <w:tc>
          <w:tcPr>
            <w:tcW w:type="dxa" w:w="699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Llama open-weight model family — most deployed open model. AI driving ad revenue recovery (+22% YoY). Zuckerberg: company will “simply pivot” if AGI strategy fails. Reality Labs VR/AR losses ($16B/yr) partially AI-justified. $75B in bonds/loans issued Sep–Oct 2025 alone (with Oracle) per BofA.</w:t>
            </w:r>
          </w:p>
        </w:tc>
      </w:tr>
      <w:tr>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ORCL</w:t>
            </w:r>
          </w:p>
        </w:tc>
        <w:tc>
          <w:tcPr>
            <w:tcW w:type="dxa" w:w="9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Oracle Corp (OCI)</w:t>
            </w:r>
          </w:p>
        </w:tc>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$420B</w:t>
            </w:r>
          </w:p>
        </w:tc>
        <w:tc>
          <w:tcPr>
            <w:tcW w:type="dxa" w:w="13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OCI AI infra growing 50%+; multi-cloud partnerships</w:t>
            </w:r>
          </w:p>
        </w:tc>
        <w:tc>
          <w:tcPr>
            <w:tcW w:type="dxa" w:w="13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Capital intensity surged to 57% of revenue — highest of Big 5</w:t>
            </w:r>
          </w:p>
        </w:tc>
        <w:tc>
          <w:tcPr>
            <w:tcW w:type="dxa" w:w="6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~30% and rising fast</w:t>
            </w:r>
          </w:p>
        </w:tc>
        <w:tc>
          <w:tcPr>
            <w:tcW w:type="dxa" w:w="9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57% of revenue (highest among hyperscalers)</w:t>
            </w:r>
          </w:p>
        </w:tc>
        <w:tc>
          <w:tcPr>
            <w:tcW w:type="dxa" w:w="1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$30B+ new issuance in 2025; CDS widened materially</w:t>
            </w:r>
          </w:p>
        </w:tc>
        <w:tc>
          <w:tcPr>
            <w:tcW w:type="dxa" w:w="699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OCI gaining AI workloads as alternative to AWS/Azure/GCP. Stargate JV with OpenAI/SoftBank. $10B+ Anthropic TPU order via Broadcom. Multi-cloud NVIDIA partnerships. Larry Ellison positioning Oracle as AI infrastructure backbone. Highest capital intensity of any hyperscaler signals all-in AI bet.</w:t>
            </w:r>
          </w:p>
        </w:tc>
      </w:tr>
    </w:tbl>
    <w:p>
      <w:pPr>
        <w:spacing w:after="40"/>
      </w:pPr>
    </w:p>
    <w:p>
      <w:pPr>
        <w:spacing w:before="160" w:after="70"/>
      </w:pPr>
      <w:r>
        <w:rPr>
          <w:rFonts w:ascii="Arial" w:cs="Arial" w:eastAsia="Arial" w:hAnsi="Arial"/>
          <w:b/>
          <w:bCs/>
          <w:color w:val="2C3E6B"/>
          <w:sz w:val="21"/>
          <w:szCs w:val="21"/>
        </w:rPr>
        <w:t xml:space="preserve">Hyperscaler Synthesis</w:t>
      </w:r>
    </w:p>
    <w:p>
      <w:pPr>
        <w:spacing w:after="80" w:line="264"/>
      </w:pPr>
      <w:r>
        <w:rPr>
          <w:rFonts w:ascii="Arial" w:cs="Arial" w:eastAsia="Arial" w:hAnsi="Arial"/>
          <w:color w:val="2D3748"/>
          <w:sz w:val="18"/>
          <w:szCs w:val="18"/>
        </w:rPr>
        <w:t xml:space="preserve">These five companies are the gravitational center of the AI economy. Combined 2026 capex of $602B exceeds the GDP of most countries. They are simultaneously the bank’s largest equity trading flow generators, IG bond issuers ($121B in 2025 alone), commercial lending clients, M&amp;A advisory mandates, and the bank’s own technology vendors. The capex cycle is the transmission mechanism for the entire AI trade: if capex guidance is cut, the shock propagates instantly to all other categories. Bank of America calculates capex has reached 94% of operating cash flow net of dividends/buybacks, meaning these companies are structurally approaching the point where external debt financing is not optional but necessary. Oracle’s CDS has widened the most, reflecting its highest capital intensity (57% of revenue) and aggressive leverage. Meta and Alphabet initiated CDS trading only in November 2025, signaling the market’s growing focus on hyperscaler credit risk as a distinct risk category.</w:t>
      </w:r>
    </w:p>
    <w:p>
      <w:r>
        <w:br w:type="page"/>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6B2737" w:sz="3"/>
              <w:left w:val="none" w:sz="0"/>
              <w:bottom w:val="single" w:color="6B2737" w:sz="3"/>
              <w:right w:val="none" w:sz="0"/>
            </w:tcBorders>
            <w:shd w:fill="6B2737" w:val="clear"/>
            <w:tcMar>
              <w:top w:type="dxa" w:w="60"/>
              <w:left w:type="dxa" w:w="140"/>
              <w:bottom w:type="dxa" w:w="60"/>
              <w:right w:type="dxa" w:w="140"/>
            </w:tcMar>
          </w:tcPr>
          <w:p>
            <w:r>
              <w:rPr>
                <w:rFonts w:ascii="Arial" w:cs="Arial" w:eastAsia="Arial" w:hAnsi="Arial"/>
                <w:b/>
                <w:bCs/>
                <w:color w:val="FFFFFF"/>
                <w:sz w:val="24"/>
                <w:szCs w:val="24"/>
              </w:rPr>
              <w:t xml:space="preserve">2. SEMICONDUCTORS &amp; AI HARDWARE</w:t>
            </w:r>
          </w:p>
        </w:tc>
      </w:tr>
    </w:tbl>
    <w:p>
      <w:pPr>
        <w:spacing w:after="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00"/>
        <w:gridCol w:w="1050"/>
        <w:gridCol w:w="550"/>
        <w:gridCol w:w="1400"/>
        <w:gridCol w:w="700"/>
        <w:gridCol w:w="700"/>
        <w:gridCol w:w="6140"/>
        <w:gridCol w:w="3000"/>
      </w:tblGrid>
      <w:tr>
        <w:tc>
          <w:tcPr>
            <w:tcW w:type="dxa" w:w="500"/>
            <w:tcBorders>
              <w:top w:val="single" w:color="B0B8C8" w:sz="1"/>
              <w:left w:val="single" w:color="B0B8C8" w:sz="1"/>
              <w:bottom w:val="single" w:color="B0B8C8" w:sz="1"/>
              <w:right w:val="single" w:color="B0B8C8" w:sz="1"/>
            </w:tcBorders>
            <w:shd w:fill="6B2737" w:val="clear"/>
            <w:tcMar>
              <w:top w:type="dxa" w:w="50"/>
              <w:left w:type="dxa" w:w="80"/>
              <w:bottom w:type="dxa" w:w="50"/>
              <w:right w:type="dxa" w:w="80"/>
            </w:tcMar>
            <w:vAlign w:val="center"/>
          </w:tcPr>
          <w:p>
            <w:r>
              <w:rPr>
                <w:rFonts w:ascii="Arial" w:cs="Arial" w:eastAsia="Arial" w:hAnsi="Arial"/>
                <w:b/>
                <w:bCs/>
                <w:color w:val="FFFFFF"/>
                <w:sz w:val="16"/>
                <w:szCs w:val="16"/>
              </w:rPr>
              <w:t xml:space="preserve">Ticker</w:t>
            </w:r>
          </w:p>
        </w:tc>
        <w:tc>
          <w:tcPr>
            <w:tcW w:type="dxa" w:w="1050"/>
            <w:tcBorders>
              <w:top w:val="single" w:color="B0B8C8" w:sz="1"/>
              <w:left w:val="single" w:color="B0B8C8" w:sz="1"/>
              <w:bottom w:val="single" w:color="B0B8C8" w:sz="1"/>
              <w:right w:val="single" w:color="B0B8C8" w:sz="1"/>
            </w:tcBorders>
            <w:shd w:fill="6B2737" w:val="clear"/>
            <w:tcMar>
              <w:top w:type="dxa" w:w="50"/>
              <w:left w:type="dxa" w:w="80"/>
              <w:bottom w:type="dxa" w:w="50"/>
              <w:right w:type="dxa" w:w="80"/>
            </w:tcMar>
            <w:vAlign w:val="center"/>
          </w:tcPr>
          <w:p>
            <w:r>
              <w:rPr>
                <w:rFonts w:ascii="Arial" w:cs="Arial" w:eastAsia="Arial" w:hAnsi="Arial"/>
                <w:b/>
                <w:bCs/>
                <w:color w:val="FFFFFF"/>
                <w:sz w:val="16"/>
                <w:szCs w:val="16"/>
              </w:rPr>
              <w:t xml:space="preserve">Company</w:t>
            </w:r>
          </w:p>
        </w:tc>
        <w:tc>
          <w:tcPr>
            <w:tcW w:type="dxa" w:w="550"/>
            <w:tcBorders>
              <w:top w:val="single" w:color="B0B8C8" w:sz="1"/>
              <w:left w:val="single" w:color="B0B8C8" w:sz="1"/>
              <w:bottom w:val="single" w:color="B0B8C8" w:sz="1"/>
              <w:right w:val="single" w:color="B0B8C8" w:sz="1"/>
            </w:tcBorders>
            <w:shd w:fill="6B2737" w:val="clear"/>
            <w:tcMar>
              <w:top w:type="dxa" w:w="50"/>
              <w:left w:type="dxa" w:w="80"/>
              <w:bottom w:type="dxa" w:w="50"/>
              <w:right w:type="dxa" w:w="80"/>
            </w:tcMar>
            <w:vAlign w:val="center"/>
          </w:tcPr>
          <w:p>
            <w:r>
              <w:rPr>
                <w:rFonts w:ascii="Arial" w:cs="Arial" w:eastAsia="Arial" w:hAnsi="Arial"/>
                <w:b/>
                <w:bCs/>
                <w:color w:val="FFFFFF"/>
                <w:sz w:val="16"/>
                <w:szCs w:val="16"/>
              </w:rPr>
              <w:t xml:space="preserve">Mkt Cap</w:t>
            </w:r>
          </w:p>
        </w:tc>
        <w:tc>
          <w:tcPr>
            <w:tcW w:type="dxa" w:w="1400"/>
            <w:tcBorders>
              <w:top w:val="single" w:color="B0B8C8" w:sz="1"/>
              <w:left w:val="single" w:color="B0B8C8" w:sz="1"/>
              <w:bottom w:val="single" w:color="B0B8C8" w:sz="1"/>
              <w:right w:val="single" w:color="B0B8C8" w:sz="1"/>
            </w:tcBorders>
            <w:shd w:fill="6B2737" w:val="clear"/>
            <w:tcMar>
              <w:top w:type="dxa" w:w="50"/>
              <w:left w:type="dxa" w:w="80"/>
              <w:bottom w:type="dxa" w:w="50"/>
              <w:right w:type="dxa" w:w="80"/>
            </w:tcMar>
            <w:vAlign w:val="center"/>
          </w:tcPr>
          <w:p>
            <w:r>
              <w:rPr>
                <w:rFonts w:ascii="Arial" w:cs="Arial" w:eastAsia="Arial" w:hAnsi="Arial"/>
                <w:b/>
                <w:bCs/>
                <w:color w:val="FFFFFF"/>
                <w:sz w:val="16"/>
                <w:szCs w:val="16"/>
              </w:rPr>
              <w:t xml:space="preserve">AI Revenue / Key Metric</w:t>
            </w:r>
          </w:p>
        </w:tc>
        <w:tc>
          <w:tcPr>
            <w:tcW w:type="dxa" w:w="700"/>
            <w:tcBorders>
              <w:top w:val="single" w:color="B0B8C8" w:sz="1"/>
              <w:left w:val="single" w:color="B0B8C8" w:sz="1"/>
              <w:bottom w:val="single" w:color="B0B8C8" w:sz="1"/>
              <w:right w:val="single" w:color="B0B8C8" w:sz="1"/>
            </w:tcBorders>
            <w:shd w:fill="6B2737" w:val="clear"/>
            <w:tcMar>
              <w:top w:type="dxa" w:w="50"/>
              <w:left w:type="dxa" w:w="80"/>
              <w:bottom w:type="dxa" w:w="50"/>
              <w:right w:type="dxa" w:w="80"/>
            </w:tcMar>
            <w:vAlign w:val="center"/>
          </w:tcPr>
          <w:p>
            <w:r>
              <w:rPr>
                <w:rFonts w:ascii="Arial" w:cs="Arial" w:eastAsia="Arial" w:hAnsi="Arial"/>
                <w:b/>
                <w:bCs/>
                <w:color w:val="FFFFFF"/>
                <w:sz w:val="16"/>
                <w:szCs w:val="16"/>
              </w:rPr>
              <w:t xml:space="preserve">AI %</w:t>
            </w:r>
          </w:p>
        </w:tc>
        <w:tc>
          <w:tcPr>
            <w:tcW w:type="dxa" w:w="700"/>
            <w:tcBorders>
              <w:top w:val="single" w:color="B0B8C8" w:sz="1"/>
              <w:left w:val="single" w:color="B0B8C8" w:sz="1"/>
              <w:bottom w:val="single" w:color="B0B8C8" w:sz="1"/>
              <w:right w:val="single" w:color="B0B8C8" w:sz="1"/>
            </w:tcBorders>
            <w:shd w:fill="6B2737" w:val="clear"/>
            <w:tcMar>
              <w:top w:type="dxa" w:w="50"/>
              <w:left w:type="dxa" w:w="80"/>
              <w:bottom w:type="dxa" w:w="50"/>
              <w:right w:type="dxa" w:w="80"/>
            </w:tcMar>
            <w:vAlign w:val="center"/>
          </w:tcPr>
          <w:p>
            <w:r>
              <w:rPr>
                <w:rFonts w:ascii="Arial" w:cs="Arial" w:eastAsia="Arial" w:hAnsi="Arial"/>
                <w:b/>
                <w:bCs/>
                <w:color w:val="FFFFFF"/>
                <w:sz w:val="16"/>
                <w:szCs w:val="16"/>
              </w:rPr>
              <w:t xml:space="preserve">Margin</w:t>
            </w:r>
          </w:p>
        </w:tc>
        <w:tc>
          <w:tcPr>
            <w:tcW w:type="dxa" w:w="6140"/>
            <w:tcBorders>
              <w:top w:val="single" w:color="B0B8C8" w:sz="1"/>
              <w:left w:val="single" w:color="B0B8C8" w:sz="1"/>
              <w:bottom w:val="single" w:color="B0B8C8" w:sz="1"/>
              <w:right w:val="single" w:color="B0B8C8" w:sz="1"/>
            </w:tcBorders>
            <w:shd w:fill="6B2737" w:val="clear"/>
            <w:tcMar>
              <w:top w:type="dxa" w:w="50"/>
              <w:left w:type="dxa" w:w="80"/>
              <w:bottom w:type="dxa" w:w="50"/>
              <w:right w:type="dxa" w:w="80"/>
            </w:tcMar>
            <w:vAlign w:val="center"/>
          </w:tcPr>
          <w:p>
            <w:r>
              <w:rPr>
                <w:rFonts w:ascii="Arial" w:cs="Arial" w:eastAsia="Arial" w:hAnsi="Arial"/>
                <w:b/>
                <w:bCs/>
                <w:color w:val="FFFFFF"/>
                <w:sz w:val="16"/>
                <w:szCs w:val="16"/>
              </w:rPr>
              <w:t xml:space="preserve">CIB Exposure Rationale</w:t>
            </w:r>
          </w:p>
        </w:tc>
        <w:tc>
          <w:tcPr>
            <w:tcW w:type="dxa" w:w="3000"/>
            <w:tcBorders>
              <w:top w:val="single" w:color="B0B8C8" w:sz="1"/>
              <w:left w:val="single" w:color="B0B8C8" w:sz="1"/>
              <w:bottom w:val="single" w:color="B0B8C8" w:sz="1"/>
              <w:right w:val="single" w:color="B0B8C8" w:sz="1"/>
            </w:tcBorders>
            <w:shd w:fill="6B2737" w:val="clear"/>
            <w:tcMar>
              <w:top w:type="dxa" w:w="50"/>
              <w:left w:type="dxa" w:w="80"/>
              <w:bottom w:type="dxa" w:w="50"/>
              <w:right w:type="dxa" w:w="80"/>
            </w:tcMar>
            <w:vAlign w:val="center"/>
          </w:tcPr>
          <w:p>
            <w:r>
              <w:rPr>
                <w:rFonts w:ascii="Arial" w:cs="Arial" w:eastAsia="Arial" w:hAnsi="Arial"/>
                <w:b/>
                <w:bCs/>
                <w:color w:val="FFFFFF"/>
                <w:sz w:val="16"/>
                <w:szCs w:val="16"/>
              </w:rPr>
              <w:t xml:space="preserve">Key Risk Factors</w:t>
            </w:r>
          </w:p>
        </w:tc>
      </w:tr>
      <w:tr>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NVDA</w:t>
            </w:r>
          </w:p>
        </w:tc>
        <w:tc>
          <w:tcPr>
            <w:tcW w:type="dxa" w:w="10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NVIDIA Corp</w:t>
            </w:r>
          </w:p>
        </w:tc>
        <w:tc>
          <w:tcPr>
            <w:tcW w:type="dxa" w:w="5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$3.4T</w:t>
            </w:r>
          </w:p>
        </w:tc>
        <w:tc>
          <w:tcPr>
            <w:tcW w:type="dxa" w:w="14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$57B Q3 FY26 (+62% YoY); $65B Q4 guide</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~86% of AI DC chip market</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73.6% non-GAAP gross</w:t>
            </w:r>
          </w:p>
        </w:tc>
        <w:tc>
          <w:tcPr>
            <w:tcW w:type="dxa" w:w="61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Gravitational center of the entire AI trade. Blackwell GPU platform sold out. Every hyperscaler capex dollar flows through NVIDIA first. Data center segment grew 25% sequentially in Q3 — fastest QoQ in 2 years. $250B run-rate AI revenue. Jensen Huang claims $600B annual hyperscaler capex flowing through NVIDIA ecosystem. No credible substitute at scale for training workloads.</w:t>
            </w:r>
          </w:p>
        </w:tc>
        <w:tc>
          <w:tcPr>
            <w:tcW w:type="dxa" w:w="3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Single largest equity concentration risk in any portfolio (~6% of S&amp;P 500). IG credit. Trading: massive options/equity flow. Revenue: potential IPO sponsor for NVIDIA-ecosystem companies. Geopolitical: China export controls limit TAM. Commodity risk: GPU ASP compression if competition emerges.</w:t>
            </w:r>
          </w:p>
        </w:tc>
      </w:tr>
      <w:tr>
        <w:tc>
          <w:tcPr>
            <w:tcW w:type="dxa" w:w="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AVGO</w:t>
            </w:r>
          </w:p>
        </w:tc>
        <w:tc>
          <w:tcPr>
            <w:tcW w:type="dxa" w:w="10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Broadcom Inc</w:t>
            </w:r>
          </w:p>
        </w:tc>
        <w:tc>
          <w:tcPr>
            <w:tcW w:type="dxa" w:w="5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$1.1T</w:t>
            </w:r>
          </w:p>
        </w:tc>
        <w:tc>
          <w:tcPr>
            <w:tcW w:type="dxa" w:w="14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$18B FQ4 (+28% YoY); $19.2B Q1’26 guide</w:t>
            </w:r>
          </w:p>
        </w:tc>
        <w:tc>
          <w:tcPr>
            <w:tcW w:type="dxa" w:w="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~45% of semiconductor revenue is AI</w:t>
            </w:r>
          </w:p>
        </w:tc>
        <w:tc>
          <w:tcPr>
            <w:tcW w:type="dxa" w:w="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67% Adj. EBITDA margin</w:t>
            </w:r>
          </w:p>
        </w:tc>
        <w:tc>
          <w:tcPr>
            <w:tcW w:type="dxa" w:w="61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Custom ASIC leader — 5 confirmed customers: Google (TPU), Meta (MTIA), ByteDance, Apple, OpenAI ($10B order via Citi). $73B backlog over 18 months. SAM of $60–90B in FY2027 for XPUs alone. Custom chips 50–60% cheaper than NVIDIA GPUs. OpenAI deal est. $100–200B over multiple years (Mizuho). VMware software adds recurring revenue diversification.</w:t>
            </w:r>
          </w:p>
        </w:tc>
        <w:tc>
          <w:tcPr>
            <w:tcW w:type="dxa" w:w="3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IG credit. DCM: large bond issuer. Trading: options flow elevated. Revenue: AI ASIC advisory mandates. Key risk: customer concentration (Google = largest).</w:t>
            </w:r>
          </w:p>
        </w:tc>
      </w:tr>
      <w:tr>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AMD</w:t>
            </w:r>
          </w:p>
        </w:tc>
        <w:tc>
          <w:tcPr>
            <w:tcW w:type="dxa" w:w="10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Advanced Micro Devices</w:t>
            </w:r>
          </w:p>
        </w:tc>
        <w:tc>
          <w:tcPr>
            <w:tcW w:type="dxa" w:w="5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$220B</w:t>
            </w:r>
          </w:p>
        </w:tc>
        <w:tc>
          <w:tcPr>
            <w:tcW w:type="dxa" w:w="14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$9.7B Q4 est. (+26% YoY)</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~35% and rising</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~52% non-GAAP gross</w:t>
            </w:r>
          </w:p>
        </w:tc>
        <w:tc>
          <w:tcPr>
            <w:tcW w:type="dxa" w:w="61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Primary NVIDIA GPU alternative for inference workloads. MI300X gaining traction with hyperscaler multi-sourcing. Inference market shift creates competitive opening. ROCm software ecosystem improving. Key beneficiary if customers seek to reduce NVIDIA dependency. Xilinx acquisition adds FPGA AI edge capabilities.</w:t>
            </w:r>
          </w:p>
        </w:tc>
        <w:tc>
          <w:tcPr>
            <w:tcW w:type="dxa" w:w="3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IG credit. Trading: high-volume equity/options. Revenue: M&amp;A advisory (potential AI acquisitions). Key risk: software ecosystem gap vs. CUDA.</w:t>
            </w:r>
          </w:p>
        </w:tc>
      </w:tr>
      <w:tr>
        <w:tc>
          <w:tcPr>
            <w:tcW w:type="dxa" w:w="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TSM</w:t>
            </w:r>
          </w:p>
        </w:tc>
        <w:tc>
          <w:tcPr>
            <w:tcW w:type="dxa" w:w="10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TSMC (ADR)</w:t>
            </w:r>
          </w:p>
        </w:tc>
        <w:tc>
          <w:tcPr>
            <w:tcW w:type="dxa" w:w="5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$1.0T</w:t>
            </w:r>
          </w:p>
        </w:tc>
        <w:tc>
          <w:tcPr>
            <w:tcW w:type="dxa" w:w="14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~$25B quarterly; TTM ~$90B</w:t>
            </w:r>
          </w:p>
        </w:tc>
        <w:tc>
          <w:tcPr>
            <w:tcW w:type="dxa" w:w="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~60% of revenue AI-linked</w:t>
            </w:r>
          </w:p>
        </w:tc>
        <w:tc>
          <w:tcPr>
            <w:tcW w:type="dxa" w:w="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~57% gross margin</w:t>
            </w:r>
          </w:p>
        </w:tc>
        <w:tc>
          <w:tcPr>
            <w:tcW w:type="dxa" w:w="61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Monopoly manufacturer of ALL leading-edge AI chips. Fabricates for NVIDIA (H100/B200), AMD, Broadcom, Apple, Qualcomm. 3nm and 2nm nodes. No substitute at scale — Samsung and Intel foundry 2+ years behind. Arizona fab under construction but won’t reach Taiwan-equivalent capacity until 2028+.</w:t>
            </w:r>
          </w:p>
        </w:tc>
        <w:tc>
          <w:tcPr>
            <w:tcW w:type="dxa" w:w="3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ADR structure. Geopolitical: Taiwan Strait scenario is systemic risk event. Trading: large ADR flow. Credit: IG Taiwanese sovereign-linked. Key risk: single point of failure for global AI chip supply chain.</w:t>
            </w:r>
          </w:p>
        </w:tc>
      </w:tr>
      <w:tr>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MU</w:t>
            </w:r>
          </w:p>
        </w:tc>
        <w:tc>
          <w:tcPr>
            <w:tcW w:type="dxa" w:w="10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Micron Technology</w:t>
            </w:r>
          </w:p>
        </w:tc>
        <w:tc>
          <w:tcPr>
            <w:tcW w:type="dxa" w:w="5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$130B</w:t>
            </w:r>
          </w:p>
        </w:tc>
        <w:tc>
          <w:tcPr>
            <w:tcW w:type="dxa" w:w="14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$18.8B Q4 est. (+134% YoY)</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~55% AI-driven</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Margins expanding rapidly on HBM pricing power</w:t>
            </w:r>
          </w:p>
        </w:tc>
        <w:tc>
          <w:tcPr>
            <w:tcW w:type="dxa" w:w="61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High-bandwidth memory (HBM3E) is the bottleneck component for every AI GPU. Without sufficient HBM, GPUs cannot function at full capacity. Supply constrained through 2026. Only 3 suppliers globally (Micron, SK Hynix, Samsung). Revenue recovery from cyclical trough driven entirely by AI memory demand.</w:t>
            </w:r>
          </w:p>
        </w:tc>
        <w:tc>
          <w:tcPr>
            <w:tcW w:type="dxa" w:w="3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IG/crossover credit (cyclical). Trading: high beta semiconductor. Revenue: DCM/ECM issuance. Key risk: memory cyclicality — historically boom/bust, but AI creates structural demand floor.</w:t>
            </w:r>
          </w:p>
        </w:tc>
      </w:tr>
      <w:tr>
        <w:tc>
          <w:tcPr>
            <w:tcW w:type="dxa" w:w="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ASML</w:t>
            </w:r>
          </w:p>
        </w:tc>
        <w:tc>
          <w:tcPr>
            <w:tcW w:type="dxa" w:w="10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ASML Holding NV</w:t>
            </w:r>
          </w:p>
        </w:tc>
        <w:tc>
          <w:tcPr>
            <w:tcW w:type="dxa" w:w="5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$320B</w:t>
            </w:r>
          </w:p>
        </w:tc>
        <w:tc>
          <w:tcPr>
            <w:tcW w:type="dxa" w:w="14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~$32B TTM</w:t>
            </w:r>
          </w:p>
        </w:tc>
        <w:tc>
          <w:tcPr>
            <w:tcW w:type="dxa" w:w="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~50%+ AI-linked (indirect)</w:t>
            </w:r>
          </w:p>
        </w:tc>
        <w:tc>
          <w:tcPr>
            <w:tcW w:type="dxa" w:w="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~52% gross margin</w:t>
            </w:r>
          </w:p>
        </w:tc>
        <w:tc>
          <w:tcPr>
            <w:tcW w:type="dxa" w:w="61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Sole supplier of EUV lithography required for sub-7nm chips. $40B+ backlog. Without ASML, no leading-edge AI chips get manufactured — period. Dutch export control risk constrains China revenue. High Numerical Aperture EUV (High-NA) for 2nm+ enables next-gen AI chips.</w:t>
            </w:r>
          </w:p>
        </w:tc>
        <w:tc>
          <w:tcPr>
            <w:tcW w:type="dxa" w:w="3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European IG credit. ADR trading flow. Revenue: limited — no M&amp;A advisory need. Key risk: Dutch/US export policy constraining China TAM; long order-to-delivery cycle.</w:t>
            </w:r>
          </w:p>
        </w:tc>
      </w:tr>
      <w:tr>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MRVL</w:t>
            </w:r>
          </w:p>
        </w:tc>
        <w:tc>
          <w:tcPr>
            <w:tcW w:type="dxa" w:w="10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Marvell Technology</w:t>
            </w:r>
          </w:p>
        </w:tc>
        <w:tc>
          <w:tcPr>
            <w:tcW w:type="dxa" w:w="5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$95B</w:t>
            </w:r>
          </w:p>
        </w:tc>
        <w:tc>
          <w:tcPr>
            <w:tcW w:type="dxa" w:w="14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~$2B quarterly (data center segment)</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~50% AI-driven</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~63% non-GAAP gross</w:t>
            </w:r>
          </w:p>
        </w:tc>
        <w:tc>
          <w:tcPr>
            <w:tcW w:type="dxa" w:w="61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Custom AI silicon for cloud providers and electro-optics (PAM4 DSPs) for data center interconnect. Key enabler of AI cluster networking. Growing share in custom compute alongside Broadcom. Amazon, Google custom silicon partnerships.</w:t>
            </w:r>
          </w:p>
        </w:tc>
        <w:tc>
          <w:tcPr>
            <w:tcW w:type="dxa" w:w="3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IG credit. Trading: semiconductor flow. Revenue: potential M&amp;A advisory. Key risk: Broadcom competitive overlap in custom silicon.</w:t>
            </w:r>
          </w:p>
        </w:tc>
      </w:tr>
      <w:tr>
        <w:tc>
          <w:tcPr>
            <w:tcW w:type="dxa" w:w="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SMCI</w:t>
            </w:r>
          </w:p>
        </w:tc>
        <w:tc>
          <w:tcPr>
            <w:tcW w:type="dxa" w:w="10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Super Micro Computer</w:t>
            </w:r>
          </w:p>
        </w:tc>
        <w:tc>
          <w:tcPr>
            <w:tcW w:type="dxa" w:w="5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$25B</w:t>
            </w:r>
          </w:p>
        </w:tc>
        <w:tc>
          <w:tcPr>
            <w:tcW w:type="dxa" w:w="14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~$6B quarterly</w:t>
            </w:r>
          </w:p>
        </w:tc>
        <w:tc>
          <w:tcPr>
            <w:tcW w:type="dxa" w:w="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~80%+ AI server revenue</w:t>
            </w:r>
          </w:p>
        </w:tc>
        <w:tc>
          <w:tcPr>
            <w:tcW w:type="dxa" w:w="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~15% gross (low-margin assembly model)</w:t>
            </w:r>
          </w:p>
        </w:tc>
        <w:tc>
          <w:tcPr>
            <w:tcW w:type="dxa" w:w="61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Leading rapid-turn AI server assembler. First to market with Blackwell and MI300 rack-scale liquid-cooled systems. Revenue 100% correlated with GPU shipment volumes. Accounting concerns resolved (2024 restatement) but governance overhang remains.</w:t>
            </w:r>
          </w:p>
        </w:tc>
        <w:tc>
          <w:tcPr>
            <w:tcW w:type="dxa" w:w="3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High yield/unrated credit. Trading: extremely volatile equity. Revenue: potential ECM (secondary offerings). Key risk: low margins, governance concerns, customer concentration.</w:t>
            </w:r>
          </w:p>
        </w:tc>
      </w:tr>
    </w:tbl>
    <w:p>
      <w:pPr>
        <w:spacing w:after="40"/>
      </w:pPr>
    </w:p>
    <w:p>
      <w:pPr>
        <w:spacing w:before="160" w:after="70"/>
      </w:pPr>
      <w:r>
        <w:rPr>
          <w:rFonts w:ascii="Arial" w:cs="Arial" w:eastAsia="Arial" w:hAnsi="Arial"/>
          <w:b/>
          <w:bCs/>
          <w:color w:val="2C3E6B"/>
          <w:sz w:val="21"/>
          <w:szCs w:val="21"/>
        </w:rPr>
        <w:t xml:space="preserve">Semiconductor Synthesis</w:t>
      </w:r>
    </w:p>
    <w:p>
      <w:pPr>
        <w:spacing w:after="80" w:line="264"/>
      </w:pPr>
      <w:r>
        <w:rPr>
          <w:rFonts w:ascii="Arial" w:cs="Arial" w:eastAsia="Arial" w:hAnsi="Arial"/>
          <w:color w:val="2D3748"/>
          <w:sz w:val="18"/>
          <w:szCs w:val="18"/>
        </w:rPr>
        <w:t xml:space="preserve">This layer represents the highest-beta AI exposure in any portfolio. NVIDIA’s $3.4T market cap makes it the single largest concentration risk in global equity markets. NVIDIA and Broadcom together command over $4.5T in market value on AI revenue that, while massive ($250B+ NVDA run-rate, $20B AVGO), is entirely dependent on sustained hyperscaler capex growth. The TSMC single-point-of-failure for all advanced AI chip manufacturing represents the most consequential geopolitical risk in the AI supply chain — a Taiwan contingency is a systemic event, not merely a sector rotation. For credit, these names are predominantly IG, but Broadcom’s leverage from the VMware acquisition and Micron’s historical cyclicality create differentiated spread risk. SMCI is the outlier: high-yield/unrated, volatile, governance-challenged, but 100% levered to GPU shipment volumes.</w:t>
      </w:r>
    </w:p>
    <w:p>
      <w:r>
        <w:br w:type="page"/>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1D4E4E" w:sz="3"/>
              <w:left w:val="none" w:sz="0"/>
              <w:bottom w:val="single" w:color="1D4E4E" w:sz="3"/>
              <w:right w:val="none" w:sz="0"/>
            </w:tcBorders>
            <w:shd w:fill="1D4E4E" w:val="clear"/>
            <w:tcMar>
              <w:top w:type="dxa" w:w="60"/>
              <w:left w:type="dxa" w:w="140"/>
              <w:bottom w:type="dxa" w:w="60"/>
              <w:right w:type="dxa" w:w="140"/>
            </w:tcMar>
          </w:tcPr>
          <w:p>
            <w:r>
              <w:rPr>
                <w:rFonts w:ascii="Arial" w:cs="Arial" w:eastAsia="Arial" w:hAnsi="Arial"/>
                <w:b/>
                <w:bCs/>
                <w:color w:val="FFFFFF"/>
                <w:sz w:val="24"/>
                <w:szCs w:val="24"/>
              </w:rPr>
              <w:t xml:space="preserve">3. DATA CENTERS (TRADITIONAL / REIT)</w:t>
            </w:r>
          </w:p>
        </w:tc>
      </w:tr>
    </w:tbl>
    <w:p>
      <w:pPr>
        <w:spacing w:after="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550"/>
        <w:gridCol w:w="1700"/>
        <w:gridCol w:w="2100"/>
        <w:gridCol w:w="2100"/>
        <w:gridCol w:w="5790"/>
      </w:tblGrid>
      <w:tr>
        <w:tc>
          <w:tcPr>
            <w:tcW w:type="dxa" w:w="500"/>
            <w:tcBorders>
              <w:top w:val="single" w:color="B0B8C8" w:sz="1"/>
              <w:left w:val="single" w:color="B0B8C8" w:sz="1"/>
              <w:bottom w:val="single" w:color="B0B8C8" w:sz="1"/>
              <w:right w:val="single" w:color="B0B8C8" w:sz="1"/>
            </w:tcBorders>
            <w:shd w:fill="1D4E4E" w:val="clear"/>
            <w:tcMar>
              <w:top w:type="dxa" w:w="50"/>
              <w:left w:type="dxa" w:w="80"/>
              <w:bottom w:type="dxa" w:w="50"/>
              <w:right w:type="dxa" w:w="80"/>
            </w:tcMar>
            <w:vAlign w:val="center"/>
          </w:tcPr>
          <w:p>
            <w:r>
              <w:rPr>
                <w:rFonts w:ascii="Arial" w:cs="Arial" w:eastAsia="Arial" w:hAnsi="Arial"/>
                <w:b/>
                <w:bCs/>
                <w:color w:val="FFFFFF"/>
                <w:sz w:val="16"/>
                <w:szCs w:val="16"/>
              </w:rPr>
              <w:t xml:space="preserve">Ticker</w:t>
            </w:r>
          </w:p>
        </w:tc>
        <w:tc>
          <w:tcPr>
            <w:tcW w:type="dxa" w:w="1300"/>
            <w:tcBorders>
              <w:top w:val="single" w:color="B0B8C8" w:sz="1"/>
              <w:left w:val="single" w:color="B0B8C8" w:sz="1"/>
              <w:bottom w:val="single" w:color="B0B8C8" w:sz="1"/>
              <w:right w:val="single" w:color="B0B8C8" w:sz="1"/>
            </w:tcBorders>
            <w:shd w:fill="1D4E4E" w:val="clear"/>
            <w:tcMar>
              <w:top w:type="dxa" w:w="50"/>
              <w:left w:type="dxa" w:w="80"/>
              <w:bottom w:type="dxa" w:w="50"/>
              <w:right w:type="dxa" w:w="80"/>
            </w:tcMar>
            <w:vAlign w:val="center"/>
          </w:tcPr>
          <w:p>
            <w:r>
              <w:rPr>
                <w:rFonts w:ascii="Arial" w:cs="Arial" w:eastAsia="Arial" w:hAnsi="Arial"/>
                <w:b/>
                <w:bCs/>
                <w:color w:val="FFFFFF"/>
                <w:sz w:val="16"/>
                <w:szCs w:val="16"/>
              </w:rPr>
              <w:t xml:space="preserve">Company</w:t>
            </w:r>
          </w:p>
        </w:tc>
        <w:tc>
          <w:tcPr>
            <w:tcW w:type="dxa" w:w="550"/>
            <w:tcBorders>
              <w:top w:val="single" w:color="B0B8C8" w:sz="1"/>
              <w:left w:val="single" w:color="B0B8C8" w:sz="1"/>
              <w:bottom w:val="single" w:color="B0B8C8" w:sz="1"/>
              <w:right w:val="single" w:color="B0B8C8" w:sz="1"/>
            </w:tcBorders>
            <w:shd w:fill="1D4E4E" w:val="clear"/>
            <w:tcMar>
              <w:top w:type="dxa" w:w="50"/>
              <w:left w:type="dxa" w:w="80"/>
              <w:bottom w:type="dxa" w:w="50"/>
              <w:right w:type="dxa" w:w="80"/>
            </w:tcMar>
            <w:vAlign w:val="center"/>
          </w:tcPr>
          <w:p>
            <w:r>
              <w:rPr>
                <w:rFonts w:ascii="Arial" w:cs="Arial" w:eastAsia="Arial" w:hAnsi="Arial"/>
                <w:b/>
                <w:bCs/>
                <w:color w:val="FFFFFF"/>
                <w:sz w:val="16"/>
                <w:szCs w:val="16"/>
              </w:rPr>
              <w:t xml:space="preserve">Mkt Cap</w:t>
            </w:r>
          </w:p>
        </w:tc>
        <w:tc>
          <w:tcPr>
            <w:tcW w:type="dxa" w:w="1700"/>
            <w:tcBorders>
              <w:top w:val="single" w:color="B0B8C8" w:sz="1"/>
              <w:left w:val="single" w:color="B0B8C8" w:sz="1"/>
              <w:bottom w:val="single" w:color="B0B8C8" w:sz="1"/>
              <w:right w:val="single" w:color="B0B8C8" w:sz="1"/>
            </w:tcBorders>
            <w:shd w:fill="1D4E4E" w:val="clear"/>
            <w:tcMar>
              <w:top w:type="dxa" w:w="50"/>
              <w:left w:type="dxa" w:w="80"/>
              <w:bottom w:type="dxa" w:w="50"/>
              <w:right w:type="dxa" w:w="80"/>
            </w:tcMar>
            <w:vAlign w:val="center"/>
          </w:tcPr>
          <w:p>
            <w:r>
              <w:rPr>
                <w:rFonts w:ascii="Arial" w:cs="Arial" w:eastAsia="Arial" w:hAnsi="Arial"/>
                <w:b/>
                <w:bCs/>
                <w:color w:val="FFFFFF"/>
                <w:sz w:val="16"/>
                <w:szCs w:val="16"/>
              </w:rPr>
              <w:t xml:space="preserve">Capacity / Scale</w:t>
            </w:r>
          </w:p>
        </w:tc>
        <w:tc>
          <w:tcPr>
            <w:tcW w:type="dxa" w:w="2100"/>
            <w:tcBorders>
              <w:top w:val="single" w:color="B0B8C8" w:sz="1"/>
              <w:left w:val="single" w:color="B0B8C8" w:sz="1"/>
              <w:bottom w:val="single" w:color="B0B8C8" w:sz="1"/>
              <w:right w:val="single" w:color="B0B8C8" w:sz="1"/>
            </w:tcBorders>
            <w:shd w:fill="1D4E4E" w:val="clear"/>
            <w:tcMar>
              <w:top w:type="dxa" w:w="50"/>
              <w:left w:type="dxa" w:w="80"/>
              <w:bottom w:type="dxa" w:w="50"/>
              <w:right w:type="dxa" w:w="80"/>
            </w:tcMar>
            <w:vAlign w:val="center"/>
          </w:tcPr>
          <w:p>
            <w:r>
              <w:rPr>
                <w:rFonts w:ascii="Arial" w:cs="Arial" w:eastAsia="Arial" w:hAnsi="Arial"/>
                <w:b/>
                <w:bCs/>
                <w:color w:val="FFFFFF"/>
                <w:sz w:val="16"/>
                <w:szCs w:val="16"/>
              </w:rPr>
              <w:t xml:space="preserve">Growth / Investment Pipeline</w:t>
            </w:r>
          </w:p>
        </w:tc>
        <w:tc>
          <w:tcPr>
            <w:tcW w:type="dxa" w:w="2100"/>
            <w:tcBorders>
              <w:top w:val="single" w:color="B0B8C8" w:sz="1"/>
              <w:left w:val="single" w:color="B0B8C8" w:sz="1"/>
              <w:bottom w:val="single" w:color="B0B8C8" w:sz="1"/>
              <w:right w:val="single" w:color="B0B8C8" w:sz="1"/>
            </w:tcBorders>
            <w:shd w:fill="1D4E4E" w:val="clear"/>
            <w:tcMar>
              <w:top w:type="dxa" w:w="50"/>
              <w:left w:type="dxa" w:w="80"/>
              <w:bottom w:type="dxa" w:w="50"/>
              <w:right w:type="dxa" w:w="80"/>
            </w:tcMar>
            <w:vAlign w:val="center"/>
          </w:tcPr>
          <w:p>
            <w:r>
              <w:rPr>
                <w:rFonts w:ascii="Arial" w:cs="Arial" w:eastAsia="Arial" w:hAnsi="Arial"/>
                <w:b/>
                <w:bCs/>
                <w:color w:val="FFFFFF"/>
                <w:sz w:val="16"/>
                <w:szCs w:val="16"/>
              </w:rPr>
              <w:t xml:space="preserve">Key Contracts &amp; Partnerships</w:t>
            </w:r>
          </w:p>
        </w:tc>
        <w:tc>
          <w:tcPr>
            <w:tcW w:type="dxa" w:w="5790"/>
            <w:tcBorders>
              <w:top w:val="single" w:color="B0B8C8" w:sz="1"/>
              <w:left w:val="single" w:color="B0B8C8" w:sz="1"/>
              <w:bottom w:val="single" w:color="B0B8C8" w:sz="1"/>
              <w:right w:val="single" w:color="B0B8C8" w:sz="1"/>
            </w:tcBorders>
            <w:shd w:fill="1D4E4E" w:val="clear"/>
            <w:tcMar>
              <w:top w:type="dxa" w:w="50"/>
              <w:left w:type="dxa" w:w="80"/>
              <w:bottom w:type="dxa" w:w="50"/>
              <w:right w:type="dxa" w:w="80"/>
            </w:tcMar>
            <w:vAlign w:val="center"/>
          </w:tcPr>
          <w:p>
            <w:r>
              <w:rPr>
                <w:rFonts w:ascii="Arial" w:cs="Arial" w:eastAsia="Arial" w:hAnsi="Arial"/>
                <w:b/>
                <w:bCs/>
                <w:color w:val="FFFFFF"/>
                <w:sz w:val="16"/>
                <w:szCs w:val="16"/>
              </w:rPr>
              <w:t xml:space="preserve">CIB Exposure Rationale &amp; Risk</w:t>
            </w:r>
          </w:p>
        </w:tc>
      </w:tr>
      <w:tr>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EQIX</w:t>
            </w:r>
          </w:p>
        </w:tc>
        <w:tc>
          <w:tcPr>
            <w:tcW w:type="dxa" w:w="13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Equinix Inc (REIT)</w:t>
            </w:r>
          </w:p>
        </w:tc>
        <w:tc>
          <w:tcPr>
            <w:tcW w:type="dxa" w:w="5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$71B</w:t>
            </w:r>
          </w:p>
        </w:tc>
        <w:tc>
          <w:tcPr>
            <w:tcW w:type="dxa" w:w="1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270+ DCs in 77 markets; 144K+ cabinets</w:t>
            </w:r>
          </w:p>
        </w:tc>
        <w:tc>
          <w:tcPr>
            <w:tcW w:type="dxa" w:w="21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Spending $4–5B/yr through 2029 to double capacity</w:t>
            </w:r>
          </w:p>
        </w:tc>
        <w:tc>
          <w:tcPr>
            <w:tcW w:type="dxa" w:w="21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xScale JV $15B; 58 major projects underway; 1GW nuclear power (Oklo, Radiant)</w:t>
            </w:r>
          </w:p>
        </w:tc>
        <w:tc>
          <w:tcPr>
            <w:tcW w:type="dxa" w:w="579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Largest global interconnected DC operator. Cross-connect ecosystem creates massive switching costs and network effects. Q3: +10% EBITDA YoY, record gross bookings $394M (+25% YoY). 22+ consecutive years of quarterly revenue growth. 78% cabinet utilization. 12 xScale hyperscale projects. Dense fiber + cloud on-ramps create competitive moat. Forward AFFO at 18.4x — compressed vs. historical average.</w:t>
            </w:r>
          </w:p>
        </w:tc>
      </w:tr>
      <w:tr>
        <w:tc>
          <w:tcPr>
            <w:tcW w:type="dxa" w:w="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DLR</w:t>
            </w:r>
          </w:p>
        </w:tc>
        <w:tc>
          <w:tcPr>
            <w:tcW w:type="dxa" w:w="13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Digital Realty Trust (REIT)</w:t>
            </w:r>
          </w:p>
        </w:tc>
        <w:tc>
          <w:tcPr>
            <w:tcW w:type="dxa" w:w="5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$55B</w:t>
            </w:r>
          </w:p>
        </w:tc>
        <w:tc>
          <w:tcPr>
            <w:tcW w:type="dxa" w:w="1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300+ global DCs; 15% of US leased DC power (largest share)</w:t>
            </w:r>
          </w:p>
        </w:tc>
        <w:tc>
          <w:tcPr>
            <w:tcW w:type="dxa" w:w="21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US Hyperscale DC Fund $10B; Blackstone JV $7B</w:t>
            </w:r>
          </w:p>
        </w:tc>
        <w:tc>
          <w:tcPr>
            <w:tcW w:type="dxa" w:w="21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Hyperscaler anchor tenants (AWS, Google, MSFT); Quantum-AI DC launched NYC Sep 2025</w:t>
            </w:r>
          </w:p>
        </w:tc>
        <w:tc>
          <w:tcPr>
            <w:tcW w:type="dxa" w:w="579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Largest dedicated hyperscale DC provider globally. PlatformDigital platform spans massive campuses optimized for cloud/AI tenants. Blackstone partnership signals institutional capital flowing into DC real estate. First Quantum-AI data center (Digital Realty + OQC + NVIDIA, NYC Sep 2025). 5.8% core FFO growth expected 2025.</w:t>
            </w:r>
          </w:p>
        </w:tc>
      </w:tr>
      <w:tr>
        <w:tc>
          <w:tcPr>
            <w:tcW w:type="dxa" w:w="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AMT</w:t>
            </w:r>
          </w:p>
        </w:tc>
        <w:tc>
          <w:tcPr>
            <w:tcW w:type="dxa" w:w="13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American Tower Corp (REIT)</w:t>
            </w:r>
          </w:p>
        </w:tc>
        <w:tc>
          <w:tcPr>
            <w:tcW w:type="dxa" w:w="5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$100B</w:t>
            </w:r>
          </w:p>
        </w:tc>
        <w:tc>
          <w:tcPr>
            <w:tcW w:type="dxa" w:w="1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220K+ tower sites; growing DC segment via CoreSite</w:t>
            </w:r>
          </w:p>
        </w:tc>
        <w:tc>
          <w:tcPr>
            <w:tcW w:type="dxa" w:w="21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CoreSite acquisition expanding AI DC footprint</w:t>
            </w:r>
          </w:p>
        </w:tc>
        <w:tc>
          <w:tcPr>
            <w:tcW w:type="dxa" w:w="21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Tower + edge compute + colocation hybrid model</w:t>
            </w:r>
          </w:p>
        </w:tc>
        <w:tc>
          <w:tcPr>
            <w:tcW w:type="dxa" w:w="579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Tower REIT expanding into data centers via CoreSite acquisition. AI exposure is secondary to core tower business but growing. Edge computing convergence with 5G creates long-term AI adjacency. Lower AI beta than pure-play DC REITs but more diversified.</w:t>
            </w:r>
          </w:p>
        </w:tc>
      </w:tr>
      <w:tr>
        <w:tc>
          <w:tcPr>
            <w:tcW w:type="dxa" w:w="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IRM</w:t>
            </w:r>
          </w:p>
        </w:tc>
        <w:tc>
          <w:tcPr>
            <w:tcW w:type="dxa" w:w="13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Iron Mountain (REIT)</w:t>
            </w:r>
          </w:p>
        </w:tc>
        <w:tc>
          <w:tcPr>
            <w:tcW w:type="dxa" w:w="5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$30B</w:t>
            </w:r>
          </w:p>
        </w:tc>
        <w:tc>
          <w:tcPr>
            <w:tcW w:type="dxa" w:w="1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Legacy storage + growing DC segment</w:t>
            </w:r>
          </w:p>
        </w:tc>
        <w:tc>
          <w:tcPr>
            <w:tcW w:type="dxa" w:w="21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DC revenue growing 25%+ YoY; pivoting from records storage</w:t>
            </w:r>
          </w:p>
        </w:tc>
        <w:tc>
          <w:tcPr>
            <w:tcW w:type="dxa" w:w="21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Enterprise customers migrating from storage to hybrid cloud/DC</w:t>
            </w:r>
          </w:p>
        </w:tc>
        <w:tc>
          <w:tcPr>
            <w:tcW w:type="dxa" w:w="579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Legacy records storage company pivoting to data centers. DC segment growing 25%+ YoY. Existing enterprise relationships create cross-sell opportunity. Lower-profile DC play with diversified revenue base. Trading at discount to pure-play DC REITs.</w:t>
            </w:r>
          </w:p>
        </w:tc>
      </w:tr>
    </w:tbl>
    <w:p>
      <w:pPr>
        <w:spacing w:after="40"/>
      </w:pPr>
    </w:p>
    <w:p>
      <w:pPr>
        <w:spacing w:before="160" w:after="70"/>
      </w:pPr>
      <w:r>
        <w:rPr>
          <w:rFonts w:ascii="Arial" w:cs="Arial" w:eastAsia="Arial" w:hAnsi="Arial"/>
          <w:b/>
          <w:bCs/>
          <w:color w:val="2C3E6B"/>
          <w:sz w:val="21"/>
          <w:szCs w:val="21"/>
        </w:rPr>
        <w:t xml:space="preserve">Data Center Synthesis</w:t>
      </w:r>
    </w:p>
    <w:p>
      <w:pPr>
        <w:spacing w:after="80" w:line="264"/>
      </w:pPr>
      <w:r>
        <w:rPr>
          <w:rFonts w:ascii="Arial" w:cs="Arial" w:eastAsia="Arial" w:hAnsi="Arial"/>
          <w:color w:val="2D3748"/>
          <w:sz w:val="18"/>
          <w:szCs w:val="18"/>
        </w:rPr>
        <w:t xml:space="preserve">Traditional DC operators (EQIX, DLR) are core holdings in Wealth Management model portfolios and real estate lending exposure for commercial banking. The critical distinction from neoclouds: these companies lease space and power but do not own GPUs or provide compute-as-a-service. Their revenue model is long-duration real estate leasing with high switching costs (especially Equinix’s cross-connect ecosystem). CRE loans secured by DC properties must be stress-tested for AI capex cycle risk — if hyperscaler demand contracts, long-term lease assumptions underlying DC valuations could deteriorate. However, the structural constraint (power scarcity, 2–3 year construction timelines, zoning complexity) provides a natural supply barrier that protects existing operators. Equinix’s 1GW nuclear power agreements (Oklo, Radiant, Bloom Energy) signal the convergence of DC and energy infrastructure.</w:t>
      </w:r>
    </w:p>
    <w:p>
      <w:r>
        <w:br w:type="page"/>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5B3A8C" w:sz="3"/>
              <w:left w:val="none" w:sz="0"/>
              <w:bottom w:val="single" w:color="5B3A8C" w:sz="3"/>
              <w:right w:val="none" w:sz="0"/>
            </w:tcBorders>
            <w:shd w:fill="5B3A8C" w:val="clear"/>
            <w:tcMar>
              <w:top w:type="dxa" w:w="60"/>
              <w:left w:type="dxa" w:w="140"/>
              <w:bottom w:type="dxa" w:w="60"/>
              <w:right w:type="dxa" w:w="140"/>
            </w:tcMar>
          </w:tcPr>
          <w:p>
            <w:r>
              <w:rPr>
                <w:rFonts w:ascii="Arial" w:cs="Arial" w:eastAsia="Arial" w:hAnsi="Arial"/>
                <w:b/>
                <w:bCs/>
                <w:color w:val="FFFFFF"/>
                <w:sz w:val="24"/>
                <w:szCs w:val="24"/>
              </w:rPr>
              <w:t xml:space="preserve">4. NEOCLOUDS (GPU-AS-A-SERVICE)</w:t>
            </w:r>
          </w:p>
        </w:tc>
      </w:tr>
    </w:tbl>
    <w:p>
      <w:pPr>
        <w:spacing w:after="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00"/>
        <w:gridCol w:w="1050"/>
        <w:gridCol w:w="550"/>
        <w:gridCol w:w="1500"/>
        <w:gridCol w:w="1300"/>
        <w:gridCol w:w="1200"/>
        <w:gridCol w:w="1100"/>
        <w:gridCol w:w="6740"/>
      </w:tblGrid>
      <w:tr>
        <w:tc>
          <w:tcPr>
            <w:tcW w:type="dxa" w:w="600"/>
            <w:tcBorders>
              <w:top w:val="single" w:color="B0B8C8" w:sz="1"/>
              <w:left w:val="single" w:color="B0B8C8" w:sz="1"/>
              <w:bottom w:val="single" w:color="B0B8C8" w:sz="1"/>
              <w:right w:val="single" w:color="B0B8C8" w:sz="1"/>
            </w:tcBorders>
            <w:shd w:fill="5B3A8C" w:val="clear"/>
            <w:tcMar>
              <w:top w:type="dxa" w:w="50"/>
              <w:left w:type="dxa" w:w="80"/>
              <w:bottom w:type="dxa" w:w="50"/>
              <w:right w:type="dxa" w:w="80"/>
            </w:tcMar>
            <w:vAlign w:val="center"/>
          </w:tcPr>
          <w:p>
            <w:r>
              <w:rPr>
                <w:rFonts w:ascii="Arial" w:cs="Arial" w:eastAsia="Arial" w:hAnsi="Arial"/>
                <w:b/>
                <w:bCs/>
                <w:color w:val="FFFFFF"/>
                <w:sz w:val="16"/>
                <w:szCs w:val="16"/>
              </w:rPr>
              <w:t xml:space="preserve">Ticker</w:t>
            </w:r>
          </w:p>
        </w:tc>
        <w:tc>
          <w:tcPr>
            <w:tcW w:type="dxa" w:w="1050"/>
            <w:tcBorders>
              <w:top w:val="single" w:color="B0B8C8" w:sz="1"/>
              <w:left w:val="single" w:color="B0B8C8" w:sz="1"/>
              <w:bottom w:val="single" w:color="B0B8C8" w:sz="1"/>
              <w:right w:val="single" w:color="B0B8C8" w:sz="1"/>
            </w:tcBorders>
            <w:shd w:fill="5B3A8C" w:val="clear"/>
            <w:tcMar>
              <w:top w:type="dxa" w:w="50"/>
              <w:left w:type="dxa" w:w="80"/>
              <w:bottom w:type="dxa" w:w="50"/>
              <w:right w:type="dxa" w:w="80"/>
            </w:tcMar>
            <w:vAlign w:val="center"/>
          </w:tcPr>
          <w:p>
            <w:r>
              <w:rPr>
                <w:rFonts w:ascii="Arial" w:cs="Arial" w:eastAsia="Arial" w:hAnsi="Arial"/>
                <w:b/>
                <w:bCs/>
                <w:color w:val="FFFFFF"/>
                <w:sz w:val="16"/>
                <w:szCs w:val="16"/>
              </w:rPr>
              <w:t xml:space="preserve">Company</w:t>
            </w:r>
          </w:p>
        </w:tc>
        <w:tc>
          <w:tcPr>
            <w:tcW w:type="dxa" w:w="550"/>
            <w:tcBorders>
              <w:top w:val="single" w:color="B0B8C8" w:sz="1"/>
              <w:left w:val="single" w:color="B0B8C8" w:sz="1"/>
              <w:bottom w:val="single" w:color="B0B8C8" w:sz="1"/>
              <w:right w:val="single" w:color="B0B8C8" w:sz="1"/>
            </w:tcBorders>
            <w:shd w:fill="5B3A8C" w:val="clear"/>
            <w:tcMar>
              <w:top w:type="dxa" w:w="50"/>
              <w:left w:type="dxa" w:w="80"/>
              <w:bottom w:type="dxa" w:w="50"/>
              <w:right w:type="dxa" w:w="80"/>
            </w:tcMar>
            <w:vAlign w:val="center"/>
          </w:tcPr>
          <w:p>
            <w:r>
              <w:rPr>
                <w:rFonts w:ascii="Arial" w:cs="Arial" w:eastAsia="Arial" w:hAnsi="Arial"/>
                <w:b/>
                <w:bCs/>
                <w:color w:val="FFFFFF"/>
                <w:sz w:val="16"/>
                <w:szCs w:val="16"/>
              </w:rPr>
              <w:t xml:space="preserve">Mkt Cap</w:t>
            </w:r>
          </w:p>
        </w:tc>
        <w:tc>
          <w:tcPr>
            <w:tcW w:type="dxa" w:w="1500"/>
            <w:tcBorders>
              <w:top w:val="single" w:color="B0B8C8" w:sz="1"/>
              <w:left w:val="single" w:color="B0B8C8" w:sz="1"/>
              <w:bottom w:val="single" w:color="B0B8C8" w:sz="1"/>
              <w:right w:val="single" w:color="B0B8C8" w:sz="1"/>
            </w:tcBorders>
            <w:shd w:fill="5B3A8C" w:val="clear"/>
            <w:tcMar>
              <w:top w:type="dxa" w:w="50"/>
              <w:left w:type="dxa" w:w="80"/>
              <w:bottom w:type="dxa" w:w="50"/>
              <w:right w:type="dxa" w:w="80"/>
            </w:tcMar>
            <w:vAlign w:val="center"/>
          </w:tcPr>
          <w:p>
            <w:r>
              <w:rPr>
                <w:rFonts w:ascii="Arial" w:cs="Arial" w:eastAsia="Arial" w:hAnsi="Arial"/>
                <w:b/>
                <w:bCs/>
                <w:color w:val="FFFFFF"/>
                <w:sz w:val="16"/>
                <w:szCs w:val="16"/>
              </w:rPr>
              <w:t xml:space="preserve">Revenue / Backlog</w:t>
            </w:r>
          </w:p>
        </w:tc>
        <w:tc>
          <w:tcPr>
            <w:tcW w:type="dxa" w:w="1300"/>
            <w:tcBorders>
              <w:top w:val="single" w:color="B0B8C8" w:sz="1"/>
              <w:left w:val="single" w:color="B0B8C8" w:sz="1"/>
              <w:bottom w:val="single" w:color="B0B8C8" w:sz="1"/>
              <w:right w:val="single" w:color="B0B8C8" w:sz="1"/>
            </w:tcBorders>
            <w:shd w:fill="5B3A8C" w:val="clear"/>
            <w:tcMar>
              <w:top w:type="dxa" w:w="50"/>
              <w:left w:type="dxa" w:w="80"/>
              <w:bottom w:type="dxa" w:w="50"/>
              <w:right w:type="dxa" w:w="80"/>
            </w:tcMar>
            <w:vAlign w:val="center"/>
          </w:tcPr>
          <w:p>
            <w:r>
              <w:rPr>
                <w:rFonts w:ascii="Arial" w:cs="Arial" w:eastAsia="Arial" w:hAnsi="Arial"/>
                <w:b/>
                <w:bCs/>
                <w:color w:val="FFFFFF"/>
                <w:sz w:val="16"/>
                <w:szCs w:val="16"/>
              </w:rPr>
              <w:t xml:space="preserve">Capex / Infra</w:t>
            </w:r>
          </w:p>
        </w:tc>
        <w:tc>
          <w:tcPr>
            <w:tcW w:type="dxa" w:w="1200"/>
            <w:tcBorders>
              <w:top w:val="single" w:color="B0B8C8" w:sz="1"/>
              <w:left w:val="single" w:color="B0B8C8" w:sz="1"/>
              <w:bottom w:val="single" w:color="B0B8C8" w:sz="1"/>
              <w:right w:val="single" w:color="B0B8C8" w:sz="1"/>
            </w:tcBorders>
            <w:shd w:fill="5B3A8C" w:val="clear"/>
            <w:tcMar>
              <w:top w:type="dxa" w:w="50"/>
              <w:left w:type="dxa" w:w="80"/>
              <w:bottom w:type="dxa" w:w="50"/>
              <w:right w:type="dxa" w:w="80"/>
            </w:tcMar>
            <w:vAlign w:val="center"/>
          </w:tcPr>
          <w:p>
            <w:r>
              <w:rPr>
                <w:rFonts w:ascii="Arial" w:cs="Arial" w:eastAsia="Arial" w:hAnsi="Arial"/>
                <w:b/>
                <w:bCs/>
                <w:color w:val="FFFFFF"/>
                <w:sz w:val="16"/>
                <w:szCs w:val="16"/>
              </w:rPr>
              <w:t xml:space="preserve">Power (MW)</w:t>
            </w:r>
          </w:p>
        </w:tc>
        <w:tc>
          <w:tcPr>
            <w:tcW w:type="dxa" w:w="1100"/>
            <w:tcBorders>
              <w:top w:val="single" w:color="B0B8C8" w:sz="1"/>
              <w:left w:val="single" w:color="B0B8C8" w:sz="1"/>
              <w:bottom w:val="single" w:color="B0B8C8" w:sz="1"/>
              <w:right w:val="single" w:color="B0B8C8" w:sz="1"/>
            </w:tcBorders>
            <w:shd w:fill="5B3A8C" w:val="clear"/>
            <w:tcMar>
              <w:top w:type="dxa" w:w="50"/>
              <w:left w:type="dxa" w:w="80"/>
              <w:bottom w:type="dxa" w:w="50"/>
              <w:right w:type="dxa" w:w="80"/>
            </w:tcMar>
            <w:vAlign w:val="center"/>
          </w:tcPr>
          <w:p>
            <w:r>
              <w:rPr>
                <w:rFonts w:ascii="Arial" w:cs="Arial" w:eastAsia="Arial" w:hAnsi="Arial"/>
                <w:b/>
                <w:bCs/>
                <w:color w:val="FFFFFF"/>
                <w:sz w:val="16"/>
                <w:szCs w:val="16"/>
              </w:rPr>
              <w:t xml:space="preserve">Debt / Leverage</w:t>
            </w:r>
          </w:p>
        </w:tc>
        <w:tc>
          <w:tcPr>
            <w:tcW w:type="dxa" w:w="6740"/>
            <w:tcBorders>
              <w:top w:val="single" w:color="B0B8C8" w:sz="1"/>
              <w:left w:val="single" w:color="B0B8C8" w:sz="1"/>
              <w:bottom w:val="single" w:color="B0B8C8" w:sz="1"/>
              <w:right w:val="single" w:color="B0B8C8" w:sz="1"/>
            </w:tcBorders>
            <w:shd w:fill="5B3A8C" w:val="clear"/>
            <w:tcMar>
              <w:top w:type="dxa" w:w="50"/>
              <w:left w:type="dxa" w:w="80"/>
              <w:bottom w:type="dxa" w:w="50"/>
              <w:right w:type="dxa" w:w="80"/>
            </w:tcMar>
            <w:vAlign w:val="center"/>
          </w:tcPr>
          <w:p>
            <w:r>
              <w:rPr>
                <w:rFonts w:ascii="Arial" w:cs="Arial" w:eastAsia="Arial" w:hAnsi="Arial"/>
                <w:b/>
                <w:bCs/>
                <w:color w:val="FFFFFF"/>
                <w:sz w:val="16"/>
                <w:szCs w:val="16"/>
              </w:rPr>
              <w:t xml:space="preserve">CIB Rationale, Risk Assessment &amp; Key Vulnerabilities</w:t>
            </w:r>
          </w:p>
        </w:tc>
      </w:tr>
      <w:tr>
        <w:tc>
          <w:tcPr>
            <w:tcW w:type="dxa" w:w="6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CRWV</w:t>
            </w:r>
          </w:p>
        </w:tc>
        <w:tc>
          <w:tcPr>
            <w:tcW w:type="dxa" w:w="10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CoreWeave Inc</w:t>
            </w:r>
          </w:p>
        </w:tc>
        <w:tc>
          <w:tcPr>
            <w:tcW w:type="dxa" w:w="5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$47B</w:t>
            </w:r>
          </w:p>
        </w:tc>
        <w:tc>
          <w:tcPr>
            <w:tcW w:type="dxa" w:w="1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$1.36B Q3 (+134% YoY); FY25 guide $5.05–5.15B</w:t>
            </w:r>
          </w:p>
        </w:tc>
        <w:tc>
          <w:tcPr>
            <w:tcW w:type="dxa" w:w="13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$12–14B 2025; 2026 “well in excess of double”</w:t>
            </w:r>
          </w:p>
        </w:tc>
        <w:tc>
          <w:tcPr>
            <w:tcW w:type="dxa" w:w="1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590MW connected; 2.9GW contracted</w:t>
            </w:r>
          </w:p>
        </w:tc>
        <w:tc>
          <w:tcPr>
            <w:tcW w:type="dxa" w:w="11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$14B total debt; $34B off-balance sheet leases; interest expense $311M Q3 (3x YoY)</w:t>
            </w:r>
          </w:p>
        </w:tc>
        <w:tc>
          <w:tcPr>
            <w:tcW w:type="dxa" w:w="67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HIGH CREDIT RISK: 4.8x debt-to-equity; GPU-collateralized debt unprecedented in tech. $311M quarterly interest expense tripling YoY. Off-balance sheet leases $34B through 2028. No debt maturities until 2028 provides near-term cushion. Operating margin collapsed to 4% in Q3. Free cash flow deeply negative. Key risk: demand slowdown + GPU depreciation could trigger covenant stress. Construction delays (Q3 guidance cut) demonstrate execution vulnerability. Single-supplier dependency on NVIDIA.</w:t>
            </w:r>
          </w:p>
        </w:tc>
      </w:tr>
      <w:tr>
        <w:tc>
          <w:tcPr>
            <w:tcW w:type="dxa" w:w="6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NBIS</w:t>
            </w:r>
          </w:p>
        </w:tc>
        <w:tc>
          <w:tcPr>
            <w:tcW w:type="dxa" w:w="10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Nebius Group NV (ex-Yandex)</w:t>
            </w:r>
          </w:p>
        </w:tc>
        <w:tc>
          <w:tcPr>
            <w:tcW w:type="dxa" w:w="5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$23B</w:t>
            </w:r>
          </w:p>
        </w:tc>
        <w:tc>
          <w:tcPr>
            <w:tcW w:type="dxa" w:w="1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$302M YTD Q3’25 (+437% YoY); ARR target $7–9B end-2026</w:t>
            </w:r>
          </w:p>
        </w:tc>
        <w:tc>
          <w:tcPr>
            <w:tcW w:type="dxa" w:w="13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$5B 2025 (raised from $2B); 2026 significantly higher</w:t>
            </w:r>
          </w:p>
        </w:tc>
        <w:tc>
          <w:tcPr>
            <w:tcW w:type="dxa" w:w="1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~220MW connected end-2025; 2.5GW+ contracted</w:t>
            </w:r>
          </w:p>
        </w:tc>
        <w:tc>
          <w:tcPr>
            <w:tcW w:type="dxa" w:w="11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Lower leverage than CoreWeave; $2B ATM facility (dilutive)</w:t>
            </w:r>
          </w:p>
        </w:tc>
        <w:tc>
          <w:tcPr>
            <w:tcW w:type="dxa" w:w="67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MODERATE CREDIT RISK: Lower leverage than CRWV but rapidly scaling capex. Free cash flow negative through 2028. ATM facility ($2B) dilutes equity holders ~10%. 65x sales multiple assumes perfect execution. Key risk: customer concentration (Microsoft + Meta = bulk of backlog); late entrant facing CoreWeave scale advantage; geopolitical overhang from Yandex heritage.</w:t>
            </w:r>
          </w:p>
        </w:tc>
      </w:tr>
      <w:tr>
        <w:tc>
          <w:tcPr>
            <w:tcW w:type="dxa" w:w="6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IREN</w:t>
            </w:r>
          </w:p>
        </w:tc>
        <w:tc>
          <w:tcPr>
            <w:tcW w:type="dxa" w:w="10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IREN Limited (f/k/a Iris Energy)</w:t>
            </w:r>
          </w:p>
        </w:tc>
        <w:tc>
          <w:tcPr>
            <w:tcW w:type="dxa" w:w="5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$8B</w:t>
            </w:r>
          </w:p>
        </w:tc>
        <w:tc>
          <w:tcPr>
            <w:tcW w:type="dxa" w:w="1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~$500M TTM; AI Cloud ramping 2026</w:t>
            </w:r>
          </w:p>
        </w:tc>
        <w:tc>
          <w:tcPr>
            <w:tcW w:type="dxa" w:w="13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Vertically integrated: owns land, power, DCs</w:t>
            </w:r>
          </w:p>
        </w:tc>
        <w:tc>
          <w:tcPr>
            <w:tcW w:type="dxa" w:w="1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1.4GW grid-connected portfolio; 3GW total</w:t>
            </w:r>
          </w:p>
        </w:tc>
        <w:tc>
          <w:tcPr>
            <w:tcW w:type="dxa" w:w="11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Lower than CRWV/NBIS; BTC mining provides cash flow bridge</w:t>
            </w:r>
          </w:p>
        </w:tc>
        <w:tc>
          <w:tcPr>
            <w:tcW w:type="dxa" w:w="67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MODERATE CREDIT RISK: Lower leverage, self-funded via BTC mining and power assets. No AI Cloud revenue until 2026 — execution entirely forward-looking. 140K GPU target requires 75x expansion in &lt;2 years. MSFT won’t need to renew long-term — temporary capacity bridge. Key risk: commodity bare-metal model lacks software differentiation; Bitcoin mining volatility on interim cash flows.</w:t>
            </w:r>
          </w:p>
        </w:tc>
      </w:tr>
      <w:tr>
        <w:tc>
          <w:tcPr>
            <w:tcW w:type="dxa" w:w="6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APLD</w:t>
            </w:r>
          </w:p>
        </w:tc>
        <w:tc>
          <w:tcPr>
            <w:tcW w:type="dxa" w:w="10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Applied Digital Inc</w:t>
            </w:r>
          </w:p>
        </w:tc>
        <w:tc>
          <w:tcPr>
            <w:tcW w:type="dxa" w:w="5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$5B</w:t>
            </w:r>
          </w:p>
        </w:tc>
        <w:tc>
          <w:tcPr>
            <w:tcW w:type="dxa" w:w="1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~$200M quarterly</w:t>
            </w:r>
          </w:p>
        </w:tc>
        <w:tc>
          <w:tcPr>
            <w:tcW w:type="dxa" w:w="13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$5B Macquarie financing facility</w:t>
            </w:r>
          </w:p>
        </w:tc>
        <w:tc>
          <w:tcPr>
            <w:tcW w:type="dxa" w:w="1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Purpose-built next-gen AI factories</w:t>
            </w:r>
          </w:p>
        </w:tc>
        <w:tc>
          <w:tcPr>
            <w:tcW w:type="dxa" w:w="11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Significant project finance leverage</w:t>
            </w:r>
          </w:p>
        </w:tc>
        <w:tc>
          <w:tcPr>
            <w:tcW w:type="dxa" w:w="67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HIGH CREDIT RISK: Project finance leverage. Small-cap with limited financial track record. Customer concentration (CoreWeave dependency). Key risk: if CoreWeave has issues, APLD is directly impacted. Speculative.</w:t>
            </w:r>
          </w:p>
        </w:tc>
      </w:tr>
      <w:tr>
        <w:tc>
          <w:tcPr>
            <w:tcW w:type="dxa" w:w="6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Private</w:t>
            </w:r>
          </w:p>
        </w:tc>
        <w:tc>
          <w:tcPr>
            <w:tcW w:type="dxa" w:w="10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Lambda Labs</w:t>
            </w:r>
          </w:p>
        </w:tc>
        <w:tc>
          <w:tcPr>
            <w:tcW w:type="dxa" w:w="5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~$4B (private)</w:t>
            </w:r>
          </w:p>
        </w:tc>
        <w:tc>
          <w:tcPr>
            <w:tcW w:type="dxa" w:w="15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Growing rapidly; GPU-as-a-service</w:t>
            </w:r>
          </w:p>
        </w:tc>
        <w:tc>
          <w:tcPr>
            <w:tcW w:type="dxa" w:w="13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$480M Series D (Dec 2024); 65K H100 GPUs deployed</w:t>
            </w:r>
          </w:p>
        </w:tc>
        <w:tc>
          <w:tcPr>
            <w:tcW w:type="dxa" w:w="1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Multi-site GPU cloud infrastructure</w:t>
            </w:r>
          </w:p>
        </w:tc>
        <w:tc>
          <w:tcPr>
            <w:tcW w:type="dxa" w:w="11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VC-backed; moderate leverage</w:t>
            </w:r>
          </w:p>
        </w:tc>
        <w:tc>
          <w:tcPr>
            <w:tcW w:type="dxa" w:w="67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VENTURE/PRE-IPO RISK: Private company. CIB exposure through potential IPO underwriting, VC fund lending with Lambda as portfolio company. Key risk: commoditization of GPU rental; scale disadvantage vs. CoreWeave.</w:t>
            </w:r>
          </w:p>
        </w:tc>
      </w:tr>
      <w:tr>
        <w:tc>
          <w:tcPr>
            <w:tcW w:type="dxa" w:w="6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Private</w:t>
            </w:r>
          </w:p>
        </w:tc>
        <w:tc>
          <w:tcPr>
            <w:tcW w:type="dxa" w:w="10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Crusoe Energy Systems</w:t>
            </w:r>
          </w:p>
        </w:tc>
        <w:tc>
          <w:tcPr>
            <w:tcW w:type="dxa" w:w="5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~$4–5B (private)</w:t>
            </w:r>
          </w:p>
        </w:tc>
        <w:tc>
          <w:tcPr>
            <w:tcW w:type="dxa" w:w="15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Early revenue; pivoting to AI DC</w:t>
            </w:r>
          </w:p>
        </w:tc>
        <w:tc>
          <w:tcPr>
            <w:tcW w:type="dxa" w:w="13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45GW pipeline (largest of any neocloud)</w:t>
            </w:r>
          </w:p>
        </w:tc>
        <w:tc>
          <w:tcPr>
            <w:tcW w:type="dxa" w:w="1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Vertically integrated power + compute</w:t>
            </w:r>
          </w:p>
        </w:tc>
        <w:tc>
          <w:tcPr>
            <w:tcW w:type="dxa" w:w="11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Project finance + equity</w:t>
            </w:r>
          </w:p>
        </w:tc>
        <w:tc>
          <w:tcPr>
            <w:tcW w:type="dxa" w:w="67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HIGH RISK: Extremely ambitious pipeline (45GW never before built by any DC company). Pre-profitability. Execution risk is primary concern. Key risk: construction velocity assumptions are historically unprecedented; power asset valuations depend on AI demand persistence.</w:t>
            </w:r>
          </w:p>
        </w:tc>
      </w:tr>
    </w:tbl>
    <w:p>
      <w:pPr>
        <w:spacing w:after="40"/>
      </w:pPr>
    </w:p>
    <w:p>
      <w:pPr>
        <w:spacing w:before="160" w:after="70"/>
      </w:pPr>
      <w:r>
        <w:rPr>
          <w:rFonts w:ascii="Arial" w:cs="Arial" w:eastAsia="Arial" w:hAnsi="Arial"/>
          <w:b/>
          <w:bCs/>
          <w:color w:val="2C3E6B"/>
          <w:sz w:val="21"/>
          <w:szCs w:val="21"/>
        </w:rPr>
        <w:t xml:space="preserve">Neocloud Synthesis</w:t>
      </w:r>
    </w:p>
    <w:p>
      <w:pPr>
        <w:spacing w:after="80" w:line="264"/>
      </w:pPr>
      <w:r>
        <w:rPr>
          <w:rFonts w:ascii="Arial" w:cs="Arial" w:eastAsia="Arial" w:hAnsi="Arial"/>
          <w:color w:val="2D3748"/>
          <w:sz w:val="18"/>
          <w:szCs w:val="18"/>
        </w:rPr>
        <w:t xml:space="preserve">Neoclouds are the most asymmetric risk/reward category in the AI universe. CoreWeave’s $55.6B backlog and 134% YoY revenue growth coexist with $14B in debt, $34B in off-balance sheet leases, 4.8x debt-to-equity, and operating margins that collapsed to 4% in Q3. The self-reinforcing capital loop (GPU assets collateralize debt, which funds more GPU purchases, which back more debt) works spectacularly in a rising demand environment but creates reflexive risk in a downturn. If AI demand decelerates or GPU residual values decline, collateral revaluation could trigger covenant stress across the entire neocloud sector simultaneously. For CIB credit risk, the key question is whether these companies are infrastructure utilities (stable, financeable) or leveraged cyclical bets (vulnerable to demand cliff). The answer depends entirely on the durability of the AI capex cycle. The neocloud market ($35B in 2026) is growing at 46% CAGR, but the entire sector’s revenue depends on continued hyperscaler overflow demand — making it a second-derivative bet on hyperscaler capex.</w:t>
      </w:r>
    </w:p>
    <w:p>
      <w:r>
        <w:br w:type="page"/>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8B4513" w:sz="3"/>
              <w:left w:val="none" w:sz="0"/>
              <w:bottom w:val="single" w:color="8B4513" w:sz="3"/>
              <w:right w:val="none" w:sz="0"/>
            </w:tcBorders>
            <w:shd w:fill="8B4513" w:val="clear"/>
            <w:tcMar>
              <w:top w:type="dxa" w:w="60"/>
              <w:left w:type="dxa" w:w="140"/>
              <w:bottom w:type="dxa" w:w="60"/>
              <w:right w:type="dxa" w:w="140"/>
            </w:tcMar>
          </w:tcPr>
          <w:p>
            <w:r>
              <w:rPr>
                <w:rFonts w:ascii="Arial" w:cs="Arial" w:eastAsia="Arial" w:hAnsi="Arial"/>
                <w:b/>
                <w:bCs/>
                <w:color w:val="FFFFFF"/>
                <w:sz w:val="24"/>
                <w:szCs w:val="24"/>
              </w:rPr>
              <w:t xml:space="preserve">5. LLMs &amp; EARLY-STAGE AI COMPANIES</w:t>
            </w:r>
          </w:p>
        </w:tc>
      </w:tr>
    </w:tbl>
    <w:p>
      <w:pPr>
        <w:spacing w:after="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50"/>
        <w:gridCol w:w="1150"/>
        <w:gridCol w:w="700"/>
        <w:gridCol w:w="1200"/>
        <w:gridCol w:w="1600"/>
        <w:gridCol w:w="1100"/>
        <w:gridCol w:w="7640"/>
      </w:tblGrid>
      <w:tr>
        <w:tc>
          <w:tcPr>
            <w:tcW w:type="dxa" w:w="650"/>
            <w:tcBorders>
              <w:top w:val="single" w:color="B0B8C8" w:sz="1"/>
              <w:left w:val="single" w:color="B0B8C8" w:sz="1"/>
              <w:bottom w:val="single" w:color="B0B8C8" w:sz="1"/>
              <w:right w:val="single" w:color="B0B8C8" w:sz="1"/>
            </w:tcBorders>
            <w:shd w:fill="8B4513" w:val="clear"/>
            <w:tcMar>
              <w:top w:type="dxa" w:w="50"/>
              <w:left w:type="dxa" w:w="80"/>
              <w:bottom w:type="dxa" w:w="50"/>
              <w:right w:type="dxa" w:w="80"/>
            </w:tcMar>
            <w:vAlign w:val="center"/>
          </w:tcPr>
          <w:p>
            <w:r>
              <w:rPr>
                <w:rFonts w:ascii="Arial" w:cs="Arial" w:eastAsia="Arial" w:hAnsi="Arial"/>
                <w:b/>
                <w:bCs/>
                <w:color w:val="FFFFFF"/>
                <w:sz w:val="16"/>
                <w:szCs w:val="16"/>
              </w:rPr>
              <w:t xml:space="preserve">Ticker</w:t>
            </w:r>
          </w:p>
        </w:tc>
        <w:tc>
          <w:tcPr>
            <w:tcW w:type="dxa" w:w="1150"/>
            <w:tcBorders>
              <w:top w:val="single" w:color="B0B8C8" w:sz="1"/>
              <w:left w:val="single" w:color="B0B8C8" w:sz="1"/>
              <w:bottom w:val="single" w:color="B0B8C8" w:sz="1"/>
              <w:right w:val="single" w:color="B0B8C8" w:sz="1"/>
            </w:tcBorders>
            <w:shd w:fill="8B4513" w:val="clear"/>
            <w:tcMar>
              <w:top w:type="dxa" w:w="50"/>
              <w:left w:type="dxa" w:w="80"/>
              <w:bottom w:type="dxa" w:w="50"/>
              <w:right w:type="dxa" w:w="80"/>
            </w:tcMar>
            <w:vAlign w:val="center"/>
          </w:tcPr>
          <w:p>
            <w:r>
              <w:rPr>
                <w:rFonts w:ascii="Arial" w:cs="Arial" w:eastAsia="Arial" w:hAnsi="Arial"/>
                <w:b/>
                <w:bCs/>
                <w:color w:val="FFFFFF"/>
                <w:sz w:val="16"/>
                <w:szCs w:val="16"/>
              </w:rPr>
              <w:t xml:space="preserve">Company</w:t>
            </w:r>
          </w:p>
        </w:tc>
        <w:tc>
          <w:tcPr>
            <w:tcW w:type="dxa" w:w="700"/>
            <w:tcBorders>
              <w:top w:val="single" w:color="B0B8C8" w:sz="1"/>
              <w:left w:val="single" w:color="B0B8C8" w:sz="1"/>
              <w:bottom w:val="single" w:color="B0B8C8" w:sz="1"/>
              <w:right w:val="single" w:color="B0B8C8" w:sz="1"/>
            </w:tcBorders>
            <w:shd w:fill="8B4513" w:val="clear"/>
            <w:tcMar>
              <w:top w:type="dxa" w:w="50"/>
              <w:left w:type="dxa" w:w="80"/>
              <w:bottom w:type="dxa" w:w="50"/>
              <w:right w:type="dxa" w:w="80"/>
            </w:tcMar>
            <w:vAlign w:val="center"/>
          </w:tcPr>
          <w:p>
            <w:r>
              <w:rPr>
                <w:rFonts w:ascii="Arial" w:cs="Arial" w:eastAsia="Arial" w:hAnsi="Arial"/>
                <w:b/>
                <w:bCs/>
                <w:color w:val="FFFFFF"/>
                <w:sz w:val="16"/>
                <w:szCs w:val="16"/>
              </w:rPr>
              <w:t xml:space="preserve">Valuation</w:t>
            </w:r>
          </w:p>
        </w:tc>
        <w:tc>
          <w:tcPr>
            <w:tcW w:type="dxa" w:w="1200"/>
            <w:tcBorders>
              <w:top w:val="single" w:color="B0B8C8" w:sz="1"/>
              <w:left w:val="single" w:color="B0B8C8" w:sz="1"/>
              <w:bottom w:val="single" w:color="B0B8C8" w:sz="1"/>
              <w:right w:val="single" w:color="B0B8C8" w:sz="1"/>
            </w:tcBorders>
            <w:shd w:fill="8B4513" w:val="clear"/>
            <w:tcMar>
              <w:top w:type="dxa" w:w="50"/>
              <w:left w:type="dxa" w:w="80"/>
              <w:bottom w:type="dxa" w:w="50"/>
              <w:right w:type="dxa" w:w="80"/>
            </w:tcMar>
            <w:vAlign w:val="center"/>
          </w:tcPr>
          <w:p>
            <w:r>
              <w:rPr>
                <w:rFonts w:ascii="Arial" w:cs="Arial" w:eastAsia="Arial" w:hAnsi="Arial"/>
                <w:b/>
                <w:bCs/>
                <w:color w:val="FFFFFF"/>
                <w:sz w:val="16"/>
                <w:szCs w:val="16"/>
              </w:rPr>
              <w:t xml:space="preserve">Revenue / ARR</w:t>
            </w:r>
          </w:p>
        </w:tc>
        <w:tc>
          <w:tcPr>
            <w:tcW w:type="dxa" w:w="1600"/>
            <w:tcBorders>
              <w:top w:val="single" w:color="B0B8C8" w:sz="1"/>
              <w:left w:val="single" w:color="B0B8C8" w:sz="1"/>
              <w:bottom w:val="single" w:color="B0B8C8" w:sz="1"/>
              <w:right w:val="single" w:color="B0B8C8" w:sz="1"/>
            </w:tcBorders>
            <w:shd w:fill="8B4513" w:val="clear"/>
            <w:tcMar>
              <w:top w:type="dxa" w:w="50"/>
              <w:left w:type="dxa" w:w="80"/>
              <w:bottom w:type="dxa" w:w="50"/>
              <w:right w:type="dxa" w:w="80"/>
            </w:tcMar>
            <w:vAlign w:val="center"/>
          </w:tcPr>
          <w:p>
            <w:r>
              <w:rPr>
                <w:rFonts w:ascii="Arial" w:cs="Arial" w:eastAsia="Arial" w:hAnsi="Arial"/>
                <w:b/>
                <w:bCs/>
                <w:color w:val="FFFFFF"/>
                <w:sz w:val="16"/>
                <w:szCs w:val="16"/>
              </w:rPr>
              <w:t xml:space="preserve">Funding / Key Investors</w:t>
            </w:r>
          </w:p>
        </w:tc>
        <w:tc>
          <w:tcPr>
            <w:tcW w:type="dxa" w:w="1100"/>
            <w:tcBorders>
              <w:top w:val="single" w:color="B0B8C8" w:sz="1"/>
              <w:left w:val="single" w:color="B0B8C8" w:sz="1"/>
              <w:bottom w:val="single" w:color="B0B8C8" w:sz="1"/>
              <w:right w:val="single" w:color="B0B8C8" w:sz="1"/>
            </w:tcBorders>
            <w:shd w:fill="8B4513" w:val="clear"/>
            <w:tcMar>
              <w:top w:type="dxa" w:w="50"/>
              <w:left w:type="dxa" w:w="80"/>
              <w:bottom w:type="dxa" w:w="50"/>
              <w:right w:type="dxa" w:w="80"/>
            </w:tcMar>
            <w:vAlign w:val="center"/>
          </w:tcPr>
          <w:p>
            <w:r>
              <w:rPr>
                <w:rFonts w:ascii="Arial" w:cs="Arial" w:eastAsia="Arial" w:hAnsi="Arial"/>
                <w:b/>
                <w:bCs/>
                <w:color w:val="FFFFFF"/>
                <w:sz w:val="16"/>
                <w:szCs w:val="16"/>
              </w:rPr>
              <w:t xml:space="preserve">IPO Outlook</w:t>
            </w:r>
          </w:p>
        </w:tc>
        <w:tc>
          <w:tcPr>
            <w:tcW w:type="dxa" w:w="7640"/>
            <w:tcBorders>
              <w:top w:val="single" w:color="B0B8C8" w:sz="1"/>
              <w:left w:val="single" w:color="B0B8C8" w:sz="1"/>
              <w:bottom w:val="single" w:color="B0B8C8" w:sz="1"/>
              <w:right w:val="single" w:color="B0B8C8" w:sz="1"/>
            </w:tcBorders>
            <w:shd w:fill="8B4513" w:val="clear"/>
            <w:tcMar>
              <w:top w:type="dxa" w:w="50"/>
              <w:left w:type="dxa" w:w="80"/>
              <w:bottom w:type="dxa" w:w="50"/>
              <w:right w:type="dxa" w:w="80"/>
            </w:tcMar>
            <w:vAlign w:val="center"/>
          </w:tcPr>
          <w:p>
            <w:r>
              <w:rPr>
                <w:rFonts w:ascii="Arial" w:cs="Arial" w:eastAsia="Arial" w:hAnsi="Arial"/>
                <w:b/>
                <w:bCs/>
                <w:color w:val="FFFFFF"/>
                <w:sz w:val="16"/>
                <w:szCs w:val="16"/>
              </w:rPr>
              <w:t xml:space="preserve">CIB Rationale, Opportunity &amp; Key Risk Factors</w:t>
            </w:r>
          </w:p>
        </w:tc>
      </w:tr>
      <w:tr>
        <w:tc>
          <w:tcPr>
            <w:tcW w:type="dxa" w:w="6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Private</w:t>
            </w:r>
          </w:p>
        </w:tc>
        <w:tc>
          <w:tcPr>
            <w:tcW w:type="dxa" w:w="11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OpenAI</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$500B valuation (Oct 2025 secondary)</w:t>
            </w:r>
          </w:p>
        </w:tc>
        <w:tc>
          <w:tcPr>
            <w:tcW w:type="dxa" w:w="1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~$3B projected 2025; growing rapidly</w:t>
            </w:r>
          </w:p>
        </w:tc>
        <w:tc>
          <w:tcPr>
            <w:tcW w:type="dxa" w:w="16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$40B raise (Mar 2025 — largest private tech round ever); SoftBank +$30B (Jan 2026)</w:t>
            </w:r>
          </w:p>
        </w:tc>
        <w:tc>
          <w:tcPr>
            <w:tcW w:type="dxa" w:w="11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IPO as early as H2 2026; CFO suggests 2027 more realistic</w:t>
            </w:r>
          </w:p>
        </w:tc>
        <w:tc>
          <w:tcPr>
            <w:tcW w:type="dxa" w:w="76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MASSIVE CIB OPPORTUNITY + RISK: Potential IPO underwriting mandate ($1T+ IPO). Lending to OpenAI ecosystem partners (MSFT, ORCL, SoftBank). Advisory on Stargate JV structuring. Key risk: $47B annual cash burn by 2028 creates existential funding dependency; IPO timing uncertainty; regulatory risk (antitrust, copyright litigation); competitor catch-up (Anthropic, Google).</w:t>
            </w:r>
          </w:p>
        </w:tc>
      </w:tr>
      <w:tr>
        <w:tc>
          <w:tcPr>
            <w:tcW w:type="dxa" w:w="6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Private</w:t>
            </w:r>
          </w:p>
        </w:tc>
        <w:tc>
          <w:tcPr>
            <w:tcW w:type="dxa" w:w="11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Anthropic PBC</w:t>
            </w:r>
          </w:p>
        </w:tc>
        <w:tc>
          <w:tcPr>
            <w:tcW w:type="dxa" w:w="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$350B valuation (Feb 2026 round closing)</w:t>
            </w:r>
          </w:p>
        </w:tc>
        <w:tc>
          <w:tcPr>
            <w:tcW w:type="dxa" w:w="1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ARR crossed $2B+ (accelerating)</w:t>
            </w:r>
          </w:p>
        </w:tc>
        <w:tc>
          <w:tcPr>
            <w:tcW w:type="dxa" w:w="16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$20B+ round closing Feb 2026 (2x initial $10B target); $13B Series F Sep 2025 at $183B</w:t>
            </w:r>
          </w:p>
        </w:tc>
        <w:tc>
          <w:tcPr>
            <w:tcW w:type="dxa" w:w="11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72% probability of IPO before 2027 (Kalshi); steps toward public-market readiness in 2025</w:t>
            </w:r>
          </w:p>
        </w:tc>
        <w:tc>
          <w:tcPr>
            <w:tcW w:type="dxa" w:w="76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HIGH CIB OPPORTUNITY: Potential IPO mandate (72% probability before 2027 per Kalshi). Pre-IPO lending/credit facilities. Advisory on strategic partnerships. Key risk: valuation doubling in 5 months raises sustainability concerns; compute costs enormous; competition from OpenAI and Google; path to profitability unclear at current burn rate.</w:t>
            </w:r>
          </w:p>
        </w:tc>
      </w:tr>
      <w:tr>
        <w:tc>
          <w:tcPr>
            <w:tcW w:type="dxa" w:w="6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Private (SpaceX-merged)</w:t>
            </w:r>
          </w:p>
        </w:tc>
        <w:tc>
          <w:tcPr>
            <w:tcW w:type="dxa" w:w="11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xAI (Elon Musk)</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$230B+ valuation (Jan 2026)</w:t>
            </w:r>
          </w:p>
        </w:tc>
        <w:tc>
          <w:tcPr>
            <w:tcW w:type="dxa" w:w="1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Early revenue; Grok model + X.com integration</w:t>
            </w:r>
          </w:p>
        </w:tc>
        <w:tc>
          <w:tcPr>
            <w:tcW w:type="dxa" w:w="16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$20B Series E (Jan 2026); $42B+ total funding; NVIDIA-led round</w:t>
            </w:r>
          </w:p>
        </w:tc>
        <w:tc>
          <w:tcPr>
            <w:tcW w:type="dxa" w:w="11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12% probability before 2027 (Kalshi); potential via SpaceX IPO merger</w:t>
            </w:r>
          </w:p>
        </w:tc>
        <w:tc>
          <w:tcPr>
            <w:tcW w:type="dxa" w:w="76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SPECULATIVE CIB OPPORTUNITY: SpaceX IPO would be landmark event. Lending to xAI/SpaceX ecosystem. Key risk: $1B+/month burn rate; commercial revenue lagging; Musk’s attention split across Tesla/SpaceX/X/xAI/DOGE.</w:t>
            </w:r>
          </w:p>
        </w:tc>
      </w:tr>
      <w:tr>
        <w:tc>
          <w:tcPr>
            <w:tcW w:type="dxa" w:w="6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Private</w:t>
            </w:r>
          </w:p>
        </w:tc>
        <w:tc>
          <w:tcPr>
            <w:tcW w:type="dxa" w:w="11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Thinking Machines Lab (Mira Murati)</w:t>
            </w:r>
          </w:p>
        </w:tc>
        <w:tc>
          <w:tcPr>
            <w:tcW w:type="dxa" w:w="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$10–60B valuation range (2025–26)</w:t>
            </w:r>
          </w:p>
        </w:tc>
        <w:tc>
          <w:tcPr>
            <w:tcW w:type="dxa" w:w="1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Pre-revenue (founded Feb 2025)</w:t>
            </w:r>
          </w:p>
        </w:tc>
        <w:tc>
          <w:tcPr>
            <w:tcW w:type="dxa" w:w="16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$2B seed round — largest seed ever; a16z-led at $12B valuation</w:t>
            </w:r>
          </w:p>
        </w:tc>
        <w:tc>
          <w:tcPr>
            <w:tcW w:type="dxa" w:w="11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Years away; earliest stage of major labs</w:t>
            </w:r>
          </w:p>
        </w:tc>
        <w:tc>
          <w:tcPr>
            <w:tcW w:type="dxa" w:w="76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PRE-REVENUE RISK: VC/PE exposure only. CIB relevance through VC fund lending, future ECM. Key risk: pre-product, pre-revenue; valuation based entirely on founder reputation and AI market enthusiasm.</w:t>
            </w:r>
          </w:p>
        </w:tc>
      </w:tr>
      <w:tr>
        <w:tc>
          <w:tcPr>
            <w:tcW w:type="dxa" w:w="6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Private</w:t>
            </w:r>
          </w:p>
        </w:tc>
        <w:tc>
          <w:tcPr>
            <w:tcW w:type="dxa" w:w="11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Safe Superintelligence (SSI)</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~$32B valuation (2025)</w:t>
            </w:r>
          </w:p>
        </w:tc>
        <w:tc>
          <w:tcPr>
            <w:tcW w:type="dxa" w:w="1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Pre-revenue (founded 2024)</w:t>
            </w:r>
          </w:p>
        </w:tc>
        <w:tc>
          <w:tcPr>
            <w:tcW w:type="dxa" w:w="16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$2B round; founded by Ilya Sutskever (ex-OpenAI chief scientist)</w:t>
            </w:r>
          </w:p>
        </w:tc>
        <w:tc>
          <w:tcPr>
            <w:tcW w:type="dxa" w:w="11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Years away; pure research orientation</w:t>
            </w:r>
          </w:p>
        </w:tc>
        <w:tc>
          <w:tcPr>
            <w:tcW w:type="dxa" w:w="76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PRE-REVENUE RISK: Pure research entity. CIB relevance minimal near-term. Key risk: no commercial model; research lab may never generate revenue.</w:t>
            </w:r>
          </w:p>
        </w:tc>
      </w:tr>
      <w:tr>
        <w:tc>
          <w:tcPr>
            <w:tcW w:type="dxa" w:w="6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b/>
                <w:bCs/>
                <w:color w:val="2D3748"/>
                <w:sz w:val="16"/>
                <w:szCs w:val="16"/>
              </w:rPr>
              <w:t xml:space="preserve">Private</w:t>
            </w:r>
          </w:p>
        </w:tc>
        <w:tc>
          <w:tcPr>
            <w:tcW w:type="dxa" w:w="115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Databricks</w:t>
            </w:r>
          </w:p>
        </w:tc>
        <w:tc>
          <w:tcPr>
            <w:tcW w:type="dxa" w:w="7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$134B valuation</w:t>
            </w:r>
          </w:p>
        </w:tc>
        <w:tc>
          <w:tcPr>
            <w:tcW w:type="dxa" w:w="1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$3B+ ARR (2025)</w:t>
            </w:r>
          </w:p>
        </w:tc>
        <w:tc>
          <w:tcPr>
            <w:tcW w:type="dxa" w:w="16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$5B raise in 2025; broad institutional backing</w:t>
            </w:r>
          </w:p>
        </w:tc>
        <w:tc>
          <w:tcPr>
            <w:tcW w:type="dxa" w:w="11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Strong IPO candidate 2026–2027</w:t>
            </w:r>
          </w:p>
        </w:tc>
        <w:tc>
          <w:tcPr>
            <w:tcW w:type="dxa" w:w="76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IPO MANDATE OPPORTUNITY: Strong ECM candidate. Lending: subscription credit lines. Advisory: competitive positioning vs. Snowflake. Key risk: Snowflake competition; enterprise AI spending could slow.</w:t>
            </w:r>
          </w:p>
        </w:tc>
      </w:tr>
      <w:tr>
        <w:tc>
          <w:tcPr>
            <w:tcW w:type="dxa" w:w="6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b/>
                <w:bCs/>
                <w:color w:val="2D3748"/>
                <w:sz w:val="16"/>
                <w:szCs w:val="16"/>
              </w:rPr>
              <w:t xml:space="preserve">Private</w:t>
            </w:r>
          </w:p>
        </w:tc>
        <w:tc>
          <w:tcPr>
            <w:tcW w:type="dxa" w:w="115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Mistral AI (Paris)</w:t>
            </w:r>
          </w:p>
        </w:tc>
        <w:tc>
          <w:tcPr>
            <w:tcW w:type="dxa" w:w="7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~$6.5B valuation</w:t>
            </w:r>
          </w:p>
        </w:tc>
        <w:tc>
          <w:tcPr>
            <w:tcW w:type="dxa" w:w="1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Early revenue; API + enterprise</w:t>
            </w:r>
          </w:p>
        </w:tc>
        <w:tc>
          <w:tcPr>
            <w:tcW w:type="dxa" w:w="16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$1.1B+ total; Microsoft, NVIDIA, a16z</w:t>
            </w:r>
          </w:p>
        </w:tc>
        <w:tc>
          <w:tcPr>
            <w:tcW w:type="dxa" w:w="11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Potential EU-listed IPO; strategic asset for European AI sovereignty</w:t>
            </w:r>
          </w:p>
        </w:tc>
        <w:tc>
          <w:tcPr>
            <w:tcW w:type="dxa" w:w="76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EU STRATEGIC ASSET: Potential EU-listed IPO. Advisory: European AI policy positioning. Key risk: scale disadvantage vs. US labs; European compute access constraints.</w:t>
            </w:r>
          </w:p>
        </w:tc>
      </w:tr>
    </w:tbl>
    <w:p>
      <w:pPr>
        <w:spacing w:after="40"/>
      </w:pPr>
    </w:p>
    <w:p>
      <w:pPr>
        <w:spacing w:before="160" w:after="70"/>
      </w:pPr>
      <w:r>
        <w:rPr>
          <w:rFonts w:ascii="Arial" w:cs="Arial" w:eastAsia="Arial" w:hAnsi="Arial"/>
          <w:b/>
          <w:bCs/>
          <w:color w:val="2C3E6B"/>
          <w:sz w:val="21"/>
          <w:szCs w:val="21"/>
        </w:rPr>
        <w:t xml:space="preserve">LLM &amp; Early-Stage Synthesis</w:t>
      </w:r>
    </w:p>
    <w:p>
      <w:pPr>
        <w:spacing w:after="80" w:line="264"/>
      </w:pPr>
      <w:r>
        <w:rPr>
          <w:rFonts w:ascii="Arial" w:cs="Arial" w:eastAsia="Arial" w:hAnsi="Arial"/>
          <w:color w:val="2D3748"/>
          <w:sz w:val="18"/>
          <w:szCs w:val="18"/>
        </w:rPr>
        <w:t xml:space="preserve">This category represents the largest potential CIB revenue opportunity — and the most opaque risk exposure — in the entire AI ecosystem. OpenAI’s expected IPO would be the largest in history, and both Anthropic (72% IPO probability per Kalshi) and Databricks ($134B) are strong ECM candidates for 2026–2027. The three frontier labs (OpenAI, Anthropic, xAI) together raised $86.3B in 2025 alone — 38% of all global AI funding. Their combined $1.08T private valuation exceeds the market cap of all but four public companies globally. However, these valuations defy conventional metrics: OpenAI at 167x projected 2025 revenue, with cash burn projected to reach $47B by 2028. The circular financing dynamic — NVIDIA investing in Anthropic, which buys NVIDIA GPUs, funded by debt underwritten by the same banks — creates systemic risk if the AI investment thesis falters. CIB exposure to this layer is primarily through VC/PE fund lending (subscription lines, NAV facilities), pre-IPO credit, and the massive potential ECM fee pool.</w:t>
      </w:r>
    </w:p>
    <w:p>
      <w:r>
        <w:br w:type="page"/>
      </w:r>
    </w:p>
    <w:p>
      <w:pPr>
        <w:pStyle w:val="Heading1"/>
      </w:pPr>
      <w:r>
        <w:t xml:space="preserve">Cross-Category Shock Transmission Map</w:t>
      </w:r>
    </w:p>
    <w:p>
      <w:pPr>
        <w:spacing w:after="80" w:line="264"/>
      </w:pPr>
      <w:r>
        <w:rPr>
          <w:rFonts w:ascii="Arial" w:cs="Arial" w:eastAsia="Arial" w:hAnsi="Arial"/>
          <w:color w:val="2D3748"/>
          <w:sz w:val="18"/>
          <w:szCs w:val="18"/>
        </w:rPr>
        <w:t xml:space="preserve">AI exposure is not siloed. A shock in one category propagates through the others with varying speed and magnitude. Understanding these transmission channels is essential for enterprise-level risk aggregation.</w:t>
      </w:r>
    </w:p>
    <w:p>
      <w:pPr>
        <w:spacing w:after="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200"/>
        <w:gridCol w:w="1800"/>
        <w:gridCol w:w="3840"/>
      </w:tblGrid>
      <w:tr>
        <w:tc>
          <w:tcPr>
            <w:tcW w:type="dxa" w:w="2000"/>
            <w:tcBorders>
              <w:top w:val="single" w:color="B0B8C8" w:sz="1"/>
              <w:left w:val="single" w:color="B0B8C8" w:sz="1"/>
              <w:bottom w:val="single" w:color="B0B8C8" w:sz="1"/>
              <w:right w:val="single" w:color="B0B8C8" w:sz="1"/>
            </w:tcBorders>
            <w:shd w:fill="1B2A4A" w:val="clear"/>
            <w:tcMar>
              <w:top w:type="dxa" w:w="50"/>
              <w:left w:type="dxa" w:w="80"/>
              <w:bottom w:type="dxa" w:w="50"/>
              <w:right w:type="dxa" w:w="80"/>
            </w:tcMar>
            <w:vAlign w:val="center"/>
          </w:tcPr>
          <w:p>
            <w:r>
              <w:rPr>
                <w:rFonts w:ascii="Arial" w:cs="Arial" w:eastAsia="Arial" w:hAnsi="Arial"/>
                <w:b/>
                <w:bCs/>
                <w:color w:val="FFFFFF"/>
                <w:sz w:val="16"/>
                <w:szCs w:val="16"/>
              </w:rPr>
              <w:t xml:space="preserve">Shock Origin</w:t>
            </w:r>
          </w:p>
        </w:tc>
        <w:tc>
          <w:tcPr>
            <w:tcW w:type="dxa" w:w="2000"/>
            <w:tcBorders>
              <w:top w:val="single" w:color="B0B8C8" w:sz="1"/>
              <w:left w:val="single" w:color="B0B8C8" w:sz="1"/>
              <w:bottom w:val="single" w:color="B0B8C8" w:sz="1"/>
              <w:right w:val="single" w:color="B0B8C8" w:sz="1"/>
            </w:tcBorders>
            <w:shd w:fill="1B2A4A" w:val="clear"/>
            <w:tcMar>
              <w:top w:type="dxa" w:w="50"/>
              <w:left w:type="dxa" w:w="80"/>
              <w:bottom w:type="dxa" w:w="50"/>
              <w:right w:type="dxa" w:w="80"/>
            </w:tcMar>
            <w:vAlign w:val="center"/>
          </w:tcPr>
          <w:p>
            <w:r>
              <w:rPr>
                <w:rFonts w:ascii="Arial" w:cs="Arial" w:eastAsia="Arial" w:hAnsi="Arial"/>
                <w:b/>
                <w:bCs/>
                <w:color w:val="FFFFFF"/>
                <w:sz w:val="16"/>
                <w:szCs w:val="16"/>
              </w:rPr>
              <w:t xml:space="preserve">Primary Transmission</w:t>
            </w:r>
          </w:p>
        </w:tc>
        <w:tc>
          <w:tcPr>
            <w:tcW w:type="dxa" w:w="2200"/>
            <w:tcBorders>
              <w:top w:val="single" w:color="B0B8C8" w:sz="1"/>
              <w:left w:val="single" w:color="B0B8C8" w:sz="1"/>
              <w:bottom w:val="single" w:color="B0B8C8" w:sz="1"/>
              <w:right w:val="single" w:color="B0B8C8" w:sz="1"/>
            </w:tcBorders>
            <w:shd w:fill="1B2A4A" w:val="clear"/>
            <w:tcMar>
              <w:top w:type="dxa" w:w="50"/>
              <w:left w:type="dxa" w:w="80"/>
              <w:bottom w:type="dxa" w:w="50"/>
              <w:right w:type="dxa" w:w="80"/>
            </w:tcMar>
            <w:vAlign w:val="center"/>
          </w:tcPr>
          <w:p>
            <w:r>
              <w:rPr>
                <w:rFonts w:ascii="Arial" w:cs="Arial" w:eastAsia="Arial" w:hAnsi="Arial"/>
                <w:b/>
                <w:bCs/>
                <w:color w:val="FFFFFF"/>
                <w:sz w:val="16"/>
                <w:szCs w:val="16"/>
              </w:rPr>
              <w:t xml:space="preserve">Secondary Effects</w:t>
            </w:r>
          </w:p>
        </w:tc>
        <w:tc>
          <w:tcPr>
            <w:tcW w:type="dxa" w:w="2200"/>
            <w:tcBorders>
              <w:top w:val="single" w:color="B0B8C8" w:sz="1"/>
              <w:left w:val="single" w:color="B0B8C8" w:sz="1"/>
              <w:bottom w:val="single" w:color="B0B8C8" w:sz="1"/>
              <w:right w:val="single" w:color="B0B8C8" w:sz="1"/>
            </w:tcBorders>
            <w:shd w:fill="1B2A4A" w:val="clear"/>
            <w:tcMar>
              <w:top w:type="dxa" w:w="50"/>
              <w:left w:type="dxa" w:w="80"/>
              <w:bottom w:type="dxa" w:w="50"/>
              <w:right w:type="dxa" w:w="80"/>
            </w:tcMar>
            <w:vAlign w:val="center"/>
          </w:tcPr>
          <w:p>
            <w:r>
              <w:rPr>
                <w:rFonts w:ascii="Arial" w:cs="Arial" w:eastAsia="Arial" w:hAnsi="Arial"/>
                <w:b/>
                <w:bCs/>
                <w:color w:val="FFFFFF"/>
                <w:sz w:val="16"/>
                <w:szCs w:val="16"/>
              </w:rPr>
              <w:t xml:space="preserve">Tertiary / Systemic</w:t>
            </w:r>
          </w:p>
        </w:tc>
        <w:tc>
          <w:tcPr>
            <w:tcW w:type="dxa" w:w="1800"/>
            <w:tcBorders>
              <w:top w:val="single" w:color="B0B8C8" w:sz="1"/>
              <w:left w:val="single" w:color="B0B8C8" w:sz="1"/>
              <w:bottom w:val="single" w:color="B0B8C8" w:sz="1"/>
              <w:right w:val="single" w:color="B0B8C8" w:sz="1"/>
            </w:tcBorders>
            <w:shd w:fill="1B2A4A" w:val="clear"/>
            <w:tcMar>
              <w:top w:type="dxa" w:w="50"/>
              <w:left w:type="dxa" w:w="80"/>
              <w:bottom w:type="dxa" w:w="50"/>
              <w:right w:type="dxa" w:w="80"/>
            </w:tcMar>
            <w:vAlign w:val="center"/>
          </w:tcPr>
          <w:p>
            <w:r>
              <w:rPr>
                <w:rFonts w:ascii="Arial" w:cs="Arial" w:eastAsia="Arial" w:hAnsi="Arial"/>
                <w:b/>
                <w:bCs/>
                <w:color w:val="FFFFFF"/>
                <w:sz w:val="16"/>
                <w:szCs w:val="16"/>
              </w:rPr>
              <w:t xml:space="preserve">Speed</w:t>
            </w:r>
          </w:p>
        </w:tc>
        <w:tc>
          <w:tcPr>
            <w:tcW w:type="dxa" w:w="3840"/>
            <w:tcBorders>
              <w:top w:val="single" w:color="B0B8C8" w:sz="1"/>
              <w:left w:val="single" w:color="B0B8C8" w:sz="1"/>
              <w:bottom w:val="single" w:color="B0B8C8" w:sz="1"/>
              <w:right w:val="single" w:color="B0B8C8" w:sz="1"/>
            </w:tcBorders>
            <w:shd w:fill="1B2A4A" w:val="clear"/>
            <w:tcMar>
              <w:top w:type="dxa" w:w="50"/>
              <w:left w:type="dxa" w:w="80"/>
              <w:bottom w:type="dxa" w:w="50"/>
              <w:right w:type="dxa" w:w="80"/>
            </w:tcMar>
            <w:vAlign w:val="center"/>
          </w:tcPr>
          <w:p>
            <w:r>
              <w:rPr>
                <w:rFonts w:ascii="Arial" w:cs="Arial" w:eastAsia="Arial" w:hAnsi="Arial"/>
                <w:b/>
                <w:bCs/>
                <w:color w:val="FFFFFF"/>
                <w:sz w:val="16"/>
                <w:szCs w:val="16"/>
              </w:rPr>
              <w:t xml:space="preserve">Historical Analog / Calibration</w:t>
            </w:r>
          </w:p>
        </w:tc>
      </w:tr>
      <w:tr>
        <w:tc>
          <w:tcPr>
            <w:tcW w:type="dxa" w:w="2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Hyperscaler Capex Cut</w:t>
            </w:r>
          </w:p>
        </w:tc>
        <w:tc>
          <w:tcPr>
            <w:tcW w:type="dxa" w:w="2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Semis: -30 to -50% (NVDA, AVGO); Neoclouds: backlog impairment</w:t>
            </w:r>
          </w:p>
        </w:tc>
        <w:tc>
          <w:tcPr>
            <w:tcW w:type="dxa" w:w="2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DCs: lease renewal risk; Power: PPA uncertainty</w:t>
            </w:r>
          </w:p>
        </w:tc>
        <w:tc>
          <w:tcPr>
            <w:tcW w:type="dxa" w:w="2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LLMs: funding freeze; VC winter</w:t>
            </w:r>
          </w:p>
        </w:tc>
        <w:tc>
          <w:tcPr>
            <w:tcW w:type="dxa" w:w="18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Intraday to weeks</w:t>
            </w:r>
          </w:p>
        </w:tc>
        <w:tc>
          <w:tcPr>
            <w:tcW w:type="dxa" w:w="38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Dot-com bust (2000–02): Cisco -89%, Corning -97%</w:t>
            </w:r>
          </w:p>
        </w:tc>
      </w:tr>
      <w:tr>
        <w:tc>
          <w:tcPr>
            <w:tcW w:type="dxa" w:w="2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DeepSeek-Style Competitive Shock</w:t>
            </w:r>
          </w:p>
        </w:tc>
        <w:tc>
          <w:tcPr>
            <w:tcW w:type="dxa" w:w="2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LLMs: valuation reset; Semis: demand uncertainty</w:t>
            </w:r>
          </w:p>
        </w:tc>
        <w:tc>
          <w:tcPr>
            <w:tcW w:type="dxa" w:w="2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Hyperscalers: capex reallocation; Neoclouds: contract renegotiation</w:t>
            </w:r>
          </w:p>
        </w:tc>
        <w:tc>
          <w:tcPr>
            <w:tcW w:type="dxa" w:w="2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DCs: demand growth deceleration</w:t>
            </w:r>
          </w:p>
        </w:tc>
        <w:tc>
          <w:tcPr>
            <w:tcW w:type="dxa" w:w="18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Days to weeks</w:t>
            </w:r>
          </w:p>
        </w:tc>
        <w:tc>
          <w:tcPr>
            <w:tcW w:type="dxa" w:w="38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DeepSeek R1 shock (Jan 2025): NVDA -17% single day</w:t>
            </w:r>
          </w:p>
        </w:tc>
      </w:tr>
      <w:tr>
        <w:tc>
          <w:tcPr>
            <w:tcW w:type="dxa" w:w="2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Regulatory Intervention (EU AI Act, US EO)</w:t>
            </w:r>
          </w:p>
        </w:tc>
        <w:tc>
          <w:tcPr>
            <w:tcW w:type="dxa" w:w="2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LLMs: compliance cost surge, revenue delay</w:t>
            </w:r>
          </w:p>
        </w:tc>
        <w:tc>
          <w:tcPr>
            <w:tcW w:type="dxa" w:w="2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Hyperscalers: customer hesitation; Semis: demand deferral</w:t>
            </w:r>
          </w:p>
        </w:tc>
        <w:tc>
          <w:tcPr>
            <w:tcW w:type="dxa" w:w="2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Neoclouds: contract pauses; DCs: permitting slowdown</w:t>
            </w:r>
          </w:p>
        </w:tc>
        <w:tc>
          <w:tcPr>
            <w:tcW w:type="dxa" w:w="18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Weeks to months</w:t>
            </w:r>
          </w:p>
        </w:tc>
        <w:tc>
          <w:tcPr>
            <w:tcW w:type="dxa" w:w="38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GDPR impact on EU tech (2018–19): 6–12 month adoption delays</w:t>
            </w:r>
          </w:p>
        </w:tc>
      </w:tr>
      <w:tr>
        <w:tc>
          <w:tcPr>
            <w:tcW w:type="dxa" w:w="2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GPU Supply Disruption (Taiwan contingency)</w:t>
            </w:r>
          </w:p>
        </w:tc>
        <w:tc>
          <w:tcPr>
            <w:tcW w:type="dxa" w:w="2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Semis: TSMC halt = no AI chips globally</w:t>
            </w:r>
          </w:p>
        </w:tc>
        <w:tc>
          <w:tcPr>
            <w:tcW w:type="dxa" w:w="2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Hyperscalers: capex physically impossible; Neoclouds: no GPU resupply</w:t>
            </w:r>
          </w:p>
        </w:tc>
        <w:tc>
          <w:tcPr>
            <w:tcW w:type="dxa" w:w="2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DCs: stranded capacity; LLMs: training halt; Power: demand cliff</w:t>
            </w:r>
          </w:p>
        </w:tc>
        <w:tc>
          <w:tcPr>
            <w:tcW w:type="dxa" w:w="18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Immediate (systemic)</w:t>
            </w:r>
          </w:p>
        </w:tc>
        <w:tc>
          <w:tcPr>
            <w:tcW w:type="dxa" w:w="38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2011 Thailand floods (HDD): 18-month supply chain recovery</w:t>
            </w:r>
          </w:p>
        </w:tc>
      </w:tr>
      <w:tr>
        <w:tc>
          <w:tcPr>
            <w:tcW w:type="dxa" w:w="2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AI Revenue Realization Failure</w:t>
            </w:r>
          </w:p>
        </w:tc>
        <w:tc>
          <w:tcPr>
            <w:tcW w:type="dxa" w:w="20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LLMs: valuation collapse; funding freeze</w:t>
            </w:r>
          </w:p>
        </w:tc>
        <w:tc>
          <w:tcPr>
            <w:tcW w:type="dxa" w:w="2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Hyperscalers: capex cut + write-downs; Semis: revenue cliff</w:t>
            </w:r>
          </w:p>
        </w:tc>
        <w:tc>
          <w:tcPr>
            <w:tcW w:type="dxa" w:w="22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Neoclouds: backlog impairment; DCs: lease renegotiation; Power: PPA stress</w:t>
            </w:r>
          </w:p>
        </w:tc>
        <w:tc>
          <w:tcPr>
            <w:tcW w:type="dxa" w:w="180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Quarters</w:t>
            </w:r>
          </w:p>
        </w:tc>
        <w:tc>
          <w:tcPr>
            <w:tcW w:type="dxa" w:w="3840"/>
            <w:tcBorders>
              <w:top w:val="single" w:color="B0B8C8" w:sz="1"/>
              <w:left w:val="single" w:color="B0B8C8" w:sz="1"/>
              <w:bottom w:val="single" w:color="B0B8C8" w:sz="1"/>
              <w:right w:val="single" w:color="B0B8C8" w:sz="1"/>
            </w:tcBorders>
            <w:shd w:fill="F2F4F7" w:val="clear"/>
            <w:tcMar>
              <w:top w:type="dxa" w:w="50"/>
              <w:left w:type="dxa" w:w="80"/>
              <w:bottom w:type="dxa" w:w="50"/>
              <w:right w:type="dxa" w:w="80"/>
            </w:tcMar>
            <w:vAlign w:val="center"/>
          </w:tcPr>
          <w:p>
            <w:r>
              <w:rPr>
                <w:rFonts w:ascii="Arial" w:cs="Arial" w:eastAsia="Arial" w:hAnsi="Arial"/>
                <w:color w:val="2D3748"/>
                <w:sz w:val="16"/>
                <w:szCs w:val="16"/>
              </w:rPr>
              <w:t xml:space="preserve">2000–01 telecom: $2T in value destroyed over 24 months</w:t>
            </w:r>
          </w:p>
        </w:tc>
      </w:tr>
      <w:tr>
        <w:tc>
          <w:tcPr>
            <w:tcW w:type="dxa" w:w="2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Neocloud Credit Event (e.g., CoreWeave default)</w:t>
            </w:r>
          </w:p>
        </w:tc>
        <w:tc>
          <w:tcPr>
            <w:tcW w:type="dxa" w:w="20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NVIDIA: $6.3B contract at risk; Other neoclouds: contagion</w:t>
            </w:r>
          </w:p>
        </w:tc>
        <w:tc>
          <w:tcPr>
            <w:tcW w:type="dxa" w:w="2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Hyperscalers: absorb demand but at lower margin; DCs: tenant default</w:t>
            </w:r>
          </w:p>
        </w:tc>
        <w:tc>
          <w:tcPr>
            <w:tcW w:type="dxa" w:w="22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LLMs: compute access disruption; Semis: demand dip</w:t>
            </w:r>
          </w:p>
        </w:tc>
        <w:tc>
          <w:tcPr>
            <w:tcW w:type="dxa" w:w="180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Days to months</w:t>
            </w:r>
          </w:p>
        </w:tc>
        <w:tc>
          <w:tcPr>
            <w:tcW w:type="dxa" w:w="3840"/>
            <w:tcBorders>
              <w:top w:val="single" w:color="B0B8C8" w:sz="1"/>
              <w:left w:val="single" w:color="B0B8C8" w:sz="1"/>
              <w:bottom w:val="single" w:color="B0B8C8" w:sz="1"/>
              <w:right w:val="single" w:color="B0B8C8" w:sz="1"/>
            </w:tcBorders>
            <w:shd w:fill="FFFFFF" w:val="clear"/>
            <w:tcMar>
              <w:top w:type="dxa" w:w="50"/>
              <w:left w:type="dxa" w:w="80"/>
              <w:bottom w:type="dxa" w:w="50"/>
              <w:right w:type="dxa" w:w="80"/>
            </w:tcMar>
            <w:vAlign w:val="center"/>
          </w:tcPr>
          <w:p>
            <w:r>
              <w:rPr>
                <w:rFonts w:ascii="Arial" w:cs="Arial" w:eastAsia="Arial" w:hAnsi="Arial"/>
                <w:color w:val="2D3748"/>
                <w:sz w:val="16"/>
                <w:szCs w:val="16"/>
              </w:rPr>
              <w:t xml:space="preserve">WeWork (2019): cascading VC/credit confidence collapse</w:t>
            </w:r>
          </w:p>
        </w:tc>
      </w:tr>
    </w:tbl>
    <w:p>
      <w:pPr>
        <w:spacing w:after="40"/>
      </w:pPr>
    </w:p>
    <w:p>
      <w:r>
        <w:br w:type="page"/>
      </w:r>
    </w:p>
    <w:p>
      <w:pPr>
        <w:pStyle w:val="Heading1"/>
      </w:pPr>
      <w:r>
        <w:t xml:space="preserve">Data Sources &amp; Methodology</w:t>
      </w:r>
    </w:p>
    <w:p>
      <w:pPr>
        <w:spacing w:after="80" w:line="264"/>
      </w:pPr>
      <w:r>
        <w:rPr>
          <w:rFonts w:ascii="Arial" w:cs="Arial" w:eastAsia="Arial" w:hAnsi="Arial"/>
          <w:color w:val="2D3748"/>
          <w:sz w:val="18"/>
          <w:szCs w:val="18"/>
        </w:rPr>
        <w:t xml:space="preserve">All financial data sourced from Q3–Q4 2025 company earnings releases, 10-K/10-Q SEC filings, and consensus analyst estimates (LSEG/FactSet). Hyperscaler capex projections from CreditSights (Nov 2025), Goldman Sachs AI Infrastructure Outlook, and IEEE ComSoc Technology Blog (Dec 2025). Debt issuance data from Mellon Investments (Dec 2025) and Bloomberg. Private company valuations from Reuters, Bloomberg, CNBC, and TechCrunch reporting on funding rounds through February 2026. Neocloud data from company earnings calls, Stansberry Research, MLQ.ai, and Mordor Intelligence market sizing. AI funding data from CB Insights State of AI 2025 Report. IPO probability from Kalshi prediction markets. All market cap figures as of late January–early February 2026.</w:t>
      </w:r>
    </w:p>
    <w:p>
      <w:pPr>
        <w:spacing w:after="40"/>
      </w:pPr>
    </w:p>
    <w:p>
      <w:pPr>
        <w:spacing w:after="80" w:line="264"/>
      </w:pPr>
      <w:r>
        <w:rPr>
          <w:rFonts w:ascii="Arial" w:cs="Arial" w:eastAsia="Arial" w:hAnsi="Arial"/>
          <w:i/>
          <w:iCs/>
          <w:color w:val="4A5568"/>
          <w:sz w:val="18"/>
          <w:szCs w:val="18"/>
        </w:rPr>
        <w:t xml:space="preserve">This document is for internal risk management and strategic planning purposes. It does not constitute investment advice. All projections are subject to material uncertainty. The AI market is evolving rapidly and data in this report should be supplemented with real-time monitoring through the AI Exposure Dashboard and weekly Market Risk Intelligence Briefing.</w:t>
      </w:r>
    </w:p>
    <w:sectPr>
      <w:headerReference w:type="default" r:id="rId6"/>
      <w:footerReference w:type="default" r:id="rId7"/>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3"/>
        <w:szCs w:val="13"/>
      </w:rPr>
      <w:t xml:space="preserve">Page </w:t>
    </w:r>
    <w:r>
      <w:rPr>
        <w:rFonts w:ascii="Arial" w:cs="Arial" w:eastAsia="Arial" w:hAnsi="Arial"/>
        <w:color w:val="4A5568"/>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3"/>
        <w:szCs w:val="13"/>
      </w:rPr>
      <w:t xml:space="preserve">CIB AI Exposure Mapping | Market Risk Analytics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60" w:after="140"/>
      <w:outlineLvl w:val="0"/>
    </w:pPr>
    <w:rPr>
      <w:rFonts w:ascii="Arial" w:cs="Arial" w:eastAsia="Arial" w:hAnsi="Arial"/>
      <w:b/>
      <w:bCs/>
      <w:color w:val="1B2A4A"/>
      <w:sz w:val="30"/>
      <w:szCs w:val="30"/>
    </w:rPr>
  </w:style>
  <w:style w:type="paragraph" w:styleId="Heading2">
    <w:name w:val="Heading 2"/>
    <w:basedOn w:val="Normal"/>
    <w:next w:val="Normal"/>
    <w:qFormat/>
    <w:pPr>
      <w:spacing w:before="180" w:after="100"/>
      <w:outlineLvl w:val="1"/>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2026-02-10T15:30:00.898Z</dcterms:created>
  <dcterms:modified xsi:type="dcterms:W3CDTF">2026-02-10T15:30:00.899Z</dcterms:modified>
</cp:coreProperties>
</file>

<file path=docProps/custom.xml><?xml version="1.0" encoding="utf-8"?>
<Properties xmlns="http://schemas.openxmlformats.org/officeDocument/2006/custom-properties" xmlns:vt="http://schemas.openxmlformats.org/officeDocument/2006/docPropsVTypes"/>
</file>