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100"/>
        <w:jc w:val="center"/>
      </w:pPr>
      <w:r>
        <w:rPr>
          <w:rFonts w:ascii="Arial" w:cs="Arial" w:eastAsia="Arial" w:hAnsi="Arial"/>
          <w:b/>
          <w:bCs/>
          <w:color w:val="1B2A4A"/>
          <w:sz w:val="52"/>
          <w:szCs w:val="52"/>
        </w:rPr>
        <w:t xml:space="preserve">AI EXPOSURE UNIVERSE</w:t>
      </w:r>
    </w:p>
    <w:p>
      <w:pPr>
        <w:spacing w:after="60"/>
        <w:jc w:val="center"/>
      </w:pPr>
      <w:r>
        <w:rPr>
          <w:rFonts w:ascii="Arial" w:cs="Arial" w:eastAsia="Arial" w:hAnsi="Arial"/>
          <w:color w:val="3A7CA5"/>
          <w:sz w:val="26"/>
          <w:szCs w:val="26"/>
        </w:rPr>
        <w:t xml:space="preserve">COMPANY-LEVEL MAPPING &amp; CATEGORIZATION</w:t>
      </w:r>
    </w:p>
    <w:p>
      <w:pPr>
        <w:spacing w:after="40"/>
        <w:jc w:val="center"/>
      </w:pPr>
      <w:r>
        <w:rPr>
          <w:rFonts w:ascii="Arial" w:cs="Arial" w:eastAsia="Arial" w:hAnsi="Arial"/>
          <w:color w:val="4A5568"/>
          <w:sz w:val="20"/>
          <w:szCs w:val="20"/>
        </w:rPr>
        <w:t xml:space="preserve">For Corporate &amp; Investment Banking | Market Risk Analytics</w:t>
      </w:r>
    </w:p>
    <w:p>
      <w:pPr>
        <w:spacing w:after="40"/>
      </w:pPr>
    </w:p>
    <w:p>
      <w:pPr>
        <w:spacing w:after="100"/>
        <w:jc w:val="center"/>
      </w:pPr>
      <w:r>
        <w:rPr>
          <w:rFonts w:ascii="Arial" w:cs="Arial" w:eastAsia="Arial" w:hAnsi="Arial"/>
          <w:color w:val="2D3748"/>
          <w:sz w:val="22"/>
          <w:szCs w:val="22"/>
        </w:rPr>
        <w:t xml:space="preserve">Single-Name Breakdown: 50+ Issuers Across 7 AI Value Chain Layers</w:t>
      </w:r>
    </w:p>
    <w:p>
      <w:pPr>
        <w:spacing w:after="40"/>
        <w:jc w:val="center"/>
      </w:pPr>
      <w:r>
        <w:rPr>
          <w:rFonts w:ascii="Arial" w:cs="Arial" w:eastAsia="Arial" w:hAnsi="Arial"/>
          <w:color w:val="4A5568"/>
          <w:sz w:val="20"/>
          <w:szCs w:val="20"/>
        </w:rPr>
        <w:t xml:space="preserve">Direct vs. Indirect Classification | Proximity Scoring | Revenue Data | Risk Rationale</w:t>
      </w:r>
    </w:p>
    <w:p>
      <w:pPr>
        <w:spacing w:after="40"/>
      </w:pPr>
    </w:p>
    <w:p>
      <w:pPr>
        <w:spacing w:after="40"/>
      </w:pPr>
    </w:p>
    <w:p>
      <w:pPr>
        <w:jc w:val="center"/>
      </w:pPr>
      <w:r>
        <w:rPr>
          <w:rFonts w:ascii="Arial" w:cs="Arial" w:eastAsia="Arial" w:hAnsi="Arial"/>
          <w:i/>
          <w:iCs/>
          <w:color w:val="4A5568"/>
          <w:sz w:val="20"/>
          <w:szCs w:val="20"/>
        </w:rPr>
        <w:t xml:space="preserve">February 2026 | Data as of Q3–Q4 2025 Earnings Cycle</w:t>
      </w:r>
    </w:p>
    <w:p>
      <w:r>
        <w:br w:type="page"/>
      </w:r>
    </w:p>
    <w:p>
      <w:pPr>
        <w:pStyle w:val="Heading1"/>
      </w:pPr>
      <w:r>
        <w:t xml:space="preserve">Overview: Why Single-Name AI Mapping Matters for a CIB</w:t>
      </w:r>
    </w:p>
    <w:p>
      <w:pPr>
        <w:spacing w:after="100" w:line="264"/>
      </w:pPr>
      <w:r>
        <w:rPr>
          <w:rFonts w:ascii="Arial" w:cs="Arial" w:eastAsia="Arial" w:hAnsi="Arial"/>
          <w:color w:val="2D3748"/>
          <w:sz w:val="20"/>
          <w:szCs w:val="20"/>
        </w:rPr>
        <w:t xml:space="preserve">The AI trade is not a monolith. A CIB managing flow across 19+ trading desks, a $10B+ technology lending book, and a full-service advisory/underwriting platform needs granularity far beyond “long tech.” The companies that constitute “AI exposure” span semiconductors, cloud platforms, private model labs, data center REITs, optical networking, power utilities, and even the incumbents being disrupted. Each carries a different risk profile, transmission speed, and correlation structure.</w:t>
      </w:r>
    </w:p>
    <w:p>
      <w:pPr>
        <w:spacing w:after="100" w:line="264"/>
      </w:pPr>
      <w:r>
        <w:rPr>
          <w:rFonts w:ascii="Arial" w:cs="Arial" w:eastAsia="Arial" w:hAnsi="Arial"/>
          <w:color w:val="2D3748"/>
          <w:sz w:val="20"/>
          <w:szCs w:val="20"/>
        </w:rPr>
        <w:t xml:space="preserve">This document maps 50+ individual issuers and counterparties into seven distinct AI Value Chain Layers, classifying each as Direct or Indirect exposure and assigning a Proximity Score (1–5) that quantifies how quickly and severely an AI-specific market event—such as a hyperscaler capex cut, a DeepSeek-style competitive shock, or a regulatory intervention—transmits into the position’s P&amp;L.</w:t>
      </w:r>
    </w:p>
    <w:p>
      <w:pPr>
        <w:spacing w:after="40"/>
      </w:pPr>
    </w:p>
    <w:p>
      <w:pPr>
        <w:pStyle w:val="Heading2"/>
      </w:pPr>
      <w:r>
        <w:t xml:space="preserve">Key Market Context (as of Q4 2025 – Q1 2026)</w:t>
      </w:r>
    </w:p>
    <w:p>
      <w:pPr>
        <w:pStyle w:val="ListParagraph"/>
        <w:numPr>
          <w:ilvl w:val="0"/>
          <w:numId w:val="2"/>
        </w:numPr>
        <w:spacing w:after="50" w:line="264"/>
      </w:pPr>
      <w:r>
        <w:rPr>
          <w:rFonts w:ascii="Arial" w:cs="Arial" w:eastAsia="Arial" w:hAnsi="Arial"/>
          <w:color w:val="2D3748"/>
          <w:sz w:val="20"/>
          <w:szCs w:val="20"/>
        </w:rPr>
        <w:t xml:space="preserve">Big Five hyperscaler capex projected at $602B in 2026 (+36% YoY), with 75% (~$450B) directly tied to AI infrastructure (CreditSights, Dec 2025)</w:t>
      </w:r>
    </w:p>
    <w:p>
      <w:pPr>
        <w:pStyle w:val="ListParagraph"/>
        <w:numPr>
          <w:ilvl w:val="0"/>
          <w:numId w:val="2"/>
        </w:numPr>
        <w:spacing w:after="50" w:line="264"/>
      </w:pPr>
      <w:r>
        <w:rPr>
          <w:rFonts w:ascii="Arial" w:cs="Arial" w:eastAsia="Arial" w:hAnsi="Arial"/>
          <w:color w:val="2D3748"/>
          <w:sz w:val="20"/>
          <w:szCs w:val="20"/>
        </w:rPr>
        <w:t xml:space="preserve">Hyperscalers issued ~$121B in new debt in 2025 alone; Morgan Stanley/JPMorgan project $1.5T in tech sector debt issuance over coming years</w:t>
      </w:r>
    </w:p>
    <w:p>
      <w:pPr>
        <w:pStyle w:val="ListParagraph"/>
        <w:numPr>
          <w:ilvl w:val="0"/>
          <w:numId w:val="2"/>
        </w:numPr>
        <w:spacing w:after="50" w:line="264"/>
      </w:pPr>
      <w:r>
        <w:rPr>
          <w:rFonts w:ascii="Arial" w:cs="Arial" w:eastAsia="Arial" w:hAnsi="Arial"/>
          <w:color w:val="2D3748"/>
          <w:sz w:val="20"/>
          <w:szCs w:val="20"/>
        </w:rPr>
        <w:t xml:space="preserve">NVIDIA Q3 FY2026 revenue: $57B (+62% YoY); data center at ~$51B. 86% market share in AI data center chips</w:t>
      </w:r>
    </w:p>
    <w:p>
      <w:pPr>
        <w:pStyle w:val="ListParagraph"/>
        <w:numPr>
          <w:ilvl w:val="0"/>
          <w:numId w:val="2"/>
        </w:numPr>
        <w:spacing w:after="50" w:line="264"/>
      </w:pPr>
      <w:r>
        <w:rPr>
          <w:rFonts w:ascii="Arial" w:cs="Arial" w:eastAsia="Arial" w:hAnsi="Arial"/>
          <w:color w:val="2D3748"/>
          <w:sz w:val="20"/>
          <w:szCs w:val="20"/>
        </w:rPr>
        <w:t xml:space="preserve">Broadcom FY2025 AI revenue: ~$20B (+63% YoY); $73B backlog over 18 months. Five custom ASIC customers confirmed</w:t>
      </w:r>
    </w:p>
    <w:p>
      <w:pPr>
        <w:pStyle w:val="ListParagraph"/>
        <w:numPr>
          <w:ilvl w:val="0"/>
          <w:numId w:val="2"/>
        </w:numPr>
        <w:spacing w:after="50" w:line="264"/>
      </w:pPr>
      <w:r>
        <w:rPr>
          <w:rFonts w:ascii="Arial" w:cs="Arial" w:eastAsia="Arial" w:hAnsi="Arial"/>
          <w:color w:val="2D3748"/>
          <w:sz w:val="20"/>
          <w:szCs w:val="20"/>
        </w:rPr>
        <w:t xml:space="preserve">AI-related names now constitute ~28.7% of the Morningstar US Target Market Exposure Index, nearly 3x their weight a decade ago</w:t>
      </w:r>
    </w:p>
    <w:p>
      <w:pPr>
        <w:pStyle w:val="ListParagraph"/>
        <w:numPr>
          <w:ilvl w:val="0"/>
          <w:numId w:val="2"/>
        </w:numPr>
        <w:spacing w:after="50" w:line="264"/>
      </w:pPr>
      <w:r>
        <w:rPr>
          <w:rFonts w:ascii="Arial" w:cs="Arial" w:eastAsia="Arial" w:hAnsi="Arial"/>
          <w:color w:val="2D3748"/>
          <w:sz w:val="20"/>
          <w:szCs w:val="20"/>
        </w:rPr>
        <w:t xml:space="preserve">Magnificent Seven comprise ~35% of S&amp;P 500 market cap; BlackRock PCA shows single common driver explaining ever-larger share of equity returns</w:t>
      </w:r>
    </w:p>
    <w:p>
      <w:pPr>
        <w:pStyle w:val="ListParagraph"/>
        <w:numPr>
          <w:ilvl w:val="0"/>
          <w:numId w:val="2"/>
        </w:numPr>
        <w:spacing w:after="50" w:line="264"/>
      </w:pPr>
      <w:r>
        <w:rPr>
          <w:rFonts w:ascii="Arial" w:cs="Arial" w:eastAsia="Arial" w:hAnsi="Arial"/>
          <w:color w:val="2D3748"/>
          <w:sz w:val="20"/>
          <w:szCs w:val="20"/>
        </w:rPr>
        <w:t xml:space="preserve">Goldman Sachs projects cumulative hyperscaler capex of $1.15T from 2025–2027, more than double the $477B spent 2022–2024</w:t>
      </w:r>
    </w:p>
    <w:p>
      <w:pPr>
        <w:pStyle w:val="ListParagraph"/>
        <w:numPr>
          <w:ilvl w:val="0"/>
          <w:numId w:val="2"/>
        </w:numPr>
        <w:spacing w:after="50" w:line="264"/>
      </w:pPr>
      <w:r>
        <w:rPr>
          <w:rFonts w:ascii="Arial" w:cs="Arial" w:eastAsia="Arial" w:hAnsi="Arial"/>
          <w:color w:val="2D3748"/>
          <w:sz w:val="20"/>
          <w:szCs w:val="20"/>
        </w:rPr>
        <w:t xml:space="preserve">AI revenue realization gap: only ~$25B in AI-related services revenue in 2025 vs. $400B+ in infrastructure spending—the central “bubble vs. buildout” tension</w:t>
      </w:r>
    </w:p>
    <w:p>
      <w:r>
        <w:br w:type="page"/>
      </w:r>
    </w:p>
    <w:p>
      <w:pPr>
        <w:pStyle w:val="Heading1"/>
      </w:pPr>
      <w:r>
        <w:t xml:space="preserve">LAYER 1: AI SEMICONDUCTORS &amp; COMPUTE HARDWARE</w:t>
      </w:r>
    </w:p>
    <w:p>
      <w:pPr>
        <w:spacing w:after="60"/>
      </w:pPr>
      <w:r>
        <w:rPr>
          <w:rFonts w:ascii="Arial" w:cs="Arial" w:eastAsia="Arial" w:hAnsi="Arial"/>
          <w:i/>
          <w:iCs/>
          <w:color w:val="4A5568"/>
          <w:sz w:val="20"/>
          <w:szCs w:val="20"/>
        </w:rPr>
        <w:t xml:space="preserve">Pure-play and dominant AI chipmakers — highest proximity to AI market moves</w:t>
      </w:r>
    </w:p>
    <w:p>
      <w:pPr>
        <w:spacing w:after="100"/>
      </w:pPr>
      <w:r>
        <w:rPr>
          <w:rFonts w:ascii="Arial" w:cs="Arial" w:eastAsia="Arial" w:hAnsi="Arial"/>
          <w:b/>
          <w:bCs/>
          <w:color w:val="2D3748"/>
          <w:sz w:val="20"/>
          <w:szCs w:val="20"/>
        </w:rPr>
        <w:t xml:space="preserve">Exposure Type: </w:t>
      </w:r>
      <w:r>
        <w:rPr>
          <w:rFonts w:ascii="Arial" w:cs="Arial" w:eastAsia="Arial" w:hAnsi="Arial"/>
          <w:b/>
          <w:bCs/>
          <w:color w:val="276749"/>
          <w:sz w:val="20"/>
          <w:szCs w:val="20"/>
        </w:rPr>
        <w:t xml:space="preserve">DIRECT</w:t>
      </w:r>
      <w:r>
        <w:rPr>
          <w:rFonts w:ascii="Arial" w:cs="Arial" w:eastAsia="Arial" w:hAnsi="Arial"/>
          <w:b/>
          <w:bCs/>
          <w:color w:val="2D3748"/>
          <w:sz w:val="20"/>
          <w:szCs w:val="20"/>
        </w:rPr>
        <w:t xml:space="preserve">   |   Proximity Score: </w:t>
      </w:r>
      <w:r>
        <w:rPr>
          <w:rFonts w:ascii="Arial" w:cs="Arial" w:eastAsia="Arial" w:hAnsi="Arial"/>
          <w:b/>
          <w:bCs/>
          <w:color w:val="2C3E6B"/>
          <w:sz w:val="20"/>
          <w:szCs w:val="20"/>
        </w:rPr>
        <w:t xml:space="preserve">5</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800"/>
        <w:gridCol w:w="1300"/>
        <w:gridCol w:w="1000"/>
        <w:gridCol w:w="1100"/>
        <w:gridCol w:w="748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Ticker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Mkt Cap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Revenue / Metric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 %</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Proximity</w:t>
            </w:r>
          </w:p>
        </w:tc>
        <w:tc>
          <w:tcPr>
            <w:tcW w:type="dxa" w:w="7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CIB Exposure Rationale &amp; Risk Profile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NVDA</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NVIDIA Corp</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$3.4T</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~$250B run-rate (data center)</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~86%</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The gravitational center of the AI trade. Q3 FY2026 revenue $57B (+62% YoY). Data center segment alone at ~$51B quarterly run-rate. Blackwell GPU platform sold out. 86% market share in AI data center chips. Every hyperscaler capex dollar flows through NVIDIA first. Single largest source of AI equity concentration risk in any portfolio.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AVGO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Broadcom Inc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$1.1T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$20B AI rev FY2025; guiding $8.2B Q1’26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Custom AI ASIC leader (Google TPU, Meta MTIA). AI revenue +74% YoY in FQ4’25. $73B backlog for custom chips/switches over 18 months. Five confirmed custom ASIC customers including Google, Meta, ByteDance, Apple, and OpenAI partnership. SAM of $60–90B in FY2027 for XPUs alone.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AMD</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Advanced Micro Devices</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$220B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~$9.7B quarterly est.</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~35%</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MI300X/MI325 GPUs gaining traction as NVIDIA alternative. Inference market opening creates competitive opportunity. Q4 revenue est. $9.7B (+26% YoY). Key beneficiary of hyperscaler multi-sourcing strategy. Smaller AI revenue share vs NVIDIA but growing rapidly.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TSM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TSMC (ADR)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$1.0T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~$25B quarterly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Monopoly manufacturer of leading-edge AI chips (3nm, 2nm). Fabricates for NVIDIA, AMD, Broadcom, Apple, Qualcomm. No substitute exists at scale. Geopolitical concentration risk (Taiwan). Arizona fab under construction but years from full capacity.</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ASML</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ASML Holding</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$320B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Indirect via EUV monopoly</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Sole supplier of EUV lithography systems required for all advanced AI chip manufacturing. $40B+ backlog. Without ASML, no leading-edge chips get made. Dutch export control risk to China.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MU</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Micron Technology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$130B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~$18.8B quarterly est.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HBM3E high-bandwidth memory is bottleneck input for every AI GPU. Revenue est. +134% YoY. Memory is the gating factor for GPU cluster performance. Supply constraints persist through 2026.</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MRVL</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Marvell Technology</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$95B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~$2B quarterly (data center)</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Custom AI silicon and electro-optics for data center interconnect. Key supplier of PAM4 DSPs and custom compute for cloud providers. Emerging AI networking play.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SMCI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Super Micro Computer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$25B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~$6B quarterly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Leading AI server assembler. First to market with Blackwell and MI300 rack-scale systems. Rapid-turn GPU server manufacturing. Volatile — accounting concerns in 2024 resolved, but elevated execution risk.</w:t>
            </w:r>
          </w:p>
        </w:tc>
      </w:tr>
    </w:tbl>
    <w:p>
      <w:pPr>
        <w:spacing w:after="40"/>
      </w:pPr>
    </w:p>
    <w:p>
      <w:pPr>
        <w:spacing w:before="180" w:after="80"/>
      </w:pPr>
      <w:r>
        <w:rPr>
          <w:rFonts w:ascii="Arial" w:cs="Arial" w:eastAsia="Arial" w:hAnsi="Arial"/>
          <w:b/>
          <w:bCs/>
          <w:color w:val="2C3E6B"/>
          <w:sz w:val="22"/>
          <w:szCs w:val="22"/>
        </w:rPr>
        <w:t xml:space="preserve">CIB Exposure Summary — Semiconductors</w:t>
      </w:r>
    </w:p>
    <w:p>
      <w:pPr>
        <w:spacing w:after="100" w:line="264"/>
      </w:pPr>
      <w:r>
        <w:rPr>
          <w:rFonts w:ascii="Arial" w:cs="Arial" w:eastAsia="Arial" w:hAnsi="Arial"/>
          <w:color w:val="2D3748"/>
          <w:sz w:val="20"/>
          <w:szCs w:val="20"/>
        </w:rPr>
        <w:t xml:space="preserve">This layer represents the highest-beta AI exposure in any portfolio. NVIDIA alone accounts for more market cap than most entire sectors. A 30% NVIDIA drawdown would mechanically reduce S&amp;P 500 value by ~2.1% before any contagion effects. For CIB market-making desks, the semiconductor names generate massive flow volume but also carry concentrated inventory risk. For the lending book, TSMC and ASML present geopolitical concentration risk (Taiwan, Netherlands export controls). Credit exposure to semiconductor companies tends to be investment-grade (NVIDIA, Broadcom, TSMC are all IG) but spreads have been widening as capex intensity rises.</w:t>
      </w:r>
    </w:p>
    <w:p>
      <w:r>
        <w:br w:type="page"/>
      </w:r>
    </w:p>
    <w:p>
      <w:pPr>
        <w:pStyle w:val="Heading1"/>
      </w:pPr>
      <w:r>
        <w:t xml:space="preserve">LAYER 2: HYPERSCALERS &amp; CLOUD INFRASTRUCTURE</w:t>
      </w:r>
    </w:p>
    <w:p>
      <w:pPr>
        <w:spacing w:after="60"/>
      </w:pPr>
      <w:r>
        <w:rPr>
          <w:rFonts w:ascii="Arial" w:cs="Arial" w:eastAsia="Arial" w:hAnsi="Arial"/>
          <w:i/>
          <w:iCs/>
          <w:color w:val="4A5568"/>
          <w:sz w:val="20"/>
          <w:szCs w:val="20"/>
        </w:rPr>
        <w:t xml:space="preserve">Mega-cap platforms spending $600B+ in 2026 capex — the demand engine of the AI buildout</w:t>
      </w:r>
    </w:p>
    <w:p>
      <w:pPr>
        <w:spacing w:after="100"/>
      </w:pPr>
      <w:r>
        <w:rPr>
          <w:rFonts w:ascii="Arial" w:cs="Arial" w:eastAsia="Arial" w:hAnsi="Arial"/>
          <w:b/>
          <w:bCs/>
          <w:color w:val="2D3748"/>
          <w:sz w:val="20"/>
          <w:szCs w:val="20"/>
        </w:rPr>
        <w:t xml:space="preserve">Exposure Type: </w:t>
      </w:r>
      <w:r>
        <w:rPr>
          <w:rFonts w:ascii="Arial" w:cs="Arial" w:eastAsia="Arial" w:hAnsi="Arial"/>
          <w:b/>
          <w:bCs/>
          <w:color w:val="276749"/>
          <w:sz w:val="20"/>
          <w:szCs w:val="20"/>
        </w:rPr>
        <w:t xml:space="preserve">DIRECT</w:t>
      </w:r>
      <w:r>
        <w:rPr>
          <w:rFonts w:ascii="Arial" w:cs="Arial" w:eastAsia="Arial" w:hAnsi="Arial"/>
          <w:b/>
          <w:bCs/>
          <w:color w:val="2D3748"/>
          <w:sz w:val="20"/>
          <w:szCs w:val="20"/>
        </w:rPr>
        <w:t xml:space="preserve">   |   Proximity Score: </w:t>
      </w:r>
      <w:r>
        <w:rPr>
          <w:rFonts w:ascii="Arial" w:cs="Arial" w:eastAsia="Arial" w:hAnsi="Arial"/>
          <w:b/>
          <w:bCs/>
          <w:color w:val="2C3E6B"/>
          <w:sz w:val="20"/>
          <w:szCs w:val="20"/>
        </w:rPr>
        <w:t xml:space="preserve">4</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800"/>
        <w:gridCol w:w="1300"/>
        <w:gridCol w:w="1000"/>
        <w:gridCol w:w="1100"/>
        <w:gridCol w:w="748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Ticker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Mkt Cap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Revenue / Metric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 %</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Proximity</w:t>
            </w:r>
          </w:p>
        </w:tc>
        <w:tc>
          <w:tcPr>
            <w:tcW w:type="dxa" w:w="7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CIB Exposure Rationale &amp; Risk Profile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AMZN</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Amazon.com (AWS)</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$2.3T</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AWS ~$110B+ annual run-rate</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~65% of op. income</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AWS is largest cloud provider globally. 2025 capex guidance raised to $125B (+61% YoY), vast majority AI/DC infrastructure. Q3 capex $35.1B alone. Custom Trainium/Inferentia chips + NVIDIA GPU deployments. Bedrock AI platform. Issued ~$25B in new debt in 2025 for AI buildout.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MSFT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Microsoft (Azure)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$3.2T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Azure ~$96B+ annual run-rate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~50% growth driver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Azure growing 33%+ with AI acceleration. $34.9B capex in Q3 (+75% YoY). Capital intensity at 45% of revenue — historically unthinkable. $13B OpenAI investment. Copilot monetization across Office, GitHub, Windows. $108B+ in debt issuance across hyperscalers in 2025.</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GOOGL</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Alphabet (Google Cloud)</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$2.3T</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Google Cloud ~$46B annual</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~15% of revenue</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2025 capex guidance raised 3x to $91–93B (from $52.5B in 2024). Custom TPU chips (v5e, v6) manufactured by Broadcom/TSMC. DeepMind frontier model research. Gemini model family. Cloud revenue growing ~30%. Q4 est. revenue $111.4B.</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META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Meta Platforms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$1.6T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AI infra spending ~$70B 2025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AI drives ad targeting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2025 capex guidance $66–72B, with 2026 potentially hitting $100B. Llama open-weight models. AI driving ad revenue optimization. Zuckerberg stated company will “simply pivot” if AGI spending proves incorrect. Largest social media AI spender.</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ORCL</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Oracle Corp</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$420B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Cloud infra ~$25B annual</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Capital intensity surged to 57% of revenue — highest among hyperscalers. Oracle Cloud Infrastructure (OCI) gaining AI workloads. $10B+ Anthropic TPU order. Multi-cloud partnerships with NVIDIA. $30B+ in debt issuance in 2025 for AI DC buildout. Q4 est. revenue $16.9B.</w:t>
            </w:r>
          </w:p>
        </w:tc>
      </w:tr>
    </w:tbl>
    <w:p>
      <w:pPr>
        <w:spacing w:after="40"/>
      </w:pPr>
    </w:p>
    <w:p>
      <w:pPr>
        <w:spacing w:before="180" w:after="80"/>
      </w:pPr>
      <w:r>
        <w:rPr>
          <w:rFonts w:ascii="Arial" w:cs="Arial" w:eastAsia="Arial" w:hAnsi="Arial"/>
          <w:b/>
          <w:bCs/>
          <w:color w:val="2C3E6B"/>
          <w:sz w:val="22"/>
          <w:szCs w:val="22"/>
        </w:rPr>
        <w:t xml:space="preserve">CIB Exposure Summary — Hyperscalers</w:t>
      </w:r>
    </w:p>
    <w:p>
      <w:pPr>
        <w:spacing w:after="100" w:line="264"/>
      </w:pPr>
      <w:r>
        <w:rPr>
          <w:rFonts w:ascii="Arial" w:cs="Arial" w:eastAsia="Arial" w:hAnsi="Arial"/>
          <w:color w:val="2D3748"/>
          <w:sz w:val="20"/>
          <w:szCs w:val="20"/>
        </w:rPr>
        <w:t xml:space="preserve">These five companies are simultaneously the bank’s largest AI-related counterparties across every risk stripe: they are equity trading flow generators, investment-grade bond issuers ($121B new issuance in 2025), commercial lending clients, M&amp;A advisory mandates, and the bank’s own technology vendors. The hyperscaler capex cycle is the transmission mechanism for the entire AI trade—if capex guidance is cut, the shock propagates to semiconductors (Layer 1), data centers (Layer 4), power (Layer 6), and networking (Layer 5) simultaneously. Bank of America calculates hyperscaler capex has reached 94% of operating cash flow net of dividends/buybacks, approaching the threshold where external debt financing becomes structurally necessary.</w:t>
      </w:r>
    </w:p>
    <w:p>
      <w:r>
        <w:br w:type="page"/>
      </w:r>
    </w:p>
    <w:p>
      <w:pPr>
        <w:pStyle w:val="Heading1"/>
      </w:pPr>
      <w:r>
        <w:t xml:space="preserve">LAYER 3: FOUNDATION MODEL &amp; AI SOFTWARE COMPANIES</w:t>
      </w:r>
    </w:p>
    <w:p>
      <w:pPr>
        <w:spacing w:after="60"/>
      </w:pPr>
      <w:r>
        <w:rPr>
          <w:rFonts w:ascii="Arial" w:cs="Arial" w:eastAsia="Arial" w:hAnsi="Arial"/>
          <w:i/>
          <w:iCs/>
          <w:color w:val="4A5568"/>
          <w:sz w:val="20"/>
          <w:szCs w:val="20"/>
        </w:rPr>
        <w:t xml:space="preserve">LLM developers and AI-native software platforms — the “brains” of the AI stack</w:t>
      </w:r>
    </w:p>
    <w:p>
      <w:pPr>
        <w:spacing w:after="100"/>
      </w:pPr>
      <w:r>
        <w:rPr>
          <w:rFonts w:ascii="Arial" w:cs="Arial" w:eastAsia="Arial" w:hAnsi="Arial"/>
          <w:b/>
          <w:bCs/>
          <w:color w:val="2D3748"/>
          <w:sz w:val="20"/>
          <w:szCs w:val="20"/>
        </w:rPr>
        <w:t xml:space="preserve">Exposure Type: </w:t>
      </w:r>
      <w:r>
        <w:rPr>
          <w:rFonts w:ascii="Arial" w:cs="Arial" w:eastAsia="Arial" w:hAnsi="Arial"/>
          <w:b/>
          <w:bCs/>
          <w:color w:val="276749"/>
          <w:sz w:val="20"/>
          <w:szCs w:val="20"/>
        </w:rPr>
        <w:t xml:space="preserve">DIRECT</w:t>
      </w:r>
      <w:r>
        <w:rPr>
          <w:rFonts w:ascii="Arial" w:cs="Arial" w:eastAsia="Arial" w:hAnsi="Arial"/>
          <w:b/>
          <w:bCs/>
          <w:color w:val="2D3748"/>
          <w:sz w:val="20"/>
          <w:szCs w:val="20"/>
        </w:rPr>
        <w:t xml:space="preserve">   |   Proximity Score: </w:t>
      </w:r>
      <w:r>
        <w:rPr>
          <w:rFonts w:ascii="Arial" w:cs="Arial" w:eastAsia="Arial" w:hAnsi="Arial"/>
          <w:b/>
          <w:bCs/>
          <w:color w:val="2C3E6B"/>
          <w:sz w:val="20"/>
          <w:szCs w:val="20"/>
        </w:rPr>
        <w:t xml:space="preserve">5 (private) / 3–4 (public)</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800"/>
        <w:gridCol w:w="1300"/>
        <w:gridCol w:w="1000"/>
        <w:gridCol w:w="1100"/>
        <w:gridCol w:w="748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Ticker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Mkt Cap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Revenue / Metric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 %</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Proximity</w:t>
            </w:r>
          </w:p>
        </w:tc>
        <w:tc>
          <w:tcPr>
            <w:tcW w:type="dxa" w:w="7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CIB Exposure Rationale &amp; Risk Profile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Private</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OpenAI</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~$300B valuation</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$11.6B ARR (est. late 2025)</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100%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Largest private AI company. ChatGPT, GPT-4/o1/o3 models, API platform. Expected $1T+ IPO in 2026. $1.4T in announced AI infrastructure deals with partners. Revenue ~4x YoY growth. CIB exposure through potential IPO underwriting, lending to partners (MSFT, ORCL), and SPAC/pre-IPO vehicle participation.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Private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Anthropic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~$60B valuation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~$2B+ ARR (est.)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Claude model family. Enterprise-focused safety-first positioning. Backed by Amazon ($8B), Google, Salesforce. $10B Broadcom TPU order disclosed. CIB exposure through cloud provider lending relationships and potential future ECM.</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Private</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xAI (Elon Musk)</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~$50B valuation</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Grok model, X.com integration</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100%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Building Colossus — largest GPU cluster globally (100K+ H100s). Backed by sovereign wealth funds, a16z, Sequoia. CIB exposure through infrastructure financing and potential IPO.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PLTR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Palantir Technologies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$175B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$2.8B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~85%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AI/ML platform for government and enterprise. AIP (AI Platform) driving explosive growth. Stock +300%+ in 2025. Government defense/intelligence AI contracts. Premium valuation at 60x+ forward revenue.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CRM</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Salesforce</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$310B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$9.5B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~25%</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Agentforce AI platform. Largest enterprise SaaS CRM. AI-driven revenue growth narrative. Einstein AI integrated across products. Data Cloud for AI training datasets.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SNOW</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Snowflake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$60B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$~1B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Cloud data warehouse/lakehouse. Cortex AI features. Key infrastructure for enterprise AI data pipelines. Growing consumption model. CEO Sridhar Ramaswamy (ex-Google AI).</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NOW</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ServiceNow</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$220B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Enterprise workflow automation. Now Assist AI agents embedded across platform. High growth, high margin SaaS. AI driving expansion into new enterprise use cases.</w:t>
            </w:r>
          </w:p>
        </w:tc>
      </w:tr>
    </w:tbl>
    <w:p>
      <w:pPr>
        <w:spacing w:after="40"/>
      </w:pPr>
    </w:p>
    <w:p>
      <w:pPr>
        <w:spacing w:before="180" w:after="80"/>
      </w:pPr>
      <w:r>
        <w:rPr>
          <w:rFonts w:ascii="Arial" w:cs="Arial" w:eastAsia="Arial" w:hAnsi="Arial"/>
          <w:b/>
          <w:bCs/>
          <w:color w:val="2C3E6B"/>
          <w:sz w:val="22"/>
          <w:szCs w:val="22"/>
        </w:rPr>
        <w:t xml:space="preserve">CIB Exposure Summary — Foundation Models &amp; AI Software</w:t>
      </w:r>
    </w:p>
    <w:p>
      <w:pPr>
        <w:spacing w:after="100" w:line="264"/>
      </w:pPr>
      <w:r>
        <w:rPr>
          <w:rFonts w:ascii="Arial" w:cs="Arial" w:eastAsia="Arial" w:hAnsi="Arial"/>
          <w:color w:val="2D3748"/>
          <w:sz w:val="20"/>
          <w:szCs w:val="20"/>
        </w:rPr>
        <w:t xml:space="preserve">This layer presents the most asymmetric risk/reward profile. Private companies (OpenAI, Anthropic, xAI) represent potential blockbuster ECM mandates (OpenAI’s expected $1T+ IPO would be the largest in history) but also carry extreme valuation uncertainty. Public AI software names (Palantir at 60x+ revenue, CRM, NOW, SNOW) trade on AI narrative momentum that can reverse sharply on execution misses. For the lending book, venture credit facilities and subscription lines to VC/PE funds with AI-concentrated portfolios carry correlated exposure to this layer. Key risk: the AI revenue realization gap—only ~$25B in AI services revenue vs. $400B+ capex—means the model companies must prove monetization or face a brutal re-rating.</w:t>
      </w:r>
    </w:p>
    <w:p>
      <w:r>
        <w:br w:type="page"/>
      </w:r>
    </w:p>
    <w:p>
      <w:pPr>
        <w:pStyle w:val="Heading1"/>
      </w:pPr>
      <w:r>
        <w:t xml:space="preserve">LAYER 4: AI INFRASTRUCTURE — DATA CENTERS &amp; NEOCLOUDS</w:t>
      </w:r>
    </w:p>
    <w:p>
      <w:pPr>
        <w:spacing w:after="60"/>
      </w:pPr>
      <w:r>
        <w:rPr>
          <w:rFonts w:ascii="Arial" w:cs="Arial" w:eastAsia="Arial" w:hAnsi="Arial"/>
          <w:i/>
          <w:iCs/>
          <w:color w:val="4A5568"/>
          <w:sz w:val="20"/>
          <w:szCs w:val="20"/>
        </w:rPr>
        <w:t xml:space="preserve">Physical real estate, cooling, networking, and compute-as-a-service</w:t>
      </w:r>
    </w:p>
    <w:p>
      <w:pPr>
        <w:spacing w:after="100"/>
      </w:pPr>
      <w:r>
        <w:rPr>
          <w:rFonts w:ascii="Arial" w:cs="Arial" w:eastAsia="Arial" w:hAnsi="Arial"/>
          <w:b/>
          <w:bCs/>
          <w:color w:val="2D3748"/>
          <w:sz w:val="20"/>
          <w:szCs w:val="20"/>
        </w:rPr>
        <w:t xml:space="preserve">Exposure Type: </w:t>
      </w:r>
      <w:r>
        <w:rPr>
          <w:rFonts w:ascii="Arial" w:cs="Arial" w:eastAsia="Arial" w:hAnsi="Arial"/>
          <w:b/>
          <w:bCs/>
          <w:color w:val="276749"/>
          <w:sz w:val="20"/>
          <w:szCs w:val="20"/>
        </w:rPr>
        <w:t xml:space="preserve">DIRECT</w:t>
      </w:r>
      <w:r>
        <w:rPr>
          <w:rFonts w:ascii="Arial" w:cs="Arial" w:eastAsia="Arial" w:hAnsi="Arial"/>
          <w:b/>
          <w:bCs/>
          <w:color w:val="2D3748"/>
          <w:sz w:val="20"/>
          <w:szCs w:val="20"/>
        </w:rPr>
        <w:t xml:space="preserve">   |   Proximity Score: </w:t>
      </w:r>
      <w:r>
        <w:rPr>
          <w:rFonts w:ascii="Arial" w:cs="Arial" w:eastAsia="Arial" w:hAnsi="Arial"/>
          <w:b/>
          <w:bCs/>
          <w:color w:val="2C3E6B"/>
          <w:sz w:val="20"/>
          <w:szCs w:val="20"/>
        </w:rPr>
        <w:t xml:space="preserve">3–4</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800"/>
        <w:gridCol w:w="1300"/>
        <w:gridCol w:w="1000"/>
        <w:gridCol w:w="1100"/>
        <w:gridCol w:w="748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Ticker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Mkt Cap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Revenue / Metric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 %</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Proximity</w:t>
            </w:r>
          </w:p>
        </w:tc>
        <w:tc>
          <w:tcPr>
            <w:tcW w:type="dxa" w:w="7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CIB Exposure Rationale &amp; Risk Profile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EQIX</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Equinix (REIT)</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$71B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$2.3B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~30% AI-driven growth</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Largest global interconnected data center operator. 270+ DCs across 77 markets. Spending $4–5B/yr through 2029 to double capacity. xScale hyperscale JV ($15B). Q3 EBITDA +10% YoY. 58 major projects underway. High switching costs; dense fiber ecosystems create moats. 1GW nuclear power agreements (Oklo, Radiant).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DLR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Digital Realty (REIT)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$55B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$~1.5B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~40% AI-oriented leases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Largest dedicated hyperscale DC provider. 300+ global DCs. US Hyperscale DC Fund ($10B). Blackstone JV ($7B). First Quantum-AI DC (NYC, Sept 2025). PlatformDigital spans massive campuses for AWS, Google, Microsoft. Largest share of leased DC power in US (15%).</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CRWV</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CoreWeave</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~$35B (IPO’25)</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$~1.5B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100%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AI-native “neocloud”. IPO in 2025. Provides GPU-as-a-service to AI labs. Long-term NVIDIA contracts. $7.5B debt facility. Extremely high capex intensity. Key counterparty risk for leveraged AI infrastructure bets. Revenue 100% AI-dependent.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AMT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American Tower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$100B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$~2.8B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 – AI-Adjacent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Diversified tower/DC REIT. Expanding DC segment via CoreSite acquisition. Smaller AI exposure but growing. Edge compute and 5G AI convergence long-term thesis.</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APLD</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Applied Digital</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$~200M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~95%</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 – Pure-Play</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Pure-play AI data center builder. Purpose-built next-gen AI factories with liquid cooling. Long-term CoreWeave contracts. $5B Macquarie financing facility. Transitioned from crypto mining to AI workloads.</w:t>
            </w:r>
          </w:p>
        </w:tc>
      </w:tr>
    </w:tbl>
    <w:p>
      <w:pPr>
        <w:spacing w:after="40"/>
      </w:pPr>
    </w:p>
    <w:p>
      <w:pPr>
        <w:spacing w:before="180" w:after="80"/>
      </w:pPr>
      <w:r>
        <w:rPr>
          <w:rFonts w:ascii="Arial" w:cs="Arial" w:eastAsia="Arial" w:hAnsi="Arial"/>
          <w:b/>
          <w:bCs/>
          <w:color w:val="2C3E6B"/>
          <w:sz w:val="22"/>
          <w:szCs w:val="22"/>
        </w:rPr>
        <w:t xml:space="preserve">CIB Exposure Summary — Data Centers &amp; Neoclouds</w:t>
      </w:r>
    </w:p>
    <w:p>
      <w:pPr>
        <w:spacing w:after="100" w:line="264"/>
      </w:pPr>
      <w:r>
        <w:rPr>
          <w:rFonts w:ascii="Arial" w:cs="Arial" w:eastAsia="Arial" w:hAnsi="Arial"/>
          <w:color w:val="2D3748"/>
          <w:sz w:val="20"/>
          <w:szCs w:val="20"/>
        </w:rPr>
        <w:t xml:space="preserve">Data center REITs (EQIX, DLR) are core positions in wealth management model portfolios and real estate lending exposure for commercial banking. The neocloud segment (CoreWeave, Applied Digital) represents high-growth but heavily leveraged counterparties—CoreWeave’s $7.5B debt facility and APLD’s $5B Macquarie financing create significant credit exposure to the AI cycle. CRE loans secured by data center properties must be stress-tested for AI capex cycle risk: if hyperscaler demand contracts, long-term lease assumptions underlying DC valuations could deteriorate. Equinix’s plan to double capacity by 2029 ($4–5B/yr capex) and Digital Realty’s $10B US fund demonstrate the capital-intensive nature of this layer.</w:t>
      </w:r>
    </w:p>
    <w:p>
      <w:r>
        <w:br w:type="page"/>
      </w:r>
    </w:p>
    <w:p>
      <w:pPr>
        <w:pStyle w:val="Heading1"/>
      </w:pPr>
      <w:r>
        <w:t xml:space="preserve">LAYER 5: AI NETWORKING, COOLING &amp; POWER INFRASTRUCTURE</w:t>
      </w:r>
    </w:p>
    <w:p>
      <w:pPr>
        <w:spacing w:after="60"/>
      </w:pPr>
      <w:r>
        <w:rPr>
          <w:rFonts w:ascii="Arial" w:cs="Arial" w:eastAsia="Arial" w:hAnsi="Arial"/>
          <w:i/>
          <w:iCs/>
          <w:color w:val="4A5568"/>
          <w:sz w:val="20"/>
          <w:szCs w:val="20"/>
        </w:rPr>
        <w:t xml:space="preserve">Enabling hardware — the “picks and shovels” behind every AI cluster</w:t>
      </w:r>
    </w:p>
    <w:p>
      <w:pPr>
        <w:spacing w:after="100"/>
      </w:pPr>
      <w:r>
        <w:rPr>
          <w:rFonts w:ascii="Arial" w:cs="Arial" w:eastAsia="Arial" w:hAnsi="Arial"/>
          <w:b/>
          <w:bCs/>
          <w:color w:val="2D3748"/>
          <w:sz w:val="20"/>
          <w:szCs w:val="20"/>
        </w:rPr>
        <w:t xml:space="preserve">Exposure Type: </w:t>
      </w:r>
      <w:r>
        <w:rPr>
          <w:rFonts w:ascii="Arial" w:cs="Arial" w:eastAsia="Arial" w:hAnsi="Arial"/>
          <w:b/>
          <w:bCs/>
          <w:color w:val="276749"/>
          <w:sz w:val="20"/>
          <w:szCs w:val="20"/>
        </w:rPr>
        <w:t xml:space="preserve">DIRECT / INDIRECT</w:t>
      </w:r>
      <w:r>
        <w:rPr>
          <w:rFonts w:ascii="Arial" w:cs="Arial" w:eastAsia="Arial" w:hAnsi="Arial"/>
          <w:b/>
          <w:bCs/>
          <w:color w:val="2D3748"/>
          <w:sz w:val="20"/>
          <w:szCs w:val="20"/>
        </w:rPr>
        <w:t xml:space="preserve">   |   Proximity Score: </w:t>
      </w:r>
      <w:r>
        <w:rPr>
          <w:rFonts w:ascii="Arial" w:cs="Arial" w:eastAsia="Arial" w:hAnsi="Arial"/>
          <w:b/>
          <w:bCs/>
          <w:color w:val="2C3E6B"/>
          <w:sz w:val="20"/>
          <w:szCs w:val="20"/>
        </w:rPr>
        <w:t xml:space="preserve">2–3</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800"/>
        <w:gridCol w:w="1300"/>
        <w:gridCol w:w="1000"/>
        <w:gridCol w:w="1100"/>
        <w:gridCol w:w="748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Ticker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Mkt Cap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Revenue / Metric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 %</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Proximity</w:t>
            </w:r>
          </w:p>
        </w:tc>
        <w:tc>
          <w:tcPr>
            <w:tcW w:type="dxa" w:w="7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CIB Exposure Rationale &amp; Risk Profile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VRT</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Vertiv Holdings</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$~2.2B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~60%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Leading provider of liquid cooling, HVAC, power distribution for high-density AI racks. Record order backlog. Every AI DC needs thermal management. Revenue directly correlated with AI infrastructure buildout.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ANET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Arista Networks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$120B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$~1.8B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400G/800G Ethernet switches for AI data center networking. Key supplier to hyperscalers for back-end AI cluster interconnect. Alternative to InfiniBand. Cloud titan customer concentration.</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CIEN</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Ciena Corp</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$~1.35B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~45%</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Optical networking for high-speed data transmission. +147% stock return in 2025. Revenue +20% YoY. $5B backlog supporting 2026 revenue. Hyperscaler demand for coherent optics.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CRDO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Credo Technology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$15B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$~250M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 – AI-Dominant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Active electrical cables and SerDes for GPU cluster interconnect. Enabling larger GPU clusters. Design wins with major hyperscalers. Pure-play AI interconnect.</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ETN</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Eaton Corp</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$130B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$~6.5B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~20%</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 – AI-Adjacent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Electrical power management. UPS systems, switchgear, PDUs for data centers. Broad industrial exposure but AI DC electrification is a key growth driver.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PSTG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Pure Storage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$22B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$~800M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 – AI-Significant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High-performance flash storage for AI training data. FlashBlade for unstructured data at GPU cluster scale. Key infrastructure for data pipeline feeding AI workloads.</w:t>
            </w:r>
          </w:p>
        </w:tc>
      </w:tr>
    </w:tbl>
    <w:p>
      <w:pPr>
        <w:spacing w:after="40"/>
      </w:pPr>
    </w:p>
    <w:p>
      <w:pPr>
        <w:spacing w:before="180" w:after="80"/>
      </w:pPr>
      <w:r>
        <w:rPr>
          <w:rFonts w:ascii="Arial" w:cs="Arial" w:eastAsia="Arial" w:hAnsi="Arial"/>
          <w:b/>
          <w:bCs/>
          <w:color w:val="2C3E6B"/>
          <w:sz w:val="22"/>
          <w:szCs w:val="22"/>
        </w:rPr>
        <w:t xml:space="preserve">CIB Exposure Summary — Networking, Cooling &amp; Power Infrastructure</w:t>
      </w:r>
    </w:p>
    <w:p>
      <w:pPr>
        <w:spacing w:after="100" w:line="264"/>
      </w:pPr>
      <w:r>
        <w:rPr>
          <w:rFonts w:ascii="Arial" w:cs="Arial" w:eastAsia="Arial" w:hAnsi="Arial"/>
          <w:color w:val="2D3748"/>
          <w:sz w:val="20"/>
          <w:szCs w:val="20"/>
        </w:rPr>
        <w:t xml:space="preserve">These are the “picks and shovels” companies whose revenue is directly correlated with data center buildout velocity but who are not themselves AI technology companies. Vertiv (cooling), Arista (networking), and Ciena (optical) have all delivered outsized returns in 2025 as their order books filled with hyperscaler demand. The exposure is Direct for equity/credit positions but the transmission mechanism is one step removed from AI model development itself. Key risk: these companies are leveraged to the construction phase of the AI cycle—if the buildout pauses or decelerates, revenue growth can cliff. Ciena’s $5B backlog and Vertiv’s record orders provide 12–18 month visibility, but beyond that, re-orders depend on continued capex acceleration.</w:t>
      </w:r>
    </w:p>
    <w:p>
      <w:r>
        <w:br w:type="page"/>
      </w:r>
    </w:p>
    <w:p>
      <w:pPr>
        <w:pStyle w:val="Heading1"/>
      </w:pPr>
      <w:r>
        <w:t xml:space="preserve">LAYER 6: AI POWER &amp; ENERGY</w:t>
      </w:r>
    </w:p>
    <w:p>
      <w:pPr>
        <w:spacing w:after="60"/>
      </w:pPr>
      <w:r>
        <w:rPr>
          <w:rFonts w:ascii="Arial" w:cs="Arial" w:eastAsia="Arial" w:hAnsi="Arial"/>
          <w:i/>
          <w:iCs/>
          <w:color w:val="4A5568"/>
          <w:sz w:val="20"/>
          <w:szCs w:val="20"/>
        </w:rPr>
        <w:t xml:space="preserve">Electricity is the binding constraint — utilities and nuclear riding the AI demand wave</w:t>
      </w:r>
    </w:p>
    <w:p>
      <w:pPr>
        <w:spacing w:after="100"/>
      </w:pPr>
      <w:r>
        <w:rPr>
          <w:rFonts w:ascii="Arial" w:cs="Arial" w:eastAsia="Arial" w:hAnsi="Arial"/>
          <w:b/>
          <w:bCs/>
          <w:color w:val="2D3748"/>
          <w:sz w:val="20"/>
          <w:szCs w:val="20"/>
        </w:rPr>
        <w:t xml:space="preserve">Exposure Type: </w:t>
      </w:r>
      <w:r>
        <w:rPr>
          <w:rFonts w:ascii="Arial" w:cs="Arial" w:eastAsia="Arial" w:hAnsi="Arial"/>
          <w:b/>
          <w:bCs/>
          <w:color w:val="276749"/>
          <w:sz w:val="20"/>
          <w:szCs w:val="20"/>
        </w:rPr>
        <w:t xml:space="preserve">INDIRECT</w:t>
      </w:r>
      <w:r>
        <w:rPr>
          <w:rFonts w:ascii="Arial" w:cs="Arial" w:eastAsia="Arial" w:hAnsi="Arial"/>
          <w:b/>
          <w:bCs/>
          <w:color w:val="2D3748"/>
          <w:sz w:val="20"/>
          <w:szCs w:val="20"/>
        </w:rPr>
        <w:t xml:space="preserve">   |   Proximity Score: </w:t>
      </w:r>
      <w:r>
        <w:rPr>
          <w:rFonts w:ascii="Arial" w:cs="Arial" w:eastAsia="Arial" w:hAnsi="Arial"/>
          <w:b/>
          <w:bCs/>
          <w:color w:val="2C3E6B"/>
          <w:sz w:val="20"/>
          <w:szCs w:val="20"/>
        </w:rPr>
        <w:t xml:space="preserve">2</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800"/>
        <w:gridCol w:w="1300"/>
        <w:gridCol w:w="1000"/>
        <w:gridCol w:w="1100"/>
        <w:gridCol w:w="748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Ticker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Mkt Cap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Revenue / Metric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 %</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Proximity</w:t>
            </w:r>
          </w:p>
        </w:tc>
        <w:tc>
          <w:tcPr>
            <w:tcW w:type="dxa" w:w="7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CIB Exposure Rationale &amp; Risk Profile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CEG</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Constellation Energy</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$95B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$~6B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Nuclear fleet</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 – AI-Adjacent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Largest US nuclear fleet operator. Three Mile Island Unit 1 restart for Microsoft 20-yr PPA. Nuclear power is 24/7 carbon-free baseload ideal for AI DCs. Stock +100%+ in 2024–25 on AI power thesis.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VST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Vistra Corp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$50B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$~5B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Nuclear + gas fleet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 – AI-Adjacent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Comanche Peak nuclear plant. AI DC power demand thesis. Stock +250% in 2024. Diversified generation fleet positions it as AI power supplier.</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NEE</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NextEra Energy</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$160B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$~7B quarterly rev</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Renewables + nuclear</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1–2 – AI-Incidental</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Largest US renewables operator. Long-duration solar/wind PPAs for hyperscaler DCs. AI demand accelerating renewable buildout. Less direct AI beta than nuclear pure-plays.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TLN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Talen Energy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$18B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$~2B quarterly rev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Susquehanna nuclear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 – AI-Adjacent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Susquehanna nuclear plant adjacent to Amazon DC cluster in PA. Long-term PPA with AWS. Emerged from bankruptcy 2023; AI thesis drove re-rating.</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SMR</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NuScale Power</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Pre-revenue</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SMR technology</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 – AI-Adjacent</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Small modular reactor technology for on-site DC power. Long-term AI power thesis. Pre-revenue, speculative. Key risk: regulatory timeline and commercialization uncertainty.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OKLO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Oklo Inc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$6B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Pre-revenue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Micro-reactor technology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 – AI-Adjacent</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Sam Altman-backed micro-reactor company. Equinix 1GW agreement. Speculative long-duration AI power play. Pre-revenue with significant execution risk.</w:t>
            </w:r>
          </w:p>
        </w:tc>
      </w:tr>
    </w:tbl>
    <w:p>
      <w:pPr>
        <w:spacing w:after="40"/>
      </w:pPr>
    </w:p>
    <w:p>
      <w:pPr>
        <w:spacing w:before="180" w:after="80"/>
      </w:pPr>
      <w:r>
        <w:rPr>
          <w:rFonts w:ascii="Arial" w:cs="Arial" w:eastAsia="Arial" w:hAnsi="Arial"/>
          <w:b/>
          <w:bCs/>
          <w:color w:val="2C3E6B"/>
          <w:sz w:val="22"/>
          <w:szCs w:val="22"/>
        </w:rPr>
        <w:t xml:space="preserve">CIB Exposure Summary — Power &amp; Energy</w:t>
      </w:r>
    </w:p>
    <w:p>
      <w:pPr>
        <w:spacing w:after="100" w:line="264"/>
      </w:pPr>
      <w:r>
        <w:rPr>
          <w:rFonts w:ascii="Arial" w:cs="Arial" w:eastAsia="Arial" w:hAnsi="Arial"/>
          <w:color w:val="2D3748"/>
          <w:sz w:val="20"/>
          <w:szCs w:val="20"/>
        </w:rPr>
        <w:t xml:space="preserve">This is the most distinctive indirect AI exposure channel and the one most likely to be underweight in traditional risk taxonomies. Nuclear power companies (Constellation, Vistra, Talen) have re-rated dramatically on the thesis that AI data centers need 24/7 baseload power that only nuclear can reliably provide. Constellation’s Three Mile Island restart for a 20-year Microsoft PPA is the landmark transaction. For the CIB lending book, utilities with data center power purchase agreements represent indirect AI-secured credit. Pre-revenue nuclear startups (NuScale, Oklo) are venture-stage counterparties with speculative AI exposure—Oklo’s Equinix agreement and Sam Altman backing create a narrative tie to AI, but commercial risk is high. Energy sector AI exposure is a 3–5 year duration bet, not a quarterly trading position.</w:t>
      </w:r>
    </w:p>
    <w:p>
      <w:r>
        <w:br w:type="page"/>
      </w:r>
    </w:p>
    <w:p>
      <w:pPr>
        <w:pStyle w:val="Heading1"/>
      </w:pPr>
      <w:r>
        <w:t xml:space="preserve">LAYER 7: AI-DISRUPTED INCUMBENTS (NEGATIVE AI EXPOSURE)</w:t>
      </w:r>
    </w:p>
    <w:p>
      <w:pPr>
        <w:spacing w:after="60"/>
      </w:pPr>
      <w:r>
        <w:rPr>
          <w:rFonts w:ascii="Arial" w:cs="Arial" w:eastAsia="Arial" w:hAnsi="Arial"/>
          <w:i/>
          <w:iCs/>
          <w:color w:val="4A5568"/>
          <w:sz w:val="20"/>
          <w:szCs w:val="20"/>
        </w:rPr>
        <w:t xml:space="preserve">Companies facing business model displacement from AI — credit deterioration channel</w:t>
      </w:r>
    </w:p>
    <w:p>
      <w:pPr>
        <w:spacing w:after="100"/>
      </w:pPr>
      <w:r>
        <w:rPr>
          <w:rFonts w:ascii="Arial" w:cs="Arial" w:eastAsia="Arial" w:hAnsi="Arial"/>
          <w:b/>
          <w:bCs/>
          <w:color w:val="2D3748"/>
          <w:sz w:val="20"/>
          <w:szCs w:val="20"/>
        </w:rPr>
        <w:t xml:space="preserve">Exposure Type: </w:t>
      </w:r>
      <w:r>
        <w:rPr>
          <w:rFonts w:ascii="Arial" w:cs="Arial" w:eastAsia="Arial" w:hAnsi="Arial"/>
          <w:b/>
          <w:bCs/>
          <w:color w:val="C53030"/>
          <w:sz w:val="20"/>
          <w:szCs w:val="20"/>
        </w:rPr>
        <w:t xml:space="preserve">INDIRECT (Negative)</w:t>
      </w:r>
      <w:r>
        <w:rPr>
          <w:rFonts w:ascii="Arial" w:cs="Arial" w:eastAsia="Arial" w:hAnsi="Arial"/>
          <w:b/>
          <w:bCs/>
          <w:color w:val="2D3748"/>
          <w:sz w:val="20"/>
          <w:szCs w:val="20"/>
        </w:rPr>
        <w:t xml:space="preserve">   |   Proximity Score: </w:t>
      </w:r>
      <w:r>
        <w:rPr>
          <w:rFonts w:ascii="Arial" w:cs="Arial" w:eastAsia="Arial" w:hAnsi="Arial"/>
          <w:b/>
          <w:bCs/>
          <w:color w:val="2C3E6B"/>
          <w:sz w:val="20"/>
          <w:szCs w:val="20"/>
        </w:rPr>
        <w:t xml:space="preserve">1–2 (inverse)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800"/>
        <w:gridCol w:w="1300"/>
        <w:gridCol w:w="1000"/>
        <w:gridCol w:w="1100"/>
        <w:gridCol w:w="748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Ticker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Mkt Cap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Revenue / Metric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Rev %</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Proximity</w:t>
            </w:r>
          </w:p>
        </w:tc>
        <w:tc>
          <w:tcPr>
            <w:tcW w:type="dxa" w:w="7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CIB Exposure Rationale &amp; Risk Profile</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WIT/CTSH</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Wipro / Cognizant</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$25B / $40B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IT services/BPO</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Negative: AI automates services</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 – AI-Disrupted</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Traditional IT outsourcing facing displacement from AI code generation, automated testing, and AI agents handling L1/L2 support. Margin compression as clients demand AI-driven cost reduction. Revenue at risk from GenAI automating core delivery.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CHGG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Chegg Inc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$500M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Education/tutoring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Negative: AI tutors replace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 – AI-Disrupted</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Poster child of AI disruption. Stock -90% since ChatGPT launch. AI tutoring directly substitutes core product. Filed for bankruptcy protection. Canary in coal mine for education sector.</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UPWK</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Upwork Inc</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$2B</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Freelance marketplace</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Negative: AI replaces tasks</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 – AI-Disrupted</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Freelance coding, writing, design jobs directly threatened by GenAI. Transaction volume for AI-automatable tasks declining. Platform must pivot to AI-augmented work or face secular decline.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2D3748"/>
                <w:sz w:val="17"/>
                <w:szCs w:val="17"/>
              </w:rPr>
              <w:t xml:space="preserve">TEL/TASK</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Teleperformance/TaskUs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$8B / $2B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BPO / customer service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Negative: AI agents replace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 – AI-Disrupted</w:t>
            </w:r>
          </w:p>
        </w:tc>
        <w:tc>
          <w:tcPr>
            <w:tcW w:type="dxa" w:w="7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Contact center outsourcing directly disrupted by AI agents (Wells Fargo's own deployment is an example). Klarna cut customer service headcount 75% using AI. Revenue per seat model under existential threat.</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b/>
                <w:bCs/>
                <w:color w:val="2D3748"/>
                <w:sz w:val="17"/>
                <w:szCs w:val="17"/>
              </w:rPr>
              <w:t xml:space="preserve">N/A</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Regional/Community Banks</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Various</w:t>
            </w:r>
          </w:p>
        </w:tc>
        <w:tc>
          <w:tcPr>
            <w:tcW w:type="dxa" w:w="13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Lending + deposits</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Negative: AI-native competition</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 – AI-Incidental</w:t>
            </w:r>
          </w:p>
        </w:tc>
        <w:tc>
          <w:tcPr>
            <w:tcW w:type="dxa" w:w="7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Smaller institutions unable to match AI investment of large banks face competitive displacement. AI-powered underwriting and customer acquisition by fintechs and large banks compresses their margins and market share over time.</w:t>
            </w:r>
          </w:p>
        </w:tc>
      </w:tr>
    </w:tbl>
    <w:p>
      <w:pPr>
        <w:spacing w:after="40"/>
      </w:pPr>
    </w:p>
    <w:p>
      <w:pPr>
        <w:spacing w:before="180" w:after="80"/>
      </w:pPr>
      <w:r>
        <w:rPr>
          <w:rFonts w:ascii="Arial" w:cs="Arial" w:eastAsia="Arial" w:hAnsi="Arial"/>
          <w:b/>
          <w:bCs/>
          <w:color w:val="2C3E6B"/>
          <w:sz w:val="22"/>
          <w:szCs w:val="22"/>
        </w:rPr>
        <w:t xml:space="preserve">CIB Exposure Summary — AI-Disrupted Incumbents</w:t>
      </w:r>
    </w:p>
    <w:p>
      <w:pPr>
        <w:spacing w:after="100" w:line="264"/>
      </w:pPr>
      <w:r>
        <w:rPr>
          <w:rFonts w:ascii="Arial" w:cs="Arial" w:eastAsia="Arial" w:hAnsi="Arial"/>
          <w:color w:val="2D3748"/>
          <w:sz w:val="20"/>
          <w:szCs w:val="20"/>
        </w:rPr>
        <w:t xml:space="preserve">This is the “negative AI beta” layer that is critical for credit risk but often overlooked in equity-focused AI frameworks. As AI capabilities expand, certain borrowers in the bank’s commercial lending portfolio face business model displacement. Chegg’s collapse is the template: a company that appeared healthy pre-ChatGPT saw its core product commoditized overnight. For a bank with a diversified commercial lending book, the relevant question is which borrowers are “long human labor” in tasks that AI can automate—and what percentage of the lending portfolio carries this negative AI exposure. BPO/call center companies are the most immediately threatened (Klarna cut 75% of customer service headcount using AI), followed by content/media, traditional IT services, and education. These exposures require AI-specific PD overlays in the credit risk framework.</w:t>
      </w:r>
    </w:p>
    <w:p>
      <w:r>
        <w:br w:type="page"/>
      </w:r>
    </w:p>
    <w:p>
      <w:pPr>
        <w:pStyle w:val="Heading1"/>
      </w:pPr>
      <w:r>
        <w:t xml:space="preserve">Aggregate Exposure Map: Direct vs. Indirect by Layer</w:t>
      </w:r>
    </w:p>
    <w:p>
      <w:pPr>
        <w:spacing w:after="100" w:line="264"/>
      </w:pPr>
      <w:r>
        <w:rPr>
          <w:rFonts w:ascii="Arial" w:cs="Arial" w:eastAsia="Arial" w:hAnsi="Arial"/>
          <w:color w:val="2D3748"/>
          <w:sz w:val="20"/>
          <w:szCs w:val="20"/>
        </w:rPr>
        <w:t xml:space="preserve">The following summary provides a bird’s-eye view of how each AI Value Chain Layer maps to the Direct/Indirect classification and the key risk stripes affected.</w:t>
      </w:r>
    </w:p>
    <w:p>
      <w:pPr>
        <w:spacing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2000"/>
        <w:gridCol w:w="2200"/>
        <w:gridCol w:w="2500"/>
        <w:gridCol w:w="2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AI Value Chain Layer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D / I</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Prox.</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 Issuers Mapped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Primary Risk Stripes</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Transmission Speed</w:t>
            </w:r>
          </w:p>
        </w:tc>
        <w:tc>
          <w:tcPr>
            <w:tcW w:type="dxa" w:w="2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7"/>
                <w:szCs w:val="17"/>
              </w:rPr>
              <w:t xml:space="preserve">Stress Scenario Sensitivity</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 Semiconductors</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Direct</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4–5</w:t>
            </w:r>
          </w:p>
        </w:tc>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8 issuers</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Market, Credit</w:t>
            </w:r>
          </w:p>
        </w:tc>
        <w:tc>
          <w:tcPr>
            <w:tcW w:type="dxa" w:w="2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Intraday to 5 days</w:t>
            </w:r>
          </w:p>
        </w:tc>
        <w:tc>
          <w:tcPr>
            <w:tcW w:type="dxa" w:w="2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AI Bubble: -50 to -70% equity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2. Hyperscalers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Direct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 issuers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Market, Credit, Revenue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1–5 days (equity); weeks (credit)</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Capex Cut: -25 to -40% equity; +100bps spread</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 Models &amp; Software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Direct</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3–5</w:t>
            </w:r>
          </w:p>
        </w:tc>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7 issuers (3 private)</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Market, Revenue, Venture</w:t>
            </w:r>
          </w:p>
        </w:tc>
        <w:tc>
          <w:tcPr>
            <w:tcW w:type="dxa" w:w="2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1–10 days</w:t>
            </w:r>
          </w:p>
        </w:tc>
        <w:tc>
          <w:tcPr>
            <w:tcW w:type="dxa" w:w="2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Revenue Miss: -30 to -60% equity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4. Data Centers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Direct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5 issuers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CRE, Credit, Market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Weeks to months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Demand Slowdown: -20 to -35% REIT value</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 Networking/Cooling</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Direct/Indirect</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2–3</w:t>
            </w:r>
          </w:p>
        </w:tc>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6 issuers</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Market, Credit</w:t>
            </w:r>
          </w:p>
        </w:tc>
        <w:tc>
          <w:tcPr>
            <w:tcW w:type="dxa" w:w="2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1–4 weeks</w:t>
            </w:r>
          </w:p>
        </w:tc>
        <w:tc>
          <w:tcPr>
            <w:tcW w:type="dxa" w:w="2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Buildout Pause: -25 to -45% equity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6. Power &amp; Energy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Indirect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6 issuers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Credit, Market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1–3 months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color w:val="2D3748"/>
                <w:sz w:val="17"/>
                <w:szCs w:val="17"/>
              </w:rPr>
              <w:t xml:space="preserve">PPA Cancelation: -20 to -40% re-rating</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7. Disrupted Incumbents</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Indirect (Neg)</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1–2</w:t>
            </w:r>
          </w:p>
        </w:tc>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5+ categories</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Credit (deterioration)</w:t>
            </w:r>
          </w:p>
        </w:tc>
        <w:tc>
          <w:tcPr>
            <w:tcW w:type="dxa" w:w="2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Quarters to years</w:t>
            </w:r>
          </w:p>
        </w:tc>
        <w:tc>
          <w:tcPr>
            <w:tcW w:type="dxa" w:w="2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Arial" w:cs="Arial" w:eastAsia="Arial" w:hAnsi="Arial"/>
                <w:color w:val="2D3748"/>
                <w:sz w:val="17"/>
                <w:szCs w:val="17"/>
              </w:rPr>
              <w:t xml:space="preserve">PD increase: +200–500bps over cycle</w:t>
            </w:r>
          </w:p>
        </w:tc>
      </w:tr>
    </w:tbl>
    <w:p>
      <w:pPr>
        <w:spacing w:after="40"/>
      </w:pPr>
    </w:p>
    <w:p>
      <w:pPr>
        <w:spacing w:after="40"/>
      </w:pPr>
    </w:p>
    <w:p>
      <w:pPr>
        <w:pStyle w:val="Heading1"/>
      </w:pPr>
      <w:r>
        <w:t xml:space="preserve">Cross-Cutting CIB Exposure Considerations</w:t>
      </w:r>
    </w:p>
    <w:p>
      <w:pPr>
        <w:pStyle w:val="Heading2"/>
      </w:pPr>
      <w:r>
        <w:t xml:space="preserve">Hyperscaler Debt Issuance as Credit Exposure</w:t>
      </w:r>
    </w:p>
    <w:p>
      <w:pPr>
        <w:spacing w:after="100" w:line="264"/>
      </w:pPr>
      <w:r>
        <w:rPr>
          <w:rFonts w:ascii="Arial" w:cs="Arial" w:eastAsia="Arial" w:hAnsi="Arial"/>
          <w:color w:val="2D3748"/>
          <w:sz w:val="20"/>
          <w:szCs w:val="20"/>
        </w:rPr>
        <w:t xml:space="preserve">The $121B in hyperscaler debt issuance in 2025—with projections for $900B+ in 2026 (UBS) and $1.5T over the coming years (MS/JPM)—creates a massive credit exposure channel for any CIB involved in underwriting, secondary trading, or holding these bonds on the banking book. CDS spreads on Oracle and Meta have widened notably as leverage rises. The CreditSights hyperscaler liability-to-asset ratio fell to 48% in Q3 2025 (vs. 80% for S&amp;P 500), but the trajectory is upward as capex exceeds internal cash generation. Every desk holding hyperscaler IG paper—rates, credit, structured products—carries embedded AI cycle risk.</w:t>
      </w:r>
    </w:p>
    <w:p>
      <w:pPr>
        <w:pStyle w:val="Heading2"/>
      </w:pPr>
      <w:r>
        <w:t xml:space="preserve">The Capex-to-Revenue Gap: Central Risk Tension</w:t>
      </w:r>
    </w:p>
    <w:p>
      <w:pPr>
        <w:spacing w:after="100" w:line="264"/>
      </w:pPr>
      <w:r>
        <w:rPr>
          <w:rFonts w:ascii="Arial" w:cs="Arial" w:eastAsia="Arial" w:hAnsi="Arial"/>
          <w:color w:val="2D3748"/>
          <w:sz w:val="20"/>
          <w:szCs w:val="20"/>
        </w:rPr>
        <w:t xml:space="preserve">The single most important risk variable for AI exposure is whether AI revenue will materialize at a scale commensurate with the $600B+ annual capex being deployed. AI-related services generated only ~$25B in revenue in 2025—roughly 6% of infrastructure spending. This gap is the bull/bear dividing line: bulls argue this is early-cycle investment (analogous to 1996 internet infrastructure before 2000s monetization), bears argue it is misallocated capital approaching dot-com levels. For a CIB, this tension means every AI exposure—equity, credit, CRE, revenue—carries binary optionality on the outcome. Stress testing must model both tails: the scenario where the gap closes (AI Productivity Boom) and the scenario where it doesn’t (AI Bubble Correction with 40–60% capex cuts).</w:t>
      </w:r>
    </w:p>
    <w:p>
      <w:pPr>
        <w:pStyle w:val="Heading2"/>
      </w:pPr>
      <w:r>
        <w:t xml:space="preserve">Wells Fargo Specific Exposure Touchpoints</w:t>
      </w:r>
    </w:p>
    <w:p>
      <w:pPr>
        <w:pStyle w:val="ListParagraph"/>
        <w:numPr>
          <w:ilvl w:val="0"/>
          <w:numId w:val="2"/>
        </w:numPr>
        <w:spacing w:after="50" w:line="264"/>
      </w:pPr>
      <w:r>
        <w:rPr>
          <w:rFonts w:ascii="Arial" w:cs="Arial" w:eastAsia="Arial" w:hAnsi="Arial"/>
          <w:color w:val="2D3748"/>
          <w:sz w:val="20"/>
          <w:szCs w:val="20"/>
        </w:rPr>
        <w:t xml:space="preserve">Technology Banking Group: $10B+ in loan commitments across 500+ software/tech company financings; directly exposed to AI startup credit quality and VC fundraising environment</w:t>
      </w:r>
    </w:p>
    <w:p>
      <w:pPr>
        <w:pStyle w:val="ListParagraph"/>
        <w:numPr>
          <w:ilvl w:val="0"/>
          <w:numId w:val="2"/>
        </w:numPr>
        <w:spacing w:after="50" w:line="264"/>
      </w:pPr>
      <w:r>
        <w:rPr>
          <w:rFonts w:ascii="Arial" w:cs="Arial" w:eastAsia="Arial" w:hAnsi="Arial"/>
          <w:color w:val="2D3748"/>
          <w:sz w:val="20"/>
          <w:szCs w:val="20"/>
        </w:rPr>
        <w:t xml:space="preserve">Google Cloud Partnership: Enterprise-wide AI deployment for 215,000 employees via Google Agentspace; operational dependency on a single hyperscaler (Layer 2 vendor concentration)</w:t>
      </w:r>
    </w:p>
    <w:p>
      <w:pPr>
        <w:pStyle w:val="ListParagraph"/>
        <w:numPr>
          <w:ilvl w:val="0"/>
          <w:numId w:val="2"/>
        </w:numPr>
        <w:spacing w:after="50" w:line="264"/>
      </w:pPr>
      <w:r>
        <w:rPr>
          <w:rFonts w:ascii="Arial" w:cs="Arial" w:eastAsia="Arial" w:hAnsi="Arial"/>
          <w:color w:val="2D3748"/>
          <w:sz w:val="20"/>
          <w:szCs w:val="20"/>
        </w:rPr>
        <w:t xml:space="preserve">AI-Powered Internal Systems: 191 AI projects deployed, LIFE algorithm for lending, Fargo virtual assistant, 90K+ employees trained; operational risk if AI models malfunction</w:t>
      </w:r>
    </w:p>
    <w:p>
      <w:pPr>
        <w:pStyle w:val="ListParagraph"/>
        <w:numPr>
          <w:ilvl w:val="0"/>
          <w:numId w:val="2"/>
        </w:numPr>
        <w:spacing w:after="50" w:line="264"/>
      </w:pPr>
      <w:r>
        <w:rPr>
          <w:rFonts w:ascii="Arial" w:cs="Arial" w:eastAsia="Arial" w:hAnsi="Arial"/>
          <w:color w:val="2D3748"/>
          <w:sz w:val="20"/>
          <w:szCs w:val="20"/>
        </w:rPr>
        <w:t xml:space="preserve">Wealth &amp; Investment Management: Model portfolios benchmarked to S&amp;P 500 carry ~28–35% implicit AI concentration; client equity exposure passively overweight AI</w:t>
      </w:r>
    </w:p>
    <w:p>
      <w:pPr>
        <w:pStyle w:val="ListParagraph"/>
        <w:numPr>
          <w:ilvl w:val="0"/>
          <w:numId w:val="2"/>
        </w:numPr>
        <w:spacing w:after="50" w:line="264"/>
      </w:pPr>
      <w:r>
        <w:rPr>
          <w:rFonts w:ascii="Arial" w:cs="Arial" w:eastAsia="Arial" w:hAnsi="Arial"/>
          <w:color w:val="2D3748"/>
          <w:sz w:val="20"/>
          <w:szCs w:val="20"/>
        </w:rPr>
        <w:t xml:space="preserve">CIB Advisory Pipeline: AI-driven tech M&amp;A expected to accelerate; fee income increasingly AI-cycle-dependent (fintech M&amp;A, AI company IPOs/follow-ons)</w:t>
      </w:r>
    </w:p>
    <w:p>
      <w:pPr>
        <w:pStyle w:val="ListParagraph"/>
        <w:numPr>
          <w:ilvl w:val="0"/>
          <w:numId w:val="2"/>
        </w:numPr>
        <w:spacing w:after="50" w:line="264"/>
      </w:pPr>
      <w:r>
        <w:rPr>
          <w:rFonts w:ascii="Arial" w:cs="Arial" w:eastAsia="Arial" w:hAnsi="Arial"/>
          <w:color w:val="2D3748"/>
          <w:sz w:val="20"/>
          <w:szCs w:val="20"/>
        </w:rPr>
        <w:t xml:space="preserve">Commercial Real Estate: Data center loans in lending book; project finance for AI-linked power generation; CRE valuations in traditional office declining while DC CRE surges</w:t>
      </w:r>
    </w:p>
    <w:p>
      <w:pPr>
        <w:pStyle w:val="ListParagraph"/>
        <w:numPr>
          <w:ilvl w:val="0"/>
          <w:numId w:val="2"/>
        </w:numPr>
        <w:spacing w:after="50" w:line="264"/>
      </w:pPr>
      <w:r>
        <w:rPr>
          <w:rFonts w:ascii="Arial" w:cs="Arial" w:eastAsia="Arial" w:hAnsi="Arial"/>
          <w:color w:val="2D3748"/>
          <w:sz w:val="20"/>
          <w:szCs w:val="20"/>
        </w:rPr>
        <w:t xml:space="preserve">Saul Van Beurden appointed Head of AI; Faraz Shafiq hired as Head of AI Products &amp; Solutions—institutional commitment signals AI as strategic priority, but also raises execution and transition risk</w:t>
      </w:r>
    </w:p>
    <w:p>
      <w:pPr>
        <w:spacing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A7CA5" w:sz="2"/>
              <w:left w:val="none" w:sz="0"/>
              <w:bottom w:val="single" w:color="3A7CA5" w:sz="2"/>
              <w:right w:val="none" w:sz="0"/>
            </w:tcBorders>
            <w:tcMar>
              <w:top w:type="dxa" w:w="120"/>
              <w:left w:type="dxa" w:w="200"/>
              <w:bottom w:type="dxa" w:w="120"/>
              <w:right w:type="dxa" w:w="200"/>
            </w:tcMar>
          </w:tcPr>
          <w:p>
            <w:pPr>
              <w:jc w:val="center"/>
            </w:pPr>
            <w:r>
              <w:rPr>
                <w:rFonts w:ascii="Arial" w:cs="Arial" w:eastAsia="Arial" w:hAnsi="Arial"/>
                <w:i/>
                <w:iCs/>
                <w:color w:val="4A5568"/>
                <w:sz w:val="15"/>
                <w:szCs w:val="15"/>
              </w:rPr>
              <w:t xml:space="preserve">Data Sources: NVIDIA Q3 FY2026 Earnings (Nov 2025), Broadcom FQ4 FY2025 Earnings (Dec 2025), CreditSights Hyperscaler Capex 2026 (Nov 2025), IEEE/ComSoc (Dec 2025), Goldman Sachs AI Capex Outlook, Mellon AI Debt Report (2025), Morningstar 2026 Global Outlook, BlackRock 2026 Outlook, Vanguard VEMO 2026, Wells Fargo Newsroom (Nov 2025–Jan 2026), Bank of America Hyperscaler Research (Oct 2025), S&amp;P Global Market Intelligence, Company 10-K/10-Q filings, Schwab Q4 Earnings Preview (Jan 2026)</w:t>
            </w:r>
          </w:p>
        </w:tc>
      </w:tr>
    </w:tbl>
    <w:sectPr>
      <w:headerReference w:type="default" r:id="rId6"/>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4"/>
        <w:szCs w:val="14"/>
      </w:rPr>
      <w:t xml:space="preserve">Page </w:t>
    </w:r>
    <w:r>
      <w:rPr>
        <w:rFonts w:ascii="Arial" w:cs="Arial" w:eastAsia="Arial" w:hAnsi="Arial"/>
        <w:color w:val="4A556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4"/>
        <w:szCs w:val="14"/>
      </w:rPr>
      <w:t xml:space="preserve">AI Exposure Universe | CIB Market Risk Analytics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2026-02-06T21:06:10.620Z</dcterms:created>
  <dcterms:modified xsi:type="dcterms:W3CDTF">2026-02-06T21:06:10.621Z</dcterms:modified>
</cp:coreProperties>
</file>

<file path=docProps/custom.xml><?xml version="1.0" encoding="utf-8"?>
<Properties xmlns="http://schemas.openxmlformats.org/officeDocument/2006/custom-properties" xmlns:vt="http://schemas.openxmlformats.org/officeDocument/2006/docPropsVTypes"/>
</file>