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b/>
          <w:bCs/>
          <w:color w:val="1F4E79"/>
          <w:sz w:val="56"/>
          <w:szCs w:val="56"/>
        </w:rPr>
        <w:t xml:space="preserve">CRO RISK INTELLIGENCE BRIEF</w:t>
      </w:r>
    </w:p>
    <w:p>
      <w:pPr>
        <w:spacing w:after="600"/>
        <w:jc w:val="center"/>
      </w:pPr>
      <w:r>
        <w:rPr>
          <w:i/>
          <w:iCs/>
          <w:color w:val="404040"/>
          <w:sz w:val="32"/>
          <w:szCs w:val="32"/>
        </w:rPr>
        <w:t xml:space="preserve">Weekly Risk Assessment and Strategic Outlook</w:t>
      </w:r>
    </w:p>
    <w:p>
      <w:pPr>
        <w:spacing w:after="200"/>
        <w:jc w:val="center"/>
      </w:pPr>
      <w:r>
        <w:rPr>
          <w:b/>
          <w:bCs/>
          <w:sz w:val="28"/>
          <w:szCs w:val="28"/>
        </w:rPr>
        <w:t xml:space="preserve">Report Date: February 4, 2026</w:t>
      </w:r>
    </w:p>
    <w:p>
      <w:pPr>
        <w:spacing w:after="600"/>
        <w:jc w:val="center"/>
      </w:pPr>
      <w:r>
        <w:rPr>
          <w:b/>
          <w:bCs/>
          <w:color w:val="C00000"/>
          <w:sz w:val="24"/>
          <w:szCs w:val="24"/>
        </w:rPr>
        <w:t xml:space="preserve">Classification: STRICTLY CONFIDENTIAL</w:t>
      </w:r>
    </w:p>
    <w:p>
      <w:pPr>
        <w:spacing w:after="100"/>
        <w:jc w:val="center"/>
      </w:pPr>
      <w:r>
        <w:rPr>
          <w:sz w:val="22"/>
          <w:szCs w:val="22"/>
        </w:rPr>
        <w:t xml:space="preserve">Prepared for: Chief Risk Officer and Risk Committee</w:t>
      </w:r>
    </w:p>
    <w:p>
      <w:pPr>
        <w:spacing w:after="600"/>
        <w:jc w:val="center"/>
      </w:pPr>
      <w:r>
        <w:rPr>
          <w:sz w:val="22"/>
          <w:szCs w:val="22"/>
        </w:rPr>
        <w:t xml:space="preserve">Distribution: Executive Management, Board Risk Committee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I: EXECUTIVE SUMMARY</w:t>
      </w:r>
    </w:p>
    <w:p>
      <w:pPr>
        <w:pStyle w:val="Heading2"/>
      </w:pPr>
      <w:r>
        <w:t xml:space="preserve">Overall Risk Posture</w:t>
      </w:r>
    </w:p>
    <w:p>
      <w:pPr>
        <w:spacing w:after="200"/>
      </w:pPr>
      <w:r>
        <w:t xml:space="preserve">The global risk environment has shifted to </w:t>
      </w:r>
      <w:r>
        <w:rPr>
          <w:b/>
          <w:bCs/>
          <w:color w:val="C00000"/>
        </w:rPr>
        <w:t xml:space="preserve">CAUTIOUS/DEFENSIVE</w:t>
      </w:r>
      <w:r>
        <w:t xml:space="preserve"> as we enter February 2026, driven by an unusual confluence of policy uncertainty, elevated valuations, and geopolitical tensions that have intensified over the past week. The dominant theme across all risk stripes is the tension between resilient economic fundamentals and fragile market structures—credit spreads remain at multi-decade tights (HY OAS at 2.9%, near the 2007 low of 2.4%) while the equity risk premium has collapsed to effectively zero, leaving virtually no margin of safety should conditions deteriorate. The nomination of Kevin Warsh as Fed Chair has injected monetary policy uncertainty at a critical juncture, the US-Iran military brinkmanship briefly spiked Brent crude to $71 before diplomatic overtures triggered a 5% correction, and the Russia-Ukraine conflict continues to strain European energy security with the largest attack on Ukrainian infrastructure since 2026 began. What keeps us awake is the combination of historically tight risk premia, the approaching CRE refinancing wall of $936 billion in 2026, and the potential for any of several geopolitical flashpoints to trigger a rapid repricing of risk assets in markets that have become conditioned to expect perpetual central bank support. Our recommended posture is to reduce risk in illiquid credit, maintain equity underweights, build liquidity buffers, and stress-test counterparty exposures against a scenario where multiple risk factors crystallize simultaneously.</w:t>
      </w:r>
    </w:p>
    <w:p>
      <w:pPr>
        <w:pStyle w:val="Heading2"/>
      </w:pPr>
      <w:r>
        <w:t xml:space="preserve">Top 5 Priority Risks (Across All Stripes)</w:t>
      </w:r>
    </w:p>
    <w:p>
      <w:pPr>
        <w:spacing w:before="200"/>
      </w:pPr>
      <w:r>
        <w:rPr>
          <w:b/>
          <w:bCs/>
        </w:rPr>
        <w:t xml:space="preserve">1. Equity Valuation/Risk Premium Compression (Market Risk)</w:t>
      </w:r>
    </w:p>
    <w:p>
      <w:pPr>
        <w:spacing w:after="200"/>
      </w:pPr>
      <w:r>
        <w:t xml:space="preserve">The S&amp;P 500 trades at a forward P/E of 22.2x with an equity risk premium of just 0.02%—among the lowest on record and effectively offering no compensation for equity risk versus risk-free Treasuries yielding 4.29%. This matters now because Q4 earnings season, while showing 75% beat rates, is delivering narrower surprise margins than historical averages, and the market has already priced in 15% earnings growth for 2026. </w:t>
      </w:r>
      <w:r>
        <w:rPr>
          <w:b/>
          <w:bCs/>
        </w:rPr>
        <w:t xml:space="preserve">Probability: 45% of meaningful correction (&gt;10%). Impact: -8% to -15% on equity portfolios. Velocity: Days to weeks.</w:t>
      </w:r>
      <w:r>
        <w:t xml:space="preserve"> Recommended response: Reduce equity beta, implement systematic tail hedges via put spreads, and re-underwrite concentrated technology exposures.</w:t>
      </w:r>
    </w:p>
    <w:p>
      <w:r>
        <w:rPr>
          <w:b/>
          <w:bCs/>
        </w:rPr>
        <w:t xml:space="preserve">2. Commercial Real Estate Refinancing Wall (Credit Risk)</w:t>
      </w:r>
    </w:p>
    <w:p>
      <w:pPr>
        <w:spacing w:after="200"/>
      </w:pPr>
      <w:r>
        <w:t xml:space="preserve">An estimated $936 billion in commercial mortgages mature in 2026, following the heavy 2025 wave, with office vacancy rates persisting at 18.7% nationally and 23% in many major markets. Among office CMBS loans maturing before 2026 that still have balances outstanding, 83.7% show delinquencies and 92.7% require special servicing. The "extend and pretend" strategy has bought time, but borrowers who locked in 3-4% financing are now facing refinance rates nearly double, creating capital gaps of 15-20% of property values. </w:t>
      </w:r>
      <w:r>
        <w:rPr>
          <w:b/>
          <w:bCs/>
        </w:rPr>
        <w:t xml:space="preserve">Probability: 70% of elevated distress continuing. Impact: $50-100M in potential credit losses depending on CRE concentration. Velocity: Quarters.</w:t>
      </w:r>
      <w:r>
        <w:t xml:space="preserve"> Recommended response: Complete granular review of all CRE exposures, stress-test at 25% additional valuation decline, accelerate problem asset identification.</w:t>
      </w:r>
    </w:p>
    <w:p>
      <w:r>
        <w:rPr>
          <w:b/>
          <w:bCs/>
        </w:rPr>
        <w:t xml:space="preserve">3. Federal Reserve Leadership Transition (Policy/Market Risk)</w:t>
      </w:r>
    </w:p>
    <w:p>
      <w:pPr>
        <w:spacing w:after="200"/>
      </w:pPr>
      <w:r>
        <w:t xml:space="preserve">Fed Chairman Powell's term expires in May 2026, and President Trump's nomination of Kevin Warsh has created uncertainty about monetary policy direction. Markets reacted with a dollar rally to 97.5 on the DXY and equity volatility, as Warsh is perceived as potentially less accommodative than alternatives. The Fed held rates at 3.50-3.75% in January after three cuts in 2025, and markets now price less than 50bps of cuts for 2026—but a new Chair could accelerate or reverse this trajectory. </w:t>
      </w:r>
      <w:r>
        <w:rPr>
          <w:b/>
          <w:bCs/>
        </w:rPr>
        <w:t xml:space="preserve">Probability: 65% of policy continuity, 35% of meaningful shift. Impact: 50-100bps swing in rate expectations, significant FX and rates volatility. Velocity: Weeks to months.</w:t>
      </w:r>
      <w:r>
        <w:t xml:space="preserve"> Recommended response: Stress-test portfolios under hawkish surprise scenario, review duration positioning, monitor confirmation hearings.</w:t>
      </w:r>
    </w:p>
    <w:p>
      <w:r>
        <w:rPr>
          <w:b/>
          <w:bCs/>
        </w:rPr>
        <w:t xml:space="preserve">4. Geopolitical Flashpoints—Iran/Middle East and Russia-Ukraine (Operational/Market Risk)</w:t>
      </w:r>
    </w:p>
    <w:p>
      <w:pPr>
        <w:spacing w:after="200"/>
      </w:pPr>
      <w:r>
        <w:t xml:space="preserve">Multiple geopolitical risks remain elevated. The US-Iran confrontation briefly spiked oil to $71/bbl on February 2 before diplomatic talks de-escalated the situation. Russia launched the most powerful attack of 2026 on Ukrainian energy infrastructure, deploying 450 drones and 60+ missiles, leaving Ukraine's energy system meeting only 60% of demand. A Trump-Zelenskyy-Putin negotiation process is underway with talks scheduled in Abu Dhabi, but outcomes remain uncertain. </w:t>
      </w:r>
      <w:r>
        <w:rPr>
          <w:b/>
          <w:bCs/>
        </w:rPr>
        <w:t xml:space="preserve">Probability: 30% of significant escalation in either theater within 90 days. Impact: Oil spike to $85-100, flight-to-quality rally, operational disruptions in affected regions. Velocity: Hours to days for initial impact.</w:t>
      </w:r>
      <w:r>
        <w:t xml:space="preserve"> Recommended response: Review counterparty exposures to affected regions, ensure sanctions compliance procedures are current, stress-test commodity exposures.</w:t>
      </w:r>
    </w:p>
    <w:p>
      <w:r>
        <w:rPr>
          <w:b/>
          <w:bCs/>
        </w:rPr>
        <w:t xml:space="preserve">5. Cyber/Operational Risk Escalation (Operational Risk)</w:t>
      </w:r>
    </w:p>
    <w:p>
      <w:pPr>
        <w:spacing w:after="200"/>
      </w:pPr>
      <w:r>
        <w:t xml:space="preserve">Fifty-two percent of bankers surveyed predict cybersecurity attacks will become more frequent and harder-hitting in 2026, with AI-powered attacks enabling autonomous fraud agents, sophisticated deepfakes, and supply chain compromises. The financial sector faces $6.08M average breach costs (22% above average), and 64% of institutions experienced ransomware attacks in 2024. The emergence of data integrity attacks—subtle alterations to financial data for operational leverage rather than immediate ransom—represents an evolving threat vector. </w:t>
      </w:r>
      <w:r>
        <w:rPr>
          <w:b/>
          <w:bCs/>
        </w:rPr>
        <w:t xml:space="preserve">Probability: 60% of material incident industry-wide within 12 months. Impact: Direct costs $5-20M, reputational damage potentially larger. Velocity: Hours for incident, weeks to months for remediation.</w:t>
      </w:r>
      <w:r>
        <w:t xml:space="preserve"> Recommended response: Accelerate third-party vendor security assessments, enhance detection capabilities for AI-generated fraud, test incident response protocols.</w:t>
      </w:r>
    </w:p>
    <w:p>
      <w:pPr>
        <w:pStyle w:val="Heading2"/>
      </w:pPr>
      <w:r>
        <w:t xml:space="preserve">Top 3 Opportunities</w:t>
      </w:r>
    </w:p>
    <w:p>
      <w:pPr>
        <w:spacing w:after="200"/>
      </w:pPr>
      <w:r>
        <w:t xml:space="preserve">Despite the elevated risk environment, three significant opportunities merit consideration. </w:t>
      </w:r>
      <w:r>
        <w:rPr>
          <w:b/>
          <w:bCs/>
        </w:rPr>
        <w:t xml:space="preserve">First</w:t>
      </w:r>
      <w:r>
        <w:t xml:space="preserve">, the gold market's sharp correction—falling from record highs above $5,000 to the $4,900 range—offers a tactical entry point for portfolio hedging, with JP Morgan maintaining a $6,300 year-end target representing 30% upside; precious metals remain the clearest beneficiary of continued policy uncertainty and fiscal concerns. </w:t>
      </w:r>
      <w:r>
        <w:rPr>
          <w:b/>
          <w:bCs/>
        </w:rPr>
        <w:t xml:space="preserve">Second</w:t>
      </w:r>
      <w:r>
        <w:t xml:space="preserve">, investment-grade corporate credit offers attractive all-in yields near the upper end of their 15-year range while maintaining relatively modest default risk; the up-in-quality rotation makes IG an attractive carry opportunity relative to the tight-spread/elevated-default-risk dynamic in high yield. </w:t>
      </w:r>
      <w:r>
        <w:rPr>
          <w:b/>
          <w:bCs/>
        </w:rPr>
        <w:t xml:space="preserve">Third</w:t>
      </w:r>
      <w:r>
        <w:t xml:space="preserve">, select CRE distressed opportunities are emerging as the refinancing wall forces capitulation—distressed CRE volume reached $126.6 billion in Q3 2025, up 18% year-over-year, with multifamily now comprising 18% of distress; well-capitalized players with workout expertise may find attractive risk-adjusted returns in assets being sold by distressed sponsors.</w:t>
      </w:r>
    </w:p>
    <w:p>
      <w:pPr>
        <w:pStyle w:val="Heading2"/>
      </w:pPr>
      <w:r>
        <w:t xml:space="preserve">Key Dates: Next 2 Weeks</w:t>
      </w:r>
    </w:p>
    <w:p>
      <w:pPr>
        <w:spacing w:after="200"/>
      </w:pPr>
      <w:r>
        <w:t xml:space="preserve">The next two weeks present a dense calendar of potentially market-moving events. </w:t>
      </w:r>
      <w:r>
        <w:rPr>
          <w:b/>
          <w:bCs/>
        </w:rPr>
        <w:t xml:space="preserve">February 5-7:</w:t>
      </w:r>
      <w:r>
        <w:t xml:space="preserve"> US-Russia-Ukraine trilateral talks in Abu Dhabi could produce breakthrough or breakdown; January jobs report (delayed by government shutdown) expected upon release. </w:t>
      </w:r>
      <w:r>
        <w:rPr>
          <w:b/>
          <w:bCs/>
        </w:rPr>
        <w:t xml:space="preserve">February 8:</w:t>
      </w:r>
      <w:r>
        <w:t xml:space="preserve"> Japan snap election—outcome affects BOJ policy trajectory with rates at 30-year highs of 0.75%. </w:t>
      </w:r>
      <w:r>
        <w:rPr>
          <w:b/>
          <w:bCs/>
        </w:rPr>
        <w:t xml:space="preserve">February 10-14:</w:t>
      </w:r>
      <w:r>
        <w:t xml:space="preserve"> Heavy earnings week with major financials and tech reporting; CPI release will test the "tariffs are transitory" narrative. </w:t>
      </w:r>
      <w:r>
        <w:rPr>
          <w:b/>
          <w:bCs/>
        </w:rPr>
        <w:t xml:space="preserve">February 18:</w:t>
      </w:r>
      <w:r>
        <w:t xml:space="preserve"> Treasury refunding announcement—market scrutiny of auction sizes amid elevated yields. Our positioning should anticipate volatility around the Abu Dhabi talks and the Japan election, with downside hedges in place for any negative surprise on inflation data.</w:t>
      </w:r>
    </w:p>
    <w:p>
      <w:r>
        <w:br w:type="page"/>
      </w:r>
    </w:p>
    <w:p>
      <w:pPr>
        <w:pStyle w:val="Heading1"/>
      </w:pPr>
      <w:r>
        <w:t xml:space="preserve">SECTION II: MARKET RISK</w:t>
      </w:r>
    </w:p>
    <w:p>
      <w:pPr>
        <w:pStyle w:val="Heading2"/>
      </w:pPr>
      <w:r>
        <w:t xml:space="preserve">II.A Current Regime Classification</w:t>
      </w:r>
    </w:p>
    <w:p>
      <w:pPr>
        <w:spacing w:after="160"/>
      </w:pPr>
      <w:r>
        <w:t xml:space="preserve">We assess the current economic regime as </w:t>
      </w:r>
      <w:r>
        <w:rPr>
          <w:b/>
          <w:bCs/>
        </w:rPr>
        <w:t xml:space="preserve">late-cycle expansion with elevated recession risk</w:t>
      </w:r>
      <w:r>
        <w:t xml:space="preserve">. US GDP grew 1.8% in 2025, decelerating from 2024 as tariff impacts, higher-for-longer rates, and the cumulative effect of tighter financial conditions weighed on activity. The dominant macro narrative has shifted from "soft landing achieved" to "how long can resilience persist?" as policy uncertainty—trade, monetary, fiscal—creates a fog that makes forecasting unusually difficult.</w:t>
      </w:r>
    </w:p>
    <w:p>
      <w:pPr>
        <w:spacing w:after="160"/>
      </w:pPr>
      <w:r>
        <w:t xml:space="preserve">Key uncertainties cluster around three axes. First, the impact of the 47.5% average tariff on Chinese goods and elevated tariffs on other trading partners remains imperfectly understood—goods inflation has ticked higher, but whether this is transitory (as Chair Powell suggests) or persistent remains contested. Second, the Federal Reserve leadership transition creates uncertainty about the reaction function—will Warsh maintain the current data-dependent approach, or shift to a more hawkish or dovish stance? Third, the "Sell America" trade that drove the DXY down 9.4% in 2025 may reverse if US growth outperforms or may accelerate if fiscal concerns intensify.</w:t>
      </w:r>
    </w:p>
    <w:p>
      <w:pPr>
        <w:spacing w:after="200"/>
      </w:pPr>
      <w:r>
        <w:t xml:space="preserve">Regime transition probabilities: We assign 55% probability to continued expansion through 2026, 30% to mild recession (1-2 quarters of negative growth), and 15% to more severe downturn. The expansion scenario assumes tariff impacts are largely absorbed, the Fed delivers one additional cut, and geopolitical risks do not materialize into supply shocks. The recession scenarios are triggered by either a financial accident (CRE cascade, counterparty failure) or a geopolitical shock that disrupts supply chains or commodity flows. </w:t>
      </w:r>
      <w:r>
        <w:rPr>
          <w:b/>
          <w:bCs/>
          <w:i/>
          <w:iCs/>
        </w:rPr>
        <w:t xml:space="preserve">Contrarian check:</w:t>
      </w:r>
      <w:r>
        <w:rPr>
          <w:i/>
          <w:iCs/>
        </w:rPr>
        <w:t xml:space="preserve"> Consensus may be underestimating the resilience of the US consumer and the ability of corporations to pass through tariff costs; the doom-loop of "higher rates cause recession" has been predicted for three years without materializing.</w:t>
      </w:r>
    </w:p>
    <w:p>
      <w:pPr>
        <w:pStyle w:val="Heading2"/>
      </w:pPr>
      <w:r>
        <w:t xml:space="preserve">II.B Central Bank &amp; Policy Trajectories</w:t>
      </w:r>
    </w:p>
    <w:p>
      <w:pPr>
        <w:spacing w:after="160"/>
      </w:pPr>
      <w:r>
        <w:rPr>
          <w:b/>
          <w:bCs/>
        </w:rPr>
        <w:t xml:space="preserve">Federal Reserve:</w:t>
      </w:r>
      <w:r>
        <w:t xml:space="preserve"> The Fed held rates at 3.50-3.75% in January following three 25bp cuts in 2025, signaling a "good place" where neither hikes nor cuts are urgent. Chair Powell characterized the tariff-driven inflation uptick as likely transitory, and noted that inflation risks are "diminished" even as headline remains above the 2% target. Market pricing implies slightly less than 50bps of cuts in 2026, potentially in June and October. The wild card is the Warsh nomination—if confirmed, his first meeting would likely be in June or July, and any early policy signals will be scrutinized intensely. Key data triggers: Core PCE above 3% would challenge the "transitory" narrative; unemployment rising above 4.5% would accelerate cut expectations.</w:t>
      </w:r>
    </w:p>
    <w:p>
      <w:pPr>
        <w:spacing w:after="160"/>
      </w:pPr>
      <w:r>
        <w:rPr>
          <w:b/>
          <w:bCs/>
        </w:rPr>
        <w:t xml:space="preserve">European Central Bank:</w:t>
      </w:r>
      <w:r>
        <w:t xml:space="preserve"> The ECB has held rates steady at 2.00% (deposit facility) since June 2025, completing its normalization cycle. President Lagarde has emphasized the "good position" of current policy, and markets have priced out any additional cuts in 2026. Staff projections show inflation averaging 1.9% in 2026 and growth at 1.2%—a "goldilocks" scenario that justifies the hold. Policy divergence with the Fed has narrowed to just 25bps, contributing to euro strength and dollar weakness. Risk scenario: Tariff escalation affecting European exports could force an unexpected easing, while a Trump-induced NATO funding crisis could inject political risk premium into European assets.</w:t>
      </w:r>
    </w:p>
    <w:p>
      <w:pPr>
        <w:spacing w:after="160"/>
      </w:pPr>
      <w:r>
        <w:rPr>
          <w:b/>
          <w:bCs/>
        </w:rPr>
        <w:t xml:space="preserve">Bank of Japan:</w:t>
      </w:r>
      <w:r>
        <w:t xml:space="preserve"> The BOJ raised rates to 0.75% in December—the highest level since 1995—and held in January ahead of the February 8 snap election. The January meeting summary revealed growing urgency around "timely" rate hikes as yen weakness (down 4.6% since October) threatens to push up imported inflation. Board member Takata proposed hiking to 1% but was voted down 8-1. Base case: one additional hike in 2026 to 1.00%, with a terminal rate of 1.25-1.75%. The JGB market has experienced historic volatility, with 40-year yields breaching 4% for the first time since 2007. Risk scenario: Yen breach of 160 could trigger emergency hike as early as April.</w:t>
      </w:r>
    </w:p>
    <w:p>
      <w:pPr>
        <w:spacing w:after="200"/>
      </w:pPr>
      <w:r>
        <w:rPr>
          <w:b/>
          <w:bCs/>
        </w:rPr>
        <w:t xml:space="preserve">Policy Divergence Implications:</w:t>
      </w:r>
      <w:r>
        <w:t xml:space="preserve"> The narrowing Fed-ECB spread has supported EURUSD above 1.10, while continued BOJ normalization has created significant JGB volatility that rippled into global fixed income markets in January. Carry trades remain attractive (short JPY/long MXN, for example), but are vulnerable to risk-off episodes that trigger rapid yen appreciation. The key vulnerability is a synchronized hawkish surprise across DM central banks, which could reprice global duration simultaneously.</w:t>
      </w:r>
    </w:p>
    <w:p>
      <w:pPr>
        <w:pStyle w:val="Heading2"/>
      </w:pPr>
      <w:r>
        <w:t xml:space="preserve">II.C Cross-Asset Dashboard</w:t>
      </w:r>
    </w:p>
    <w:p>
      <w:pPr>
        <w:pStyle w:val="Heading3"/>
      </w:pPr>
      <w:r>
        <w:t xml:space="preserve">Rates</w:t>
      </w:r>
    </w:p>
    <w:p>
      <w:pPr>
        <w:spacing w:after="160"/>
      </w:pPr>
      <w:r>
        <w:t xml:space="preserve">The US 10-year Treasury yield stands at 4.29%, little changed since November as stable domestic fixed income markets absorbed the January BOJ-induced volatility. The yield curve remains modestly inverted in the 2s10s segment but has steepened from the deep inversions of 2023-24, consistent with growth expectations normalizing. Real yields (10-year TIPS) remain firmly positive around 2%, providing genuine competition to risk assets. Treasury auction demand has been adequate but not robust, with foreign participation declining as central bank reserve diversification continues. The MOVE index of Treasury volatility has moderated from October peaks but remains elevated relative to pre-pandemic norms.</w:t>
      </w:r>
    </w:p>
    <w:p>
      <w:pPr>
        <w:spacing w:after="200"/>
      </w:pPr>
      <w:r>
        <w:rPr>
          <w:b/>
          <w:bCs/>
        </w:rPr>
        <w:t xml:space="preserve">Our view:</w:t>
      </w:r>
      <w:r>
        <w:t xml:space="preserve"> Rates are likely to remain rangebound (4.00-4.50% on the 10-year) absent a significant growth shock in either direction. Duration positioning should be neutral with a modest tactical short bias given the skew of risks to the upside in yields should tariff inflation prove stickier than expected. Oppenheimer's year-end forecast of 4.00-4.25% appears achievable but requires the Fed to deliver on cut expectations.</w:t>
      </w:r>
    </w:p>
    <w:p>
      <w:pPr>
        <w:pStyle w:val="Heading3"/>
      </w:pPr>
      <w:r>
        <w:t xml:space="preserve">Credit</w:t>
      </w:r>
    </w:p>
    <w:p>
      <w:pPr>
        <w:spacing w:after="160"/>
      </w:pPr>
      <w:r>
        <w:t xml:space="preserve">Credit spreads remain exceptionally tight, with the Bloomberg US Corporate High-Yield Index OAS at 2.9%—within 50bps of the all-time 2007 low and in the tightest 5% of readings over 25 years. Investment-grade spreads are similarly compressed. The default rate picture is mixed: S&amp;P's trailing 12-month speculative-grade default rate is 4.8%, while Moody's leveraged loan default rate is 5.9%—both above long-term averages but not accelerating dramatically. Recent bankruptcies including First Brands and Tricolor highlight risks in weaker underwriting vintages, particularly the 2020-2021 "easy money" cohort now facing refinancing at materially higher rates.</w:t>
      </w:r>
    </w:p>
    <w:p>
      <w:pPr>
        <w:spacing w:after="200"/>
      </w:pPr>
      <w:r>
        <w:rPr>
          <w:b/>
          <w:bCs/>
        </w:rPr>
        <w:t xml:space="preserve">Our view:</w:t>
      </w:r>
      <w:r>
        <w:t xml:space="preserve"> The risk-reward in high yield is unfavorable—spreads have limited room to compress but significant room to widen, while default risk remains elevated. We maintain an "up-in-quality" stance, favoring IG credit where all-in yields near the upper end of their 15-year range offer attractive carry without excessive default risk. Within HY, focus on BB-rated credits with near-term maturities and strong coverage ratios. Avoid CCC/distressed absent specific special situation thesis. </w:t>
      </w:r>
      <w:r>
        <w:rPr>
          <w:b/>
          <w:bCs/>
          <w:i/>
          <w:iCs/>
        </w:rPr>
        <w:t xml:space="preserve">Contrarian check:</w:t>
      </w:r>
      <w:r>
        <w:rPr>
          <w:i/>
          <w:iCs/>
        </w:rPr>
        <w:t xml:space="preserve"> Persistent institutional demand and limited net new supply could keep spreads tight longer than fundamentals justify.</w:t>
      </w:r>
    </w:p>
    <w:p>
      <w:pPr>
        <w:pStyle w:val="Heading3"/>
      </w:pPr>
      <w:r>
        <w:t xml:space="preserve">Equities</w:t>
      </w:r>
    </w:p>
    <w:p>
      <w:pPr>
        <w:spacing w:after="160"/>
      </w:pPr>
      <w:r>
        <w:t xml:space="preserve">The S&amp;P 500 is up 16% over the past year, trading at a forward P/E of 22.2x versus the 10-year average of 18.8x. The equity risk premium—the spread between the S&amp;P 500 earnings yield and the 10-year Treasury—has collapsed to just 0.02%, among the lowest readings on record. This near-parity means investors are receiving essentially no compensation for equity risk versus risk-free alternatives. Q4 earnings season shows 75% beat rates, below historical averages, with profit growth strong but narrowing surprise margins suggesting the bar has been raised. Wall Street consensus projects S&amp;P 500 EPS of $306 in 2026 (+12.5% YoY), with year-end targets ranging from BofA's conservative 7,100 to Deutsche Bank's aggressive 8,000.</w:t>
      </w:r>
    </w:p>
    <w:p>
      <w:pPr>
        <w:spacing w:after="160"/>
      </w:pPr>
      <w:r>
        <w:t xml:space="preserve">The VIX at 15-17 is near multi-year lows, indicating complacency, though the index has ranged as high as 60.13 in April 2025 (the tariff shock). Market breadth has narrowed, with mega-cap technology continuing to drive index performance. 0DTE options activity remains elevated, creating potential for gamma-driven volatility in either direction.</w:t>
      </w:r>
    </w:p>
    <w:p>
      <w:pPr>
        <w:spacing w:after="200"/>
      </w:pPr>
      <w:r>
        <w:rPr>
          <w:b/>
          <w:bCs/>
        </w:rPr>
        <w:t xml:space="preserve">Our view:</w:t>
      </w:r>
      <w:r>
        <w:t xml:space="preserve"> Equities are priced for perfection and vulnerable to disappointment on either growth or rates. At current valuations, stocks don't need a crisis to fall—they only need disappointment. We maintain a modest underweight with downside hedges via put spreads on major indices. Focus on quality factors (strong balance sheets, pricing power, consistent earnings) over momentum. The first half of 2026 could bring a correction if bond yields rise sharply or if earnings fail to deliver on elevated expectations.</w:t>
      </w:r>
    </w:p>
    <w:p>
      <w:pPr>
        <w:pStyle w:val="Heading3"/>
      </w:pPr>
      <w:r>
        <w:t xml:space="preserve">FX</w:t>
      </w:r>
    </w:p>
    <w:p>
      <w:pPr>
        <w:spacing w:after="160"/>
      </w:pPr>
      <w:r>
        <w:t xml:space="preserve">The US Dollar Index (DXY) stands at 97.5, down 9.35% over the past 12 months in one of the more significant dollar bear markets in recent history. The "Sell America" trade of 2025 reflected capital outflows from Treasuries and equities amid fiscal concerns, with the US-Europe rate spread narrowing to just 25bps. The dollar rallied modestly in recent sessions on the Warsh nomination and strong manufacturing data, but remains near multi-year lows. EURUSD holds above 1.10 on ECB stability, while USDJPY has stabilized around 145-150 as BOJ normalization offsets dollar weakness. EM FX has been mixed, with commodity exporters outperforming importers as energy prices remain volatile.</w:t>
      </w:r>
    </w:p>
    <w:p>
      <w:pPr>
        <w:spacing w:after="200"/>
      </w:pPr>
      <w:r>
        <w:rPr>
          <w:b/>
          <w:bCs/>
        </w:rPr>
        <w:t xml:space="preserve">Our view:</w:t>
      </w:r>
      <w:r>
        <w:t xml:space="preserve"> The dollar is weaker but resilient, with most forecasts clustering toward year-end DXY in the low 90s. Upside dollar risk exists if US growth surprises or if risk-off sentiment drives safe-haven demand. Downside risk resumes if fiscal concerns intensify or if the Fed cuts more than expected. JPY carries intervention risk if USDJPY approaches 160. Hedge non-USD exposures tactically; avoid structural short-dollar positioning at current levels.</w:t>
      </w:r>
    </w:p>
    <w:p>
      <w:pPr>
        <w:pStyle w:val="Heading3"/>
      </w:pPr>
      <w:r>
        <w:t xml:space="preserve">Commodities</w:t>
      </w:r>
    </w:p>
    <w:p>
      <w:pPr>
        <w:spacing w:after="160"/>
      </w:pPr>
      <w:r>
        <w:rPr>
          <w:b/>
          <w:bCs/>
        </w:rPr>
        <w:t xml:space="preserve">Energy:</w:t>
      </w:r>
      <w:r>
        <w:t xml:space="preserve"> Brent crude trades around $66.5/bbl after extraordinary volatility—spiking to $71 on February 2 during US-Iran military brinkmanship before correcting 5% as diplomatic talks defused tensions. The EIA forecasts Brent to average $56/bbl in 2026, 19% below 2025, as global production exceeds demand and inventories build. OPEC+ has paused monthly output increases through Q1 and will decide March 1 whether to resume. The key swing factor is geopolitical risk premium—a serious Middle East escalation could rapidly return prices to $85-100, while continued de-escalation supports the bearish supply/demand fundamentals. US crude production is forecast to decline slightly from the 2025 record of 13.6 million b/d as lower prices slow drilling activity.</w:t>
      </w:r>
    </w:p>
    <w:p>
      <w:pPr>
        <w:spacing w:after="160"/>
      </w:pPr>
      <w:r>
        <w:rPr>
          <w:b/>
          <w:bCs/>
        </w:rPr>
        <w:t xml:space="preserve">Precious Metals:</w:t>
      </w:r>
      <w:r>
        <w:t xml:space="preserve"> Gold has been the standout asset, nearly doubling from Trump's inauguration through January 2026 to breach $5,000/oz before correcting to the $4,900 range. The correction was triggered by dollar strength post-Warsh nomination and position trimming. JP Morgan maintains a $6,300 year-end target (30% upside), citing persistent thematic drivers including Fed cuts, fiscal concerns, and central bank diversification. Gold remains the clearest hedge against policy uncertainty and the "Sell America" thesis. Silver has been more volatile, up 145% in 2025 before recent correction, with industrial demand providing support alongside precious metal dynamics.</w:t>
      </w:r>
    </w:p>
    <w:p>
      <w:pPr>
        <w:spacing w:after="200"/>
      </w:pPr>
      <w:r>
        <w:rPr>
          <w:b/>
          <w:bCs/>
        </w:rPr>
        <w:t xml:space="preserve">Our view:</w:t>
      </w:r>
      <w:r>
        <w:t xml:space="preserve"> Maintain modest long gold allocation as portfolio hedge; the correction offers tactical entry opportunity. Energy positioning should be neutral with upside protection via call spreads given geopolitical tail risk. Base metals (copper, aluminum) offer selective opportunity on China stimulus measures and energy transition demand, but near-term demand outlook is uncertain.</w:t>
      </w:r>
    </w:p>
    <w:p>
      <w:pPr>
        <w:pStyle w:val="Heading2"/>
      </w:pPr>
      <w:r>
        <w:t xml:space="preserve">II.D Liquidity &amp; Market Structure</w:t>
      </w:r>
    </w:p>
    <w:p>
      <w:pPr>
        <w:spacing w:after="160"/>
      </w:pPr>
      <w:r>
        <w:rPr>
          <w:b/>
          <w:bCs/>
        </w:rPr>
        <w:t xml:space="preserve">Funding Markets:</w:t>
      </w:r>
      <w:r>
        <w:t xml:space="preserve"> Borrowing from the Federal Reserve's Standing Repo Facility surged to over $15 billion in just two days recently—the highest since COVID—signaling short-term liquidity strains at some institutions amid deposit outflows and volatile money markets. This spike warrants monitoring but does not yet indicate systemic stress. FX swap basis has been stable, and commercial paper markets are functioning normally. The partial government shutdown created temporary uncertainty around settlement systems, though the budget resolution has restored normal operations.</w:t>
      </w:r>
    </w:p>
    <w:p>
      <w:pPr>
        <w:spacing w:after="160"/>
      </w:pPr>
      <w:r>
        <w:rPr>
          <w:b/>
          <w:bCs/>
        </w:rPr>
        <w:t xml:space="preserve">Treasury Market Functioning:</w:t>
      </w:r>
      <w:r>
        <w:t xml:space="preserve"> Market depth in Treasuries remains below pre-pandemic levels, with dealer balance sheet constraints limiting intermediation capacity. Auction demand has been adequate but not enthusiastic, with some tails in recent offerings suggesting price sensitivity. The Treasury refunding announcement on February 18 will be closely watched for any changes to auction sizes. The JGB selloff in January demonstrated how stress in one sovereign market can transmit globally when correlations spike.</w:t>
      </w:r>
    </w:p>
    <w:p>
      <w:pPr>
        <w:spacing w:after="160"/>
      </w:pPr>
      <w:r>
        <w:rPr>
          <w:b/>
          <w:bCs/>
        </w:rPr>
        <w:t xml:space="preserve">Equity Microstructure:</w:t>
      </w:r>
      <w:r>
        <w:t xml:space="preserve"> 0DTE options activity remains elevated, comprising a significant share of daily SPX option volume. This creates gamma-driven dynamics that can amplify moves in either direction. Market depth on the tape is thinner than headline volume suggests, as much activity is internalized or executed in dark pools. ETF flows have been supportive, with continued inflows to passive vehicles.</w:t>
      </w:r>
    </w:p>
    <w:p>
      <w:pPr>
        <w:spacing w:after="200"/>
      </w:pPr>
      <w:r>
        <w:rPr>
          <w:b/>
          <w:bCs/>
        </w:rPr>
        <w:t xml:space="preserve">Our view:</w:t>
      </w:r>
      <w:r>
        <w:t xml:space="preserve"> Liquidity conditions are adequate but fragile—the system functions well in normal conditions but could experience rapid deterioration under stress. The SRF usage spike is a yellow flag warranting continued monitoring. Quarter-end (March 31) presents potential for repo market strain given regulatory constraints on dealer balance sheets.</w:t>
      </w:r>
    </w:p>
    <w:p>
      <w:pPr>
        <w:pStyle w:val="Heading2"/>
      </w:pPr>
      <w:r>
        <w:t xml:space="preserve">II.E Correlation &amp; Contagion</w:t>
      </w:r>
    </w:p>
    <w:p>
      <w:pPr>
        <w:spacing w:after="200"/>
      </w:pPr>
      <w:r>
        <w:t xml:space="preserve">Cross-asset correlations have been elevated relative to historical norms, with the traditional diversification benefits of bonds versus equities diminished in a world where both asset classes respond similarly to inflation surprises. The most crowded trades we identify are: (1) long US mega-cap technology, where concentration has reached levels not seen since the dot-com era; (2) short volatility/variance selling, which has profited handsomely in the low-VIX environment but carries significant tail risk; (3) carry trades (short JPY/CHF, long EM) which are vulnerable to risk-off episodes; and (4) tight credit spread positioning, where the consensus view is that spreads remain anchored but the distribution of outcomes is highly asymmetric. Contagion pathways to monitor include: CRE distress spreading to regional bank balance sheets and funding markets; a sharp JGB move triggering global duration repricing; and EM FX weakness creating dollar funding stress in levered structures.</w:t>
      </w:r>
    </w:p>
    <w:p>
      <w:pPr>
        <w:pStyle w:val="Heading2"/>
      </w:pPr>
      <w:r>
        <w:t xml:space="preserve">II.F Market Risk Metrics</w:t>
      </w:r>
    </w:p>
    <w:p>
      <w:pPr>
        <w:spacing w:after="200"/>
      </w:pPr>
      <w:r>
        <w:t xml:space="preserve">Firm-wide market risk metrics require internal data not available for this report. However, the external environment suggests the following considerations: VaR models calibrated to recent low-volatility regimes may underestimate potential losses in a stress scenario—the VIX traded at 60 as recently as April 2025, implying potential for rapid volatility expansion from current 15-17 levels. Stressed VaR assumptions should reflect scenarios where multiple risk factors move adversely simultaneously. Duration sensitivities (DV01) warrant review given the potential for rate volatility around Fed transition and inflation data. Credit sensitivities (CS01) carry asymmetric risk given tight spreads. Backtesting results should be evaluated for any exceptions, with particular attention to whether models are capturing the fat-tailed distribution of returns evident in recent years.</w:t>
      </w:r>
    </w:p>
    <w:p>
      <w:r>
        <w:br w:type="page"/>
      </w:r>
    </w:p>
    <w:p>
      <w:pPr>
        <w:pStyle w:val="Heading1"/>
      </w:pPr>
      <w:r>
        <w:t xml:space="preserve">SECTION III: CREDIT RISK</w:t>
      </w:r>
    </w:p>
    <w:p>
      <w:pPr>
        <w:pStyle w:val="Heading2"/>
      </w:pPr>
      <w:r>
        <w:t xml:space="preserve">III.A Credit Environment Overview</w:t>
      </w:r>
    </w:p>
    <w:p>
      <w:pPr>
        <w:spacing w:after="160"/>
      </w:pPr>
      <w:r>
        <w:t xml:space="preserve">We assess the current credit cycle as </w:t>
      </w:r>
      <w:r>
        <w:rPr>
          <w:b/>
          <w:bCs/>
        </w:rPr>
        <w:t xml:space="preserve">late-cycle with deterioration underway in select segments</w:t>
      </w:r>
      <w:r>
        <w:t xml:space="preserve">. The headline picture of tight spreads (HY OAS at 2.9%) masks significant dispersion beneath the surface. Default rates, while not spiking, remain elevated: S&amp;P's speculative-grade rate at 4.8% and Moody's leveraged loan rate at 5.9% are both above long-term averages and have been above 4% for two consecutive years. The weakest credits—those originated during the 2020-2021 easy-money period with aggressive underwriting—are now facing refinancing at materially higher rates, creating stress in specific names and sectors.</w:t>
      </w:r>
    </w:p>
    <w:p>
      <w:pPr>
        <w:spacing w:after="160"/>
      </w:pPr>
      <w:r>
        <w:t xml:space="preserve">The default outlook is for continued elevation without acceleration into crisis levels. The maturity wall in leveraged loans and high yield bonds peaks in 2025-2026, creating a steady flow of refinancing stress rather than a cliff event. Companies with adequate cash flows and supportive sponsors will navigate successfully; those with deteriorating fundamentals or passive financial sponsors will struggle. Sectors under particular stress include commercial real estate (especially office), certain consumer-facing businesses facing tariff cost pressures, and healthcare credits with regulatory/reimbursement headwinds.</w:t>
      </w:r>
    </w:p>
    <w:p>
      <w:pPr>
        <w:spacing w:after="200"/>
      </w:pPr>
      <w:r>
        <w:t xml:space="preserve">Credit risk is arguably underpriced in the aggregate given tight spreads, but specific opportunities exist in stressed/distressed situations where market dislocations have created attractive risk-adjusted returns for patient capital with workout expertise. The key risk is a macro shock (recession, geopolitical event) that transforms orderly refinancing stress into disorderly defaults and loss-given-default above recovery rate assumptions.</w:t>
      </w:r>
    </w:p>
    <w:p>
      <w:pPr>
        <w:pStyle w:val="Heading2"/>
      </w:pPr>
      <w:r>
        <w:t xml:space="preserve">III.B Portfolio Credit Quality</w:t>
      </w:r>
    </w:p>
    <w:p>
      <w:pPr>
        <w:spacing w:after="200"/>
      </w:pPr>
      <w:r>
        <w:t xml:space="preserve">Credit quality migration trends show a modest negative bias, with downgrades exceeding upgrades in the high yield universe. Watch list additions have increased in CRE-exposed names and leveraged credits with floating-rate debt where interest coverage has deteriorated. Expected credit losses reflect the baseline assumption of continued elevated (but not accelerating) defaults. Allowance adequacy should be tested against downside scenarios including: 150bps of spread widening, 25% increase in default rates, and 15-percentage-point decline in recovery rates. </w:t>
      </w:r>
      <w:r>
        <w:rPr>
          <w:b/>
          <w:bCs/>
        </w:rPr>
        <w:t xml:space="preserve">Key metrics for monitoring include: interest coverage ratios (declining below 2.0x is a warning sign), leverage ratios (covenant cushion erosion), liquidity runway (months of cash on hand), and debt service coverage.</w:t>
      </w:r>
    </w:p>
    <w:p>
      <w:pPr>
        <w:pStyle w:val="Heading2"/>
      </w:pPr>
      <w:r>
        <w:t xml:space="preserve">III.C Sector Deep Dives</w:t>
      </w:r>
    </w:p>
    <w:p>
      <w:pPr>
        <w:pStyle w:val="Heading3"/>
      </w:pPr>
      <w:r>
        <w:t xml:space="preserve">Commercial Real Estate</w:t>
      </w:r>
    </w:p>
    <w:p>
      <w:pPr>
        <w:spacing w:after="160"/>
      </w:pPr>
      <w:r>
        <w:t xml:space="preserve">The CRE sector remains the most significant credit risk in the current environment. Office vacancy rates persist at 18.7% nationally (23% in major metros), representing a structural shift in demand rather than cyclical weakness. Cap rates have expanded 100-200bps from 2022 peaks, with further pressure expected as maturing loans require refinancing at current rates. The refinancing wall is formidable: $936 billion of commercial mortgages mature in 2026, with over $21.3 billion in CMBS office loans coming due. Among office loans that matured before 2026 and remain outstanding, 83.7% show delinquencies—a stunning indicator of the stress in this sector. Distressed CRE volume reached $126.6 billion in Q3 2025, up 18% year-over-year, with office the largest contributor but multifamily now comprising 18% of distress ($22.8 billion). The "extend and pretend" strategy has postponed reckoning but not resolved underlying problems.</w:t>
      </w:r>
    </w:p>
    <w:p>
      <w:pPr>
        <w:spacing w:after="200"/>
      </w:pPr>
      <w:r>
        <w:rPr>
          <w:b/>
          <w:bCs/>
        </w:rPr>
        <w:t xml:space="preserve">Signs of stabilization:</w:t>
      </w:r>
      <w:r>
        <w:t xml:space="preserve"> Net absorption in Q3 2025 was the strongest in four years at 14 million square feet, and vacancy has declined 30bps since year-start. Lenders have consistently worked out problem loans rather than forcing liquidation. However, the fundamental picture—remote work persistence, oversupply in many markets, higher financing costs—suggests a multi-year workout rather than rapid recovery. </w:t>
      </w:r>
      <w:r>
        <w:rPr>
          <w:b/>
          <w:bCs/>
        </w:rPr>
        <w:t xml:space="preserve">Recommended actions:</w:t>
      </w:r>
      <w:r>
        <w:t xml:space="preserve"> Complete granular review of all CRE exposures by property type, geography, sponsor quality, and LTV. Stress test at 25% additional valuation decline. Identify problem assets proactively. Consider selective distressed opportunities where sponsorship is weak but assets are viable.</w:t>
      </w:r>
    </w:p>
    <w:p>
      <w:pPr>
        <w:pStyle w:val="Heading3"/>
      </w:pPr>
      <w:r>
        <w:t xml:space="preserve">Leveraged Lending</w:t>
      </w:r>
    </w:p>
    <w:p>
      <w:pPr>
        <w:spacing w:after="160"/>
      </w:pPr>
      <w:r>
        <w:t xml:space="preserve">The leveraged loan market shows elevated but stable stress. Moody's trailing 12-month leveraged loan default rate of 5.9% is above long-term averages but has not accelerated sharply. The floating-rate nature of most leveraged loans means borrowers have faced immediate interest expense increases as the Fed hiked, pressuring interest coverage ratios across the universe. CLO demand remains supportive of spreads, but managers are increasingly selective about credit quality. Covenant-lite structures (comprising ~80% of institutional loans) limit early warning signals and recovery rates in default. The weakest cohort is 2020-2021 vintage deals with aggressive leverage assumptions and limited equity cushion.</w:t>
      </w:r>
    </w:p>
    <w:p>
      <w:pPr>
        <w:spacing w:after="200"/>
      </w:pPr>
      <w:r>
        <w:rPr>
          <w:b/>
          <w:bCs/>
        </w:rPr>
        <w:t xml:space="preserve">Recommended actions:</w:t>
      </w:r>
      <w:r>
        <w:t xml:space="preserve"> Focus on coverage ratios rather than leverage alone given floating-rate dynamics. Monitor amend-and-extend activity as a leading indicator of stress. Review exposure to weakest vintage deals.</w:t>
      </w:r>
    </w:p>
    <w:p>
      <w:pPr>
        <w:pStyle w:val="Heading3"/>
      </w:pPr>
      <w:r>
        <w:t xml:space="preserve">Financial Institutions</w:t>
      </w:r>
    </w:p>
    <w:p>
      <w:pPr>
        <w:spacing w:after="160"/>
      </w:pPr>
      <w:r>
        <w:t xml:space="preserve">The banking sector presents a bifurcated picture. Large, diversified banks continue to benefit from higher interest rates and stable deposit bases, with strong capital ratios and manageable CRE exposures. Regional and community banks face greater challenges: narrower interest margins from competition for deposits, concentrated CRE exposures (particularly office), and limited ability to absorb losses. Metropolitan Capital Bank's failure in January 2026—the first US bank failure of the year, with a 1.62% net equity ratio far below regulatory thresholds—serves as a reminder that institution-specific risks remain relevant even as systemic risk appears contained.</w:t>
      </w:r>
    </w:p>
    <w:p>
      <w:pPr>
        <w:spacing w:after="200"/>
      </w:pPr>
      <w:r>
        <w:t xml:space="preserve">S&amp;P Global Ratings forecasts broad stability for global banking in 2026, with 85% of ratings on stable outlook. However, they identify four key risks: geopolitical escalation, tariff shocks, regulatory weakening, and climate/technology transitions. </w:t>
      </w:r>
      <w:r>
        <w:rPr>
          <w:b/>
          <w:bCs/>
        </w:rPr>
        <w:t xml:space="preserve">Recommended actions:</w:t>
      </w:r>
      <w:r>
        <w:t xml:space="preserve"> Review counterparty exposures to regional banks with elevated CRE concentrations. Monitor deposit flows at smaller institutions.</w:t>
      </w:r>
    </w:p>
    <w:p>
      <w:pPr>
        <w:pStyle w:val="Heading3"/>
      </w:pPr>
      <w:r>
        <w:t xml:space="preserve">Consumer Credit</w:t>
      </w:r>
    </w:p>
    <w:p>
      <w:pPr>
        <w:spacing w:after="160"/>
      </w:pPr>
      <w:r>
        <w:t xml:space="preserve">Consumer credit metrics show gradual normalization from pandemic lows rather than acute stress. Delinquency rates in auto and credit card have risen but remain within historical ranges. The labor market's resilience—unemployment around 4.1%—supports continued debt service capacity. Tariff-induced goods inflation has pressured household budgets but has not triggered widespread defaults. The key vulnerability is lower-income consumers who have exhausted pandemic-era excess savings and face real wage pressure from inflation. Student loan payment resumption has created incremental cash flow stress.</w:t>
      </w:r>
    </w:p>
    <w:p>
      <w:pPr>
        <w:spacing w:after="200"/>
      </w:pPr>
      <w:r>
        <w:rPr>
          <w:b/>
          <w:bCs/>
        </w:rPr>
        <w:t xml:space="preserve">Recommended actions:</w:t>
      </w:r>
      <w:r>
        <w:t xml:space="preserve"> Monitor early-stage delinquencies as leading indicator. Focus credit quality analysis on subprime and near-prime segments.</w:t>
      </w:r>
    </w:p>
    <w:p>
      <w:pPr>
        <w:pStyle w:val="Heading2"/>
      </w:pPr>
      <w:r>
        <w:t xml:space="preserve">III.D Single-Name Watchlist</w:t>
      </w:r>
    </w:p>
    <w:p>
      <w:pPr>
        <w:spacing w:after="200"/>
      </w:pPr>
      <w:r>
        <w:t xml:space="preserve">The credit watchlist should include: (1) Office REITs with elevated leverage and near-term maturities; (2) Leveraged healthcare credits facing reimbursement pressure and labor cost inflation; (3) Consumer discretionary issuers in tariff-exposed categories with weak covenant cushion; (4) Regional bank credits with concentrated CRE exposure above 300% of Tier 1 capital; and (5) Any counterparty showing deposit outflow acceleration or elevated discount window usage. Specific names require internal portfolio review. Trigger for action: credit downgrade, missed covenant, or fundamental deterioration beyond expectations.</w:t>
      </w:r>
    </w:p>
    <w:p>
      <w:pPr>
        <w:pStyle w:val="Heading2"/>
      </w:pPr>
      <w:r>
        <w:t xml:space="preserve">III.E Credit Risk Metrics</w:t>
      </w:r>
    </w:p>
    <w:p>
      <w:pPr>
        <w:spacing w:after="200"/>
      </w:pPr>
      <w:r>
        <w:t xml:space="preserve">Expected Credit Loss trends should reflect the elevated default rate environment with appropriate forward-looking adjustments. Credit VaR should be stress-tested against spread widening scenarios of 150bps, 300bps, and 500bps. Concentration metrics warrant review given the potential for correlated defaults in CRE-exposed credits. Key limit utilizations to monitor: single-name concentrations, sector concentrations (especially CRE, healthcare, consumer), and rating-tier concentrations (particularly sub-investment-grade).</w:t>
      </w:r>
    </w:p>
    <w:p>
      <w:r>
        <w:br w:type="page"/>
      </w:r>
    </w:p>
    <w:p>
      <w:pPr>
        <w:pStyle w:val="Heading1"/>
      </w:pPr>
      <w:r>
        <w:t xml:space="preserve">SECTION IV: COUNTERPARTY CREDIT RISK</w:t>
      </w:r>
    </w:p>
    <w:p>
      <w:pPr>
        <w:pStyle w:val="Heading2"/>
      </w:pPr>
      <w:r>
        <w:t xml:space="preserve">IV.A Counterparty Environment</w:t>
      </w:r>
    </w:p>
    <w:p>
      <w:pPr>
        <w:spacing w:after="200"/>
      </w:pPr>
      <w:r>
        <w:t xml:space="preserve">The counterparty credit environment is stable but requires vigilance. Large dealer banks—our primary counterparties—maintain strong capital positions with stable ratings outlooks. However, the Metropolitan Capital Bank failure and the elevated Standing Repo Facility usage signal that institution-specific stress can emerge rapidly. Systemic counterparty concerns are limited; G-SIB counterparties are well-capitalized and pass regulatory stress tests. The key risk is concentrated exposure to counterparties with elevated CRE or leveraged lending exposures where losses could impair capital ratios.</w:t>
      </w:r>
    </w:p>
    <w:p>
      <w:pPr>
        <w:pStyle w:val="Heading2"/>
      </w:pPr>
      <w:r>
        <w:t xml:space="preserve">IV.B Top Exposures &amp; Counterparty Watchlist</w:t>
      </w:r>
    </w:p>
    <w:p>
      <w:pPr>
        <w:spacing w:after="200"/>
      </w:pPr>
      <w:r>
        <w:t xml:space="preserve">Top counterparty exposures should be reviewed against current credit quality assessments. Any counterparty showing rating downgrades, CDS widening above 200bps, or elevated market-implied default probability should be placed on the watchlist for enhanced monitoring. Particular attention should be paid to: regional bank counterparties with concentrated CRE exposures, prime brokerage relationships with hedge funds carrying elevated leverage, and insurance company counterparties facing unrealized losses on bond portfolios.</w:t>
      </w:r>
    </w:p>
    <w:p>
      <w:pPr>
        <w:pStyle w:val="Heading2"/>
      </w:pPr>
      <w:r>
        <w:t xml:space="preserve">IV.C Wrong-Way Risk</w:t>
      </w:r>
    </w:p>
    <w:p>
      <w:pPr>
        <w:spacing w:after="200"/>
      </w:pPr>
      <w:r>
        <w:t xml:space="preserve">Wrong-way risk exposures should be identified and monitored. Classic wrong-way risk exists where counterparty credit quality is correlated with the value of collateral or the underlying exposure. Examples include: derivative exposures to commodity producers where counterparty credit deteriorates as commodity prices fall; CDS protection purchased from financial institutions that could be impaired by the same systemic event triggering the protection; and repo/securities lending with collateral whose value is correlated with counterparty creditworthiness.</w:t>
      </w:r>
    </w:p>
    <w:p>
      <w:pPr>
        <w:pStyle w:val="Heading2"/>
      </w:pPr>
      <w:r>
        <w:t xml:space="preserve">IV.D Collateral &amp; Margin</w:t>
      </w:r>
    </w:p>
    <w:p>
      <w:pPr>
        <w:spacing w:after="200"/>
      </w:pPr>
      <w:r>
        <w:t xml:space="preserve">Margin call trends should be monitored for any acceleration that might indicate counterparty stress or market dislocation. Collateral quality should be reviewed, with haircuts adjusted appropriately for asset classes showing elevated volatility (e.g., JGBs following January selloff). Initial margin adequacy should be stress-tested against scenarios combining market moves and counterparty default. Particular attention should be paid to potential margin calls under stress—a sharp market move could generate significant margin calls precisely when counterparties are under stress, creating procyclical dynamics.</w:t>
      </w:r>
    </w:p>
    <w:p>
      <w:pPr>
        <w:pStyle w:val="Heading2"/>
      </w:pPr>
      <w:r>
        <w:t xml:space="preserve">IV.E CCR Stress Scenarios</w:t>
      </w:r>
    </w:p>
    <w:p>
      <w:pPr>
        <w:spacing w:after="200"/>
      </w:pPr>
      <w:r>
        <w:t xml:space="preserve">Counterparty credit risk stress scenarios should include: (1) 2-notch downgrade across all bank counterparties—impact on CSA thresholds, collateral requirements, and credit limits; (2) Single large counterparty default—replacement cost, potential shortfall, and second-order effects; (3) Correlation breakdown scenario—multiple counterparties experiencing stress simultaneously during a market event. The scenario that warrants most attention is a CRE-driven regional bank crisis that impairs multiple counterparties simultaneously while market stress reduces the value of collateral and increases replacement cost for defaulted positions.</w:t>
      </w:r>
    </w:p>
    <w:p>
      <w:r>
        <w:br w:type="page"/>
      </w:r>
    </w:p>
    <w:p>
      <w:pPr>
        <w:pStyle w:val="Heading1"/>
      </w:pPr>
      <w:r>
        <w:t xml:space="preserve">SECTION V: LIQUIDITY RISK</w:t>
      </w:r>
    </w:p>
    <w:p>
      <w:pPr>
        <w:pStyle w:val="Heading2"/>
      </w:pPr>
      <w:r>
        <w:t xml:space="preserve">V.A Funding Environment</w:t>
      </w:r>
    </w:p>
    <w:p>
      <w:pPr>
        <w:spacing w:after="200"/>
      </w:pPr>
      <w:r>
        <w:t xml:space="preserve">The overall funding environment is adequate but showing signs of strain at the margin. The surge in Standing Repo Facility borrowing to $15 billion—the highest since COVID—indicates that some institutions are experiencing short-term liquidity pressures. Wholesale funding markets are functioning, but competition for deposits has intensified, particularly for regional banks facing confidence concerns. Funding costs have stabilized after the 2025 rate cuts but remain elevated relative to the pre-hiking-cycle period. The partial government shutdown created temporary uncertainty around payment systems, though this has now resolved.</w:t>
      </w:r>
    </w:p>
    <w:p>
      <w:pPr>
        <w:pStyle w:val="Heading2"/>
      </w:pPr>
      <w:r>
        <w:t xml:space="preserve">V.B Regulatory Liquidity Metrics</w:t>
      </w:r>
    </w:p>
    <w:p>
      <w:pPr>
        <w:spacing w:after="200"/>
      </w:pPr>
      <w:r>
        <w:t xml:space="preserve">Liquidity Coverage Ratio (LCR) and Net Stable Funding Ratio (NSFR) status should be monitored against regulatory minimums with appropriate buffer. HQLA composition should favor Level 1 assets (cash, central bank reserves, sovereigns) over Level 2 assets given potential for haircut stress during market dislocations. Intraday liquidity adequacy should be tested against payment stress scenarios. Internal liquidity stress tests should incorporate assumptions about deposit outflows, market access disruption, and collateral calls consistent with current market conditions.</w:t>
      </w:r>
    </w:p>
    <w:p>
      <w:pPr>
        <w:pStyle w:val="Heading2"/>
      </w:pPr>
      <w:r>
        <w:t xml:space="preserve">V.C Funding Concentration &amp; Market Liquidity Risk</w:t>
      </w:r>
    </w:p>
    <w:p>
      <w:pPr>
        <w:spacing w:after="200"/>
      </w:pPr>
      <w:r>
        <w:t xml:space="preserve">Funding concentration should be reviewed across counterparty, maturity, and currency dimensions. Maturity concentration and gaps warrant attention, particularly in the 0-30 day bucket where rollover risk is highest. Currency funding mismatches should be identified and hedged appropriately. Contingent liquidity demands—from committed facilities, margin calls, and contractual obligations—should be quantified and stress-tested. Market liquidity risk for trading book positions should be assessed; bid-ask widening scenarios of 3x-5x normal spreads should be incorporated into liquidation assumptions. Fire sale risk is elevated for less liquid positions including private credit, CRE debt, and certain structured products.</w:t>
      </w:r>
    </w:p>
    <w:p>
      <w:pPr>
        <w:pStyle w:val="Heading2"/>
      </w:pPr>
      <w:r>
        <w:t xml:space="preserve">V.D Liquidity Stress Scenarios</w:t>
      </w:r>
    </w:p>
    <w:p>
      <w:pPr>
        <w:spacing w:after="200"/>
      </w:pPr>
      <w:r>
        <w:t xml:space="preserve">Liquidity stress scenarios should include: (1) Idiosyncratic stress—firm-specific reputational event causing deposit outflows and market access disruption; (2) Market-wide stress—systemic event causing funding market freeze and elevated collateral calls; and (3) Combined scenario—firm-specific event occurring during market stress. Recovery time assumptions should be conservative, recognizing that liquidity can deteriorate faster than it can be restored. Contingency funding plans should be tested and updated with current market conditions and counterparty relationships.</w:t>
      </w:r>
    </w:p>
    <w:p>
      <w:r>
        <w:br w:type="page"/>
      </w:r>
    </w:p>
    <w:p>
      <w:pPr>
        <w:pStyle w:val="Heading1"/>
      </w:pPr>
      <w:r>
        <w:t xml:space="preserve">SECTION VI: OPERATIONAL RISK</w:t>
      </w:r>
    </w:p>
    <w:p>
      <w:pPr>
        <w:pStyle w:val="Heading2"/>
      </w:pPr>
      <w:r>
        <w:t xml:space="preserve">VI.A Operational Risk Environment</w:t>
      </w:r>
    </w:p>
    <w:p>
      <w:pPr>
        <w:spacing w:after="200"/>
      </w:pPr>
      <w:r>
        <w:t xml:space="preserve">The operational risk environment has intensified significantly, with cyber threats representing the dominant concern. Industry surveys indicate 52% of bankers expect cybersecurity attacks to become more frequent and harder-hitting in 2026. AI-powered attacks are emerging as a game-changer—autonomous fraud agents, sophisticated deepfakes for social engineering, and supply chain compromises represent new threat vectors that legacy controls may not address. The average cost of a data breach in financial services is $6.08M (22% above cross-industry average), and 64% of institutions experienced ransomware attacks in 2024. Beyond cyber, operational resilience concerns include third-party/vendor concentration, technology obsolescence in critical systems, and talent retention in key risk and technology roles.</w:t>
      </w:r>
    </w:p>
    <w:p>
      <w:pPr>
        <w:pStyle w:val="Heading2"/>
      </w:pPr>
      <w:r>
        <w:t xml:space="preserve">VI.B Technology &amp; Cyber Risk</w:t>
      </w:r>
    </w:p>
    <w:p>
      <w:pPr>
        <w:spacing w:after="160"/>
      </w:pPr>
      <w:r>
        <w:t xml:space="preserve">The threat landscape continues to evolve. Key threats for 2026 include: (1) AI-powered attacks using generative AI for personalized phishing, deepfake voice/video for social engineering, and automated vulnerability exploitation; (2) Supply chain attacks targeting third-party vendors and APIs as entry points; (3) Ransomware with evolved tactics including data exfiltration before encryption and targeted attacks on operational technology; and (4) Data integrity attacks—subtle alterations to financial data to create operational chaos, harder to detect than traditional breaches.</w:t>
      </w:r>
    </w:p>
    <w:p>
      <w:pPr>
        <w:spacing w:after="200"/>
      </w:pPr>
      <w:r>
        <w:rPr>
          <w:b/>
          <w:bCs/>
        </w:rPr>
        <w:t xml:space="preserve">Recommended actions:</w:t>
      </w:r>
      <w:r>
        <w:t xml:space="preserve"> Accelerate deployment of AI-based detection and response capabilities. Enhance third-party security assessments, particularly for API and cloud providers. Test incident response protocols against AI-powered attack scenarios. Review authentication controls for vulnerability to deepfake and social engineering attacks. Ensure data integrity monitoring can detect subtle alterations.</w:t>
      </w:r>
    </w:p>
    <w:p>
      <w:pPr>
        <w:pStyle w:val="Heading2"/>
      </w:pPr>
      <w:r>
        <w:t xml:space="preserve">VI.C Third-Party &amp; Vendor Risk</w:t>
      </w:r>
    </w:p>
    <w:p>
      <w:pPr>
        <w:spacing w:after="200"/>
      </w:pPr>
      <w:r>
        <w:t xml:space="preserve">Concentration in critical vendors—particularly cloud service providers, core banking system vendors, and market data providers—creates single points of failure. Fourth-party risks (vendors of our vendors) are increasingly relevant as supply chains become more complex. Contract renewals or transitions underway should be monitored for operational risk during cutover periods. </w:t>
      </w:r>
      <w:r>
        <w:rPr>
          <w:b/>
          <w:bCs/>
        </w:rPr>
        <w:t xml:space="preserve">Recommended actions:</w:t>
      </w:r>
      <w:r>
        <w:t xml:space="preserve"> Maintain updated inventory of critical vendors with concentration analysis. Test business continuity plans assuming loss of each critical vendor. Incorporate fourth-party risk assessment into vendor due diligence.</w:t>
      </w:r>
    </w:p>
    <w:p>
      <w:pPr>
        <w:pStyle w:val="Heading2"/>
      </w:pPr>
      <w:r>
        <w:t xml:space="preserve">VI.D Operational Risk Events Calendar</w:t>
      </w:r>
    </w:p>
    <w:p>
      <w:pPr>
        <w:spacing w:after="200"/>
      </w:pPr>
      <w:r>
        <w:t xml:space="preserve">Upcoming operational risk events to monitor include: system changes or migrations (particularly core banking, trading, or risk systems); regulatory deadlines (Basel III Endgame implementation planning, various reporting requirements); business process changes (new product launches, organizational restructuring); and staff transitions in key roles. Quarter-end (March 31) presents elevated operational risk from processing volumes and regulatory reporting deadlines.</w:t>
      </w:r>
    </w:p>
    <w:p>
      <w:r>
        <w:br w:type="page"/>
      </w:r>
    </w:p>
    <w:p>
      <w:pPr>
        <w:pStyle w:val="Heading1"/>
      </w:pPr>
      <w:r>
        <w:t xml:space="preserve">SECTION VII: MODEL RISK</w:t>
      </w:r>
    </w:p>
    <w:p>
      <w:pPr>
        <w:pStyle w:val="Heading2"/>
      </w:pPr>
      <w:r>
        <w:t xml:space="preserve">VII.A Model Risk Environment</w:t>
      </w:r>
    </w:p>
    <w:p>
      <w:pPr>
        <w:spacing w:after="200"/>
      </w:pPr>
      <w:r>
        <w:t xml:space="preserve">The current regime presents significant model risk challenges. Models calibrated to historical data may not capture: the unprecedented tariff environment and its inflation implications; the structural shift in CRE demand from remote work; the impact of AI on both fraud patterns and economic productivity; and potential regime changes in monetary policy under new Fed leadership. VaR models are particularly vulnerable—calibration to the low-volatility environment of late 2025 may underestimate potential losses given that VIX reached 60 as recently as April 2025.</w:t>
      </w:r>
    </w:p>
    <w:p>
      <w:pPr>
        <w:pStyle w:val="Heading2"/>
      </w:pPr>
      <w:r>
        <w:t xml:space="preserve">VII.B Model Performance &amp; Validation</w:t>
      </w:r>
    </w:p>
    <w:p>
      <w:pPr>
        <w:spacing w:after="200"/>
      </w:pPr>
      <w:r>
        <w:t xml:space="preserve">Backtesting results for key models should be evaluated for exceptions, particularly during the volatility episodes of 2025. Exception trends may indicate model limitations requiring compensating controls or recalibration. Models due for periodic validation should be prioritized, with particular attention to credit models (given CRE stress and elevated defaults) and market risk models (given regime change potential). Findings from recent validations should be tracked with clear remediation timelines.</w:t>
      </w:r>
    </w:p>
    <w:p>
      <w:pPr>
        <w:pStyle w:val="Heading2"/>
      </w:pPr>
      <w:r>
        <w:t xml:space="preserve">VII.C Emerging Model Risks</w:t>
      </w:r>
    </w:p>
    <w:p>
      <w:pPr>
        <w:spacing w:after="200"/>
      </w:pPr>
      <w:r>
        <w:t xml:space="preserve">Emerging model risks include: AI/ML models deployed without adequate governance or explainability; third-party models (particularly from fintech vendors) with limited transparency into methodology; and models that incorporate alternative data sources with limited history. The regulatory focus on AI governance is intensifying, with expectations for explainability, bias testing, and human oversight. </w:t>
      </w:r>
      <w:r>
        <w:rPr>
          <w:b/>
          <w:bCs/>
        </w:rPr>
        <w:t xml:space="preserve">Recommended actions:</w:t>
      </w:r>
      <w:r>
        <w:t xml:space="preserve"> Establish clear governance framework for AI/ML models. Document model limitations explicitly, particularly regime-change sensitivity. Maintain conservative management overlays where model uncertainty is elevated.</w:t>
      </w:r>
    </w:p>
    <w:p>
      <w:r>
        <w:br w:type="page"/>
      </w:r>
    </w:p>
    <w:p>
      <w:pPr>
        <w:pStyle w:val="Heading1"/>
      </w:pPr>
      <w:r>
        <w:t xml:space="preserve">SECTION VIII: REGULATORY &amp; COMPLIANCE RISK</w:t>
      </w:r>
    </w:p>
    <w:p>
      <w:pPr>
        <w:pStyle w:val="Heading2"/>
      </w:pPr>
      <w:r>
        <w:t xml:space="preserve">VIII.A Regulatory Environment</w:t>
      </w:r>
    </w:p>
    <w:p>
      <w:pPr>
        <w:spacing w:after="200"/>
      </w:pPr>
      <w:r>
        <w:t xml:space="preserve">The regulatory environment is in transition, with mixed signals on direction. The Trump administration has signaled intent to reduce regulatory burden on banks, and Fed Vice Chair for Supervision Bowman has indicated the Basel III Endgame re-proposal will aim for "roughly capital neutral" impact—a significant softening from the original 2023 proposal that would have increased large bank capital requirements by nearly 20%. However, tariff-related compliance (customs, sanctions) and cyber/operational resilience requirements continue to intensify. Industry enforcement trends show continued focus on BSA/AML compliance, consumer protection, and operational resilience failures.</w:t>
      </w:r>
    </w:p>
    <w:p>
      <w:pPr>
        <w:pStyle w:val="Heading2"/>
      </w:pPr>
      <w:r>
        <w:t xml:space="preserve">VIII.B Upcoming Regulatory Changes</w:t>
      </w:r>
    </w:p>
    <w:p>
      <w:pPr>
        <w:spacing w:after="160"/>
      </w:pPr>
      <w:r>
        <w:rPr>
          <w:b/>
          <w:bCs/>
        </w:rPr>
        <w:t xml:space="preserve">Basel III Endgame:</w:t>
      </w:r>
      <w:r>
        <w:t xml:space="preserve"> US regulators plan to publish the revised final rule in early 2026, with a three-year phased implementation meeting full requirements likely by 2029-2030. The revised proposal is expected to be "roughly capital neutral," addressing industry concerns about the original proposal's output floor, credit risk standardization, and market risk (FRTB) requirements. UK implementation has been postponed to January 2027. Impact assessment: Under the revised approach, capital impact should be manageable, but implementation costs for risk-weighted asset calculation methodologies will be significant.</w:t>
      </w:r>
    </w:p>
    <w:p>
      <w:pPr>
        <w:spacing w:after="200"/>
      </w:pPr>
      <w:r>
        <w:rPr>
          <w:b/>
          <w:bCs/>
        </w:rPr>
        <w:t xml:space="preserve">Other Regulatory Developments:</w:t>
      </w:r>
      <w:r>
        <w:t xml:space="preserve"> Supreme Court evaluation of Trump tariff authority under IEEPA could have significant trade policy implications; ruling expected in early 2026. Climate/ESG disclosure requirements continue to evolve, with SEC rules facing legal challenge. Operational resilience requirements (DORA in EU, similar frameworks globally) create ongoing compliance demands.</w:t>
      </w:r>
    </w:p>
    <w:p>
      <w:pPr>
        <w:pStyle w:val="Heading2"/>
      </w:pPr>
      <w:r>
        <w:t xml:space="preserve">VIII.C Capital &amp; Stress Testing</w:t>
      </w:r>
    </w:p>
    <w:p>
      <w:pPr>
        <w:spacing w:after="200"/>
      </w:pPr>
      <w:r>
        <w:t xml:space="preserve">The 2026 stress test scenarios proposed by the Federal Reserve feature a severely adverse scenario with a severe global recession, equity prices falling 54%, VIX spiking to 72%, and corporate bond spreads widening to 570bps. Capital ratio status should be monitored against both regulatory minimums and internal management buffers. CCAR/DFAST preparation should incorporate the evolving macro environment, particularly CRE stress, tariff impacts, and geopolitical scenarios. Current conditions suggest the severely adverse scenario, while severe, is not implausible—multiple elements are present in nascent form in current markets.</w:t>
      </w:r>
    </w:p>
    <w:p>
      <w:r>
        <w:br w:type="page"/>
      </w:r>
    </w:p>
    <w:p>
      <w:pPr>
        <w:pStyle w:val="Heading1"/>
      </w:pPr>
      <w:r>
        <w:t xml:space="preserve">SECTION IX: CONCENTRATION RISK</w:t>
      </w:r>
    </w:p>
    <w:p>
      <w:pPr>
        <w:pStyle w:val="Heading2"/>
      </w:pPr>
      <w:r>
        <w:t xml:space="preserve">IX.A Single-Name &amp; Sector Concentrations</w:t>
      </w:r>
    </w:p>
    <w:p>
      <w:pPr>
        <w:spacing w:after="200"/>
      </w:pPr>
      <w:r>
        <w:t xml:space="preserve">Single-name concentrations should be reviewed against limits, with particular attention to credits showing deteriorating fundamentals or rating pressure. Sector concentrations warrant heightened focus, especially: CRE (the most elevated risk sector), leveraged lending, and any sector with concentrated tariff exposure (manufacturing, retail). Geographic concentrations include country/region exposures with attention to areas of elevated geopolitical risk (China/Taiwan, Middle East, Russia-adjacent). Factor concentrations (duration, credit beta, equity beta) and strategy concentrations (crowded trades that could unwind simultaneously) should be identified and stress-tested.</w:t>
      </w:r>
    </w:p>
    <w:p>
      <w:pPr>
        <w:pStyle w:val="Heading2"/>
      </w:pPr>
      <w:r>
        <w:t xml:space="preserve">IX.B Interconnectedness &amp; Contagion</w:t>
      </w:r>
    </w:p>
    <w:p>
      <w:pPr>
        <w:spacing w:after="200"/>
      </w:pPr>
      <w:r>
        <w:t xml:space="preserve">Interconnectedness risk is elevated in the current environment. Key contagion pathways include: CRE distress spreading from property owners to banks to broader funding markets; regional bank stress creating confidence contagion despite limited direct exposure; and concentrated positions in mega-cap technology creating correlated losses across equity portfolios. Hidden concentrations—exposures that appear diversified but are correlated through common risk factors—require particular attention. Example: "Diversified" credit exposures that share common sensitivity to rising rates and CRE stress.</w:t>
      </w:r>
    </w:p>
    <w:p>
      <w:r>
        <w:br w:type="page"/>
      </w:r>
    </w:p>
    <w:p>
      <w:pPr>
        <w:pStyle w:val="Heading1"/>
      </w:pPr>
      <w:r>
        <w:t xml:space="preserve">SECTION X: GEOPOLITICAL &amp; STRATEGIC RISK</w:t>
      </w:r>
    </w:p>
    <w:p>
      <w:pPr>
        <w:pStyle w:val="Heading2"/>
      </w:pPr>
      <w:r>
        <w:t xml:space="preserve">X.A Geopolitical Environment</w:t>
      </w:r>
    </w:p>
    <w:p>
      <w:pPr>
        <w:spacing w:after="200"/>
      </w:pPr>
      <w:r>
        <w:t xml:space="preserve">The global geopolitical temperature remains elevated, though recent diplomatic developments have provided some near-term de-escalation. The combined stresses of US-China great-power competition, a fragmenting global order, Russia-Ukraine conflict, and Middle East instability create a complex risk environment. Markets have largely priced out immediate escalation risk following Trump-Xi engagement and US-Iran diplomatic signals, but the underlying tensions remain unresolved. The key question is whether markets are correctly pricing the "fat tails" of geopolitical risk or whether complacency has set in.</w:t>
      </w:r>
    </w:p>
    <w:p>
      <w:pPr>
        <w:pStyle w:val="Heading2"/>
      </w:pPr>
      <w:r>
        <w:t xml:space="preserve">X.B Priority Geopolitical Risks</w:t>
      </w:r>
    </w:p>
    <w:p>
      <w:pPr>
        <w:pStyle w:val="Heading3"/>
      </w:pPr>
      <w:r>
        <w:t xml:space="preserve">Russia-Ukraine</w:t>
      </w:r>
    </w:p>
    <w:p>
      <w:pPr>
        <w:spacing w:after="200"/>
      </w:pPr>
      <w:r>
        <w:t xml:space="preserve">The conflict continues with no resolution in sight, now Day 1,440+. Russia launched the most powerful attack of 2026 on Ukrainian energy infrastructure in early February, deploying 450 drones and 60+ missiles and leaving Ukraine's energy system meeting only 60% of demand. Russia controls approximately 20% of Ukrainian territory. Peace negotiations are underway, with trilateral talks scheduled in Abu Dhabi, but fundamental positions remain far apart. Russia has suffered nearly 1.2 million casualties but shows no sign of abandoning objectives. </w:t>
      </w:r>
      <w:r>
        <w:rPr>
          <w:b/>
          <w:bCs/>
        </w:rPr>
        <w:t xml:space="preserve">Escalation probability (90 days): 25%.</w:t>
      </w:r>
      <w:r>
        <w:t xml:space="preserve"> Escalation scenarios include direct NATO involvement following Article 5 trigger, Russian use of tactical nuclear weapons, or collapse of Russian conventional forces. Market transmission would occur through energy prices (European gas), flight to quality, and disruption to grain/fertilizer exports. Early warning: Major offensive operations, nuclear rhetoric escalation, NATO troop movements.</w:t>
      </w:r>
    </w:p>
    <w:p>
      <w:pPr>
        <w:pStyle w:val="Heading3"/>
      </w:pPr>
      <w:r>
        <w:t xml:space="preserve">Iran-Israel/Middle East</w:t>
      </w:r>
    </w:p>
    <w:p>
      <w:pPr>
        <w:spacing w:after="200"/>
      </w:pPr>
      <w:r>
        <w:t xml:space="preserve">The US-Iran relationship has de-escalated from the early February brinkmanship that briefly spiked oil to $71/bbl. Trump indicated Washington is in talks with Iran, and Iranian officials signaled openness to negotiations. However, the underlying Israel-Iran hostility remains intense, and the June 2025 twelve-day war demonstrated the potential for rapid escalation. </w:t>
      </w:r>
      <w:r>
        <w:rPr>
          <w:b/>
          <w:bCs/>
        </w:rPr>
        <w:t xml:space="preserve">Escalation probability (90 days): 30%.</w:t>
      </w:r>
      <w:r>
        <w:t xml:space="preserve"> Escalation scenarios include Israeli strike on Iranian nuclear facilities, Iranian asymmetric attack on Gulf shipping, or Houthi disruption of Red Sea transit. Market transmission: oil spike to $85-100, shipping cost increases, and regional counterparty exposure. Early warning: IAEA reports on enrichment, naval movements, satellite imagery of facility activity.</w:t>
      </w:r>
    </w:p>
    <w:p>
      <w:pPr>
        <w:pStyle w:val="Heading3"/>
      </w:pPr>
      <w:r>
        <w:t xml:space="preserve">China-Taiwan</w:t>
      </w:r>
    </w:p>
    <w:p>
      <w:pPr>
        <w:spacing w:after="200"/>
      </w:pPr>
      <w:r>
        <w:t xml:space="preserve">Near-term escalation risk has moderated following the Trump-Xi summit, but the fundamental tension remains. China continues to leverage market power to pressure regional states supporting Taiwan, and increased US arms sales could trigger more aggressive PLA posture. Most analysts do not foresee major armed conflict in 2026, but moderate flare-ups around territorial claims are expected. </w:t>
      </w:r>
      <w:r>
        <w:rPr>
          <w:b/>
          <w:bCs/>
        </w:rPr>
        <w:t xml:space="preserve">Escalation probability (90 days): 15%.</w:t>
      </w:r>
      <w:r>
        <w:t xml:space="preserve"> Escalation scenarios include PLA military exercise escalation, economic coercion campaign against Taiwan or supporters, or accidental incident in contested waters/airspace. Market transmission: semiconductor supply disruption (catastrophic for tech sector), manufacturing supply chain chaos, and currency volatility. Early warning: PLA exercise notifications, diplomatic recall, trade restriction announcements.</w:t>
      </w:r>
    </w:p>
    <w:p>
      <w:pPr>
        <w:pStyle w:val="Heading2"/>
      </w:pPr>
      <w:r>
        <w:t xml:space="preserve">X.C Trade &amp; Sanctions Risk</w:t>
      </w:r>
    </w:p>
    <w:p>
      <w:pPr>
        <w:spacing w:after="160"/>
      </w:pPr>
      <w:r>
        <w:t xml:space="preserve">The tariff environment remains elevated, with average US duties on Chinese goods at 47.5% (as of November 2025), the highest in over a century. The November 2025 US-China deal provides a one-year pause on further reciprocal tariff escalation, but the underlying tensions are unresolved. Trump has signaled potential 200% tariffs on pharmaceuticals by late 2026. The Supreme Court is evaluating the legality of IEEPA tariffs, with a ruling expected in early 2026 that could have significant implications. India's agreement to halt Russian oil purchases in exchange for tariff reduction illustrates the complex secondary effects of trade policy.</w:t>
      </w:r>
    </w:p>
    <w:p>
      <w:pPr>
        <w:spacing w:after="200"/>
      </w:pPr>
      <w:r>
        <w:rPr>
          <w:b/>
          <w:bCs/>
        </w:rPr>
        <w:t xml:space="preserve">Sanctions risk:</w:t>
      </w:r>
      <w:r>
        <w:t xml:space="preserve"> The Russia sanctions regime continues, with ongoing compliance demands. Secondary sanctions risk exists for entities dealing with sanctioned parties. Iran sanctions could intensify or ease depending on diplomatic trajectory. </w:t>
      </w:r>
      <w:r>
        <w:rPr>
          <w:b/>
          <w:bCs/>
        </w:rPr>
        <w:t xml:space="preserve">Recommended actions:</w:t>
      </w:r>
      <w:r>
        <w:t xml:space="preserve"> Ensure tariff cost assumptions in credit analysis reflect current rates. Monitor Supreme Court ruling. Review sanctions compliance procedures for currency.</w:t>
      </w:r>
    </w:p>
    <w:p>
      <w:r>
        <w:br w:type="page"/>
      </w:r>
    </w:p>
    <w:p>
      <w:pPr>
        <w:pStyle w:val="Heading1"/>
      </w:pPr>
      <w:r>
        <w:t xml:space="preserve">SECTION XI: CLIMATE &amp; ESG RISK</w:t>
      </w:r>
    </w:p>
    <w:p>
      <w:pPr>
        <w:pStyle w:val="Heading2"/>
      </w:pPr>
      <w:r>
        <w:t xml:space="preserve">XI.A Climate Risk Environment</w:t>
      </w:r>
    </w:p>
    <w:p>
      <w:pPr>
        <w:spacing w:after="200"/>
      </w:pPr>
      <w:r>
        <w:t xml:space="preserve">Climate risk remains on the regulatory agenda despite the change in US administration. SEC climate disclosure rules face legal challenge but are not withdrawn. European regulations (CSRD, Taxonomy) continue to advance. Physical risk events—wildfires, hurricanes, flooding—continue to cause losses and insurance market disruption. Transition risk affects carbon-intensive sectors facing regulatory pressure and changing consumer preferences. Market pricing of climate risk remains incomplete, creating both risks (stranded asset potential) and opportunities (mispriced climate-resilient assets).</w:t>
      </w:r>
    </w:p>
    <w:p>
      <w:pPr>
        <w:pStyle w:val="Heading2"/>
      </w:pPr>
      <w:r>
        <w:t xml:space="preserve">XI.B Physical &amp; Transition Risk Exposure</w:t>
      </w:r>
    </w:p>
    <w:p>
      <w:pPr>
        <w:spacing w:after="200"/>
      </w:pPr>
      <w:r>
        <w:t xml:space="preserve">Physical risk exposure should be assessed by geography, with particular attention to coastal property (hurricane, sea level), Western US property (wildfire, drought), and infrastructure in extreme weather zones. Insurance coverage and cost trends should be monitored. Transition risk exposure includes lending to carbon-intensive sectors (energy, materials, certain industrials and transportation) and asset valuations dependent on continued fossil fuel demand. Client transition progress—adoption of decarbonization strategies by major counterparties—provides both credit insight and reputation protection.</w:t>
      </w:r>
    </w:p>
    <w:p>
      <w:r>
        <w:br w:type="page"/>
      </w:r>
    </w:p>
    <w:p>
      <w:pPr>
        <w:pStyle w:val="Heading1"/>
      </w:pPr>
      <w:r>
        <w:t xml:space="preserve">SECTION XII: INTEGRATED SCENARIO ANALYSIS</w:t>
      </w:r>
    </w:p>
    <w:p>
      <w:pPr>
        <w:pStyle w:val="Heading2"/>
      </w:pPr>
      <w:r>
        <w:t xml:space="preserve">XII.A Base Case Scenario (Probability: 55%)</w:t>
      </w:r>
    </w:p>
    <w:p>
      <w:pPr>
        <w:spacing w:after="160"/>
      </w:pPr>
      <w:r>
        <w:t xml:space="preserve">The base case assumes continued economic expansion at a moderate pace (US GDP ~2%), inflation gradually returning toward 2% as tariff effects prove transitory, the Fed delivering one additional 25bp cut in Q4 2026, and geopolitical risks remaining contained without major escalation. Under this scenario, credit spreads remain in a narrow range around current levels, equity returns are positive but modest (5-10% for S&amp;P 500), and the CRE workout proceeds in orderly fashion with losses within expectations. Key indicators validating this scenario: Core PCE trending below 2.5%, unemployment stable around 4%, earnings growth meeting the 12-15% consensus, and no major geopolitical incidents.</w:t>
      </w:r>
    </w:p>
    <w:p>
      <w:pPr>
        <w:spacing w:after="200"/>
      </w:pPr>
      <w:r>
        <w:rPr>
          <w:b/>
          <w:bCs/>
        </w:rPr>
        <w:t xml:space="preserve">Recommended positioning:</w:t>
      </w:r>
      <w:r>
        <w:t xml:space="preserve"> Neutral risk posture with quality bias. Maintain hedges for tail scenarios. Focus on carry in IG credit and select HY. Selective equity exposure with factor quality screen.</w:t>
      </w:r>
    </w:p>
    <w:p>
      <w:pPr>
        <w:pStyle w:val="Heading2"/>
      </w:pPr>
      <w:r>
        <w:t xml:space="preserve">XII.B Adverse Scenario: Risk-Off Shock (Probability: 30%)</w:t>
      </w:r>
    </w:p>
    <w:p>
      <w:pPr>
        <w:spacing w:after="160"/>
      </w:pPr>
      <w:r>
        <w:t xml:space="preserve">This scenario is triggered by a combination of: earnings disappointment (growth below 8% vs. 12-15% expected), inflation persistence requiring Fed hawkish pivot (rates on hold or hiking), and CRE distress accelerating beyond expectations. The scenario unfolds over 2-3 quarters, with initial equity correction (-15-20%), credit spread widening (HY OAS to 5%+), dollar strength as safe-haven flows, and Treasury rally (10-year to 3.5-3.75%).</w:t>
      </w:r>
    </w:p>
    <w:p>
      <w:pPr>
        <w:spacing w:after="160"/>
      </w:pPr>
      <w:r>
        <w:rPr>
          <w:b/>
          <w:bCs/>
        </w:rPr>
        <w:t xml:space="preserve">Impact by risk stripe:</w:t>
      </w:r>
      <w:r>
        <w:t xml:space="preserve"> Market Risk: Equity portfolios -15-20%, duration gains partially offset in rates portfolios. Credit Risk: Expected losses increase 50-75%, watch list expands significantly, CRE losses at upper end of range. Liquidity Risk: Funding costs increase 25-50bps, market liquidity deteriorates requiring patient exit from positions. Operational Risk: Elevated transaction volumes stress systems, potential for operational errors. Total estimated impact: P&amp;L decline of 8-12% depending on risk profile and hedges in place.</w:t>
      </w:r>
    </w:p>
    <w:p>
      <w:pPr>
        <w:spacing w:after="200"/>
      </w:pPr>
      <w:r>
        <w:rPr>
          <w:b/>
          <w:bCs/>
        </w:rPr>
        <w:t xml:space="preserve">Defensive playbook:</w:t>
      </w:r>
      <w:r>
        <w:t xml:space="preserve"> Reduce equity beta immediately upon early signals. Tighten credit exposure, focusing on highest-quality names. Build liquidity buffers. Ensure operational resilience for elevated volumes. Communicate proactively with stakeholders.</w:t>
      </w:r>
    </w:p>
    <w:p>
      <w:pPr>
        <w:pStyle w:val="Heading2"/>
      </w:pPr>
      <w:r>
        <w:t xml:space="preserve">XII.C Adverse Scenario: Geopolitical Shock (Probability: 15%)</w:t>
      </w:r>
    </w:p>
    <w:p>
      <w:pPr>
        <w:spacing w:after="160"/>
      </w:pPr>
      <w:r>
        <w:t xml:space="preserve">This scenario is triggered by a major geopolitical escalation—most likely Middle East conflict disrupting oil supply or unexpected Taiwan Strait crisis. The scenario unfolds rapidly (days to weeks), with oil spiking to $85-100+, equities falling 20-30%, credit spreads widening dramatically (HY OAS to 6%+), and flight to quality driving Treasury yields sharply lower and gold higher. Currency impacts depend on specific scenario (dollar strength in Taiwan scenario, mixed in Middle East).</w:t>
      </w:r>
    </w:p>
    <w:p>
      <w:pPr>
        <w:spacing w:after="160"/>
      </w:pPr>
      <w:r>
        <w:rPr>
          <w:b/>
          <w:bCs/>
        </w:rPr>
        <w:t xml:space="preserve">Impact by risk stripe:</w:t>
      </w:r>
      <w:r>
        <w:t xml:space="preserve"> Market Risk: Severe and rapid across all risk assets. Credit Risk: Acute stress in exposed sectors, counterparty concerns emerge. Liquidity Risk: Market liquidity evaporates, funding stress possible. Operational Risk: Sanctions compliance demands, regional office disruption, cyber threat elevation. Total estimated impact: P&amp;L decline of 15-25% in initial phase, with recovery dependent on resolution timeline.</w:t>
      </w:r>
    </w:p>
    <w:p>
      <w:pPr>
        <w:spacing w:after="200"/>
      </w:pPr>
      <w:r>
        <w:rPr>
          <w:b/>
          <w:bCs/>
        </w:rPr>
        <w:t xml:space="preserve">Defensive playbook:</w:t>
      </w:r>
      <w:r>
        <w:t xml:space="preserve"> Activate crisis management protocols. Review regional exposures for sanction and disruption risk. Ensure hedges (particularly energy and equity put protection) are adequate. Communicate with counterparties and regulators. Avoid forced selling into distressed markets.</w:t>
      </w:r>
    </w:p>
    <w:p>
      <w:pPr>
        <w:pStyle w:val="Heading2"/>
      </w:pPr>
      <w:r>
        <w:t xml:space="preserve">XII.D Reverse Stress Test</w:t>
      </w:r>
    </w:p>
    <w:p>
      <w:pPr>
        <w:spacing w:after="200"/>
      </w:pPr>
      <w:r>
        <w:t xml:space="preserve">A combination of events that could cause capital breach would require: (1) equity market decline of 40%+ combined with (2) credit spread widening to 600bps+ combined with (3) multiple significant credit defaults including large single-name exposures combined with (4) operational loss event. Current conditions are distant from these triggers—the VIX would need to triple, spreads would need to more than double, and multiple low-probability events would need to coincide. However, the 2008 and 2020 experiences demonstrate that "fat tail" events can materialize and multiple risks can correlate. Early warning indicators: VIX sustained above 40, HY spreads above 400bps, funding market stress indicators, multiple counterparty CDS widening simultaneously.</w:t>
      </w:r>
    </w:p>
    <w:p>
      <w:r>
        <w:br w:type="page"/>
      </w:r>
    </w:p>
    <w:p>
      <w:pPr>
        <w:pStyle w:val="Heading1"/>
      </w:pPr>
      <w:r>
        <w:t xml:space="preserve">SECTION XIII: RECOMMENDED ACTIONS</w:t>
      </w:r>
    </w:p>
    <w:p>
      <w:pPr>
        <w:pStyle w:val="Heading2"/>
      </w:pPr>
      <w:r>
        <w:t xml:space="preserve">XIII.A Immediate Actions (This Week)</w:t>
      </w:r>
    </w:p>
    <w:p>
      <w:pPr>
        <w:pStyle w:val="ListParagraph"/>
        <w:numPr>
          <w:ilvl w:val="0"/>
          <w:numId w:val="2"/>
        </w:numPr>
        <w:spacing w:after="120"/>
      </w:pPr>
      <w:r>
        <w:rPr>
          <w:b/>
          <w:bCs/>
        </w:rPr>
        <w:t xml:space="preserve">Complete CRE exposure deep dive:</w:t>
      </w:r>
      <w:r>
        <w:t xml:space="preserve"> Review all commercial real estate exposures by property type, geography, sponsor, and LTV. Identify any credits requiring immediate watch list addition. Risk stripe: Credit. Rationale: The 83.7% delinquency rate on matured CMBS office loans demands urgent attention. Owner: Credit Risk. Deadline: February 7. Consequence if delayed: Potential for unidentified losses to crystallize without advance preparation.</w:t>
      </w:r>
    </w:p>
    <w:p>
      <w:pPr>
        <w:pStyle w:val="ListParagraph"/>
        <w:numPr>
          <w:ilvl w:val="0"/>
          <w:numId w:val="2"/>
        </w:numPr>
        <w:spacing w:after="120"/>
      </w:pPr>
      <w:r>
        <w:rPr>
          <w:b/>
          <w:bCs/>
        </w:rPr>
        <w:t xml:space="preserve">Verify equity tail hedge adequacy:</w:t>
      </w:r>
      <w:r>
        <w:t xml:space="preserve"> Confirm put spread protection covers downside scenarios of -15% to -25%. Adjust strikes/notional if necessary. Risk stripe: Market. Rationale: VIX at multi-year lows offers cheap protection. Owner: Market Risk/Trading. Deadline: February 6. Consequence if delayed: Expensive to add protection after volatility spikes.</w:t>
      </w:r>
    </w:p>
    <w:p>
      <w:pPr>
        <w:pStyle w:val="ListParagraph"/>
        <w:numPr>
          <w:ilvl w:val="0"/>
          <w:numId w:val="2"/>
        </w:numPr>
        <w:spacing w:after="200"/>
      </w:pPr>
      <w:r>
        <w:rPr>
          <w:b/>
          <w:bCs/>
        </w:rPr>
        <w:t xml:space="preserve">Review counterparty exposures to regional banks:</w:t>
      </w:r>
      <w:r>
        <w:t xml:space="preserve"> Identify any counterparties with concentrated CRE exposure or recent funding stress indicators. Risk stripe: Counterparty. Rationale: Metropolitan Capital Bank failure signals institution-specific risks remain. Owner: Counterparty Risk. Deadline: February 7. Consequence if delayed: Potential for counterparty deterioration without early warning.</w:t>
      </w:r>
    </w:p>
    <w:p>
      <w:pPr>
        <w:pStyle w:val="Heading2"/>
      </w:pPr>
      <w:r>
        <w:t xml:space="preserve">XIII.B Near-Term Actions (Next 2-4 Weeks)</w:t>
      </w:r>
    </w:p>
    <w:p>
      <w:pPr>
        <w:pStyle w:val="ListParagraph"/>
        <w:numPr>
          <w:ilvl w:val="0"/>
          <w:numId w:val="2"/>
        </w:numPr>
        <w:spacing w:after="120"/>
      </w:pPr>
      <w:r>
        <w:rPr>
          <w:b/>
          <w:bCs/>
        </w:rPr>
        <w:t xml:space="preserve">Stress test portfolios under Warsh/hawkish Fed scenario:</w:t>
      </w:r>
      <w:r>
        <w:t xml:space="preserve"> Model impact of rates 75-100bps higher than base case through 2026-2027. Risk stripe: Market/Credit. Rationale: Fed Chair transition creates policy uncertainty. Owner: Risk Analytics. Deadline: February 21.</w:t>
      </w:r>
    </w:p>
    <w:p>
      <w:pPr>
        <w:pStyle w:val="ListParagraph"/>
        <w:numPr>
          <w:ilvl w:val="0"/>
          <w:numId w:val="2"/>
        </w:numPr>
        <w:spacing w:after="120"/>
      </w:pPr>
      <w:r>
        <w:rPr>
          <w:b/>
          <w:bCs/>
        </w:rPr>
        <w:t xml:space="preserve">Conduct cyber tabletop exercise:</w:t>
      </w:r>
      <w:r>
        <w:t xml:space="preserve"> Test incident response protocols against AI-powered attack scenario including deepfake social engineering. Risk stripe: Operational. Rationale: 52% of bankers expect worsening cyber attacks in 2026. Owner: CISO/Operational Risk. Deadline: February 28.</w:t>
      </w:r>
    </w:p>
    <w:p>
      <w:pPr>
        <w:pStyle w:val="ListParagraph"/>
        <w:numPr>
          <w:ilvl w:val="0"/>
          <w:numId w:val="2"/>
        </w:numPr>
        <w:spacing w:after="200"/>
      </w:pPr>
      <w:r>
        <w:rPr>
          <w:b/>
          <w:bCs/>
        </w:rPr>
        <w:t xml:space="preserve">Review liquidity stress test assumptions:</w:t>
      </w:r>
      <w:r>
        <w:t xml:space="preserve"> Update scenarios to reflect current SRF usage patterns and quarter-end pressure expectations. Risk stripe: Liquidity. Rationale: Elevated SRF borrowing signals funding market strain. Owner: Treasury/Liquidity Risk. Deadline: February 21.</w:t>
      </w:r>
    </w:p>
    <w:p>
      <w:pPr>
        <w:pStyle w:val="Heading2"/>
      </w:pPr>
      <w:r>
        <w:t xml:space="preserve">XIII.C Strategic Actions (1-3 Month Horizon)</w:t>
      </w:r>
    </w:p>
    <w:p>
      <w:pPr>
        <w:pStyle w:val="ListParagraph"/>
        <w:numPr>
          <w:ilvl w:val="0"/>
          <w:numId w:val="2"/>
        </w:numPr>
        <w:spacing w:after="120"/>
      </w:pPr>
      <w:r>
        <w:rPr>
          <w:b/>
          <w:bCs/>
        </w:rPr>
        <w:t xml:space="preserve">Develop distressed CRE opportunity framework:</w:t>
      </w:r>
      <w:r>
        <w:t xml:space="preserve"> With $126.6B in distressed CRE volume and rising, evaluate whether firm should be net buyer of select distressed assets where sponsorship is weak but fundamentals are viable. Risk stripe: Strategic/Credit. Owner: CRO/Business Heads. Deadline: March 31.</w:t>
      </w:r>
    </w:p>
    <w:p>
      <w:pPr>
        <w:pStyle w:val="ListParagraph"/>
        <w:numPr>
          <w:ilvl w:val="0"/>
          <w:numId w:val="2"/>
        </w:numPr>
        <w:spacing w:after="120"/>
      </w:pPr>
      <w:r>
        <w:rPr>
          <w:b/>
          <w:bCs/>
        </w:rPr>
        <w:t xml:space="preserve">Prepare for Basel III Endgame re-proposal:</w:t>
      </w:r>
      <w:r>
        <w:t xml:space="preserve"> Ensure impact assessment capabilities are ready to analyze revised rule upon publication. Risk stripe: Regulatory. Owner: Capital Management/Risk. Deadline: March 15.</w:t>
      </w:r>
    </w:p>
    <w:p>
      <w:pPr>
        <w:pStyle w:val="ListParagraph"/>
        <w:numPr>
          <w:ilvl w:val="0"/>
          <w:numId w:val="2"/>
        </w:numPr>
        <w:spacing w:after="200"/>
      </w:pPr>
      <w:r>
        <w:rPr>
          <w:b/>
          <w:bCs/>
        </w:rPr>
        <w:t xml:space="preserve">Enhance AI/ML model governance framework:</w:t>
      </w:r>
      <w:r>
        <w:t xml:space="preserve"> Establish clear policies for AI model deployment, explainability requirements, and ongoing monitoring. Risk stripe: Model Risk. Owner: Model Risk Management. Deadline: April 30.</w:t>
      </w:r>
    </w:p>
    <w:p>
      <w:pPr>
        <w:pStyle w:val="Heading2"/>
      </w:pPr>
      <w:r>
        <w:t xml:space="preserve">XIII.D Items Requiring CRO Decision</w:t>
      </w:r>
    </w:p>
    <w:p>
      <w:pPr>
        <w:pStyle w:val="ListParagraph"/>
        <w:numPr>
          <w:ilvl w:val="0"/>
          <w:numId w:val="2"/>
        </w:numPr>
        <w:spacing w:after="120"/>
      </w:pPr>
      <w:r>
        <w:rPr>
          <w:b/>
          <w:bCs/>
        </w:rPr>
        <w:t xml:space="preserve">Risk appetite for CRE sector:</w:t>
      </w:r>
      <w:r>
        <w:t xml:space="preserve"> Current limits may be either too restrictive (missing recovery opportunities) or insufficiently conservative (allowing additional stress exposure). Options: (a) Maintain current limits; (b) Reduce limits 10-20% given ongoing stress; (c) Create separate "opportunistic" allocation for distressed purchases. Recommendation: Option (c) with strict criteria. Urgency: Medium. Decision deadline: February 21.</w:t>
      </w:r>
    </w:p>
    <w:p>
      <w:pPr>
        <w:pStyle w:val="ListParagraph"/>
        <w:numPr>
          <w:ilvl w:val="0"/>
          <w:numId w:val="2"/>
        </w:numPr>
        <w:spacing w:after="200"/>
      </w:pPr>
      <w:r>
        <w:rPr>
          <w:b/>
          <w:bCs/>
        </w:rPr>
        <w:t xml:space="preserve">Tail hedge budget for 2026:</w:t>
      </w:r>
      <w:r>
        <w:t xml:space="preserve"> Determine appropriate spending on portfolio hedges given current low volatility but elevated tail risks. Options: (a) Maintain current budget; (b) Increase by 25% to take advantage of cheap protection; (c) Reduce to improve returns in base case. Recommendation: Option (b). Urgency: High—protection is cheap now. Decision deadline: February 14.</w:t>
      </w:r>
    </w:p>
    <w:p>
      <w:r>
        <w:br w:type="page"/>
      </w:r>
    </w:p>
    <w:p>
      <w:pPr>
        <w:pStyle w:val="Heading1"/>
      </w:pPr>
      <w:r>
        <w:t xml:space="preserve">SECTION XIV: KEY CALENDAR — NEXT 30 DAYS</w:t>
      </w:r>
    </w:p>
    <w:p>
      <w:pPr>
        <w:pStyle w:val="Heading2"/>
      </w:pPr>
      <w:r>
        <w:t xml:space="preserve">Week 1: February 4-8</w:t>
      </w:r>
    </w:p>
    <w:p>
      <w:pPr>
        <w:spacing w:after="200"/>
      </w:pPr>
      <w:r>
        <w:rPr>
          <w:b/>
          <w:bCs/>
        </w:rPr>
        <w:t xml:space="preserve">February 5-7:</w:t>
      </w:r>
      <w:r>
        <w:t xml:space="preserve"> US-Russia-Ukraine trilateral talks in Abu Dhabi—potential for breakthrough or breakdown; high market impact if significant development. </w:t>
      </w:r>
      <w:r>
        <w:rPr>
          <w:b/>
          <w:bCs/>
        </w:rPr>
        <w:t xml:space="preserve">February 7:</w:t>
      </w:r>
      <w:r>
        <w:t xml:space="preserve"> January Jobs Report (delayed by shutdown) expected upon release—first major labor data of year; consensus unemployment 4.1%, any upside surprise could shift Fed expectations. </w:t>
      </w:r>
      <w:r>
        <w:rPr>
          <w:b/>
          <w:bCs/>
        </w:rPr>
        <w:t xml:space="preserve">February 8:</w:t>
      </w:r>
      <w:r>
        <w:t xml:space="preserve"> Japan snap election—outcome affects BOJ policy trajectory and yen; polling uncertain. </w:t>
      </w:r>
      <w:r>
        <w:rPr>
          <w:b/>
          <w:bCs/>
          <w:color w:val="C00000"/>
        </w:rPr>
        <w:t xml:space="preserve">Risk level: ELEVATED</w:t>
      </w:r>
      <w:r>
        <w:t xml:space="preserve"> due to concentration of potentially market-moving events.</w:t>
      </w:r>
    </w:p>
    <w:p>
      <w:pPr>
        <w:pStyle w:val="Heading2"/>
      </w:pPr>
      <w:r>
        <w:t xml:space="preserve">Week 2: February 9-15</w:t>
      </w:r>
    </w:p>
    <w:p>
      <w:pPr>
        <w:spacing w:after="200"/>
      </w:pPr>
      <w:r>
        <w:rPr>
          <w:b/>
          <w:bCs/>
        </w:rPr>
        <w:t xml:space="preserve">February 10-14:</w:t>
      </w:r>
      <w:r>
        <w:t xml:space="preserve"> Heavy Q4 earnings week with major financials and technology companies reporting. </w:t>
      </w:r>
      <w:r>
        <w:rPr>
          <w:b/>
          <w:bCs/>
        </w:rPr>
        <w:t xml:space="preserve">February 12:</w:t>
      </w:r>
      <w:r>
        <w:t xml:space="preserve"> CPI release—critical test of "tariffs are transitory" thesis; consensus core CPI 2.8% YoY. </w:t>
      </w:r>
      <w:r>
        <w:rPr>
          <w:b/>
          <w:bCs/>
        </w:rPr>
        <w:t xml:space="preserve">February 14:</w:t>
      </w:r>
      <w:r>
        <w:t xml:space="preserve"> Valentine's Day; historically quiet markets but watch for position squaring ahead of long weekend. </w:t>
      </w:r>
      <w:r>
        <w:rPr>
          <w:b/>
          <w:bCs/>
          <w:color w:val="ED7D31"/>
        </w:rPr>
        <w:t xml:space="preserve">Risk level: MODERATE TO ELEVATED</w:t>
      </w:r>
      <w:r>
        <w:t xml:space="preserve"> depending on earnings results and inflation data.</w:t>
      </w:r>
    </w:p>
    <w:p>
      <w:pPr>
        <w:pStyle w:val="Heading2"/>
      </w:pPr>
      <w:r>
        <w:t xml:space="preserve">Week 3: February 16-22</w:t>
      </w:r>
    </w:p>
    <w:p>
      <w:pPr>
        <w:spacing w:after="200"/>
      </w:pPr>
      <w:r>
        <w:rPr>
          <w:b/>
          <w:bCs/>
        </w:rPr>
        <w:t xml:space="preserve">February 17:</w:t>
      </w:r>
      <w:r>
        <w:t xml:space="preserve"> Presidents Day—US markets closed; thin liquidity in global markets. </w:t>
      </w:r>
      <w:r>
        <w:rPr>
          <w:b/>
          <w:bCs/>
        </w:rPr>
        <w:t xml:space="preserve">February 18:</w:t>
      </w:r>
      <w:r>
        <w:t xml:space="preserve"> Treasury refunding announcement—scrutiny of auction sizes amid elevated yields; potential for rate volatility if sizes surprise. </w:t>
      </w:r>
      <w:r>
        <w:rPr>
          <w:b/>
          <w:bCs/>
        </w:rPr>
        <w:t xml:space="preserve">February 19:</w:t>
      </w:r>
      <w:r>
        <w:t xml:space="preserve"> FOMC minutes from January meeting released—will be parsed for hints on policy trajectory and Warsh views. </w:t>
      </w:r>
      <w:r>
        <w:rPr>
          <w:b/>
          <w:bCs/>
          <w:color w:val="70AD47"/>
        </w:rPr>
        <w:t xml:space="preserve">Risk level: MODERATE</w:t>
      </w:r>
      <w:r>
        <w:t xml:space="preserve">.</w:t>
      </w:r>
    </w:p>
    <w:p>
      <w:pPr>
        <w:pStyle w:val="Heading2"/>
      </w:pPr>
      <w:r>
        <w:t xml:space="preserve">Week 4: February 23-March 1</w:t>
      </w:r>
    </w:p>
    <w:p>
      <w:pPr>
        <w:spacing w:after="200"/>
      </w:pPr>
      <w:r>
        <w:rPr>
          <w:b/>
          <w:bCs/>
        </w:rPr>
        <w:t xml:space="preserve">February 27:</w:t>
      </w:r>
      <w:r>
        <w:t xml:space="preserve"> Q4 GDP second estimate—revision to initial 1.8% print. </w:t>
      </w:r>
      <w:r>
        <w:rPr>
          <w:b/>
          <w:bCs/>
        </w:rPr>
        <w:t xml:space="preserve">February 28:</w:t>
      </w:r>
      <w:r>
        <w:t xml:space="preserve"> Core PCE (Fed's preferred inflation measure)—critical for rate expectations. Month-end rebalancing flows. </w:t>
      </w:r>
      <w:r>
        <w:rPr>
          <w:b/>
          <w:bCs/>
        </w:rPr>
        <w:t xml:space="preserve">March 1:</w:t>
      </w:r>
      <w:r>
        <w:t xml:space="preserve"> OPEC+ decision on whether to resume monthly output increases—high impact on oil prices. </w:t>
      </w:r>
      <w:r>
        <w:rPr>
          <w:b/>
          <w:bCs/>
          <w:color w:val="C00000"/>
        </w:rPr>
        <w:t xml:space="preserve">Risk level: ELEVATED</w:t>
      </w:r>
      <w:r>
        <w:t xml:space="preserve"> around month-end and OPEC+ decision.</w:t>
      </w:r>
    </w:p>
    <w:p>
      <w:pPr>
        <w:pStyle w:val="Heading2"/>
      </w:pPr>
      <w:r>
        <w:t xml:space="preserve">Wildcards</w:t>
      </w:r>
    </w:p>
    <w:p>
      <w:pPr>
        <w:spacing w:after="200"/>
      </w:pPr>
      <w:r>
        <w:t xml:space="preserve">Events that could emerge unexpectedly and materially impact markets: (1) Supreme Court ruling on IEEPA tariff authority—could invalidate tariff framework; (2) Additional regional bank stress—any failure announcement would trigger sector fear; (3) Major cyber incident affecting financial infrastructure—could freeze markets temporarily; (4) Unexpected geopolitical escalation—Iran, Taiwan, Ukraine scenarios all possible; (5) Warsh confirmation hearing developments—any controversy could affect market expectations. </w:t>
      </w:r>
      <w:r>
        <w:rPr>
          <w:b/>
          <w:bCs/>
        </w:rPr>
        <w:t xml:space="preserve">Early warning indicators we monitor:</w:t>
      </w:r>
      <w:r>
        <w:t xml:space="preserve"> CDS spreads on regional banks, oil price spikes without fundamental driver, cyber threat intelligence reports, diplomatic recall notices, and social media geopolitical sentiment.</w:t>
      </w:r>
    </w:p>
    <w:p>
      <w:r>
        <w:br w:type="page"/>
      </w:r>
    </w:p>
    <w:p>
      <w:pPr>
        <w:pStyle w:val="Heading1"/>
      </w:pPr>
      <w:r>
        <w:t xml:space="preserve">APPENDICES</w:t>
      </w:r>
    </w:p>
    <w:p>
      <w:pPr>
        <w:pStyle w:val="Heading2"/>
      </w:pPr>
      <w:r>
        <w:t xml:space="preserve">Appendix A: Market Snapshot (February 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shd w:fill="1F4E79" w:val="clear"/>
          </w:tcPr>
          <w:p>
            <w:r>
              <w:rPr>
                <w:b/>
                <w:bCs/>
                <w:color w:val="FFFFFF"/>
              </w:rPr>
              <w:t xml:space="preserve">Asset</w:t>
            </w:r>
          </w:p>
        </w:tc>
        <w:tc>
          <w:tcPr>
            <w:shd w:fill="1F4E79" w:val="clear"/>
          </w:tcPr>
          <w:p>
            <w:r>
              <w:rPr>
                <w:b/>
                <w:bCs/>
                <w:color w:val="FFFFFF"/>
              </w:rPr>
              <w:t xml:space="preserve">Level</w:t>
            </w:r>
          </w:p>
        </w:tc>
        <w:tc>
          <w:tcPr>
            <w:shd w:fill="1F4E79" w:val="clear"/>
          </w:tcPr>
          <w:p>
            <w:r>
              <w:rPr>
                <w:b/>
                <w:bCs/>
                <w:color w:val="FFFFFF"/>
              </w:rPr>
              <w:t xml:space="preserve">Change (YTD)</w:t>
            </w:r>
          </w:p>
        </w:tc>
      </w:tr>
      <w:tr>
        <w:tc>
          <w:p>
            <w:r>
              <w:t xml:space="preserve">S&amp;P 500</w:t>
            </w:r>
          </w:p>
        </w:tc>
        <w:tc>
          <w:p>
            <w:r>
              <w:t xml:space="preserve">~6,400</w:t>
            </w:r>
          </w:p>
        </w:tc>
        <w:tc>
          <w:p>
            <w:r>
              <w:t xml:space="preserve">+16% (LTM)</w:t>
            </w:r>
          </w:p>
        </w:tc>
      </w:tr>
      <w:tr>
        <w:tc>
          <w:p>
            <w:r>
              <w:t xml:space="preserve">US 10Y Treasury</w:t>
            </w:r>
          </w:p>
        </w:tc>
        <w:tc>
          <w:p>
            <w:r>
              <w:t xml:space="preserve">4.29%</w:t>
            </w:r>
          </w:p>
        </w:tc>
        <w:tc>
          <w:p>
            <w:r>
              <w:t xml:space="preserve">Stable</w:t>
            </w:r>
          </w:p>
        </w:tc>
      </w:tr>
      <w:tr>
        <w:tc>
          <w:p>
            <w:r>
              <w:t xml:space="preserve">HY OAS</w:t>
            </w:r>
          </w:p>
        </w:tc>
        <w:tc>
          <w:p>
            <w:r>
              <w:t xml:space="preserve">2.9%</w:t>
            </w:r>
          </w:p>
        </w:tc>
        <w:tc>
          <w:p>
            <w:r>
              <w:t xml:space="preserve">Near historic lows</w:t>
            </w:r>
          </w:p>
        </w:tc>
      </w:tr>
      <w:tr>
        <w:tc>
          <w:p>
            <w:r>
              <w:t xml:space="preserve">VIX</w:t>
            </w:r>
          </w:p>
        </w:tc>
        <w:tc>
          <w:p>
            <w:r>
              <w:t xml:space="preserve">15-17</w:t>
            </w:r>
          </w:p>
        </w:tc>
        <w:tc>
          <w:p>
            <w:r>
              <w:t xml:space="preserve">Near multi-year lows</w:t>
            </w:r>
          </w:p>
        </w:tc>
      </w:tr>
      <w:tr>
        <w:tc>
          <w:p>
            <w:r>
              <w:t xml:space="preserve">DXY</w:t>
            </w:r>
          </w:p>
        </w:tc>
        <w:tc>
          <w:p>
            <w:r>
              <w:t xml:space="preserve">97.5</w:t>
            </w:r>
          </w:p>
        </w:tc>
        <w:tc>
          <w:p>
            <w:r>
              <w:t xml:space="preserve">-9.4% (LTM)</w:t>
            </w:r>
          </w:p>
        </w:tc>
      </w:tr>
      <w:tr>
        <w:tc>
          <w:p>
            <w:r>
              <w:t xml:space="preserve">Brent Crude</w:t>
            </w:r>
          </w:p>
        </w:tc>
        <w:tc>
          <w:p>
            <w:r>
              <w:t xml:space="preserve">$66.5/bbl</w:t>
            </w:r>
          </w:p>
        </w:tc>
        <w:tc>
          <w:p>
            <w:r>
              <w:t xml:space="preserve">Volatile (recent $71 spike)</w:t>
            </w:r>
          </w:p>
        </w:tc>
      </w:tr>
      <w:tr>
        <w:tc>
          <w:p>
            <w:r>
              <w:t xml:space="preserve">Gold</w:t>
            </w:r>
          </w:p>
        </w:tc>
        <w:tc>
          <w:p>
            <w:r>
              <w:t xml:space="preserve">$4,930/oz</w:t>
            </w:r>
          </w:p>
        </w:tc>
        <w:tc>
          <w:p>
            <w:r>
              <w:t xml:space="preserve">+8% YTD</w:t>
            </w:r>
          </w:p>
        </w:tc>
      </w:tr>
      <w:tr>
        <w:tc>
          <w:p>
            <w:r>
              <w:t xml:space="preserve">Fed Funds Rate</w:t>
            </w:r>
          </w:p>
        </w:tc>
        <w:tc>
          <w:p>
            <w:r>
              <w:t xml:space="preserve">3.50-3.75%</w:t>
            </w:r>
          </w:p>
        </w:tc>
        <w:tc>
          <w:p>
            <w:r>
              <w:t xml:space="preserve">On hold since Jan</w:t>
            </w:r>
          </w:p>
        </w:tc>
      </w:tr>
    </w:tbl>
    <w:p>
      <w:pPr>
        <w:spacing w:after="200"/>
      </w:pPr>
    </w:p>
    <w:p>
      <w:pPr>
        <w:pStyle w:val="Heading2"/>
      </w:pPr>
      <w:r>
        <w:t xml:space="preserve">Appendix B: Abbreviations</w:t>
      </w:r>
    </w:p>
    <w:p>
      <w:pPr>
        <w:spacing w:after="200"/>
      </w:pPr>
      <w:r>
        <w:rPr>
          <w:b/>
          <w:bCs/>
        </w:rPr>
        <w:t xml:space="preserve">BOJ:</w:t>
      </w:r>
      <w:r>
        <w:t xml:space="preserve"> Bank of Japan. </w:t>
      </w:r>
      <w:r>
        <w:rPr>
          <w:b/>
          <w:bCs/>
        </w:rPr>
        <w:t xml:space="preserve">CDS:</w:t>
      </w:r>
      <w:r>
        <w:t xml:space="preserve"> Credit Default Swap. </w:t>
      </w:r>
      <w:r>
        <w:rPr>
          <w:b/>
          <w:bCs/>
        </w:rPr>
        <w:t xml:space="preserve">CMBS:</w:t>
      </w:r>
      <w:r>
        <w:t xml:space="preserve"> Commercial Mortgage-Backed Securities. </w:t>
      </w:r>
      <w:r>
        <w:rPr>
          <w:b/>
          <w:bCs/>
        </w:rPr>
        <w:t xml:space="preserve">CRE:</w:t>
      </w:r>
      <w:r>
        <w:t xml:space="preserve"> Commercial Real Estate. </w:t>
      </w:r>
      <w:r>
        <w:rPr>
          <w:b/>
          <w:bCs/>
        </w:rPr>
        <w:t xml:space="preserve">DXY:</w:t>
      </w:r>
      <w:r>
        <w:t xml:space="preserve"> US Dollar Index. </w:t>
      </w:r>
      <w:r>
        <w:rPr>
          <w:b/>
          <w:bCs/>
        </w:rPr>
        <w:t xml:space="preserve">ECB:</w:t>
      </w:r>
      <w:r>
        <w:t xml:space="preserve"> European Central Bank. </w:t>
      </w:r>
      <w:r>
        <w:rPr>
          <w:b/>
          <w:bCs/>
        </w:rPr>
        <w:t xml:space="preserve">FOMC:</w:t>
      </w:r>
      <w:r>
        <w:t xml:space="preserve"> Federal Open Market Committee. </w:t>
      </w:r>
      <w:r>
        <w:rPr>
          <w:b/>
          <w:bCs/>
        </w:rPr>
        <w:t xml:space="preserve">HY:</w:t>
      </w:r>
      <w:r>
        <w:t xml:space="preserve"> High Yield. </w:t>
      </w:r>
      <w:r>
        <w:rPr>
          <w:b/>
          <w:bCs/>
        </w:rPr>
        <w:t xml:space="preserve">IG:</w:t>
      </w:r>
      <w:r>
        <w:t xml:space="preserve"> Investment Grade. </w:t>
      </w:r>
      <w:r>
        <w:rPr>
          <w:b/>
          <w:bCs/>
        </w:rPr>
        <w:t xml:space="preserve">LCR:</w:t>
      </w:r>
      <w:r>
        <w:t xml:space="preserve"> Liquidity Coverage Ratio. </w:t>
      </w:r>
      <w:r>
        <w:rPr>
          <w:b/>
          <w:bCs/>
        </w:rPr>
        <w:t xml:space="preserve">LTM:</w:t>
      </w:r>
      <w:r>
        <w:t xml:space="preserve"> Last Twelve Months. </w:t>
      </w:r>
      <w:r>
        <w:rPr>
          <w:b/>
          <w:bCs/>
        </w:rPr>
        <w:t xml:space="preserve">NSFR:</w:t>
      </w:r>
      <w:r>
        <w:t xml:space="preserve"> Net Stable Funding Ratio. </w:t>
      </w:r>
      <w:r>
        <w:rPr>
          <w:b/>
          <w:bCs/>
        </w:rPr>
        <w:t xml:space="preserve">OAS:</w:t>
      </w:r>
      <w:r>
        <w:t xml:space="preserve"> Option-Adjusted Spread. </w:t>
      </w:r>
      <w:r>
        <w:rPr>
          <w:b/>
          <w:bCs/>
        </w:rPr>
        <w:t xml:space="preserve">P/E:</w:t>
      </w:r>
      <w:r>
        <w:t xml:space="preserve"> Price-to-Earnings Ratio. </w:t>
      </w:r>
      <w:r>
        <w:rPr>
          <w:b/>
          <w:bCs/>
        </w:rPr>
        <w:t xml:space="preserve">SRF:</w:t>
      </w:r>
      <w:r>
        <w:t xml:space="preserve"> Standing Repo Facility. </w:t>
      </w:r>
      <w:r>
        <w:rPr>
          <w:b/>
          <w:bCs/>
        </w:rPr>
        <w:t xml:space="preserve">VaR:</w:t>
      </w:r>
      <w:r>
        <w:t xml:space="preserve"> Value at Risk. </w:t>
      </w:r>
      <w:r>
        <w:rPr>
          <w:b/>
          <w:bCs/>
        </w:rPr>
        <w:t xml:space="preserve">VIX:</w:t>
      </w:r>
      <w:r>
        <w:t xml:space="preserve"> CBOE Volatility Index. </w:t>
      </w:r>
      <w:r>
        <w:rPr>
          <w:b/>
          <w:bCs/>
        </w:rPr>
        <w:t xml:space="preserve">YoY:</w:t>
      </w:r>
      <w:r>
        <w:t xml:space="preserve"> Year-over-Year. </w:t>
      </w:r>
      <w:r>
        <w:rPr>
          <w:b/>
          <w:bCs/>
        </w:rPr>
        <w:t xml:space="preserve">YTD:</w:t>
      </w:r>
      <w:r>
        <w:t xml:space="preserve"> Year-to-Date.</w:t>
      </w:r>
    </w:p>
    <w:p>
      <w:pPr>
        <w:spacing w:after="400"/>
      </w:pPr>
    </w:p>
    <w:p>
      <w:pPr>
        <w:spacing w:before="400"/>
        <w:jc w:val="center"/>
      </w:pPr>
      <w:r>
        <w:rPr>
          <w:b/>
          <w:bCs/>
          <w:sz w:val="24"/>
          <w:szCs w:val="24"/>
        </w:rPr>
        <w:t xml:space="preserve">— END OF REPORT —</w:t>
      </w:r>
    </w:p>
    <w:p>
      <w:pPr>
        <w:spacing w:before="200"/>
        <w:jc w:val="center"/>
      </w:pPr>
      <w:r>
        <w:rPr>
          <w:i/>
          <w:iCs/>
          <w:color w:val="808080"/>
          <w:sz w:val="18"/>
          <w:szCs w:val="18"/>
        </w:rPr>
        <w:t xml:space="preserve">This document is strictly confidential and intended solely for the named recipients. Any unauthorized distribution is prohibited.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808080"/>
        <w:sz w:val="18"/>
        <w:szCs w:val="18"/>
      </w:rPr>
      <w:t xml:space="preserve">  |  February 4, 2026  |  STRICTLY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08080"/>
        <w:sz w:val="18"/>
        <w:szCs w:val="18"/>
      </w:rPr>
      <w:t xml:space="preserve">CONFIDENTIAL – CRO RISK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2026-02-04T15:41:04.434Z</dcterms:created>
  <dcterms:modified xsi:type="dcterms:W3CDTF">2026-02-04T15:41:04.434Z</dcterms:modified>
</cp:coreProperties>
</file>

<file path=docProps/custom.xml><?xml version="1.0" encoding="utf-8"?>
<Properties xmlns="http://schemas.openxmlformats.org/officeDocument/2006/custom-properties" xmlns:vt="http://schemas.openxmlformats.org/officeDocument/2006/docPropsVTypes"/>
</file>