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Industry-Leading Stress Testing Models</w:t>
      </w:r>
    </w:p>
    <w:p>
      <w:pPr>
        <w:spacing w:after="100"/>
        <w:jc w:val="center"/>
      </w:pPr>
      <w:r>
        <w:rPr>
          <w:b/>
          <w:bCs/>
          <w:color w:val="1B4F72"/>
          <w:sz w:val="40"/>
          <w:szCs w:val="40"/>
        </w:rPr>
        <w:t xml:space="preserve">&amp; Scenario Development Lifecycle</w:t>
      </w:r>
    </w:p>
    <w:p>
      <w:pPr>
        <w:spacing w:before="400" w:after="200"/>
        <w:jc w:val="center"/>
      </w:pPr>
      <w:r>
        <w:rPr>
          <w:color w:val="666666"/>
          <w:sz w:val="24"/>
          <w:szCs w:val="24"/>
        </w:rPr>
        <w:t xml:space="preserve">A Comprehensive Analysis of Best-in-Class Methodologies Used by</w:t>
      </w:r>
    </w:p>
    <w:p>
      <w:pPr>
        <w:jc w:val="center"/>
      </w:pPr>
      <w:r>
        <w:rPr>
          <w:color w:val="666666"/>
          <w:sz w:val="24"/>
          <w:szCs w:val="24"/>
        </w:rPr>
        <w:t xml:space="preserve">Federal Reserve, EBA, ECB &amp; G-SIB Institutions</w:t>
      </w:r>
    </w:p>
    <w:p>
      <w:pPr>
        <w:spacing w:before="600"/>
        <w:jc w:val="center"/>
      </w:pPr>
      <w:r>
        <w:rPr>
          <w:color w:val="888888"/>
          <w:sz w:val="22"/>
          <w:szCs w:val="22"/>
        </w:rPr>
        <w:t xml:space="preserve">December 2025</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pPr>
      <w:r>
        <w:t xml:space="preserve">Stress testing has evolved from a simple regulatory compliance exercise into a sophisticated, multi-dimensional risk management framework that sits at the heart of modern banking supervision. Since the 2009 Supervisory Capital Assessment Program (SCAP), stress testing methodologies have become increasingly complex, incorporating advanced statistical models, machine learning techniques, and comprehensive macroeconomic scenario generation.</w:t>
      </w:r>
    </w:p>
    <w:p>
      <w:pPr>
        <w:spacing w:after="200"/>
      </w:pPr>
      <w:r>
        <w:t xml:space="preserve">This document provides a complete analysis of the best-in-class stress testing models and algorithms currently employed by industry leaders including JPMorgan Chase, Goldman Sachs, Bank of America, Citigroup, and Morgan Stanley, as well as the methodologies mandated by the Federal Reserve (CCAR/DFAST), European Banking Authority (EBA), and European Central Bank (ECB). We examine the mathematical foundations, intuitive rationale, practical implementation considerations, and placement within the stress scenario development lifecycle.</w:t>
      </w:r>
    </w:p>
    <w:p>
      <w:pPr>
        <w:pStyle w:val="Heading1"/>
      </w:pPr>
      <w:r>
        <w:t xml:space="preserve">2. Regulatory Framework Overview</w:t>
      </w:r>
    </w:p>
    <w:p>
      <w:pPr>
        <w:pStyle w:val="Heading2"/>
      </w:pPr>
      <w:r>
        <w:t xml:space="preserve">2.1 U.S. Federal Reserve Framework (CCAR/DFAST)</w:t>
      </w:r>
    </w:p>
    <w:p>
      <w:pPr>
        <w:spacing w:after="200"/>
      </w:pPr>
      <w:r>
        <w:t xml:space="preserve">The Federal Reserve's stress testing regime requires banks with $100 billion or more in assets to undergo annual supervisory stress tests. The framework evaluates capital adequacy under severely adverse scenarios, with results directly feeding into the Stress Capital Buffer (SCB) requirement, which integrates stress test results with non-stress capital requirements.</w:t>
      </w:r>
    </w:p>
    <w:p>
      <w:pPr>
        <w:spacing w:after="100"/>
      </w:pPr>
      <w:r>
        <w:rPr>
          <w:b/>
          <w:bCs/>
        </w:rPr>
        <w:t xml:space="preserve">Key Components:</w:t>
      </w:r>
    </w:p>
    <w:p>
      <w:pPr>
        <w:pStyle w:val="ListParagraph"/>
        <w:numPr>
          <w:ilvl w:val="0"/>
          <w:numId w:val="2"/>
        </w:numPr>
      </w:pPr>
      <w:r>
        <w:rPr>
          <w:b/>
          <w:bCs/>
        </w:rPr>
        <w:t xml:space="preserve">Severely Adverse Scenario: </w:t>
      </w:r>
      <w:r>
        <w:t xml:space="preserve">Characterized by severe global recession with unemployment rising to 10%, steep declines in housing prices (25-30%), commercial real estate (35-40%), and equity markets (45-55%)</w:t>
      </w:r>
    </w:p>
    <w:p>
      <w:pPr>
        <w:pStyle w:val="ListParagraph"/>
        <w:numPr>
          <w:ilvl w:val="0"/>
          <w:numId w:val="2"/>
        </w:numPr>
      </w:pPr>
      <w:r>
        <w:rPr>
          <w:b/>
          <w:bCs/>
        </w:rPr>
        <w:t xml:space="preserve">Global Market Shock (GMS): </w:t>
      </w:r>
      <w:r>
        <w:t xml:space="preserve">Applied to trading, private equity, and fair-valued positions for G-SIBs</w:t>
      </w:r>
    </w:p>
    <w:p>
      <w:pPr>
        <w:pStyle w:val="ListParagraph"/>
        <w:numPr>
          <w:ilvl w:val="0"/>
          <w:numId w:val="2"/>
        </w:numPr>
      </w:pPr>
      <w:r>
        <w:rPr>
          <w:b/>
          <w:bCs/>
        </w:rPr>
        <w:t xml:space="preserve">Counterparty Default Component: </w:t>
      </w:r>
      <w:r>
        <w:t xml:space="preserve">Requires modeling the instantaneous default of a firm's largest counterparty</w:t>
      </w:r>
    </w:p>
    <w:p>
      <w:pPr>
        <w:pStyle w:val="ListParagraph"/>
        <w:numPr>
          <w:ilvl w:val="0"/>
          <w:numId w:val="2"/>
        </w:numPr>
        <w:spacing w:after="200"/>
      </w:pPr>
      <w:r>
        <w:rPr>
          <w:b/>
          <w:bCs/>
        </w:rPr>
        <w:t xml:space="preserve">Exploratory Scenarios (2024+): </w:t>
      </w:r>
      <w:r>
        <w:t xml:space="preserve">New framework testing funding stress combined with various macroeconomic conditions</w:t>
      </w:r>
    </w:p>
    <w:p>
      <w:pPr>
        <w:pStyle w:val="Heading2"/>
      </w:pPr>
      <w:r>
        <w:t xml:space="preserve">2.2 European Banking Authority (EBA) Framework</w:t>
      </w:r>
    </w:p>
    <w:p>
      <w:pPr>
        <w:spacing w:after="200"/>
      </w:pPr>
      <w:r>
        <w:t xml:space="preserve">The EBA conducts biennial EU-wide stress tests using a bottom-up methodology where banks compute projections using their own models, subject to supervisory constraints and benchmark parameters from the ECB. The framework employs a static balance sheet assumption and focuses on credit risk, market risk, counterparty risk, and operational risk.</w:t>
      </w:r>
    </w:p>
    <w:p>
      <w:pPr>
        <w:pStyle w:val="Heading2"/>
      </w:pPr>
      <w:r>
        <w:t xml:space="preserve">2.3 Framework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Dimension</w:t>
            </w:r>
          </w:p>
        </w:tc>
        <w:tc>
          <w:tcPr>
            <w:tcW w:type="dxa" w:w="351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Federal Reserve</w:t>
            </w:r>
          </w:p>
        </w:tc>
        <w:tc>
          <w:tcPr>
            <w:tcW w:type="dxa" w:w="351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EBA/ECB</w:t>
            </w:r>
          </w:p>
        </w:tc>
      </w:tr>
      <w:tr>
        <w:tc>
          <w:tcPr>
            <w:tcW w:type="dxa" w:w="2340"/>
            <w:tcBorders>
              <w:top w:val="single" w:color="CCCCCC" w:sz="1"/>
              <w:left w:val="single" w:color="CCCCCC" w:sz="1"/>
              <w:bottom w:val="single" w:color="CCCCCC" w:sz="1"/>
              <w:right w:val="single" w:color="CCCCCC" w:sz="1"/>
            </w:tcBorders>
          </w:tcPr>
          <w:p>
            <w:r>
              <w:rPr>
                <w:b/>
                <w:bCs/>
              </w:rPr>
              <w:t xml:space="preserve">Approach</w:t>
            </w:r>
          </w:p>
        </w:tc>
        <w:tc>
          <w:tcPr>
            <w:tcW w:type="dxa" w:w="3510"/>
            <w:tcBorders>
              <w:top w:val="single" w:color="CCCCCC" w:sz="1"/>
              <w:left w:val="single" w:color="CCCCCC" w:sz="1"/>
              <w:bottom w:val="single" w:color="CCCCCC" w:sz="1"/>
              <w:right w:val="single" w:color="CCCCCC" w:sz="1"/>
            </w:tcBorders>
          </w:tcPr>
          <w:p>
            <w:r>
              <w:t xml:space="preserve">Top-down (Fed models)</w:t>
            </w:r>
          </w:p>
        </w:tc>
        <w:tc>
          <w:tcPr>
            <w:tcW w:type="dxa" w:w="3510"/>
            <w:tcBorders>
              <w:top w:val="single" w:color="CCCCCC" w:sz="1"/>
              <w:left w:val="single" w:color="CCCCCC" w:sz="1"/>
              <w:bottom w:val="single" w:color="CCCCCC" w:sz="1"/>
              <w:right w:val="single" w:color="CCCCCC" w:sz="1"/>
            </w:tcBorders>
          </w:tcPr>
          <w:p>
            <w:r>
              <w:t xml:space="preserve">Bottom-up (bank models)</w:t>
            </w:r>
          </w:p>
        </w:tc>
      </w:tr>
      <w:tr>
        <w:tc>
          <w:tcPr>
            <w:tcW w:type="dxa" w:w="2340"/>
            <w:tcBorders>
              <w:top w:val="single" w:color="CCCCCC" w:sz="1"/>
              <w:left w:val="single" w:color="CCCCCC" w:sz="1"/>
              <w:bottom w:val="single" w:color="CCCCCC" w:sz="1"/>
              <w:right w:val="single" w:color="CCCCCC" w:sz="1"/>
            </w:tcBorders>
            <w:shd w:fill="F8F9FA" w:val="clear"/>
          </w:tcPr>
          <w:p>
            <w:r>
              <w:rPr>
                <w:b/>
                <w:bCs/>
              </w:rPr>
              <w:t xml:space="preserve">Frequency</w:t>
            </w:r>
          </w:p>
        </w:tc>
        <w:tc>
          <w:tcPr>
            <w:tcW w:type="dxa" w:w="3510"/>
            <w:tcBorders>
              <w:top w:val="single" w:color="CCCCCC" w:sz="1"/>
              <w:left w:val="single" w:color="CCCCCC" w:sz="1"/>
              <w:bottom w:val="single" w:color="CCCCCC" w:sz="1"/>
              <w:right w:val="single" w:color="CCCCCC" w:sz="1"/>
            </w:tcBorders>
            <w:shd w:fill="F8F9FA" w:val="clear"/>
          </w:tcPr>
          <w:p>
            <w:r>
              <w:t xml:space="preserve">Annual</w:t>
            </w:r>
          </w:p>
        </w:tc>
        <w:tc>
          <w:tcPr>
            <w:tcW w:type="dxa" w:w="3510"/>
            <w:tcBorders>
              <w:top w:val="single" w:color="CCCCCC" w:sz="1"/>
              <w:left w:val="single" w:color="CCCCCC" w:sz="1"/>
              <w:bottom w:val="single" w:color="CCCCCC" w:sz="1"/>
              <w:right w:val="single" w:color="CCCCCC" w:sz="1"/>
            </w:tcBorders>
            <w:shd w:fill="F8F9FA" w:val="clear"/>
          </w:tcPr>
          <w:p>
            <w:r>
              <w:t xml:space="preserve">Biennial (EU-wide)</w:t>
            </w:r>
          </w:p>
        </w:tc>
      </w:tr>
      <w:tr>
        <w:tc>
          <w:tcPr>
            <w:tcW w:type="dxa" w:w="2340"/>
            <w:tcBorders>
              <w:top w:val="single" w:color="CCCCCC" w:sz="1"/>
              <w:left w:val="single" w:color="CCCCCC" w:sz="1"/>
              <w:bottom w:val="single" w:color="CCCCCC" w:sz="1"/>
              <w:right w:val="single" w:color="CCCCCC" w:sz="1"/>
            </w:tcBorders>
          </w:tcPr>
          <w:p>
            <w:r>
              <w:rPr>
                <w:b/>
                <w:bCs/>
              </w:rPr>
              <w:t xml:space="preserve">Horizon</w:t>
            </w:r>
          </w:p>
        </w:tc>
        <w:tc>
          <w:tcPr>
            <w:tcW w:type="dxa" w:w="3510"/>
            <w:tcBorders>
              <w:top w:val="single" w:color="CCCCCC" w:sz="1"/>
              <w:left w:val="single" w:color="CCCCCC" w:sz="1"/>
              <w:bottom w:val="single" w:color="CCCCCC" w:sz="1"/>
              <w:right w:val="single" w:color="CCCCCC" w:sz="1"/>
            </w:tcBorders>
          </w:tcPr>
          <w:p>
            <w:r>
              <w:t xml:space="preserve">9 quarters</w:t>
            </w:r>
          </w:p>
        </w:tc>
        <w:tc>
          <w:tcPr>
            <w:tcW w:type="dxa" w:w="3510"/>
            <w:tcBorders>
              <w:top w:val="single" w:color="CCCCCC" w:sz="1"/>
              <w:left w:val="single" w:color="CCCCCC" w:sz="1"/>
              <w:bottom w:val="single" w:color="CCCCCC" w:sz="1"/>
              <w:right w:val="single" w:color="CCCCCC" w:sz="1"/>
            </w:tcBorders>
          </w:tcPr>
          <w:p>
            <w:r>
              <w:t xml:space="preserve">3 years</w:t>
            </w:r>
          </w:p>
        </w:tc>
      </w:tr>
      <w:tr>
        <w:tc>
          <w:tcPr>
            <w:tcW w:type="dxa" w:w="2340"/>
            <w:tcBorders>
              <w:top w:val="single" w:color="CCCCCC" w:sz="1"/>
              <w:left w:val="single" w:color="CCCCCC" w:sz="1"/>
              <w:bottom w:val="single" w:color="CCCCCC" w:sz="1"/>
              <w:right w:val="single" w:color="CCCCCC" w:sz="1"/>
            </w:tcBorders>
            <w:shd w:fill="F8F9FA" w:val="clear"/>
          </w:tcPr>
          <w:p>
            <w:r>
              <w:rPr>
                <w:b/>
                <w:bCs/>
              </w:rPr>
              <w:t xml:space="preserve">Balance Sheet</w:t>
            </w:r>
          </w:p>
        </w:tc>
        <w:tc>
          <w:tcPr>
            <w:tcW w:type="dxa" w:w="3510"/>
            <w:tcBorders>
              <w:top w:val="single" w:color="CCCCCC" w:sz="1"/>
              <w:left w:val="single" w:color="CCCCCC" w:sz="1"/>
              <w:bottom w:val="single" w:color="CCCCCC" w:sz="1"/>
              <w:right w:val="single" w:color="CCCCCC" w:sz="1"/>
            </w:tcBorders>
            <w:shd w:fill="F8F9FA" w:val="clear"/>
          </w:tcPr>
          <w:p>
            <w:r>
              <w:t xml:space="preserve">Dynamic (growth assumptions)</w:t>
            </w:r>
          </w:p>
        </w:tc>
        <w:tc>
          <w:tcPr>
            <w:tcW w:type="dxa" w:w="3510"/>
            <w:tcBorders>
              <w:top w:val="single" w:color="CCCCCC" w:sz="1"/>
              <w:left w:val="single" w:color="CCCCCC" w:sz="1"/>
              <w:bottom w:val="single" w:color="CCCCCC" w:sz="1"/>
              <w:right w:val="single" w:color="CCCCCC" w:sz="1"/>
            </w:tcBorders>
            <w:shd w:fill="F8F9FA" w:val="clear"/>
          </w:tcPr>
          <w:p>
            <w:r>
              <w:t xml:space="preserve">Static (constant)</w:t>
            </w:r>
          </w:p>
        </w:tc>
      </w:tr>
      <w:tr>
        <w:tc>
          <w:tcPr>
            <w:tcW w:type="dxa" w:w="2340"/>
            <w:tcBorders>
              <w:top w:val="single" w:color="CCCCCC" w:sz="1"/>
              <w:left w:val="single" w:color="CCCCCC" w:sz="1"/>
              <w:bottom w:val="single" w:color="CCCCCC" w:sz="1"/>
              <w:right w:val="single" w:color="CCCCCC" w:sz="1"/>
            </w:tcBorders>
          </w:tcPr>
          <w:p>
            <w:r>
              <w:rPr>
                <w:b/>
                <w:bCs/>
              </w:rPr>
              <w:t xml:space="preserve">Capital Impact</w:t>
            </w:r>
          </w:p>
        </w:tc>
        <w:tc>
          <w:tcPr>
            <w:tcW w:type="dxa" w:w="3510"/>
            <w:tcBorders>
              <w:top w:val="single" w:color="CCCCCC" w:sz="1"/>
              <w:left w:val="single" w:color="CCCCCC" w:sz="1"/>
              <w:bottom w:val="single" w:color="CCCCCC" w:sz="1"/>
              <w:right w:val="single" w:color="CCCCCC" w:sz="1"/>
            </w:tcBorders>
          </w:tcPr>
          <w:p>
            <w:r>
              <w:t xml:space="preserve">Direct (SCB requirement)</w:t>
            </w:r>
          </w:p>
        </w:tc>
        <w:tc>
          <w:tcPr>
            <w:tcW w:type="dxa" w:w="3510"/>
            <w:tcBorders>
              <w:top w:val="single" w:color="CCCCCC" w:sz="1"/>
              <w:left w:val="single" w:color="CCCCCC" w:sz="1"/>
              <w:bottom w:val="single" w:color="CCCCCC" w:sz="1"/>
              <w:right w:val="single" w:color="CCCCCC" w:sz="1"/>
            </w:tcBorders>
          </w:tcPr>
          <w:p>
            <w:r>
              <w:t xml:space="preserve">SREP/Pillar 2 Guidance</w:t>
            </w:r>
          </w:p>
        </w:tc>
      </w:tr>
    </w:tbl>
    <w:p>
      <w:pPr>
        <w:spacing w:after="200"/>
      </w:pPr>
    </w:p>
    <w:p>
      <w:r>
        <w:br w:type="page"/>
      </w:r>
    </w:p>
    <w:p>
      <w:pPr>
        <w:pStyle w:val="Heading1"/>
      </w:pPr>
      <w:r>
        <w:t xml:space="preserve">3. Best-in-Class Stress Testing Models &amp; Algorithms</w:t>
      </w:r>
    </w:p>
    <w:p>
      <w:pPr>
        <w:pStyle w:val="Heading2"/>
      </w:pPr>
      <w:r>
        <w:t xml:space="preserve">3.1 Monte Carlo Simulation Framework</w:t>
      </w:r>
    </w:p>
    <w:p>
      <w:pPr>
        <w:spacing w:after="100"/>
      </w:pPr>
      <w:r>
        <w:rPr>
          <w:b/>
          <w:bCs/>
        </w:rPr>
        <w:t xml:space="preserve">Industry Status: </w:t>
      </w:r>
      <w:r>
        <w:t xml:space="preserve">Gold Standard for Full Distribution Stress Testing</w:t>
      </w:r>
    </w:p>
    <w:p>
      <w:pPr>
        <w:spacing w:after="100"/>
      </w:pPr>
      <w:r>
        <w:rPr>
          <w:b/>
          <w:bCs/>
        </w:rPr>
        <w:t xml:space="preserve">Primary Users: </w:t>
      </w:r>
      <w:r>
        <w:t xml:space="preserve">JPMorgan Chase, Goldman Sachs, Morgan Stanley, Citigroup, Bank of America</w:t>
      </w:r>
    </w:p>
    <w:p>
      <w:pPr>
        <w:pStyle w:val="Heading3"/>
      </w:pPr>
      <w:r>
        <w:t xml:space="preserve">Mathematical Foundation</w:t>
      </w:r>
    </w:p>
    <w:p>
      <w:pPr>
        <w:spacing w:after="200"/>
      </w:pPr>
      <w:r>
        <w:t xml:space="preserve">Monte Carlo simulation generates thousands to millions of possible future scenarios by randomly sampling from probability distributions of risk factors. The core principle involves: (1) defining stochastic processes for each risk factor, (2) simulating correlated random paths, and (3) aggregating portfolio-level impacts across all scenarios.</w:t>
      </w:r>
    </w:p>
    <w:p>
      <w:pPr>
        <w:spacing w:after="100"/>
      </w:pPr>
      <w:r>
        <w:rPr>
          <w:b/>
          <w:bCs/>
          <w:i/>
          <w:iCs/>
        </w:rPr>
        <w:t xml:space="preserve">Core Mathematical Expression:</w:t>
      </w:r>
    </w:p>
    <w:p>
      <w:pPr>
        <w:spacing w:after="100"/>
        <w:jc w:val="center"/>
      </w:pPr>
      <w:r>
        <w:rPr>
          <w:i/>
          <w:iCs/>
        </w:rPr>
        <w:t xml:space="preserve">S(t+Δt) = S(t) × exp[(μ - σ²/2)Δt + σ√Δt × Z]</w:t>
      </w:r>
    </w:p>
    <w:p>
      <w:pPr>
        <w:spacing w:after="200"/>
      </w:pPr>
      <w:r>
        <w:t xml:space="preserve">Where S(t) is the asset price at time t, μ is the drift rate, σ is volatility, Δt is the time step, and Z is a standard normal random variable. For correlated assets, the Cholesky decomposition transforms independent random variables into correlated ones.</w:t>
      </w:r>
    </w:p>
    <w:p>
      <w:pPr>
        <w:pStyle w:val="Heading3"/>
      </w:pPr>
      <w:r>
        <w:t xml:space="preserve">Intuitive Rationale</w:t>
      </w:r>
    </w:p>
    <w:p>
      <w:pPr>
        <w:spacing w:after="200"/>
      </w:pPr>
      <w:r>
        <w:t xml:space="preserve">Rather than examining just one or two scenarios, Monte Carlo explores the entire distribution of possible outcomes. Think of it as running history forward millions of times with different random realizations. This allows risk managers to answer questions like "What's the probability that losses exceed $X billion?" rather than just "What are losses under Scenario Y?"</w:t>
      </w:r>
    </w:p>
    <w:p>
      <w:pPr>
        <w:pStyle w:val="Heading3"/>
      </w:pPr>
      <w:r>
        <w:t xml:space="preserve">Lifecycle Placement</w:t>
      </w:r>
    </w:p>
    <w:p>
      <w:pPr>
        <w:pStyle w:val="ListParagraph"/>
        <w:numPr>
          <w:ilvl w:val="0"/>
          <w:numId w:val="2"/>
        </w:numPr>
      </w:pPr>
      <w:r>
        <w:rPr>
          <w:b/>
          <w:bCs/>
        </w:rPr>
        <w:t xml:space="preserve">Scenario Generation: </w:t>
      </w:r>
      <w:r>
        <w:t xml:space="preserve">Used to generate thousands of internally consistent scenarios</w:t>
      </w:r>
    </w:p>
    <w:p>
      <w:pPr>
        <w:pStyle w:val="ListParagraph"/>
        <w:numPr>
          <w:ilvl w:val="0"/>
          <w:numId w:val="2"/>
        </w:numPr>
      </w:pPr>
      <w:r>
        <w:rPr>
          <w:b/>
          <w:bCs/>
        </w:rPr>
        <w:t xml:space="preserve">Loss Estimation: </w:t>
      </w:r>
      <w:r>
        <w:t xml:space="preserve">Computes full loss distribution across all generated scenarios</w:t>
      </w:r>
    </w:p>
    <w:p>
      <w:pPr>
        <w:pStyle w:val="ListParagraph"/>
        <w:numPr>
          <w:ilvl w:val="0"/>
          <w:numId w:val="2"/>
        </w:numPr>
        <w:spacing w:after="200"/>
      </w:pPr>
      <w:r>
        <w:rPr>
          <w:b/>
          <w:bCs/>
        </w:rPr>
        <w:t xml:space="preserve">Model Validation: </w:t>
      </w:r>
      <w:r>
        <w:t xml:space="preserve">Validates that deterministic scenario results fall within reasonable probability bounds</w:t>
      </w:r>
    </w:p>
    <w:p>
      <w:pPr>
        <w:pStyle w:val="Heading2"/>
      </w:pPr>
      <w:r>
        <w:t xml:space="preserve">3.2 Vector Autoregression (VAR) Models</w:t>
      </w:r>
    </w:p>
    <w:p>
      <w:pPr>
        <w:spacing w:after="100"/>
      </w:pPr>
      <w:r>
        <w:rPr>
          <w:b/>
          <w:bCs/>
        </w:rPr>
        <w:t xml:space="preserve">Industry Status: </w:t>
      </w:r>
      <w:r>
        <w:t xml:space="preserve">Standard for Macroeconomic Scenario Calibration</w:t>
      </w:r>
    </w:p>
    <w:p>
      <w:pPr>
        <w:spacing w:after="100"/>
      </w:pPr>
      <w:r>
        <w:rPr>
          <w:b/>
          <w:bCs/>
        </w:rPr>
        <w:t xml:space="preserve">Primary Users: </w:t>
      </w:r>
      <w:r>
        <w:t xml:space="preserve">Federal Reserve, ECB, Bank of Italy, all G-SIBs</w:t>
      </w:r>
    </w:p>
    <w:p>
      <w:pPr>
        <w:pStyle w:val="Heading3"/>
      </w:pPr>
      <w:r>
        <w:t xml:space="preserve">Mathematical Foundation</w:t>
      </w:r>
    </w:p>
    <w:p>
      <w:pPr>
        <w:spacing w:after="200"/>
      </w:pPr>
      <w:r>
        <w:t xml:space="preserve">VAR models capture the dynamic relationships between multiple macroeconomic variables over time. A VAR(p) model expresses each variable as a linear function of its own past values and the past values of all other variables in the system.</w:t>
      </w:r>
    </w:p>
    <w:p>
      <w:pPr>
        <w:spacing w:after="100"/>
        <w:jc w:val="center"/>
      </w:pPr>
      <w:r>
        <w:rPr>
          <w:i/>
          <w:iCs/>
        </w:rPr>
        <w:t xml:space="preserve">Yₜ = c + Φ₁Yₜ₋₁ + Φ₂Yₜ₋₂ + ... + ΦₚYₜ₋ₚ + εₜ</w:t>
      </w:r>
    </w:p>
    <w:p>
      <w:pPr>
        <w:spacing w:after="200"/>
      </w:pPr>
      <w:r>
        <w:t xml:space="preserve">Where Yₜ is a vector of endogenous variables (GDP, unemployment, interest rates, etc.), c is a vector of constants, Φᵢ are coefficient matrices capturing cross-variable dynamics, and εₜ is a vector of error terms with covariance matrix Σ.</w:t>
      </w:r>
    </w:p>
    <w:p>
      <w:pPr>
        <w:pStyle w:val="Heading3"/>
      </w:pPr>
      <w:r>
        <w:t xml:space="preserve">Bayesian VAR (BVAR) Enhancement</w:t>
      </w:r>
    </w:p>
    <w:p>
      <w:pPr>
        <w:spacing w:after="200"/>
      </w:pPr>
      <w:r>
        <w:t xml:space="preserve">Large Bayesian VARs, particularly the "Minnesota Prior" approach, address the curse of dimensionality by shrinking coefficients toward zero with increasing lag length. This allows inclusion of 20+ macroeconomic variables while maintaining stable estimation. The ECB's New Area-Wide Model and Bank of Italy's scenario calibration use this approach extensively.</w:t>
      </w:r>
    </w:p>
    <w:p>
      <w:pPr>
        <w:pStyle w:val="Heading3"/>
      </w:pPr>
      <w:r>
        <w:t xml:space="preserve">Intuitive Rationale</w:t>
      </w:r>
    </w:p>
    <w:p>
      <w:pPr>
        <w:spacing w:after="200"/>
      </w:pPr>
      <w:r>
        <w:t xml:space="preserve">VAR models recognize that macroeconomic variables don't move independently—a shock to GDP affects unemployment, which affects consumption, which feeds back to GDP. By modeling these interconnections explicitly, scenarios maintain internal consistency. When unemployment rises 6 percentage points, the model ensures that GDP, house prices, and credit spreads respond in historically consistent ways.</w:t>
      </w:r>
    </w:p>
    <w:p>
      <w:pPr>
        <w:pStyle w:val="Heading3"/>
      </w:pPr>
      <w:r>
        <w:t xml:space="preserve">Lifecycle Placement</w:t>
      </w:r>
    </w:p>
    <w:p>
      <w:pPr>
        <w:pStyle w:val="ListParagraph"/>
        <w:numPr>
          <w:ilvl w:val="0"/>
          <w:numId w:val="2"/>
        </w:numPr>
      </w:pPr>
      <w:r>
        <w:rPr>
          <w:b/>
          <w:bCs/>
        </w:rPr>
        <w:t xml:space="preserve">Scenario Design: </w:t>
      </w:r>
      <w:r>
        <w:t xml:space="preserve">Calibrates macroeconomic variable paths to ensure plausibility</w:t>
      </w:r>
    </w:p>
    <w:p>
      <w:pPr>
        <w:pStyle w:val="ListParagraph"/>
        <w:numPr>
          <w:ilvl w:val="0"/>
          <w:numId w:val="2"/>
        </w:numPr>
      </w:pPr>
      <w:r>
        <w:rPr>
          <w:b/>
          <w:bCs/>
        </w:rPr>
        <w:t xml:space="preserve">Severity Assessment: </w:t>
      </w:r>
      <w:r>
        <w:t xml:space="preserve">Measures scenario severity against historical distribution</w:t>
      </w:r>
    </w:p>
    <w:p>
      <w:pPr>
        <w:pStyle w:val="ListParagraph"/>
        <w:numPr>
          <w:ilvl w:val="0"/>
          <w:numId w:val="2"/>
        </w:numPr>
        <w:spacing w:after="200"/>
      </w:pPr>
      <w:r>
        <w:rPr>
          <w:b/>
          <w:bCs/>
        </w:rPr>
        <w:t xml:space="preserve">Conditional Forecasting: </w:t>
      </w:r>
      <w:r>
        <w:t xml:space="preserve">Projects paths for variables not explicitly specified in scenario narrative</w:t>
      </w:r>
    </w:p>
    <w:p>
      <w:pPr>
        <w:pStyle w:val="Heading2"/>
      </w:pPr>
      <w:r>
        <w:t xml:space="preserve">3.3 GARCH Family Models</w:t>
      </w:r>
    </w:p>
    <w:p>
      <w:pPr>
        <w:spacing w:after="100"/>
      </w:pPr>
      <w:r>
        <w:rPr>
          <w:b/>
          <w:bCs/>
        </w:rPr>
        <w:t xml:space="preserve">Industry Status: </w:t>
      </w:r>
      <w:r>
        <w:t xml:space="preserve">Essential for Market Risk Stress Testing</w:t>
      </w:r>
    </w:p>
    <w:p>
      <w:pPr>
        <w:spacing w:after="100"/>
      </w:pPr>
      <w:r>
        <w:rPr>
          <w:b/>
          <w:bCs/>
        </w:rPr>
        <w:t xml:space="preserve">Primary Users: </w:t>
      </w:r>
      <w:r>
        <w:t xml:space="preserve">All major trading banks, particularly for VaR and ES computation</w:t>
      </w:r>
    </w:p>
    <w:p>
      <w:pPr>
        <w:pStyle w:val="Heading3"/>
      </w:pPr>
      <w:r>
        <w:t xml:space="preserve">Mathematical Foundation</w:t>
      </w:r>
    </w:p>
    <w:p>
      <w:pPr>
        <w:spacing w:after="200"/>
      </w:pPr>
      <w:r>
        <w:t xml:space="preserve">Generalized Autoregressive Conditional Heteroskedasticity (GARCH) models capture time-varying volatility—the empirical observation that large price moves tend to cluster together. The standard GARCH(1,1) specification is:</w:t>
      </w:r>
    </w:p>
    <w:p>
      <w:pPr>
        <w:spacing w:after="100"/>
        <w:jc w:val="center"/>
      </w:pPr>
      <w:r>
        <w:rPr>
          <w:i/>
          <w:iCs/>
        </w:rPr>
        <w:t xml:space="preserve">σₜ² = ω + α×εₜ₋₁² + β×σₜ₋₁²</w:t>
      </w:r>
    </w:p>
    <w:p>
      <w:pPr>
        <w:spacing w:after="200"/>
      </w:pPr>
      <w:r>
        <w:t xml:space="preserve">Where σₜ² is conditional variance at time t, ω is the long-run average variance, α captures the impact of recent shocks, and β represents volatility persistence. Extensions include GJR-GARCH (asymmetric effects), EGARCH (exponential form), and DCC-GARCH (dynamic conditional correlation for multivariate settings).</w:t>
      </w:r>
    </w:p>
    <w:p>
      <w:pPr>
        <w:pStyle w:val="Heading3"/>
      </w:pPr>
      <w:r>
        <w:t xml:space="preserve">Intuitive Rationale</w:t>
      </w:r>
    </w:p>
    <w:p>
      <w:pPr>
        <w:spacing w:after="200"/>
      </w:pPr>
      <w:r>
        <w:t xml:space="preserve">Financial markets exhibit "volatility clustering"—calm periods and turbulent periods tend to persist. GARCH models capture this reality, ensuring that stress scenarios incorporate not just large price moves but also the elevated volatility environment that accompanies crises. A 10% market decline isn't just a 10% shock—it's typically accompanied by volatility doubling or tripling, which compounds risk.</w:t>
      </w:r>
    </w:p>
    <w:p>
      <w:pPr>
        <w:pStyle w:val="Heading3"/>
      </w:pPr>
      <w:r>
        <w:t xml:space="preserve">Lifecycle Placement</w:t>
      </w:r>
    </w:p>
    <w:p>
      <w:pPr>
        <w:pStyle w:val="ListParagraph"/>
        <w:numPr>
          <w:ilvl w:val="0"/>
          <w:numId w:val="2"/>
        </w:numPr>
      </w:pPr>
      <w:r>
        <w:rPr>
          <w:b/>
          <w:bCs/>
        </w:rPr>
        <w:t xml:space="preserve">Marginal Distribution Modeling: </w:t>
      </w:r>
      <w:r>
        <w:t xml:space="preserve">Filters returns to obtain standardized residuals for copula estimation</w:t>
      </w:r>
    </w:p>
    <w:p>
      <w:pPr>
        <w:pStyle w:val="ListParagraph"/>
        <w:numPr>
          <w:ilvl w:val="0"/>
          <w:numId w:val="2"/>
        </w:numPr>
      </w:pPr>
      <w:r>
        <w:rPr>
          <w:b/>
          <w:bCs/>
        </w:rPr>
        <w:t xml:space="preserve">Volatility Forecasting: </w:t>
      </w:r>
      <w:r>
        <w:t xml:space="preserve">Projects future volatility under stress conditions</w:t>
      </w:r>
    </w:p>
    <w:p>
      <w:pPr>
        <w:pStyle w:val="ListParagraph"/>
        <w:numPr>
          <w:ilvl w:val="0"/>
          <w:numId w:val="2"/>
        </w:numPr>
        <w:spacing w:after="200"/>
      </w:pPr>
      <w:r>
        <w:rPr>
          <w:b/>
          <w:bCs/>
        </w:rPr>
        <w:t xml:space="preserve">VaR/ES Computation: </w:t>
      </w:r>
      <w:r>
        <w:t xml:space="preserve">Provides conditional risk estimates that respond to market conditions</w:t>
      </w:r>
    </w:p>
    <w:p>
      <w:r>
        <w:br w:type="page"/>
      </w:r>
    </w:p>
    <w:p>
      <w:pPr>
        <w:pStyle w:val="Heading2"/>
      </w:pPr>
      <w:r>
        <w:t xml:space="preserve">3.4 Copula-Based Dependence Modeling</w:t>
      </w:r>
    </w:p>
    <w:p>
      <w:pPr>
        <w:spacing w:after="100"/>
      </w:pPr>
      <w:r>
        <w:rPr>
          <w:b/>
          <w:bCs/>
        </w:rPr>
        <w:t xml:space="preserve">Industry Status: </w:t>
      </w:r>
      <w:r>
        <w:t xml:space="preserve">State-of-the-Art for Tail Dependence</w:t>
      </w:r>
    </w:p>
    <w:p>
      <w:pPr>
        <w:spacing w:after="100"/>
      </w:pPr>
      <w:r>
        <w:rPr>
          <w:b/>
          <w:bCs/>
        </w:rPr>
        <w:t xml:space="preserve">Primary Users: </w:t>
      </w:r>
      <w:r>
        <w:t xml:space="preserve">Goldman Sachs, Morgan Stanley, major European banks, insurance companies</w:t>
      </w:r>
    </w:p>
    <w:p>
      <w:pPr>
        <w:pStyle w:val="Heading3"/>
      </w:pPr>
      <w:r>
        <w:t xml:space="preserve">Mathematical Foundation</w:t>
      </w:r>
    </w:p>
    <w:p>
      <w:pPr>
        <w:spacing w:after="200"/>
      </w:pPr>
      <w:r>
        <w:t xml:space="preserve">Copulas separate marginal distributions from dependence structure using Sklar's Theorem: any multivariate distribution F(x₁,...,xₙ) can be written as F(x₁,...,xₙ) = C(F₁(x₁),...,Fₙ(xₙ)) where C is the copula function and Fᵢ are marginal CDFs.</w:t>
      </w:r>
    </w:p>
    <w:p>
      <w:pPr>
        <w:spacing w:after="100"/>
      </w:pPr>
      <w:r>
        <w:rPr>
          <w:b/>
          <w:bCs/>
        </w:rPr>
        <w:t xml:space="preserve">Key Copula Types:</w:t>
      </w:r>
    </w:p>
    <w:p>
      <w:pPr>
        <w:pStyle w:val="ListParagraph"/>
        <w:numPr>
          <w:ilvl w:val="0"/>
          <w:numId w:val="2"/>
        </w:numPr>
      </w:pPr>
      <w:r>
        <w:rPr>
          <w:b/>
          <w:bCs/>
        </w:rPr>
        <w:t xml:space="preserve">Gaussian Copula: </w:t>
      </w:r>
      <w:r>
        <w:t xml:space="preserve">Symmetric dependence, no tail dependence—suitable for normal market conditions</w:t>
      </w:r>
    </w:p>
    <w:p>
      <w:pPr>
        <w:pStyle w:val="ListParagraph"/>
        <w:numPr>
          <w:ilvl w:val="0"/>
          <w:numId w:val="2"/>
        </w:numPr>
      </w:pPr>
      <w:r>
        <w:rPr>
          <w:b/>
          <w:bCs/>
        </w:rPr>
        <w:t xml:space="preserve">Student-t Copula: </w:t>
      </w:r>
      <w:r>
        <w:t xml:space="preserve">Symmetric tail dependence—assets crash together in extreme events</w:t>
      </w:r>
    </w:p>
    <w:p>
      <w:pPr>
        <w:pStyle w:val="ListParagraph"/>
        <w:numPr>
          <w:ilvl w:val="0"/>
          <w:numId w:val="2"/>
        </w:numPr>
      </w:pPr>
      <w:r>
        <w:rPr>
          <w:b/>
          <w:bCs/>
        </w:rPr>
        <w:t xml:space="preserve">Clayton Copula: </w:t>
      </w:r>
      <w:r>
        <w:t xml:space="preserve">Lower tail dependence—captures joint crash risk</w:t>
      </w:r>
    </w:p>
    <w:p>
      <w:pPr>
        <w:pStyle w:val="ListParagraph"/>
        <w:numPr>
          <w:ilvl w:val="0"/>
          <w:numId w:val="2"/>
        </w:numPr>
      </w:pPr>
      <w:r>
        <w:rPr>
          <w:b/>
          <w:bCs/>
        </w:rPr>
        <w:t xml:space="preserve">Gumbel Copula: </w:t>
      </w:r>
      <w:r>
        <w:t xml:space="preserve">Upper tail dependence—assets boom together</w:t>
      </w:r>
    </w:p>
    <w:p>
      <w:pPr>
        <w:pStyle w:val="ListParagraph"/>
        <w:numPr>
          <w:ilvl w:val="0"/>
          <w:numId w:val="2"/>
        </w:numPr>
        <w:spacing w:after="200"/>
      </w:pPr>
      <w:r>
        <w:rPr>
          <w:b/>
          <w:bCs/>
        </w:rPr>
        <w:t xml:space="preserve">Vine Copulas: </w:t>
      </w:r>
      <w:r>
        <w:t xml:space="preserve">Flexible high-dimensional structures using pair-copula constructions</w:t>
      </w:r>
    </w:p>
    <w:p>
      <w:pPr>
        <w:pStyle w:val="Heading3"/>
      </w:pPr>
      <w:r>
        <w:t xml:space="preserve">Intuitive Rationale</w:t>
      </w:r>
    </w:p>
    <w:p>
      <w:pPr>
        <w:spacing w:after="200"/>
      </w:pPr>
      <w:r>
        <w:t xml:space="preserve">The 2008 financial crisis demonstrated that correlations increase dramatically during stress periods—diversification benefits disappear precisely when needed most. Copulas allow modeling of "tail dependence"—the tendency for extreme events to occur simultaneously across assets. A correlation of 0.3 in normal times might translate to 0.8+ correlation during a crisis; copulas capture this phenomenon.</w:t>
      </w:r>
    </w:p>
    <w:p>
      <w:pPr>
        <w:pStyle w:val="Heading3"/>
      </w:pPr>
      <w:r>
        <w:t xml:space="preserve">Lifecycle Placement</w:t>
      </w:r>
    </w:p>
    <w:p>
      <w:pPr>
        <w:pStyle w:val="ListParagraph"/>
        <w:numPr>
          <w:ilvl w:val="0"/>
          <w:numId w:val="2"/>
        </w:numPr>
      </w:pPr>
      <w:r>
        <w:rPr>
          <w:b/>
          <w:bCs/>
        </w:rPr>
        <w:t xml:space="preserve">Scenario Generation: </w:t>
      </w:r>
      <w:r>
        <w:t xml:space="preserve">Creates joint scenarios with appropriate tail dependence</w:t>
      </w:r>
    </w:p>
    <w:p>
      <w:pPr>
        <w:pStyle w:val="ListParagraph"/>
        <w:numPr>
          <w:ilvl w:val="0"/>
          <w:numId w:val="2"/>
        </w:numPr>
      </w:pPr>
      <w:r>
        <w:rPr>
          <w:b/>
          <w:bCs/>
        </w:rPr>
        <w:t xml:space="preserve">Systemic Risk Assessment: </w:t>
      </w:r>
      <w:r>
        <w:t xml:space="preserve">Models contagion and interconnectedness</w:t>
      </w:r>
    </w:p>
    <w:p>
      <w:pPr>
        <w:pStyle w:val="ListParagraph"/>
        <w:numPr>
          <w:ilvl w:val="0"/>
          <w:numId w:val="2"/>
        </w:numPr>
        <w:spacing w:after="200"/>
      </w:pPr>
      <w:r>
        <w:rPr>
          <w:b/>
          <w:bCs/>
        </w:rPr>
        <w:t xml:space="preserve">CoVaR Computation: </w:t>
      </w:r>
      <w:r>
        <w:t xml:space="preserve">Measures systemic risk contribution of individual institutions</w:t>
      </w:r>
    </w:p>
    <w:p>
      <w:pPr>
        <w:pStyle w:val="Heading2"/>
      </w:pPr>
      <w:r>
        <w:t xml:space="preserve">3.5 Extreme Value Theory (EVT)</w:t>
      </w:r>
    </w:p>
    <w:p>
      <w:pPr>
        <w:spacing w:after="100"/>
      </w:pPr>
      <w:r>
        <w:rPr>
          <w:b/>
          <w:bCs/>
        </w:rPr>
        <w:t xml:space="preserve">Industry Status: </w:t>
      </w:r>
      <w:r>
        <w:t xml:space="preserve">Essential for Tail Risk Quantification</w:t>
      </w:r>
    </w:p>
    <w:p>
      <w:pPr>
        <w:spacing w:after="100"/>
      </w:pPr>
      <w:r>
        <w:rPr>
          <w:b/>
          <w:bCs/>
        </w:rPr>
        <w:t xml:space="preserve">Primary Users: </w:t>
      </w:r>
      <w:r>
        <w:t xml:space="preserve">Swiss Re, Munich Re, all G-SIBs for trading book stress</w:t>
      </w:r>
    </w:p>
    <w:p>
      <w:pPr>
        <w:pStyle w:val="Heading3"/>
      </w:pPr>
      <w:r>
        <w:t xml:space="preserve">Mathematical Foundation</w:t>
      </w:r>
    </w:p>
    <w:p>
      <w:pPr>
        <w:spacing w:after="200"/>
      </w:pPr>
      <w:r>
        <w:t xml:space="preserve">EVT provides rigorous statistical foundations for modeling extreme events. The Generalized Pareto Distribution (GPD) models exceedances over a high threshold u:</w:t>
      </w:r>
    </w:p>
    <w:p>
      <w:pPr>
        <w:spacing w:after="100"/>
        <w:jc w:val="center"/>
      </w:pPr>
      <w:r>
        <w:rPr>
          <w:i/>
          <w:iCs/>
        </w:rPr>
        <w:t xml:space="preserve">F_u(y) = 1 - (1 + ξy/σ)^(-1/ξ)  for y &gt; 0</w:t>
      </w:r>
    </w:p>
    <w:p>
      <w:pPr>
        <w:spacing w:after="200"/>
      </w:pPr>
      <w:r>
        <w:t xml:space="preserve">Where ξ is the shape parameter (ξ &gt; 0 indicates heavy tails), σ is the scale parameter, and y = x - u is the exceedance. This allows extrapolation beyond observed historical data to estimate probabilities of unprecedented events.</w:t>
      </w:r>
    </w:p>
    <w:p>
      <w:pPr>
        <w:pStyle w:val="Heading3"/>
      </w:pPr>
      <w:r>
        <w:t xml:space="preserve">Intuitive Rationale</w:t>
      </w:r>
    </w:p>
    <w:p>
      <w:pPr>
        <w:spacing w:after="200"/>
      </w:pPr>
      <w:r>
        <w:t xml:space="preserve">Normal distributions dramatically underestimate tail risk—a "six sigma" event under normality should occur once every 1.4 million years, yet we observe them regularly in financial markets. EVT recognizes that extreme events follow different statistical laws than typical fluctuations. By focusing specifically on the tail behavior, EVT provides reliable estimates for 99th, 99.9th, and even 99.99th percentile outcomes.</w:t>
      </w:r>
    </w:p>
    <w:p>
      <w:pPr>
        <w:pStyle w:val="Heading2"/>
      </w:pPr>
      <w:r>
        <w:t xml:space="preserve">3.6 Dynamic Stochastic General Equilibrium (DSGE) Models</w:t>
      </w:r>
    </w:p>
    <w:p>
      <w:pPr>
        <w:spacing w:after="100"/>
      </w:pPr>
      <w:r>
        <w:rPr>
          <w:b/>
          <w:bCs/>
        </w:rPr>
        <w:t xml:space="preserve">Industry Status: </w:t>
      </w:r>
      <w:r>
        <w:t xml:space="preserve">Central Bank Standard for Macroeconomic Scenario Generation</w:t>
      </w:r>
    </w:p>
    <w:p>
      <w:pPr>
        <w:spacing w:after="100"/>
      </w:pPr>
      <w:r>
        <w:rPr>
          <w:b/>
          <w:bCs/>
        </w:rPr>
        <w:t xml:space="preserve">Primary Users: </w:t>
      </w:r>
      <w:r>
        <w:t xml:space="preserve">Federal Reserve (EDO model), ECB (NAWM model), Bank of England, IMF</w:t>
      </w:r>
    </w:p>
    <w:p>
      <w:pPr>
        <w:pStyle w:val="Heading3"/>
      </w:pPr>
      <w:r>
        <w:t xml:space="preserve">Mathematical Foundation</w:t>
      </w:r>
    </w:p>
    <w:p>
      <w:pPr>
        <w:spacing w:after="200"/>
      </w:pPr>
      <w:r>
        <w:t xml:space="preserve">DSGE models derive macroeconomic dynamics from microeconomic optimization. Households maximize utility, firms maximize profits, and a central bank follows a policy rule. The Smets-Wouters model—the industry benchmark—includes nominal rigidities (sticky prices and wages), habit formation in consumption, investment adjustment costs, and variable capital utilization.</w:t>
      </w:r>
    </w:p>
    <w:p>
      <w:pPr>
        <w:pStyle w:val="Heading3"/>
      </w:pPr>
      <w:r>
        <w:t xml:space="preserve">Key Equations (Simplified)</w:t>
      </w:r>
    </w:p>
    <w:p>
      <w:pPr>
        <w:pStyle w:val="ListParagraph"/>
        <w:numPr>
          <w:ilvl w:val="0"/>
          <w:numId w:val="2"/>
        </w:numPr>
      </w:pPr>
      <w:r>
        <w:rPr>
          <w:b/>
          <w:bCs/>
        </w:rPr>
        <w:t xml:space="preserve">IS Curve: </w:t>
      </w:r>
      <w:r>
        <w:t xml:space="preserve">Output gap depends on expected future output, real interest rate, and demand shocks</w:t>
      </w:r>
    </w:p>
    <w:p>
      <w:pPr>
        <w:pStyle w:val="ListParagraph"/>
        <w:numPr>
          <w:ilvl w:val="0"/>
          <w:numId w:val="2"/>
        </w:numPr>
      </w:pPr>
      <w:r>
        <w:rPr>
          <w:b/>
          <w:bCs/>
        </w:rPr>
        <w:t xml:space="preserve">Phillips Curve: </w:t>
      </w:r>
      <w:r>
        <w:t xml:space="preserve">Inflation depends on expected inflation, output gap, and cost-push shocks</w:t>
      </w:r>
    </w:p>
    <w:p>
      <w:pPr>
        <w:pStyle w:val="ListParagraph"/>
        <w:numPr>
          <w:ilvl w:val="0"/>
          <w:numId w:val="2"/>
        </w:numPr>
        <w:spacing w:after="200"/>
      </w:pPr>
      <w:r>
        <w:rPr>
          <w:b/>
          <w:bCs/>
        </w:rPr>
        <w:t xml:space="preserve">Taylor Rule: </w:t>
      </w:r>
      <w:r>
        <w:t xml:space="preserve">Interest rate responds to inflation and output gap deviations</w:t>
      </w:r>
    </w:p>
    <w:p>
      <w:pPr>
        <w:pStyle w:val="Heading3"/>
      </w:pPr>
      <w:r>
        <w:t xml:space="preserve">Intuitive Rationale</w:t>
      </w:r>
    </w:p>
    <w:p>
      <w:pPr>
        <w:spacing w:after="200"/>
      </w:pPr>
      <w:r>
        <w:t xml:space="preserve">Unlike purely statistical models, DSGE models are "structural"—they tell a coherent economic story. A productivity shock has different implications than a demand shock, even if both produce the same GDP decline. This matters for stress testing because the economic narrative affects which portfolios are most vulnerable and how recovery unfolds. Post-GFC enhancements include financial frictions, banking sectors, and shadow banking.</w:t>
      </w:r>
    </w:p>
    <w:p>
      <w:r>
        <w:br w:type="page"/>
      </w:r>
    </w:p>
    <w:p>
      <w:pPr>
        <w:pStyle w:val="Heading2"/>
      </w:pPr>
      <w:r>
        <w:t xml:space="preserve">3.7 Machine Learning &amp; AI-Enhanced Models</w:t>
      </w:r>
    </w:p>
    <w:p>
      <w:pPr>
        <w:spacing w:after="100"/>
      </w:pPr>
      <w:r>
        <w:rPr>
          <w:b/>
          <w:bCs/>
        </w:rPr>
        <w:t xml:space="preserve">Industry Status: </w:t>
      </w:r>
      <w:r>
        <w:t xml:space="preserve">Emerging/Rapidly Evolving</w:t>
      </w:r>
    </w:p>
    <w:p>
      <w:pPr>
        <w:spacing w:after="100"/>
      </w:pPr>
      <w:r>
        <w:rPr>
          <w:b/>
          <w:bCs/>
        </w:rPr>
        <w:t xml:space="preserve">Primary Users: </w:t>
      </w:r>
      <w:r>
        <w:t xml:space="preserve">Goldman Sachs, JPMorgan, Two Sigma (internal research), select central banks</w:t>
      </w:r>
    </w:p>
    <w:p>
      <w:pPr>
        <w:pStyle w:val="Heading3"/>
      </w:pPr>
      <w:r>
        <w:t xml:space="preserve">Key Approaches</w:t>
      </w:r>
    </w:p>
    <w:p>
      <w:pPr>
        <w:pStyle w:val="ListParagraph"/>
        <w:numPr>
          <w:ilvl w:val="0"/>
          <w:numId w:val="3"/>
        </w:numPr>
      </w:pPr>
      <w:r>
        <w:rPr>
          <w:b/>
          <w:bCs/>
        </w:rPr>
        <w:t xml:space="preserve">Variational Autoencoders (VAEs): </w:t>
      </w:r>
      <w:r>
        <w:t xml:space="preserve">Learn latent structure of financial time series and generate synthetic scenarios that preserve statistical properties including tail behavior</w:t>
      </w:r>
    </w:p>
    <w:p>
      <w:pPr>
        <w:pStyle w:val="ListParagraph"/>
        <w:numPr>
          <w:ilvl w:val="0"/>
          <w:numId w:val="3"/>
        </w:numPr>
      </w:pPr>
      <w:r>
        <w:rPr>
          <w:b/>
          <w:bCs/>
        </w:rPr>
        <w:t xml:space="preserve">LSTM Neural Networks: </w:t>
      </w:r>
      <w:r>
        <w:t xml:space="preserve">Capture long-range dependencies in time series for improved scenario forecasting</w:t>
      </w:r>
    </w:p>
    <w:p>
      <w:pPr>
        <w:pStyle w:val="ListParagraph"/>
        <w:numPr>
          <w:ilvl w:val="0"/>
          <w:numId w:val="3"/>
        </w:numPr>
      </w:pPr>
      <w:r>
        <w:rPr>
          <w:b/>
          <w:bCs/>
        </w:rPr>
        <w:t xml:space="preserve">Random Forests/Gradient Boosting: </w:t>
      </w:r>
      <w:r>
        <w:t xml:space="preserve">Credit loss forecasting with complex non-linear relationships</w:t>
      </w:r>
    </w:p>
    <w:p>
      <w:pPr>
        <w:pStyle w:val="ListParagraph"/>
        <w:numPr>
          <w:ilvl w:val="0"/>
          <w:numId w:val="3"/>
        </w:numPr>
        <w:spacing w:after="200"/>
      </w:pPr>
      <w:r>
        <w:rPr>
          <w:b/>
          <w:bCs/>
        </w:rPr>
        <w:t xml:space="preserve">Principal Component Analysis: </w:t>
      </w:r>
      <w:r>
        <w:t xml:space="preserve">Dimensionality reduction for high-dimensional risk factor spaces</w:t>
      </w:r>
    </w:p>
    <w:p>
      <w:pPr>
        <w:pStyle w:val="Heading3"/>
      </w:pPr>
      <w:r>
        <w:t xml:space="preserve">Intuitive Rationale</w:t>
      </w:r>
    </w:p>
    <w:p>
      <w:pPr>
        <w:spacing w:after="200"/>
      </w:pPr>
      <w:r>
        <w:t xml:space="preserve">Traditional econometric models assume specific functional forms that may miss complex non-linear relationships. ML approaches can discover patterns in high-dimensional data without imposing structure. However, interpretability remains a challenge—regulators require explanation of model drivers, making "black box" approaches problematic for regulatory stress tests. Current best practice uses ML for exploratory analysis and challenger models.</w:t>
      </w:r>
    </w:p>
    <w:p>
      <w:pPr>
        <w:pStyle w:val="Heading2"/>
      </w:pPr>
      <w:r>
        <w:t xml:space="preserve">3.8 Reverse Stress Testing</w:t>
      </w:r>
    </w:p>
    <w:p>
      <w:pPr>
        <w:spacing w:after="100"/>
      </w:pPr>
      <w:r>
        <w:rPr>
          <w:b/>
          <w:bCs/>
        </w:rPr>
        <w:t xml:space="preserve">Industry Status: </w:t>
      </w:r>
      <w:r>
        <w:t xml:space="preserve">Mandatory in UK/EU, Growing in US</w:t>
      </w:r>
    </w:p>
    <w:p>
      <w:pPr>
        <w:spacing w:after="100"/>
      </w:pPr>
      <w:r>
        <w:rPr>
          <w:b/>
          <w:bCs/>
        </w:rPr>
        <w:t xml:space="preserve">Primary Users: </w:t>
      </w:r>
      <w:r>
        <w:t xml:space="preserve">PRA-regulated UK banks, all EBA-supervised institutions</w:t>
      </w:r>
    </w:p>
    <w:p>
      <w:pPr>
        <w:pStyle w:val="Heading3"/>
      </w:pPr>
      <w:r>
        <w:t xml:space="preserve">Mathematical Foundation</w:t>
      </w:r>
    </w:p>
    <w:p>
      <w:pPr>
        <w:spacing w:after="200"/>
      </w:pPr>
      <w:r>
        <w:t xml:space="preserve">Reverse stress testing inverts the traditional stress test: rather than asking "what happens under Scenario X?", it asks "what scenario causes the firm to fail?" This is an optimization problem—finding the minimum shock vector S* that pushes capital below threshold K:</w:t>
      </w:r>
    </w:p>
    <w:p>
      <w:pPr>
        <w:spacing w:after="100"/>
        <w:jc w:val="center"/>
      </w:pPr>
      <w:r>
        <w:rPr>
          <w:i/>
          <w:iCs/>
        </w:rPr>
        <w:t xml:space="preserve">S* = argmin ||S|| such that Capital(S) ≤ K_min</w:t>
      </w:r>
    </w:p>
    <w:p>
      <w:pPr>
        <w:spacing w:after="200"/>
      </w:pPr>
      <w:r>
        <w:t xml:space="preserve">Solutions include Simulated Annealing for stochastic search across high-dimensional parameter space, and convex optimization for linear loss functions.</w:t>
      </w:r>
    </w:p>
    <w:p>
      <w:pPr>
        <w:pStyle w:val="Heading3"/>
      </w:pPr>
      <w:r>
        <w:t xml:space="preserve">Intuitive Rationale</w:t>
      </w:r>
    </w:p>
    <w:p>
      <w:pPr>
        <w:spacing w:after="200"/>
      </w:pPr>
      <w:r>
        <w:t xml:space="preserve">As Nassim Taleb observed, "It is far easier to figure out if something is fragile than to predict the occurrence of an event that may harm it." Reverse stress testing identifies the specific vulnerabilities that could cause failure, regardless of whether a corresponding scenario appears in historical data. The 2023 regional bank failures demonstrated that interest rate + deposit run scenarios weren't adequately captured in traditional forward stress tests.</w:t>
      </w:r>
    </w:p>
    <w:p>
      <w:pPr>
        <w:pStyle w:val="Heading2"/>
      </w:pPr>
      <w:r>
        <w:t xml:space="preserve">3.9 Model Comparison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200"/>
        <w:gridCol w:w="2160"/>
      </w:tblGrid>
      <w:tr>
        <w:trPr>
          <w:tblHeader/>
        </w:trPr>
        <w:tc>
          <w:tcPr>
            <w:tcW w:type="dxa" w:w="18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Strengths</w:t>
            </w:r>
          </w:p>
        </w:tc>
        <w:tc>
          <w:tcPr>
            <w:tcW w:type="dxa" w:w="16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Limitations</w:t>
            </w:r>
          </w:p>
        </w:tc>
        <w:tc>
          <w:tcPr>
            <w:tcW w:type="dxa" w:w="2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Best For</w:t>
            </w:r>
          </w:p>
        </w:tc>
        <w:tc>
          <w:tcPr>
            <w:tcW w:type="dxa" w:w="21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Industry Leaders</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Monte Carlo</w:t>
            </w:r>
          </w:p>
        </w:tc>
        <w:tc>
          <w:tcPr>
            <w:tcW w:type="dxa" w:w="1600"/>
            <w:tcBorders>
              <w:top w:val="single" w:color="CCCCCC" w:sz="1"/>
              <w:left w:val="single" w:color="CCCCCC" w:sz="1"/>
              <w:bottom w:val="single" w:color="CCCCCC" w:sz="1"/>
              <w:right w:val="single" w:color="CCCCCC" w:sz="1"/>
            </w:tcBorders>
          </w:tcPr>
          <w:p>
            <w:r>
              <w:rPr>
                <w:sz w:val="20"/>
                <w:szCs w:val="20"/>
              </w:rPr>
              <w:t xml:space="preserve">Full distribution</w:t>
            </w:r>
          </w:p>
        </w:tc>
        <w:tc>
          <w:tcPr>
            <w:tcW w:type="dxa" w:w="1600"/>
            <w:tcBorders>
              <w:top w:val="single" w:color="CCCCCC" w:sz="1"/>
              <w:left w:val="single" w:color="CCCCCC" w:sz="1"/>
              <w:bottom w:val="single" w:color="CCCCCC" w:sz="1"/>
              <w:right w:val="single" w:color="CCCCCC" w:sz="1"/>
            </w:tcBorders>
          </w:tcPr>
          <w:p>
            <w:r>
              <w:rPr>
                <w:sz w:val="20"/>
                <w:szCs w:val="20"/>
              </w:rPr>
              <w:t xml:space="preserve">Computationally intensive</w:t>
            </w:r>
          </w:p>
        </w:tc>
        <w:tc>
          <w:tcPr>
            <w:tcW w:type="dxa" w:w="2200"/>
            <w:tcBorders>
              <w:top w:val="single" w:color="CCCCCC" w:sz="1"/>
              <w:left w:val="single" w:color="CCCCCC" w:sz="1"/>
              <w:bottom w:val="single" w:color="CCCCCC" w:sz="1"/>
              <w:right w:val="single" w:color="CCCCCC" w:sz="1"/>
            </w:tcBorders>
          </w:tcPr>
          <w:p>
            <w:r>
              <w:rPr>
                <w:sz w:val="20"/>
                <w:szCs w:val="20"/>
              </w:rPr>
              <w:t xml:space="preserve">Enterprise-wide capital</w:t>
            </w:r>
          </w:p>
        </w:tc>
        <w:tc>
          <w:tcPr>
            <w:tcW w:type="dxa" w:w="2160"/>
            <w:tcBorders>
              <w:top w:val="single" w:color="CCCCCC" w:sz="1"/>
              <w:left w:val="single" w:color="CCCCCC" w:sz="1"/>
              <w:bottom w:val="single" w:color="CCCCCC" w:sz="1"/>
              <w:right w:val="single" w:color="CCCCCC" w:sz="1"/>
            </w:tcBorders>
          </w:tcPr>
          <w:p>
            <w:r>
              <w:rPr>
                <w:sz w:val="20"/>
                <w:szCs w:val="20"/>
              </w:rPr>
              <w:t xml:space="preserve">All G-SIBs</w:t>
            </w:r>
          </w:p>
        </w:tc>
      </w:tr>
      <w:tr>
        <w:tc>
          <w:tcPr>
            <w:tcW w:type="dxa" w:w="1800"/>
            <w:tcBorders>
              <w:top w:val="single" w:color="CCCCCC" w:sz="1"/>
              <w:left w:val="single" w:color="CCCCCC" w:sz="1"/>
              <w:bottom w:val="single" w:color="CCCCCC" w:sz="1"/>
              <w:right w:val="single" w:color="CCCCCC" w:sz="1"/>
            </w:tcBorders>
            <w:shd w:fill="F8F9FA" w:val="clear"/>
          </w:tcPr>
          <w:p>
            <w:r>
              <w:rPr>
                <w:b/>
                <w:bCs/>
                <w:sz w:val="20"/>
                <w:szCs w:val="20"/>
              </w:rPr>
              <w:t xml:space="preserve">BVAR</w:t>
            </w:r>
          </w:p>
        </w:tc>
        <w:tc>
          <w:tcPr>
            <w:tcW w:type="dxa" w:w="1600"/>
            <w:tcBorders>
              <w:top w:val="single" w:color="CCCCCC" w:sz="1"/>
              <w:left w:val="single" w:color="CCCCCC" w:sz="1"/>
              <w:bottom w:val="single" w:color="CCCCCC" w:sz="1"/>
              <w:right w:val="single" w:color="CCCCCC" w:sz="1"/>
            </w:tcBorders>
            <w:shd w:fill="F8F9FA" w:val="clear"/>
          </w:tcPr>
          <w:p>
            <w:r>
              <w:rPr>
                <w:sz w:val="20"/>
                <w:szCs w:val="20"/>
              </w:rPr>
              <w:t xml:space="preserve">Consistent scenarios</w:t>
            </w:r>
          </w:p>
        </w:tc>
        <w:tc>
          <w:tcPr>
            <w:tcW w:type="dxa" w:w="1600"/>
            <w:tcBorders>
              <w:top w:val="single" w:color="CCCCCC" w:sz="1"/>
              <w:left w:val="single" w:color="CCCCCC" w:sz="1"/>
              <w:bottom w:val="single" w:color="CCCCCC" w:sz="1"/>
              <w:right w:val="single" w:color="CCCCCC" w:sz="1"/>
            </w:tcBorders>
            <w:shd w:fill="F8F9FA" w:val="clear"/>
          </w:tcPr>
          <w:p>
            <w:r>
              <w:rPr>
                <w:sz w:val="20"/>
                <w:szCs w:val="20"/>
              </w:rPr>
              <w:t xml:space="preserve">Linear dynamics</w:t>
            </w:r>
          </w:p>
        </w:tc>
        <w:tc>
          <w:tcPr>
            <w:tcW w:type="dxa" w:w="2200"/>
            <w:tcBorders>
              <w:top w:val="single" w:color="CCCCCC" w:sz="1"/>
              <w:left w:val="single" w:color="CCCCCC" w:sz="1"/>
              <w:bottom w:val="single" w:color="CCCCCC" w:sz="1"/>
              <w:right w:val="single" w:color="CCCCCC" w:sz="1"/>
            </w:tcBorders>
            <w:shd w:fill="F8F9FA" w:val="clear"/>
          </w:tcPr>
          <w:p>
            <w:r>
              <w:rPr>
                <w:sz w:val="20"/>
                <w:szCs w:val="20"/>
              </w:rPr>
              <w:t xml:space="preserve">Macro scenario calibration</w:t>
            </w:r>
          </w:p>
        </w:tc>
        <w:tc>
          <w:tcPr>
            <w:tcW w:type="dxa" w:w="2160"/>
            <w:tcBorders>
              <w:top w:val="single" w:color="CCCCCC" w:sz="1"/>
              <w:left w:val="single" w:color="CCCCCC" w:sz="1"/>
              <w:bottom w:val="single" w:color="CCCCCC" w:sz="1"/>
              <w:right w:val="single" w:color="CCCCCC" w:sz="1"/>
            </w:tcBorders>
            <w:shd w:fill="F8F9FA" w:val="clear"/>
          </w:tcPr>
          <w:p>
            <w:r>
              <w:rPr>
                <w:sz w:val="20"/>
                <w:szCs w:val="20"/>
              </w:rPr>
              <w:t xml:space="preserve">Fed, ECB, BoI</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GARCH</w:t>
            </w:r>
          </w:p>
        </w:tc>
        <w:tc>
          <w:tcPr>
            <w:tcW w:type="dxa" w:w="1600"/>
            <w:tcBorders>
              <w:top w:val="single" w:color="CCCCCC" w:sz="1"/>
              <w:left w:val="single" w:color="CCCCCC" w:sz="1"/>
              <w:bottom w:val="single" w:color="CCCCCC" w:sz="1"/>
              <w:right w:val="single" w:color="CCCCCC" w:sz="1"/>
            </w:tcBorders>
          </w:tcPr>
          <w:p>
            <w:r>
              <w:rPr>
                <w:sz w:val="20"/>
                <w:szCs w:val="20"/>
              </w:rPr>
              <w:t xml:space="preserve">Volatility dynamics</w:t>
            </w:r>
          </w:p>
        </w:tc>
        <w:tc>
          <w:tcPr>
            <w:tcW w:type="dxa" w:w="1600"/>
            <w:tcBorders>
              <w:top w:val="single" w:color="CCCCCC" w:sz="1"/>
              <w:left w:val="single" w:color="CCCCCC" w:sz="1"/>
              <w:bottom w:val="single" w:color="CCCCCC" w:sz="1"/>
              <w:right w:val="single" w:color="CCCCCC" w:sz="1"/>
            </w:tcBorders>
          </w:tcPr>
          <w:p>
            <w:r>
              <w:rPr>
                <w:sz w:val="20"/>
                <w:szCs w:val="20"/>
              </w:rPr>
              <w:t xml:space="preserve">Univariate focus</w:t>
            </w:r>
          </w:p>
        </w:tc>
        <w:tc>
          <w:tcPr>
            <w:tcW w:type="dxa" w:w="2200"/>
            <w:tcBorders>
              <w:top w:val="single" w:color="CCCCCC" w:sz="1"/>
              <w:left w:val="single" w:color="CCCCCC" w:sz="1"/>
              <w:bottom w:val="single" w:color="CCCCCC" w:sz="1"/>
              <w:right w:val="single" w:color="CCCCCC" w:sz="1"/>
            </w:tcBorders>
          </w:tcPr>
          <w:p>
            <w:r>
              <w:rPr>
                <w:sz w:val="20"/>
                <w:szCs w:val="20"/>
              </w:rPr>
              <w:t xml:space="preserve">Market risk VaR/ES</w:t>
            </w:r>
          </w:p>
        </w:tc>
        <w:tc>
          <w:tcPr>
            <w:tcW w:type="dxa" w:w="2160"/>
            <w:tcBorders>
              <w:top w:val="single" w:color="CCCCCC" w:sz="1"/>
              <w:left w:val="single" w:color="CCCCCC" w:sz="1"/>
              <w:bottom w:val="single" w:color="CCCCCC" w:sz="1"/>
              <w:right w:val="single" w:color="CCCCCC" w:sz="1"/>
            </w:tcBorders>
          </w:tcPr>
          <w:p>
            <w:r>
              <w:rPr>
                <w:sz w:val="20"/>
                <w:szCs w:val="20"/>
              </w:rPr>
              <w:t xml:space="preserve">All trading banks</w:t>
            </w:r>
          </w:p>
        </w:tc>
      </w:tr>
      <w:tr>
        <w:tc>
          <w:tcPr>
            <w:tcW w:type="dxa" w:w="1800"/>
            <w:tcBorders>
              <w:top w:val="single" w:color="CCCCCC" w:sz="1"/>
              <w:left w:val="single" w:color="CCCCCC" w:sz="1"/>
              <w:bottom w:val="single" w:color="CCCCCC" w:sz="1"/>
              <w:right w:val="single" w:color="CCCCCC" w:sz="1"/>
            </w:tcBorders>
            <w:shd w:fill="F8F9FA" w:val="clear"/>
          </w:tcPr>
          <w:p>
            <w:r>
              <w:rPr>
                <w:b/>
                <w:bCs/>
                <w:sz w:val="20"/>
                <w:szCs w:val="20"/>
              </w:rPr>
              <w:t xml:space="preserve">Copulas</w:t>
            </w:r>
          </w:p>
        </w:tc>
        <w:tc>
          <w:tcPr>
            <w:tcW w:type="dxa" w:w="1600"/>
            <w:tcBorders>
              <w:top w:val="single" w:color="CCCCCC" w:sz="1"/>
              <w:left w:val="single" w:color="CCCCCC" w:sz="1"/>
              <w:bottom w:val="single" w:color="CCCCCC" w:sz="1"/>
              <w:right w:val="single" w:color="CCCCCC" w:sz="1"/>
            </w:tcBorders>
            <w:shd w:fill="F8F9FA" w:val="clear"/>
          </w:tcPr>
          <w:p>
            <w:r>
              <w:rPr>
                <w:sz w:val="20"/>
                <w:szCs w:val="20"/>
              </w:rPr>
              <w:t xml:space="preserve">Tail dependence</w:t>
            </w:r>
          </w:p>
        </w:tc>
        <w:tc>
          <w:tcPr>
            <w:tcW w:type="dxa" w:w="1600"/>
            <w:tcBorders>
              <w:top w:val="single" w:color="CCCCCC" w:sz="1"/>
              <w:left w:val="single" w:color="CCCCCC" w:sz="1"/>
              <w:bottom w:val="single" w:color="CCCCCC" w:sz="1"/>
              <w:right w:val="single" w:color="CCCCCC" w:sz="1"/>
            </w:tcBorders>
            <w:shd w:fill="F8F9FA" w:val="clear"/>
          </w:tcPr>
          <w:p>
            <w:r>
              <w:rPr>
                <w:sz w:val="20"/>
                <w:szCs w:val="20"/>
              </w:rPr>
              <w:t xml:space="preserve">Copula selection</w:t>
            </w:r>
          </w:p>
        </w:tc>
        <w:tc>
          <w:tcPr>
            <w:tcW w:type="dxa" w:w="2200"/>
            <w:tcBorders>
              <w:top w:val="single" w:color="CCCCCC" w:sz="1"/>
              <w:left w:val="single" w:color="CCCCCC" w:sz="1"/>
              <w:bottom w:val="single" w:color="CCCCCC" w:sz="1"/>
              <w:right w:val="single" w:color="CCCCCC" w:sz="1"/>
            </w:tcBorders>
            <w:shd w:fill="F8F9FA" w:val="clear"/>
          </w:tcPr>
          <w:p>
            <w:r>
              <w:rPr>
                <w:sz w:val="20"/>
                <w:szCs w:val="20"/>
              </w:rPr>
              <w:t xml:space="preserve">Systemic/joint risk</w:t>
            </w:r>
          </w:p>
        </w:tc>
        <w:tc>
          <w:tcPr>
            <w:tcW w:type="dxa" w:w="2160"/>
            <w:tcBorders>
              <w:top w:val="single" w:color="CCCCCC" w:sz="1"/>
              <w:left w:val="single" w:color="CCCCCC" w:sz="1"/>
              <w:bottom w:val="single" w:color="CCCCCC" w:sz="1"/>
              <w:right w:val="single" w:color="CCCCCC" w:sz="1"/>
            </w:tcBorders>
            <w:shd w:fill="F8F9FA" w:val="clear"/>
          </w:tcPr>
          <w:p>
            <w:r>
              <w:rPr>
                <w:sz w:val="20"/>
                <w:szCs w:val="20"/>
              </w:rPr>
              <w:t xml:space="preserve">GS, MS, insurers</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EVT</w:t>
            </w:r>
          </w:p>
        </w:tc>
        <w:tc>
          <w:tcPr>
            <w:tcW w:type="dxa" w:w="1600"/>
            <w:tcBorders>
              <w:top w:val="single" w:color="CCCCCC" w:sz="1"/>
              <w:left w:val="single" w:color="CCCCCC" w:sz="1"/>
              <w:bottom w:val="single" w:color="CCCCCC" w:sz="1"/>
              <w:right w:val="single" w:color="CCCCCC" w:sz="1"/>
            </w:tcBorders>
          </w:tcPr>
          <w:p>
            <w:r>
              <w:rPr>
                <w:sz w:val="20"/>
                <w:szCs w:val="20"/>
              </w:rPr>
              <w:t xml:space="preserve">Extreme quantiles</w:t>
            </w:r>
          </w:p>
        </w:tc>
        <w:tc>
          <w:tcPr>
            <w:tcW w:type="dxa" w:w="1600"/>
            <w:tcBorders>
              <w:top w:val="single" w:color="CCCCCC" w:sz="1"/>
              <w:left w:val="single" w:color="CCCCCC" w:sz="1"/>
              <w:bottom w:val="single" w:color="CCCCCC" w:sz="1"/>
              <w:right w:val="single" w:color="CCCCCC" w:sz="1"/>
            </w:tcBorders>
          </w:tcPr>
          <w:p>
            <w:r>
              <w:rPr>
                <w:sz w:val="20"/>
                <w:szCs w:val="20"/>
              </w:rPr>
              <w:t xml:space="preserve">Threshold choice</w:t>
            </w:r>
          </w:p>
        </w:tc>
        <w:tc>
          <w:tcPr>
            <w:tcW w:type="dxa" w:w="2200"/>
            <w:tcBorders>
              <w:top w:val="single" w:color="CCCCCC" w:sz="1"/>
              <w:left w:val="single" w:color="CCCCCC" w:sz="1"/>
              <w:bottom w:val="single" w:color="CCCCCC" w:sz="1"/>
              <w:right w:val="single" w:color="CCCCCC" w:sz="1"/>
            </w:tcBorders>
          </w:tcPr>
          <w:p>
            <w:r>
              <w:rPr>
                <w:sz w:val="20"/>
                <w:szCs w:val="20"/>
              </w:rPr>
              <w:t xml:space="preserve">Tail risk, ES</w:t>
            </w:r>
          </w:p>
        </w:tc>
        <w:tc>
          <w:tcPr>
            <w:tcW w:type="dxa" w:w="2160"/>
            <w:tcBorders>
              <w:top w:val="single" w:color="CCCCCC" w:sz="1"/>
              <w:left w:val="single" w:color="CCCCCC" w:sz="1"/>
              <w:bottom w:val="single" w:color="CCCCCC" w:sz="1"/>
              <w:right w:val="single" w:color="CCCCCC" w:sz="1"/>
            </w:tcBorders>
          </w:tcPr>
          <w:p>
            <w:r>
              <w:rPr>
                <w:sz w:val="20"/>
                <w:szCs w:val="20"/>
              </w:rPr>
              <w:t xml:space="preserve">Reinsurers, trading</w:t>
            </w:r>
          </w:p>
        </w:tc>
      </w:tr>
      <w:tr>
        <w:tc>
          <w:tcPr>
            <w:tcW w:type="dxa" w:w="1800"/>
            <w:tcBorders>
              <w:top w:val="single" w:color="CCCCCC" w:sz="1"/>
              <w:left w:val="single" w:color="CCCCCC" w:sz="1"/>
              <w:bottom w:val="single" w:color="CCCCCC" w:sz="1"/>
              <w:right w:val="single" w:color="CCCCCC" w:sz="1"/>
            </w:tcBorders>
            <w:shd w:fill="F8F9FA" w:val="clear"/>
          </w:tcPr>
          <w:p>
            <w:r>
              <w:rPr>
                <w:b/>
                <w:bCs/>
                <w:sz w:val="20"/>
                <w:szCs w:val="20"/>
              </w:rPr>
              <w:t xml:space="preserve">DSGE</w:t>
            </w:r>
          </w:p>
        </w:tc>
        <w:tc>
          <w:tcPr>
            <w:tcW w:type="dxa" w:w="1600"/>
            <w:tcBorders>
              <w:top w:val="single" w:color="CCCCCC" w:sz="1"/>
              <w:left w:val="single" w:color="CCCCCC" w:sz="1"/>
              <w:bottom w:val="single" w:color="CCCCCC" w:sz="1"/>
              <w:right w:val="single" w:color="CCCCCC" w:sz="1"/>
            </w:tcBorders>
            <w:shd w:fill="F8F9FA" w:val="clear"/>
          </w:tcPr>
          <w:p>
            <w:r>
              <w:rPr>
                <w:sz w:val="20"/>
                <w:szCs w:val="20"/>
              </w:rPr>
              <w:t xml:space="preserve">Economic structure</w:t>
            </w:r>
          </w:p>
        </w:tc>
        <w:tc>
          <w:tcPr>
            <w:tcW w:type="dxa" w:w="1600"/>
            <w:tcBorders>
              <w:top w:val="single" w:color="CCCCCC" w:sz="1"/>
              <w:left w:val="single" w:color="CCCCCC" w:sz="1"/>
              <w:bottom w:val="single" w:color="CCCCCC" w:sz="1"/>
              <w:right w:val="single" w:color="CCCCCC" w:sz="1"/>
            </w:tcBorders>
            <w:shd w:fill="F8F9FA" w:val="clear"/>
          </w:tcPr>
          <w:p>
            <w:r>
              <w:rPr>
                <w:sz w:val="20"/>
                <w:szCs w:val="20"/>
              </w:rPr>
              <w:t xml:space="preserve">Complexity</w:t>
            </w:r>
          </w:p>
        </w:tc>
        <w:tc>
          <w:tcPr>
            <w:tcW w:type="dxa" w:w="2200"/>
            <w:tcBorders>
              <w:top w:val="single" w:color="CCCCCC" w:sz="1"/>
              <w:left w:val="single" w:color="CCCCCC" w:sz="1"/>
              <w:bottom w:val="single" w:color="CCCCCC" w:sz="1"/>
              <w:right w:val="single" w:color="CCCCCC" w:sz="1"/>
            </w:tcBorders>
            <w:shd w:fill="F8F9FA" w:val="clear"/>
          </w:tcPr>
          <w:p>
            <w:r>
              <w:rPr>
                <w:sz w:val="20"/>
                <w:szCs w:val="20"/>
              </w:rPr>
              <w:t xml:space="preserve">Policy analysis</w:t>
            </w:r>
          </w:p>
        </w:tc>
        <w:tc>
          <w:tcPr>
            <w:tcW w:type="dxa" w:w="2160"/>
            <w:tcBorders>
              <w:top w:val="single" w:color="CCCCCC" w:sz="1"/>
              <w:left w:val="single" w:color="CCCCCC" w:sz="1"/>
              <w:bottom w:val="single" w:color="CCCCCC" w:sz="1"/>
              <w:right w:val="single" w:color="CCCCCC" w:sz="1"/>
            </w:tcBorders>
            <w:shd w:fill="F8F9FA" w:val="clear"/>
          </w:tcPr>
          <w:p>
            <w:r>
              <w:rPr>
                <w:sz w:val="20"/>
                <w:szCs w:val="20"/>
              </w:rPr>
              <w:t xml:space="preserve">Fed, ECB, BoE</w:t>
            </w:r>
          </w:p>
        </w:tc>
      </w:tr>
    </w:tbl>
    <w:p>
      <w:pPr>
        <w:spacing w:after="200"/>
      </w:pPr>
    </w:p>
    <w:p>
      <w:r>
        <w:br w:type="page"/>
      </w:r>
    </w:p>
    <w:p>
      <w:pPr>
        <w:pStyle w:val="Heading1"/>
      </w:pPr>
      <w:r>
        <w:t xml:space="preserve">4. Complete Stress Scenario Development Lifecycle</w:t>
      </w:r>
    </w:p>
    <w:p>
      <w:pPr>
        <w:spacing w:after="200"/>
      </w:pPr>
      <w:r>
        <w:t xml:space="preserve">The following framework represents the complete, end-to-end lifecycle for stress scenario development as practiced by industry-leading institutions. This lifecycle integrates governance, analytics, and execution into a coherent process that meets regulatory requirements while providing genuine risk management value.</w:t>
      </w:r>
    </w:p>
    <w:p>
      <w:pPr>
        <w:pStyle w:val="Heading2"/>
      </w:pPr>
      <w:r>
        <w:t xml:space="preserve">Phase 1: Strategic Planning &amp; Governance (Weeks 1-4)</w:t>
      </w:r>
    </w:p>
    <w:p>
      <w:pPr>
        <w:pStyle w:val="Heading3"/>
      </w:pPr>
      <w:r>
        <w:t xml:space="preserve">1.1 Objective Definition</w:t>
      </w:r>
    </w:p>
    <w:p>
      <w:pPr>
        <w:pStyle w:val="ListParagraph"/>
        <w:numPr>
          <w:ilvl w:val="0"/>
          <w:numId w:val="4"/>
        </w:numPr>
      </w:pPr>
      <w:r>
        <w:t xml:space="preserve">Define stress test purpose: regulatory compliance (CCAR/DFAST/EBA), internal capital planning, ICAAP, or ad-hoc risk assessment</w:t>
      </w:r>
    </w:p>
    <w:p>
      <w:pPr>
        <w:pStyle w:val="ListParagraph"/>
        <w:numPr>
          <w:ilvl w:val="0"/>
          <w:numId w:val="4"/>
        </w:numPr>
      </w:pPr>
      <w:r>
        <w:t xml:space="preserve">Establish scope: enterprise-wide vs. portfolio-specific, point-in-time vs. through-the-cycle</w:t>
      </w:r>
    </w:p>
    <w:p>
      <w:pPr>
        <w:pStyle w:val="ListParagraph"/>
        <w:numPr>
          <w:ilvl w:val="0"/>
          <w:numId w:val="4"/>
        </w:numPr>
      </w:pPr>
      <w:r>
        <w:t xml:space="preserve">Set projection horizon (typically 9 quarters for CCAR, 3 years for EBA)</w:t>
      </w:r>
    </w:p>
    <w:p>
      <w:pPr>
        <w:pStyle w:val="ListParagraph"/>
        <w:numPr>
          <w:ilvl w:val="0"/>
          <w:numId w:val="4"/>
        </w:numPr>
      </w:pPr>
      <w:r>
        <w:t xml:space="preserve">Identify key risk metrics: CET1 ratio, Tier 1 leverage, LCR, NSFR, PPNR</w:t>
      </w:r>
    </w:p>
    <w:p>
      <w:pPr>
        <w:pStyle w:val="Heading3"/>
      </w:pPr>
      <w:r>
        <w:t xml:space="preserve">1.2 Governance Structure</w:t>
      </w:r>
    </w:p>
    <w:p>
      <w:pPr>
        <w:pStyle w:val="ListParagraph"/>
        <w:numPr>
          <w:ilvl w:val="0"/>
          <w:numId w:val="2"/>
        </w:numPr>
      </w:pPr>
      <w:r>
        <w:rPr>
          <w:b/>
          <w:bCs/>
        </w:rPr>
        <w:t xml:space="preserve">Executive Sponsor: </w:t>
      </w:r>
      <w:r>
        <w:t xml:space="preserve">CRO or Chief Financial Officer</w:t>
      </w:r>
    </w:p>
    <w:p>
      <w:pPr>
        <w:pStyle w:val="ListParagraph"/>
        <w:numPr>
          <w:ilvl w:val="0"/>
          <w:numId w:val="2"/>
        </w:numPr>
      </w:pPr>
      <w:r>
        <w:rPr>
          <w:b/>
          <w:bCs/>
        </w:rPr>
        <w:t xml:space="preserve">Steering Committee: </w:t>
      </w:r>
      <w:r>
        <w:t xml:space="preserve">Senior risk, finance, treasury, and business line leaders</w:t>
      </w:r>
    </w:p>
    <w:p>
      <w:pPr>
        <w:pStyle w:val="ListParagraph"/>
        <w:numPr>
          <w:ilvl w:val="0"/>
          <w:numId w:val="2"/>
        </w:numPr>
      </w:pPr>
      <w:r>
        <w:rPr>
          <w:b/>
          <w:bCs/>
        </w:rPr>
        <w:t xml:space="preserve">Working Groups: </w:t>
      </w:r>
      <w:r>
        <w:t xml:space="preserve">Scenario design, model development, data management, reporting</w:t>
      </w:r>
    </w:p>
    <w:p>
      <w:pPr>
        <w:pStyle w:val="ListParagraph"/>
        <w:numPr>
          <w:ilvl w:val="0"/>
          <w:numId w:val="2"/>
        </w:numPr>
        <w:spacing w:after="200"/>
      </w:pPr>
      <w:r>
        <w:rPr>
          <w:b/>
          <w:bCs/>
        </w:rPr>
        <w:t xml:space="preserve">Challenge Function: </w:t>
      </w:r>
      <w:r>
        <w:t xml:space="preserve">Model validation, internal audit, board risk committee</w:t>
      </w:r>
    </w:p>
    <w:p>
      <w:pPr>
        <w:pStyle w:val="Heading2"/>
      </w:pPr>
      <w:r>
        <w:t xml:space="preserve">Phase 2: Risk Identification &amp; Assessment (Weeks 3-8)</w:t>
      </w:r>
    </w:p>
    <w:p>
      <w:pPr>
        <w:pStyle w:val="Heading3"/>
      </w:pPr>
      <w:r>
        <w:t xml:space="preserve">2.1 Risk Inventory Development</w:t>
      </w:r>
    </w:p>
    <w:p>
      <w:pPr>
        <w:pStyle w:val="ListParagraph"/>
        <w:numPr>
          <w:ilvl w:val="0"/>
          <w:numId w:val="5"/>
        </w:numPr>
      </w:pPr>
      <w:r>
        <w:t xml:space="preserve">Conduct comprehensive risk taxonomy review (credit, market, operational, liquidity, interest rate, strategic)</w:t>
      </w:r>
    </w:p>
    <w:p>
      <w:pPr>
        <w:pStyle w:val="ListParagraph"/>
        <w:numPr>
          <w:ilvl w:val="0"/>
          <w:numId w:val="5"/>
        </w:numPr>
      </w:pPr>
      <w:r>
        <w:t xml:space="preserve">Map risk factors to portfolio exposures and P&amp;L line items</w:t>
      </w:r>
    </w:p>
    <w:p>
      <w:pPr>
        <w:pStyle w:val="ListParagraph"/>
        <w:numPr>
          <w:ilvl w:val="0"/>
          <w:numId w:val="5"/>
        </w:numPr>
      </w:pPr>
      <w:r>
        <w:t xml:space="preserve">Identify concentration risks, emerging risks, and interconnections</w:t>
      </w:r>
    </w:p>
    <w:p>
      <w:pPr>
        <w:pStyle w:val="ListParagraph"/>
        <w:numPr>
          <w:ilvl w:val="0"/>
          <w:numId w:val="5"/>
        </w:numPr>
      </w:pPr>
      <w:r>
        <w:t xml:space="preserve">Assess firm-specific vulnerabilities (e.g., CRE concentration, deposit funding mix)</w:t>
      </w:r>
    </w:p>
    <w:p>
      <w:pPr>
        <w:pStyle w:val="Heading3"/>
      </w:pPr>
      <w:r>
        <w:t xml:space="preserve">2.2 Historical Analysis</w:t>
      </w:r>
    </w:p>
    <w:p>
      <w:pPr>
        <w:pStyle w:val="ListParagraph"/>
        <w:numPr>
          <w:ilvl w:val="0"/>
          <w:numId w:val="2"/>
        </w:numPr>
      </w:pPr>
      <w:r>
        <w:t xml:space="preserve">Analyze historical crisis episodes: 2008 GFC, 2020 COVID, 2023 regional bank crisis, eurozone debt crisis</w:t>
      </w:r>
    </w:p>
    <w:p>
      <w:pPr>
        <w:pStyle w:val="ListParagraph"/>
        <w:numPr>
          <w:ilvl w:val="0"/>
          <w:numId w:val="2"/>
        </w:numPr>
      </w:pPr>
      <w:r>
        <w:t xml:space="preserve">Calculate historical loss rates, migration matrices, and recovery patterns</w:t>
      </w:r>
    </w:p>
    <w:p>
      <w:pPr>
        <w:pStyle w:val="ListParagraph"/>
        <w:numPr>
          <w:ilvl w:val="0"/>
          <w:numId w:val="2"/>
        </w:numPr>
        <w:spacing w:after="200"/>
      </w:pPr>
      <w:r>
        <w:t xml:space="preserve">Identify structural breaks and regime changes that may invalidate historical relationships</w:t>
      </w:r>
    </w:p>
    <w:p>
      <w:pPr>
        <w:pStyle w:val="Heading2"/>
      </w:pPr>
      <w:r>
        <w:t xml:space="preserve">Phase 3: Scenario Design (Weeks 6-12)</w:t>
      </w:r>
    </w:p>
    <w:p>
      <w:pPr>
        <w:pStyle w:val="Heading3"/>
      </w:pPr>
      <w:r>
        <w:t xml:space="preserve">3.1 Narrative Development</w:t>
      </w:r>
    </w:p>
    <w:p>
      <w:pPr>
        <w:spacing w:after="200"/>
      </w:pPr>
      <w:r>
        <w:t xml:space="preserve">Develop coherent economic narratives that explain why and how stress materializes. The Fed's Scenario Design Framework requires scenarios that are "severe but plausible"—based on historical precedent or credible economic reasoning.</w:t>
      </w:r>
    </w:p>
    <w:p>
      <w:pPr>
        <w:spacing w:after="100"/>
      </w:pPr>
      <w:r>
        <w:rPr>
          <w:b/>
          <w:bCs/>
        </w:rPr>
        <w:t xml:space="preserve">Example Narrative Elements:</w:t>
      </w:r>
    </w:p>
    <w:p>
      <w:pPr>
        <w:pStyle w:val="ListParagraph"/>
        <w:numPr>
          <w:ilvl w:val="0"/>
          <w:numId w:val="2"/>
        </w:numPr>
      </w:pPr>
      <w:r>
        <w:t xml:space="preserve">Trigger event (geopolitical shock, asset bubble collapse, pandemic)</w:t>
      </w:r>
    </w:p>
    <w:p>
      <w:pPr>
        <w:pStyle w:val="ListParagraph"/>
        <w:numPr>
          <w:ilvl w:val="0"/>
          <w:numId w:val="2"/>
        </w:numPr>
      </w:pPr>
      <w:r>
        <w:t xml:space="preserve">Transmission mechanism (credit contraction, confidence collapse, supply chain disruption)</w:t>
      </w:r>
    </w:p>
    <w:p>
      <w:pPr>
        <w:pStyle w:val="ListParagraph"/>
        <w:numPr>
          <w:ilvl w:val="0"/>
          <w:numId w:val="2"/>
        </w:numPr>
      </w:pPr>
      <w:r>
        <w:t xml:space="preserve">Policy response (monetary easing, fiscal stimulus, regulatory forbearance)</w:t>
      </w:r>
    </w:p>
    <w:p>
      <w:pPr>
        <w:pStyle w:val="ListParagraph"/>
        <w:numPr>
          <w:ilvl w:val="0"/>
          <w:numId w:val="2"/>
        </w:numPr>
        <w:spacing w:after="200"/>
      </w:pPr>
      <w:r>
        <w:t xml:space="preserve">Recovery dynamics (V-shaped, U-shaped, L-shaped)</w:t>
      </w:r>
    </w:p>
    <w:p>
      <w:pPr>
        <w:pStyle w:val="Heading3"/>
      </w:pPr>
      <w:r>
        <w:t xml:space="preserve">3.2 Macroeconomic Variable Specification</w:t>
      </w:r>
    </w:p>
    <w:p>
      <w:pPr>
        <w:spacing w:after="100"/>
      </w:pPr>
      <w:r>
        <w:rPr>
          <w:b/>
          <w:bCs/>
        </w:rPr>
        <w:t xml:space="preserve">Core Variables (Fed Standard):</w:t>
      </w:r>
    </w:p>
    <w:p>
      <w:pPr>
        <w:pStyle w:val="ListParagraph"/>
        <w:numPr>
          <w:ilvl w:val="0"/>
          <w:numId w:val="2"/>
        </w:numPr>
      </w:pPr>
      <w:r>
        <w:t xml:space="preserve">Real GDP growth, unemployment rate, CPI inflation</w:t>
      </w:r>
    </w:p>
    <w:p>
      <w:pPr>
        <w:pStyle w:val="ListParagraph"/>
        <w:numPr>
          <w:ilvl w:val="0"/>
          <w:numId w:val="2"/>
        </w:numPr>
      </w:pPr>
      <w:r>
        <w:t xml:space="preserve">House Price Index, Commercial Real Estate Index</w:t>
      </w:r>
    </w:p>
    <w:p>
      <w:pPr>
        <w:pStyle w:val="ListParagraph"/>
        <w:numPr>
          <w:ilvl w:val="0"/>
          <w:numId w:val="2"/>
        </w:numPr>
      </w:pPr>
      <w:r>
        <w:t xml:space="preserve">10-year Treasury yield, 3-month Treasury bill rate, BBB corporate spread</w:t>
      </w:r>
    </w:p>
    <w:p>
      <w:pPr>
        <w:pStyle w:val="ListParagraph"/>
        <w:numPr>
          <w:ilvl w:val="0"/>
          <w:numId w:val="2"/>
        </w:numPr>
        <w:spacing w:after="200"/>
      </w:pPr>
      <w:r>
        <w:t xml:space="preserve">Dow Jones Total Stock Market Index, VIX</w:t>
      </w:r>
    </w:p>
    <w:p>
      <w:pPr>
        <w:pStyle w:val="Heading3"/>
      </w:pPr>
      <w:r>
        <w:t xml:space="preserve">3.3 Quantitative Calibration</w:t>
      </w:r>
    </w:p>
    <w:p>
      <w:pPr>
        <w:spacing w:after="200"/>
      </w:pPr>
      <w:r>
        <w:t xml:space="preserve">Use BVAR or DSGE models to ensure cross-variable consistency. The Fed's Scenario Design Framework includes specific requirements:</w:t>
      </w:r>
    </w:p>
    <w:p>
      <w:pPr>
        <w:pStyle w:val="ListParagraph"/>
        <w:numPr>
          <w:ilvl w:val="0"/>
          <w:numId w:val="2"/>
        </w:numPr>
      </w:pPr>
      <w:r>
        <w:t xml:space="preserve">Unemployment must rise to at least 10% (or +4 percentage points if already elevated)</w:t>
      </w:r>
    </w:p>
    <w:p>
      <w:pPr>
        <w:pStyle w:val="ListParagraph"/>
        <w:numPr>
          <w:ilvl w:val="0"/>
          <w:numId w:val="2"/>
        </w:numPr>
      </w:pPr>
      <w:r>
        <w:t xml:space="preserve">House prices must decline consistent with unemployment path (countercyclical relationship)</w:t>
      </w:r>
    </w:p>
    <w:p>
      <w:pPr>
        <w:pStyle w:val="ListParagraph"/>
        <w:numPr>
          <w:ilvl w:val="0"/>
          <w:numId w:val="2"/>
        </w:numPr>
        <w:spacing w:after="200"/>
      </w:pPr>
      <w:r>
        <w:t xml:space="preserve">Interest rate paths must be internally consistent with inflation and growth forecasts</w:t>
      </w:r>
    </w:p>
    <w:p>
      <w:pPr>
        <w:pStyle w:val="Heading3"/>
      </w:pPr>
      <w:r>
        <w:t xml:space="preserve">3.4 Severity Assessment</w:t>
      </w:r>
    </w:p>
    <w:p>
      <w:pPr>
        <w:spacing w:after="200"/>
      </w:pPr>
      <w:r>
        <w:t xml:space="preserve">Calculate the probability/severity of the scenario using Monte Carlo simulation from the calibrated VAR/DSGE. Best practice is to target scenarios that represent 1-5% probability events (1-in-20 to 1-in-100 year events).</w:t>
      </w:r>
    </w:p>
    <w:p>
      <w:pPr>
        <w:pStyle w:val="Heading2"/>
      </w:pPr>
      <w:r>
        <w:t xml:space="preserve">Phase 4: Model Development &amp; Implementation (Weeks 8-20)</w:t>
      </w:r>
    </w:p>
    <w:p>
      <w:pPr>
        <w:pStyle w:val="Heading3"/>
      </w:pPr>
      <w:r>
        <w:t xml:space="preserve">4.1 Satellite Model Development</w:t>
      </w:r>
    </w:p>
    <w:p>
      <w:pPr>
        <w:spacing w:after="100"/>
      </w:pPr>
      <w:r>
        <w:t xml:space="preserve">Develop models linking macro scenarios to risk parameters:</w:t>
      </w:r>
    </w:p>
    <w:p>
      <w:pPr>
        <w:pStyle w:val="ListParagraph"/>
        <w:numPr>
          <w:ilvl w:val="0"/>
          <w:numId w:val="6"/>
        </w:numPr>
      </w:pPr>
      <w:r>
        <w:rPr>
          <w:b/>
          <w:bCs/>
        </w:rPr>
        <w:t xml:space="preserve">Credit Risk: </w:t>
      </w:r>
      <w:r>
        <w:t xml:space="preserve">PD models (logistic regression, survival analysis), LGD models (beta regression, Tobit)</w:t>
      </w:r>
    </w:p>
    <w:p>
      <w:pPr>
        <w:pStyle w:val="ListParagraph"/>
        <w:numPr>
          <w:ilvl w:val="0"/>
          <w:numId w:val="6"/>
        </w:numPr>
      </w:pPr>
      <w:r>
        <w:rPr>
          <w:b/>
          <w:bCs/>
        </w:rPr>
        <w:t xml:space="preserve">Market Risk: </w:t>
      </w:r>
      <w:r>
        <w:t xml:space="preserve">GARCH-filtered Monte Carlo, EVT for tail risk, copula for dependencies</w:t>
      </w:r>
    </w:p>
    <w:p>
      <w:pPr>
        <w:pStyle w:val="ListParagraph"/>
        <w:numPr>
          <w:ilvl w:val="0"/>
          <w:numId w:val="6"/>
        </w:numPr>
      </w:pPr>
      <w:r>
        <w:rPr>
          <w:b/>
          <w:bCs/>
        </w:rPr>
        <w:t xml:space="preserve">Operational Risk: </w:t>
      </w:r>
      <w:r>
        <w:t xml:space="preserve">Scenario-based quantification, correlation with economic cycle</w:t>
      </w:r>
    </w:p>
    <w:p>
      <w:pPr>
        <w:pStyle w:val="ListParagraph"/>
        <w:numPr>
          <w:ilvl w:val="0"/>
          <w:numId w:val="6"/>
        </w:numPr>
      </w:pPr>
      <w:r>
        <w:rPr>
          <w:b/>
          <w:bCs/>
        </w:rPr>
        <w:t xml:space="preserve">PPNR: </w:t>
      </w:r>
      <w:r>
        <w:t xml:space="preserve">NII sensitivity (repricing gaps, prepayment models), fee income elasticity</w:t>
      </w:r>
    </w:p>
    <w:p>
      <w:pPr>
        <w:pStyle w:val="ListParagraph"/>
        <w:numPr>
          <w:ilvl w:val="0"/>
          <w:numId w:val="6"/>
        </w:numPr>
        <w:spacing w:after="200"/>
      </w:pPr>
      <w:r>
        <w:rPr>
          <w:b/>
          <w:bCs/>
        </w:rPr>
        <w:t xml:space="preserve">Liquidity: </w:t>
      </w:r>
      <w:r>
        <w:t xml:space="preserve">Deposit run-off rates, market liquidity haircuts, contingent funding draws</w:t>
      </w:r>
    </w:p>
    <w:p>
      <w:pPr>
        <w:pStyle w:val="Heading3"/>
      </w:pPr>
      <w:r>
        <w:t xml:space="preserve">4.2 Model Integration</w:t>
      </w:r>
    </w:p>
    <w:p>
      <w:pPr>
        <w:pStyle w:val="ListParagraph"/>
        <w:numPr>
          <w:ilvl w:val="0"/>
          <w:numId w:val="2"/>
        </w:numPr>
      </w:pPr>
      <w:r>
        <w:t xml:space="preserve">Ensure consistency across risk types (e.g., credit losses affect capital, which affects liquidity)</w:t>
      </w:r>
    </w:p>
    <w:p>
      <w:pPr>
        <w:pStyle w:val="ListParagraph"/>
        <w:numPr>
          <w:ilvl w:val="0"/>
          <w:numId w:val="2"/>
        </w:numPr>
      </w:pPr>
      <w:r>
        <w:t xml:space="preserve">Implement feedback loops where appropriate (second-round effects)</w:t>
      </w:r>
    </w:p>
    <w:p>
      <w:pPr>
        <w:pStyle w:val="ListParagraph"/>
        <w:numPr>
          <w:ilvl w:val="0"/>
          <w:numId w:val="2"/>
        </w:numPr>
        <w:spacing w:after="200"/>
      </w:pPr>
      <w:r>
        <w:t xml:space="preserve">Calibrate management actions (asset sales, deleveraging) with realistic constraints</w:t>
      </w:r>
    </w:p>
    <w:p>
      <w:pPr>
        <w:pStyle w:val="Heading2"/>
      </w:pPr>
      <w:r>
        <w:t xml:space="preserve">Phase 5: Execution &amp; Computation (Weeks 18-26)</w:t>
      </w:r>
    </w:p>
    <w:p>
      <w:pPr>
        <w:pStyle w:val="Heading3"/>
      </w:pPr>
      <w:r>
        <w:t xml:space="preserve">5.1 Data Collection &amp; Quality Assurance</w:t>
      </w:r>
    </w:p>
    <w:p>
      <w:pPr>
        <w:pStyle w:val="ListParagraph"/>
        <w:numPr>
          <w:ilvl w:val="0"/>
          <w:numId w:val="7"/>
        </w:numPr>
      </w:pPr>
      <w:r>
        <w:t xml:space="preserve">Extract position data from source systems (loan tape, trading book, securities portfolio)</w:t>
      </w:r>
    </w:p>
    <w:p>
      <w:pPr>
        <w:pStyle w:val="ListParagraph"/>
        <w:numPr>
          <w:ilvl w:val="0"/>
          <w:numId w:val="7"/>
        </w:numPr>
      </w:pPr>
      <w:r>
        <w:t xml:space="preserve">Reconcile to general ledger and regulatory reports (FR Y-14A/Q/M)</w:t>
      </w:r>
    </w:p>
    <w:p>
      <w:pPr>
        <w:pStyle w:val="ListParagraph"/>
        <w:numPr>
          <w:ilvl w:val="0"/>
          <w:numId w:val="7"/>
        </w:numPr>
      </w:pPr>
      <w:r>
        <w:t xml:space="preserve">Apply data quality controls (completeness, accuracy, timeliness)</w:t>
      </w:r>
    </w:p>
    <w:p>
      <w:pPr>
        <w:pStyle w:val="Heading3"/>
      </w:pPr>
      <w:r>
        <w:t xml:space="preserve">5.2 Model Execution</w:t>
      </w:r>
    </w:p>
    <w:p>
      <w:pPr>
        <w:pStyle w:val="ListParagraph"/>
        <w:numPr>
          <w:ilvl w:val="0"/>
          <w:numId w:val="2"/>
        </w:numPr>
      </w:pPr>
      <w:r>
        <w:t xml:space="preserve">Run credit loss projections by portfolio segment</w:t>
      </w:r>
    </w:p>
    <w:p>
      <w:pPr>
        <w:pStyle w:val="ListParagraph"/>
        <w:numPr>
          <w:ilvl w:val="0"/>
          <w:numId w:val="2"/>
        </w:numPr>
      </w:pPr>
      <w:r>
        <w:t xml:space="preserve">Execute trading book repricing under market shock</w:t>
      </w:r>
    </w:p>
    <w:p>
      <w:pPr>
        <w:pStyle w:val="ListParagraph"/>
        <w:numPr>
          <w:ilvl w:val="0"/>
          <w:numId w:val="2"/>
        </w:numPr>
      </w:pPr>
      <w:r>
        <w:t xml:space="preserve">Project balance sheet evolution and RWA dynamics</w:t>
      </w:r>
    </w:p>
    <w:p>
      <w:pPr>
        <w:pStyle w:val="ListParagraph"/>
        <w:numPr>
          <w:ilvl w:val="0"/>
          <w:numId w:val="2"/>
        </w:numPr>
        <w:spacing w:after="200"/>
      </w:pPr>
      <w:r>
        <w:t xml:space="preserve">Calculate capital ratios quarter-by-quarter through horizon</w:t>
      </w:r>
    </w:p>
    <w:p>
      <w:pPr>
        <w:pStyle w:val="Heading2"/>
      </w:pPr>
      <w:r>
        <w:t xml:space="preserve">Phase 6: Validation &amp; Challenge (Weeks 22-30)</w:t>
      </w:r>
    </w:p>
    <w:p>
      <w:pPr>
        <w:pStyle w:val="Heading3"/>
      </w:pPr>
      <w:r>
        <w:t xml:space="preserve">6.1 Model Risk Management</w:t>
      </w:r>
    </w:p>
    <w:p>
      <w:pPr>
        <w:pStyle w:val="ListParagraph"/>
        <w:numPr>
          <w:ilvl w:val="0"/>
          <w:numId w:val="8"/>
        </w:numPr>
      </w:pPr>
      <w:r>
        <w:t xml:space="preserve">Conceptual soundness review (economic theory, appropriate complexity)</w:t>
      </w:r>
    </w:p>
    <w:p>
      <w:pPr>
        <w:pStyle w:val="ListParagraph"/>
        <w:numPr>
          <w:ilvl w:val="0"/>
          <w:numId w:val="8"/>
        </w:numPr>
      </w:pPr>
      <w:r>
        <w:t xml:space="preserve">Outcomes analysis (backtesting, benchmarking against realized losses)</w:t>
      </w:r>
    </w:p>
    <w:p>
      <w:pPr>
        <w:pStyle w:val="ListParagraph"/>
        <w:numPr>
          <w:ilvl w:val="0"/>
          <w:numId w:val="8"/>
        </w:numPr>
      </w:pPr>
      <w:r>
        <w:t xml:space="preserve">Sensitivity testing (parameter uncertainty, input data quality)</w:t>
      </w:r>
    </w:p>
    <w:p>
      <w:pPr>
        <w:pStyle w:val="ListParagraph"/>
        <w:numPr>
          <w:ilvl w:val="0"/>
          <w:numId w:val="8"/>
        </w:numPr>
      </w:pPr>
      <w:r>
        <w:t xml:space="preserve">Challenger model comparison (alternative specifications)</w:t>
      </w:r>
    </w:p>
    <w:p>
      <w:pPr>
        <w:pStyle w:val="Heading3"/>
      </w:pPr>
      <w:r>
        <w:t xml:space="preserve">6.2 Effective Challenge</w:t>
      </w:r>
    </w:p>
    <w:p>
      <w:pPr>
        <w:pStyle w:val="ListParagraph"/>
        <w:numPr>
          <w:ilvl w:val="0"/>
          <w:numId w:val="2"/>
        </w:numPr>
      </w:pPr>
      <w:r>
        <w:t xml:space="preserve">Senior management review of assumptions and results</w:t>
      </w:r>
    </w:p>
    <w:p>
      <w:pPr>
        <w:pStyle w:val="ListParagraph"/>
        <w:numPr>
          <w:ilvl w:val="0"/>
          <w:numId w:val="2"/>
        </w:numPr>
      </w:pPr>
      <w:r>
        <w:t xml:space="preserve">Business line attestation of forecasts and behavioral assumptions</w:t>
      </w:r>
    </w:p>
    <w:p>
      <w:pPr>
        <w:pStyle w:val="ListParagraph"/>
        <w:numPr>
          <w:ilvl w:val="0"/>
          <w:numId w:val="2"/>
        </w:numPr>
        <w:spacing w:after="200"/>
      </w:pPr>
      <w:r>
        <w:t xml:space="preserve">Independent model validation sign-off</w:t>
      </w:r>
    </w:p>
    <w:p>
      <w:pPr>
        <w:pStyle w:val="Heading2"/>
      </w:pPr>
      <w:r>
        <w:t xml:space="preserve">Phase 7: Reporting &amp; Action (Weeks 28-34)</w:t>
      </w:r>
    </w:p>
    <w:p>
      <w:pPr>
        <w:pStyle w:val="Heading3"/>
      </w:pPr>
      <w:r>
        <w:t xml:space="preserve">7.1 Internal Reporting</w:t>
      </w:r>
    </w:p>
    <w:p>
      <w:pPr>
        <w:pStyle w:val="ListParagraph"/>
        <w:numPr>
          <w:ilvl w:val="0"/>
          <w:numId w:val="2"/>
        </w:numPr>
      </w:pPr>
      <w:r>
        <w:t xml:space="preserve">Board Risk Committee presentation of enterprise-wide results</w:t>
      </w:r>
    </w:p>
    <w:p>
      <w:pPr>
        <w:pStyle w:val="ListParagraph"/>
        <w:numPr>
          <w:ilvl w:val="0"/>
          <w:numId w:val="2"/>
        </w:numPr>
      </w:pPr>
      <w:r>
        <w:t xml:space="preserve">Business line drill-downs with loss attribution</w:t>
      </w:r>
    </w:p>
    <w:p>
      <w:pPr>
        <w:pStyle w:val="ListParagraph"/>
        <w:numPr>
          <w:ilvl w:val="0"/>
          <w:numId w:val="2"/>
        </w:numPr>
      </w:pPr>
      <w:r>
        <w:t xml:space="preserve">Capital planning implications and buffer adequacy assessment</w:t>
      </w:r>
    </w:p>
    <w:p>
      <w:pPr>
        <w:pStyle w:val="Heading3"/>
      </w:pPr>
      <w:r>
        <w:t xml:space="preserve">7.2 Regulatory Submission</w:t>
      </w:r>
    </w:p>
    <w:p>
      <w:pPr>
        <w:pStyle w:val="ListParagraph"/>
        <w:numPr>
          <w:ilvl w:val="0"/>
          <w:numId w:val="2"/>
        </w:numPr>
      </w:pPr>
      <w:r>
        <w:t xml:space="preserve">FR Y-14A/Q/M data submissions (Fed)</w:t>
      </w:r>
    </w:p>
    <w:p>
      <w:pPr>
        <w:pStyle w:val="ListParagraph"/>
        <w:numPr>
          <w:ilvl w:val="0"/>
          <w:numId w:val="2"/>
        </w:numPr>
      </w:pPr>
      <w:r>
        <w:t xml:space="preserve">EBA templates and explanatory notes</w:t>
      </w:r>
    </w:p>
    <w:p>
      <w:pPr>
        <w:pStyle w:val="ListParagraph"/>
        <w:numPr>
          <w:ilvl w:val="0"/>
          <w:numId w:val="2"/>
        </w:numPr>
        <w:spacing w:after="200"/>
      </w:pPr>
      <w:r>
        <w:t xml:space="preserve">Public disclosure documents (DFAST company-run results)</w:t>
      </w:r>
    </w:p>
    <w:p>
      <w:pPr>
        <w:pStyle w:val="Heading3"/>
      </w:pPr>
      <w:r>
        <w:t xml:space="preserve">7.3 Management Actions</w:t>
      </w:r>
    </w:p>
    <w:p>
      <w:pPr>
        <w:pStyle w:val="ListParagraph"/>
        <w:numPr>
          <w:ilvl w:val="0"/>
          <w:numId w:val="9"/>
        </w:numPr>
      </w:pPr>
      <w:r>
        <w:t xml:space="preserve">Update capital planning based on stress test implications</w:t>
      </w:r>
    </w:p>
    <w:p>
      <w:pPr>
        <w:pStyle w:val="ListParagraph"/>
        <w:numPr>
          <w:ilvl w:val="0"/>
          <w:numId w:val="9"/>
        </w:numPr>
      </w:pPr>
      <w:r>
        <w:t xml:space="preserve">Adjust risk appetite and limits where vulnerabilities identified</w:t>
      </w:r>
    </w:p>
    <w:p>
      <w:pPr>
        <w:pStyle w:val="ListParagraph"/>
        <w:numPr>
          <w:ilvl w:val="0"/>
          <w:numId w:val="9"/>
        </w:numPr>
      </w:pPr>
      <w:r>
        <w:t xml:space="preserve">Inform strategic planning (portfolio optimization, business mix)</w:t>
      </w:r>
    </w:p>
    <w:p>
      <w:pPr>
        <w:pStyle w:val="ListParagraph"/>
        <w:numPr>
          <w:ilvl w:val="0"/>
          <w:numId w:val="9"/>
        </w:numPr>
        <w:spacing w:after="200"/>
      </w:pPr>
      <w:r>
        <w:t xml:space="preserve">Feed results into pricing decisions and client selection</w:t>
      </w:r>
    </w:p>
    <w:p>
      <w:r>
        <w:br w:type="page"/>
      </w:r>
    </w:p>
    <w:p>
      <w:pPr>
        <w:pStyle w:val="Heading1"/>
      </w:pPr>
      <w:r>
        <w:t xml:space="preserve">5. Implementation Best Practices</w:t>
      </w:r>
    </w:p>
    <w:p>
      <w:pPr>
        <w:pStyle w:val="Heading2"/>
      </w:pPr>
      <w:r>
        <w:t xml:space="preserve">5.1 Model Architecture</w:t>
      </w:r>
    </w:p>
    <w:p>
      <w:pPr>
        <w:pStyle w:val="ListParagraph"/>
        <w:numPr>
          <w:ilvl w:val="0"/>
          <w:numId w:val="2"/>
        </w:numPr>
      </w:pPr>
      <w:r>
        <w:rPr>
          <w:b/>
          <w:bCs/>
        </w:rPr>
        <w:t xml:space="preserve">Modular Design: </w:t>
      </w:r>
      <w:r>
        <w:t xml:space="preserve">Separate scenario generation, risk parameter estimation, and aggregation layers</w:t>
      </w:r>
    </w:p>
    <w:p>
      <w:pPr>
        <w:pStyle w:val="ListParagraph"/>
        <w:numPr>
          <w:ilvl w:val="0"/>
          <w:numId w:val="2"/>
        </w:numPr>
      </w:pPr>
      <w:r>
        <w:rPr>
          <w:b/>
          <w:bCs/>
        </w:rPr>
        <w:t xml:space="preserve">Dual-Track Approach: </w:t>
      </w:r>
      <w:r>
        <w:t xml:space="preserve">Run both top-down (portfolio-level) and bottom-up (loan-level) models for triangulation</w:t>
      </w:r>
    </w:p>
    <w:p>
      <w:pPr>
        <w:pStyle w:val="ListParagraph"/>
        <w:numPr>
          <w:ilvl w:val="0"/>
          <w:numId w:val="2"/>
        </w:numPr>
        <w:spacing w:after="200"/>
      </w:pPr>
      <w:r>
        <w:rPr>
          <w:b/>
          <w:bCs/>
        </w:rPr>
        <w:t xml:space="preserve">Challenger Models: </w:t>
      </w:r>
      <w:r>
        <w:t xml:space="preserve">Maintain alternative specifications for critical portfolios</w:t>
      </w:r>
    </w:p>
    <w:p>
      <w:pPr>
        <w:pStyle w:val="Heading2"/>
      </w:pPr>
      <w:r>
        <w:t xml:space="preserve">5.2 Technology Infrastructure</w:t>
      </w:r>
    </w:p>
    <w:p>
      <w:pPr>
        <w:pStyle w:val="ListParagraph"/>
        <w:numPr>
          <w:ilvl w:val="0"/>
          <w:numId w:val="2"/>
        </w:numPr>
      </w:pPr>
      <w:r>
        <w:rPr>
          <w:b/>
          <w:bCs/>
        </w:rPr>
        <w:t xml:space="preserve">High-Performance Computing: </w:t>
      </w:r>
      <w:r>
        <w:t xml:space="preserve">Monte Carlo simulation requires significant computational resources; cloud-based solutions increasingly common</w:t>
      </w:r>
    </w:p>
    <w:p>
      <w:pPr>
        <w:pStyle w:val="ListParagraph"/>
        <w:numPr>
          <w:ilvl w:val="0"/>
          <w:numId w:val="2"/>
        </w:numPr>
      </w:pPr>
      <w:r>
        <w:rPr>
          <w:b/>
          <w:bCs/>
        </w:rPr>
        <w:t xml:space="preserve">Data Lineage: </w:t>
      </w:r>
      <w:r>
        <w:t xml:space="preserve">End-to-end traceability from source systems to final outputs</w:t>
      </w:r>
    </w:p>
    <w:p>
      <w:pPr>
        <w:pStyle w:val="ListParagraph"/>
        <w:numPr>
          <w:ilvl w:val="0"/>
          <w:numId w:val="2"/>
        </w:numPr>
        <w:spacing w:after="200"/>
      </w:pPr>
      <w:r>
        <w:rPr>
          <w:b/>
          <w:bCs/>
        </w:rPr>
        <w:t xml:space="preserve">Workflow Orchestration: </w:t>
      </w:r>
      <w:r>
        <w:t xml:space="preserve">Automated pipelines with version control and audit trails</w:t>
      </w:r>
    </w:p>
    <w:p>
      <w:pPr>
        <w:pStyle w:val="Heading2"/>
      </w:pPr>
      <w:r>
        <w:t xml:space="preserve">5.3 Common Pitfalls to Avoid</w:t>
      </w:r>
    </w:p>
    <w:p>
      <w:pPr>
        <w:pStyle w:val="ListParagraph"/>
        <w:numPr>
          <w:ilvl w:val="0"/>
          <w:numId w:val="2"/>
        </w:numPr>
      </w:pPr>
      <w:r>
        <w:rPr>
          <w:b/>
          <w:bCs/>
        </w:rPr>
        <w:t xml:space="preserve">Overfitting: </w:t>
      </w:r>
      <w:r>
        <w:t xml:space="preserve">Models calibrated too closely to recent data fail in novel stress events</w:t>
      </w:r>
    </w:p>
    <w:p>
      <w:pPr>
        <w:pStyle w:val="ListParagraph"/>
        <w:numPr>
          <w:ilvl w:val="0"/>
          <w:numId w:val="2"/>
        </w:numPr>
      </w:pPr>
      <w:r>
        <w:rPr>
          <w:b/>
          <w:bCs/>
        </w:rPr>
        <w:t xml:space="preserve">Correlation Breakdown: </w:t>
      </w:r>
      <w:r>
        <w:t xml:space="preserve">Normal-time correlations don't hold in stress; use stress-period calibrations</w:t>
      </w:r>
    </w:p>
    <w:p>
      <w:pPr>
        <w:pStyle w:val="ListParagraph"/>
        <w:numPr>
          <w:ilvl w:val="0"/>
          <w:numId w:val="2"/>
        </w:numPr>
      </w:pPr>
      <w:r>
        <w:rPr>
          <w:b/>
          <w:bCs/>
        </w:rPr>
        <w:t xml:space="preserve">Optimistic Management Actions: </w:t>
      </w:r>
      <w:r>
        <w:t xml:space="preserve">Deleveraging during crisis is costly and limited</w:t>
      </w:r>
    </w:p>
    <w:p>
      <w:pPr>
        <w:pStyle w:val="ListParagraph"/>
        <w:numPr>
          <w:ilvl w:val="0"/>
          <w:numId w:val="2"/>
        </w:numPr>
        <w:spacing w:after="200"/>
      </w:pPr>
      <w:r>
        <w:rPr>
          <w:b/>
          <w:bCs/>
        </w:rPr>
        <w:t xml:space="preserve">Siloed Risk Views: </w:t>
      </w:r>
      <w:r>
        <w:t xml:space="preserve">Credit, market, and liquidity risks interact; enterprise view essential</w:t>
      </w:r>
    </w:p>
    <w:p>
      <w:pPr>
        <w:pStyle w:val="Heading1"/>
      </w:pPr>
      <w:r>
        <w:t xml:space="preserve">6. Conclusion</w:t>
      </w:r>
    </w:p>
    <w:p>
      <w:pPr>
        <w:spacing w:after="200"/>
      </w:pPr>
      <w:r>
        <w:t xml:space="preserve">Stress testing has matured from a crisis-response tool into a cornerstone of risk management and capital planning. The best-in-class models described in this document—Monte Carlo simulation, BVAR, GARCH, copulas, EVT, DSGE, and machine learning approaches—each serve specific purposes within the stress testing framework. No single model dominates; rather, leading institutions deploy comprehensive model ecosystems that leverage each technique's strengths.</w:t>
      </w:r>
    </w:p>
    <w:p>
      <w:pPr>
        <w:spacing w:after="200"/>
      </w:pPr>
      <w:r>
        <w:t xml:space="preserve">The stress scenario development lifecycle presented here provides a structured approach to transform these models into actionable risk intelligence. By following this framework—from strategic planning through execution and reporting—institutions can meet regulatory requirements while generating genuine insights into their risk profile and capital adequacy.</w:t>
      </w:r>
    </w:p>
    <w:p>
      <w:pPr>
        <w:spacing w:after="200"/>
      </w:pPr>
      <w:r>
        <w:t xml:space="preserve">As the regulatory landscape evolves—with the Federal Reserve's 2024+ exploratory scenarios, increased emphasis on climate risk, and growing adoption of AI-enhanced approaches—stress testing methodologies will continue to advance. Institutions that invest in robust model infrastructure, skilled quantitative teams, and sound governance frameworks will be best positioned to navigate this evolution.</w:t>
      </w:r>
    </w:p>
    <w:p>
      <w:r>
        <w:br w:type="page"/>
      </w:r>
    </w:p>
    <w:p>
      <w:pPr>
        <w:pStyle w:val="Heading1"/>
      </w:pPr>
      <w:r>
        <w:t xml:space="preserve">7. References &amp; Further Reading</w:t>
      </w:r>
    </w:p>
    <w:p>
      <w:pPr>
        <w:spacing w:after="100"/>
      </w:pPr>
      <w:r>
        <w:rPr>
          <w:b/>
          <w:bCs/>
        </w:rPr>
        <w:t xml:space="preserve">Regulatory Sources:</w:t>
      </w:r>
    </w:p>
    <w:p>
      <w:pPr>
        <w:pStyle w:val="ListParagraph"/>
        <w:numPr>
          <w:ilvl w:val="0"/>
          <w:numId w:val="2"/>
        </w:numPr>
      </w:pPr>
      <w:r>
        <w:t xml:space="preserve">Federal Reserve Board, "Supervisory Stress Test Methodology" (Annual)</w:t>
      </w:r>
    </w:p>
    <w:p>
      <w:pPr>
        <w:pStyle w:val="ListParagraph"/>
        <w:numPr>
          <w:ilvl w:val="0"/>
          <w:numId w:val="2"/>
        </w:numPr>
      </w:pPr>
      <w:r>
        <w:t xml:space="preserve">Federal Reserve Board, "Policy Statement on the Scenario Design Framework for Stress Testing"</w:t>
      </w:r>
    </w:p>
    <w:p>
      <w:pPr>
        <w:pStyle w:val="ListParagraph"/>
        <w:numPr>
          <w:ilvl w:val="0"/>
          <w:numId w:val="2"/>
        </w:numPr>
      </w:pPr>
      <w:r>
        <w:t xml:space="preserve">European Banking Authority, "Guidelines on Stress Testing" (EBA/GL/2018/04)</w:t>
      </w:r>
    </w:p>
    <w:p>
      <w:pPr>
        <w:pStyle w:val="ListParagraph"/>
        <w:numPr>
          <w:ilvl w:val="0"/>
          <w:numId w:val="2"/>
        </w:numPr>
        <w:spacing w:after="200"/>
      </w:pPr>
      <w:r>
        <w:t xml:space="preserve">Basel Committee on Banking Supervision, "Supervisory and Bank Stress Testing: Range of Practices"</w:t>
      </w:r>
    </w:p>
    <w:p>
      <w:pPr>
        <w:spacing w:after="100"/>
      </w:pPr>
      <w:r>
        <w:rPr>
          <w:b/>
          <w:bCs/>
        </w:rPr>
        <w:t xml:space="preserve">Academic Sources:</w:t>
      </w:r>
    </w:p>
    <w:p>
      <w:pPr>
        <w:pStyle w:val="ListParagraph"/>
        <w:numPr>
          <w:ilvl w:val="0"/>
          <w:numId w:val="2"/>
        </w:numPr>
      </w:pPr>
      <w:r>
        <w:t xml:space="preserve">Farmer, J.D., et al., eds., "Handbook of Financial Stress Testing" (Cambridge, 2022)</w:t>
      </w:r>
    </w:p>
    <w:p>
      <w:pPr>
        <w:pStyle w:val="ListParagraph"/>
        <w:numPr>
          <w:ilvl w:val="0"/>
          <w:numId w:val="2"/>
        </w:numPr>
      </w:pPr>
      <w:r>
        <w:t xml:space="preserve">Smets, F. and Wouters, R., "An Estimated DSGE Model of the Euro Area," Journal of the European Economic Association</w:t>
      </w:r>
    </w:p>
    <w:p>
      <w:pPr>
        <w:pStyle w:val="ListParagraph"/>
        <w:numPr>
          <w:ilvl w:val="0"/>
          <w:numId w:val="2"/>
        </w:numPr>
      </w:pPr>
      <w:r>
        <w:t xml:space="preserve">Koliai, L., "Extreme Risk Modeling: An EVT-Pair-Copulas Approach for Financial Stress Tests," Journal of Banking &amp; Finance</w:t>
      </w:r>
    </w:p>
    <w:p>
      <w:pPr>
        <w:pStyle w:val="ListParagraph"/>
        <w:numPr>
          <w:ilvl w:val="0"/>
          <w:numId w:val="2"/>
        </w:numPr>
      </w:pPr>
      <w:r>
        <w:t xml:space="preserve">Alexander, C. and Sheedy, E., "Developing a Stress Testing Framework Based on Market Risk Models," Journal of Banking &amp; Finance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Stress Testing Models &amp; Scenario Development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B4F72"/>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86A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543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2025-12-12T15:51:05.262Z</dcterms:created>
  <dcterms:modified xsi:type="dcterms:W3CDTF">2025-12-12T15:51:05.263Z</dcterms:modified>
</cp:coreProperties>
</file>

<file path=docProps/custom.xml><?xml version="1.0" encoding="utf-8"?>
<Properties xmlns="http://schemas.openxmlformats.org/officeDocument/2006/custom-properties" xmlns:vt="http://schemas.openxmlformats.org/officeDocument/2006/docPropsVTypes"/>
</file>