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000"/>
      </w:pPr>
    </w:p>
    <w:p>
      <w:pPr>
        <w:spacing w:after="200"/>
        <w:jc w:val="center"/>
      </w:pPr>
      <w:r>
        <w:rPr>
          <w:rFonts w:ascii="Arial" w:cs="Arial" w:eastAsia="Arial" w:hAnsi="Arial"/>
          <w:b/>
          <w:bCs/>
          <w:color w:val="CC0000"/>
          <w:sz w:val="24"/>
          <w:szCs w:val="24"/>
        </w:rPr>
        <w:t xml:space="preserve">CONFIDENTIAL</w:t>
      </w:r>
    </w:p>
    <w:p>
      <w:pPr>
        <w:spacing w:after="100"/>
        <w:jc w:val="center"/>
      </w:pPr>
      <w:r>
        <w:rPr>
          <w:rFonts w:ascii="Arial" w:cs="Arial" w:eastAsia="Arial" w:hAnsi="Arial"/>
          <w:b/>
          <w:bCs/>
          <w:color w:val="1B3A5C"/>
          <w:sz w:val="44"/>
          <w:szCs w:val="44"/>
        </w:rPr>
        <w:t xml:space="preserve">COMPREHENSIVE STRESS TESTING FRAMEWORK</w:t>
      </w:r>
    </w:p>
    <w:p>
      <w:pPr>
        <w:spacing w:after="100"/>
        <w:jc w:val="center"/>
      </w:pPr>
      <w:r>
        <w:rPr>
          <w:rFonts w:ascii="Arial" w:cs="Arial" w:eastAsia="Arial" w:hAnsi="Arial"/>
          <w:color w:val="1B3A5C"/>
          <w:sz w:val="32"/>
          <w:szCs w:val="32"/>
        </w:rPr>
        <w:t xml:space="preserve">AI-Driven Transformation as a</w:t>
      </w:r>
    </w:p>
    <w:p>
      <w:pPr>
        <w:spacing w:after="200"/>
        <w:jc w:val="center"/>
      </w:pPr>
      <w:r>
        <w:rPr>
          <w:rFonts w:ascii="Arial" w:cs="Arial" w:eastAsia="Arial" w:hAnsi="Arial"/>
          <w:color w:val="1B3A5C"/>
          <w:sz w:val="32"/>
          <w:szCs w:val="32"/>
        </w:rPr>
        <w:t xml:space="preserve">Systemic Economic and Operational Event</w:t>
      </w:r>
    </w:p>
    <w:p>
      <w:pPr>
        <w:spacing w:after="600"/>
        <w:jc w:val="center"/>
      </w:pPr>
      <w:r>
        <w:rPr>
          <w:rFonts w:ascii="Arial" w:cs="Arial" w:eastAsia="Arial" w:hAnsi="Arial"/>
          <w:i/>
          <w:iCs/>
          <w:color w:val="4A4A4A"/>
          <w:sz w:val="26"/>
          <w:szCs w:val="26"/>
        </w:rPr>
        <w:t xml:space="preserve">Scenario Design, Quantification, and Strategic Response</w:t>
      </w:r>
    </w:p>
    <w:p>
      <w:pPr>
        <w:spacing w:after="100"/>
        <w:jc w:val="center"/>
      </w:pPr>
      <w:r>
        <w:rPr>
          <w:rFonts w:ascii="Arial" w:cs="Arial" w:eastAsia="Arial" w:hAnsi="Arial"/>
          <w:color w:val="333333"/>
          <w:sz w:val="22"/>
          <w:szCs w:val="22"/>
        </w:rPr>
        <w:t xml:space="preserve">Prepared for: Board Risk Committee / Senior Management / Regulatory Engagement</w:t>
      </w:r>
    </w:p>
    <w:p>
      <w:pPr>
        <w:spacing w:after="100"/>
        <w:jc w:val="center"/>
      </w:pPr>
      <w:r>
        <w:rPr>
          <w:rFonts w:ascii="Arial" w:cs="Arial" w:eastAsia="Arial" w:hAnsi="Arial"/>
          <w:color w:val="333333"/>
          <w:sz w:val="22"/>
          <w:szCs w:val="22"/>
        </w:rPr>
        <w:t xml:space="preserve">Classification: Board-Ready Deliverable</w:t>
      </w:r>
    </w:p>
    <w:p>
      <w:pPr>
        <w:spacing w:after="100"/>
        <w:jc w:val="center"/>
      </w:pPr>
      <w:r>
        <w:rPr>
          <w:rFonts w:ascii="Arial" w:cs="Arial" w:eastAsia="Arial" w:hAnsi="Arial"/>
          <w:color w:val="333333"/>
          <w:sz w:val="22"/>
          <w:szCs w:val="22"/>
        </w:rPr>
        <w:t xml:space="preserve">February 2026</w:t>
      </w:r>
    </w:p>
    <w:p>
      <w:pPr>
        <w:spacing w:after="100"/>
        <w:jc w:val="center"/>
      </w:pPr>
      <w:r>
        <w:rPr>
          <w:rFonts w:ascii="Arial" w:cs="Arial" w:eastAsia="Arial" w:hAnsi="Arial"/>
          <w:color w:val="666666"/>
          <w:sz w:val="20"/>
          <w:szCs w:val="20"/>
        </w:rPr>
        <w:t xml:space="preserve">Version 1.0</w:t>
      </w:r>
    </w:p>
    <w:p>
      <w:r>
        <w:br w:type="page"/>
      </w:r>
    </w:p>
    <w:p>
      <w:pPr>
        <w:pStyle w:val="Heading1"/>
      </w:pPr>
      <w: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spacing w:before="600" w:after="400"/>
        <w:jc w:val="center"/>
      </w:pPr>
      <w:r>
        <w:rPr>
          <w:rFonts w:ascii="Arial" w:cs="Arial" w:eastAsia="Arial" w:hAnsi="Arial"/>
          <w:b/>
          <w:bCs/>
          <w:color w:val="1B3A5C"/>
          <w:sz w:val="36"/>
          <w:szCs w:val="36"/>
        </w:rPr>
        <w:t xml:space="preserve">PART I: FRAMEWORK ARCHITECTURE &amp; METHODOLOGY</w:t>
      </w:r>
    </w:p>
    <w:p>
      <w:r>
        <w:br w:type="page"/>
      </w:r>
    </w:p>
    <w:p>
      <w:pPr>
        <w:pStyle w:val="Heading1"/>
      </w:pPr>
      <w:r>
        <w:t xml:space="preserve">1. Executive Summary</w:t>
      </w:r>
    </w:p>
    <w:p>
      <w:pPr>
        <w:pStyle w:val="Heading2"/>
      </w:pPr>
      <w:r>
        <w:t xml:space="preserve">1.1 Purpose and Scope</w:t>
      </w:r>
    </w:p>
    <w:p>
      <w:pPr>
        <w:spacing w:after="120"/>
      </w:pPr>
      <w:r>
        <w:t xml:space="preserve">This document presents a comprehensive, multi-dimensional stress testing framework designed to evaluate artificial intelligence transformation as a systemic economic and operational event. Unlike traditional stress testing frameworks that model exogenous shocks to stable operating models, this framework treats AI adoption itself as the stressor, recognizing that it simultaneously transforms the operating model, labor markets, competitive dynamics, regulatory landscape, and broader macroeconomic environment of financial institutions and the economy they serve.</w:t>
      </w:r>
    </w:p>
    <w:p>
      <w:pPr>
        <w:spacing w:after="120"/>
      </w:pPr>
      <w:r>
        <w:t xml:space="preserve">The framework is designed to serve multiple constituencies. For Chief Risk Officers and Boards, it provides a structured methodology to quantify the risks of both pursuing and failing to pursue AI transformation. For regulators, including the OCC, Federal Reserve, CFPB, SEC, and FSB, it offers a template for incorporating AI transformation into supervisory frameworks. For C-suite leaders, it delivers scenario-based stress tests to pressure-test AI strategies. For policymakers and economists, it models labor market, fiscal, and social implications of rapid AI adoption.</w:t>
      </w:r>
    </w:p>
    <w:p>
      <w:pPr>
        <w:spacing w:after="120"/>
      </w:pPr>
      <w:r>
        <w:t xml:space="preserve">The framework draws on the most current available research, including Goldman Sachs Research estimates that generative AI could displace 6-7% of the US workforce (with current use cases putting approximately 2.5% at immediate risk), the IMF assessment that 40% of global employment is exposed to AI, the World Economic Forum projection of 92 million displaced roles offset by 170 million new jobs by 2030, and Acemoglu (2025) estimates of 0.53-0.71% cumulative TFP gains over ten years. It calibrates scenarios against historical disruption analogues spanning from the Industrial Revolution through the COVID-19 acceleration of digital transformation.</w:t>
      </w:r>
    </w:p>
    <w:p>
      <w:pPr>
        <w:pStyle w:val="Heading2"/>
      </w:pPr>
      <w:r>
        <w:t xml:space="preserve">1.2 Why AI Transformation Requires Stress Testing</w:t>
      </w:r>
    </w:p>
    <w:p>
      <w:pPr>
        <w:spacing w:after="120"/>
      </w:pPr>
      <w:r>
        <w:t xml:space="preserve">The case for treating AI transformation as a stressable systemic event rests on five pillars:</w:t>
      </w:r>
    </w:p>
    <w:p>
      <w:pPr>
        <w:spacing w:after="120"/>
      </w:pPr>
      <w:r>
        <w:rPr>
          <w:b/>
          <w:bCs/>
        </w:rPr>
        <w:t xml:space="preserve">Scope and simultaneity. </w:t>
      </w:r>
      <w:r>
        <w:t xml:space="preserve">Unlike prior automation waves that primarily affected blue-collar manufacturing roles over decades, AI-driven automation targets white-collar, cognitive, and professional tasks across every industry simultaneously. The IMF estimates 60% of jobs in advanced economies face meaningful AI exposure. Goldman Sachs research published in August 2025 finds that unemployment among 20-to-30-year-olds in tech-exposed occupations has already risen by nearly 3 percentage points since early 2025.</w:t>
      </w:r>
    </w:p>
    <w:p>
      <w:pPr>
        <w:spacing w:after="120"/>
      </w:pPr>
      <w:r>
        <w:rPr>
          <w:b/>
          <w:bCs/>
        </w:rPr>
        <w:t xml:space="preserve">Speed of adoption. </w:t>
      </w:r>
      <w:r>
        <w:t xml:space="preserve">McKinsey reports that 71% of organizations already use generative AI in at least one business function as of late 2024, up from 65% six months prior. Microsoft/LinkedIn research shows 75% of knowledge workers use AI tools, with 46% having adopted them in the preceding six months alone. Enterprise AI adoption rates grew from 5.4% of firms with formal adoption in February 2024 to 9.2% in Q2 2025. This adoption velocity exceeds the S-curves of prior general-purpose technologies.</w:t>
      </w:r>
    </w:p>
    <w:p>
      <w:pPr>
        <w:spacing w:after="120"/>
      </w:pPr>
      <w:r>
        <w:rPr>
          <w:b/>
          <w:bCs/>
        </w:rPr>
        <w:t xml:space="preserve">Financial sector concentration. </w:t>
      </w:r>
      <w:r>
        <w:t xml:space="preserve">The financial services industry faces among the highest automation potential of any sector. Citigroup research estimates 54% of financial jobs have high potential for automation. JPMorgan Chase, with a $17-18 billion technology budget and over 450 AI use cases, disclosed at its May 2025 Investor Day that consumer banking operations headcount is expected to decline by 10% or more over five years even as business grows 25%. Wells Fargo, Goldman Sachs, and other major institutions have signaled similar trajectories.</w:t>
      </w:r>
    </w:p>
    <w:p>
      <w:pPr>
        <w:spacing w:after="120"/>
      </w:pPr>
      <w:r>
        <w:rPr>
          <w:b/>
          <w:bCs/>
        </w:rPr>
        <w:t xml:space="preserve">Dual-sided risk profile. </w:t>
      </w:r>
      <w:r>
        <w:t xml:space="preserve">Uniquely, AI transformation creates material risk from both action and inaction. Aggressive adopters face operational, regulatory, legal, and reputational risks from deployment failures. Cautious institutions face competitive displacement, talent attrition, and eventual regulatory pressure to modernize. This dual risk profile demands a framework that stress-tests both pathways.</w:t>
      </w:r>
    </w:p>
    <w:p>
      <w:pPr>
        <w:spacing w:after="120"/>
      </w:pPr>
      <w:r>
        <w:rPr>
          <w:b/>
          <w:bCs/>
        </w:rPr>
        <w:t xml:space="preserve">Systemic transmission channels. </w:t>
      </w:r>
      <w:r>
        <w:t xml:space="preserve">AI transformation propagates through interconnected channels that span the entire economy: labor market displacement feeds consumer credit losses, which impact bank earnings, which drive further cost-cutting and AI adoption, creating reinforcing feedback loops. The FSB, in its November 2024 and October 2025 reports, identified concentration risk from AI provider dependencies, market correlation risks from homogeneous AI-driven strategies, and cyber risks from AI-powered attacks as systemically relevant vulnerabilities.</w:t>
      </w:r>
    </w:p>
    <w:p>
      <w:pPr>
        <w:pStyle w:val="Heading2"/>
      </w:pPr>
      <w:r>
        <w:t xml:space="preserve">1.3 Summary of Scenarios</w:t>
      </w:r>
    </w:p>
    <w:p>
      <w:pPr>
        <w:spacing w:after="120"/>
      </w:pPr>
      <w:r>
        <w:t xml:space="preserve">The framework defines six fully specified scenarios across three categories: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1000"/>
        <w:gridCol w:w="3360"/>
        <w:gridCol w:w="1000"/>
      </w:tblGrid>
      <w:tr>
        <w:tc>
          <w:tcPr>
            <w:tcW w:type="dxa" w:w="1800"/>
            <w:tcBorders>
              <w:top w:val="single" w:color="999999" w:sz="1"/>
              <w:left w:val="single" w:color="999999" w:sz="1"/>
              <w:bottom w:val="single" w:color="999999" w:sz="1"/>
              <w:right w:val="single" w:color="999999"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20"/>
                <w:szCs w:val="20"/>
              </w:rPr>
              <w:t xml:space="preserve">Scenario</w:t>
            </w:r>
          </w:p>
        </w:tc>
        <w:tc>
          <w:tcPr>
            <w:tcW w:type="dxa" w:w="1200"/>
            <w:tcBorders>
              <w:top w:val="single" w:color="999999" w:sz="1"/>
              <w:left w:val="single" w:color="999999" w:sz="1"/>
              <w:bottom w:val="single" w:color="999999" w:sz="1"/>
              <w:right w:val="single" w:color="999999"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20"/>
                <w:szCs w:val="20"/>
              </w:rPr>
              <w:t xml:space="preserve">Type</w:t>
            </w:r>
          </w:p>
        </w:tc>
        <w:tc>
          <w:tcPr>
            <w:tcW w:type="dxa" w:w="1000"/>
            <w:tcBorders>
              <w:top w:val="single" w:color="999999" w:sz="1"/>
              <w:left w:val="single" w:color="999999" w:sz="1"/>
              <w:bottom w:val="single" w:color="999999" w:sz="1"/>
              <w:right w:val="single" w:color="999999"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20"/>
                <w:szCs w:val="20"/>
              </w:rPr>
              <w:t xml:space="preserve">Severity</w:t>
            </w:r>
          </w:p>
        </w:tc>
        <w:tc>
          <w:tcPr>
            <w:tcW w:type="dxa" w:w="3360"/>
            <w:tcBorders>
              <w:top w:val="single" w:color="999999" w:sz="1"/>
              <w:left w:val="single" w:color="999999" w:sz="1"/>
              <w:bottom w:val="single" w:color="999999" w:sz="1"/>
              <w:right w:val="single" w:color="999999"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20"/>
                <w:szCs w:val="20"/>
              </w:rPr>
              <w:t xml:space="preserve">Key Characteristics</w:t>
            </w:r>
          </w:p>
        </w:tc>
        <w:tc>
          <w:tcPr>
            <w:tcW w:type="dxa" w:w="1000"/>
            <w:tcBorders>
              <w:top w:val="single" w:color="999999" w:sz="1"/>
              <w:left w:val="single" w:color="999999" w:sz="1"/>
              <w:bottom w:val="single" w:color="999999" w:sz="1"/>
              <w:right w:val="single" w:color="999999"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20"/>
                <w:szCs w:val="20"/>
              </w:rPr>
              <w:t xml:space="preserve">Probability</w:t>
            </w:r>
          </w:p>
        </w:tc>
      </w:tr>
      <w:tr>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Arial" w:cs="Arial" w:eastAsia="Arial" w:hAnsi="Arial"/>
                <w:color w:val="1A1A1A"/>
                <w:sz w:val="19"/>
                <w:szCs w:val="19"/>
              </w:rPr>
              <w:t xml:space="preserve">A1: Botched Transformation</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Arial" w:cs="Arial" w:eastAsia="Arial" w:hAnsi="Arial"/>
                <w:color w:val="1A1A1A"/>
                <w:sz w:val="19"/>
                <w:szCs w:val="19"/>
              </w:rPr>
              <w:t xml:space="preserve">Transformation Risk</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Arial" w:cs="Arial" w:eastAsia="Arial" w:hAnsi="Arial"/>
                <w:color w:val="1A1A1A"/>
                <w:sz w:val="19"/>
                <w:szCs w:val="19"/>
              </w:rPr>
              <w:t xml:space="preserve">Moderate</w:t>
            </w:r>
          </w:p>
        </w:tc>
        <w:tc>
          <w:tcPr>
            <w:tcW w:type="dxa" w:w="336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Arial" w:cs="Arial" w:eastAsia="Arial" w:hAnsi="Arial"/>
                <w:color w:val="1A1A1A"/>
                <w:sz w:val="19"/>
                <w:szCs w:val="19"/>
              </w:rPr>
              <w:t xml:space="preserve">Execution failure, regulatory action, remediation costs</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Arial" w:cs="Arial" w:eastAsia="Arial" w:hAnsi="Arial"/>
                <w:color w:val="1A1A1A"/>
                <w:sz w:val="19"/>
                <w:szCs w:val="19"/>
              </w:rPr>
              <w:t xml:space="preserve">15-20%</w:t>
            </w:r>
          </w:p>
        </w:tc>
      </w:tr>
      <w:tr>
        <w:tc>
          <w:tcPr>
            <w:tcW w:type="dxa" w:w="1800"/>
            <w:tcBorders>
              <w:top w:val="single" w:color="999999" w:sz="1"/>
              <w:left w:val="single" w:color="999999" w:sz="1"/>
              <w:bottom w:val="single" w:color="999999" w:sz="1"/>
              <w:right w:val="single" w:color="999999" w:sz="1"/>
            </w:tcBorders>
            <w:shd w:fill="EDF2F7" w:val="clear"/>
            <w:tcMar>
              <w:top w:type="dxa" w:w="60"/>
              <w:left w:type="dxa" w:w="100"/>
              <w:bottom w:type="dxa" w:w="60"/>
              <w:right w:type="dxa" w:w="100"/>
            </w:tcMar>
            <w:vAlign w:val="center"/>
          </w:tcPr>
          <w:p>
            <w:pPr>
              <w:spacing w:after="0"/>
            </w:pPr>
            <w:r>
              <w:rPr>
                <w:rFonts w:ascii="Arial" w:cs="Arial" w:eastAsia="Arial" w:hAnsi="Arial"/>
                <w:color w:val="1A1A1A"/>
                <w:sz w:val="19"/>
                <w:szCs w:val="19"/>
              </w:rPr>
              <w:t xml:space="preserve">A2: AI Talent Spiral &amp; Cost Trap</w:t>
            </w:r>
          </w:p>
        </w:tc>
        <w:tc>
          <w:tcPr>
            <w:tcW w:type="dxa" w:w="1200"/>
            <w:tcBorders>
              <w:top w:val="single" w:color="999999" w:sz="1"/>
              <w:left w:val="single" w:color="999999" w:sz="1"/>
              <w:bottom w:val="single" w:color="999999" w:sz="1"/>
              <w:right w:val="single" w:color="999999" w:sz="1"/>
            </w:tcBorders>
            <w:shd w:fill="EDF2F7" w:val="clear"/>
            <w:tcMar>
              <w:top w:type="dxa" w:w="60"/>
              <w:left w:type="dxa" w:w="100"/>
              <w:bottom w:type="dxa" w:w="60"/>
              <w:right w:type="dxa" w:w="100"/>
            </w:tcMar>
            <w:vAlign w:val="center"/>
          </w:tcPr>
          <w:p>
            <w:pPr>
              <w:spacing w:after="0"/>
            </w:pPr>
            <w:r>
              <w:rPr>
                <w:rFonts w:ascii="Arial" w:cs="Arial" w:eastAsia="Arial" w:hAnsi="Arial"/>
                <w:color w:val="1A1A1A"/>
                <w:sz w:val="19"/>
                <w:szCs w:val="19"/>
              </w:rPr>
              <w:t xml:space="preserve">Transformation Risk</w:t>
            </w:r>
          </w:p>
        </w:tc>
        <w:tc>
          <w:tcPr>
            <w:tcW w:type="dxa" w:w="1000"/>
            <w:tcBorders>
              <w:top w:val="single" w:color="999999" w:sz="1"/>
              <w:left w:val="single" w:color="999999" w:sz="1"/>
              <w:bottom w:val="single" w:color="999999" w:sz="1"/>
              <w:right w:val="single" w:color="999999" w:sz="1"/>
            </w:tcBorders>
            <w:shd w:fill="EDF2F7" w:val="clear"/>
            <w:tcMar>
              <w:top w:type="dxa" w:w="60"/>
              <w:left w:type="dxa" w:w="100"/>
              <w:bottom w:type="dxa" w:w="60"/>
              <w:right w:type="dxa" w:w="100"/>
            </w:tcMar>
            <w:vAlign w:val="center"/>
          </w:tcPr>
          <w:p>
            <w:pPr>
              <w:spacing w:after="0"/>
            </w:pPr>
            <w:r>
              <w:rPr>
                <w:rFonts w:ascii="Arial" w:cs="Arial" w:eastAsia="Arial" w:hAnsi="Arial"/>
                <w:color w:val="1A1A1A"/>
                <w:sz w:val="19"/>
                <w:szCs w:val="19"/>
              </w:rPr>
              <w:t xml:space="preserve">Moderate-Severe</w:t>
            </w:r>
          </w:p>
        </w:tc>
        <w:tc>
          <w:tcPr>
            <w:tcW w:type="dxa" w:w="3360"/>
            <w:tcBorders>
              <w:top w:val="single" w:color="999999" w:sz="1"/>
              <w:left w:val="single" w:color="999999" w:sz="1"/>
              <w:bottom w:val="single" w:color="999999" w:sz="1"/>
              <w:right w:val="single" w:color="999999" w:sz="1"/>
            </w:tcBorders>
            <w:shd w:fill="EDF2F7" w:val="clear"/>
            <w:tcMar>
              <w:top w:type="dxa" w:w="60"/>
              <w:left w:type="dxa" w:w="100"/>
              <w:bottom w:type="dxa" w:w="60"/>
              <w:right w:type="dxa" w:w="100"/>
            </w:tcMar>
            <w:vAlign w:val="center"/>
          </w:tcPr>
          <w:p>
            <w:pPr>
              <w:spacing w:after="0"/>
            </w:pPr>
            <w:r>
              <w:rPr>
                <w:rFonts w:ascii="Arial" w:cs="Arial" w:eastAsia="Arial" w:hAnsi="Arial"/>
                <w:color w:val="1A1A1A"/>
                <w:sz w:val="19"/>
                <w:szCs w:val="19"/>
              </w:rPr>
              <w:t xml:space="preserve">Cost overruns, J-curve trap, litigation, investor revolt</w:t>
            </w:r>
          </w:p>
        </w:tc>
        <w:tc>
          <w:tcPr>
            <w:tcW w:type="dxa" w:w="1000"/>
            <w:tcBorders>
              <w:top w:val="single" w:color="999999" w:sz="1"/>
              <w:left w:val="single" w:color="999999" w:sz="1"/>
              <w:bottom w:val="single" w:color="999999" w:sz="1"/>
              <w:right w:val="single" w:color="999999" w:sz="1"/>
            </w:tcBorders>
            <w:shd w:fill="EDF2F7" w:val="clear"/>
            <w:tcMar>
              <w:top w:type="dxa" w:w="60"/>
              <w:left w:type="dxa" w:w="100"/>
              <w:bottom w:type="dxa" w:w="60"/>
              <w:right w:type="dxa" w:w="100"/>
            </w:tcMar>
            <w:vAlign w:val="center"/>
          </w:tcPr>
          <w:p>
            <w:pPr>
              <w:spacing w:after="0"/>
            </w:pPr>
            <w:r>
              <w:rPr>
                <w:rFonts w:ascii="Arial" w:cs="Arial" w:eastAsia="Arial" w:hAnsi="Arial"/>
                <w:color w:val="1A1A1A"/>
                <w:sz w:val="19"/>
                <w:szCs w:val="19"/>
              </w:rPr>
              <w:t xml:space="preserve">20-25%</w:t>
            </w:r>
          </w:p>
        </w:tc>
      </w:tr>
      <w:tr>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Arial" w:cs="Arial" w:eastAsia="Arial" w:hAnsi="Arial"/>
                <w:color w:val="1A1A1A"/>
                <w:sz w:val="19"/>
                <w:szCs w:val="19"/>
              </w:rPr>
              <w:t xml:space="preserve">B1: Competitive Collapse</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Arial" w:cs="Arial" w:eastAsia="Arial" w:hAnsi="Arial"/>
                <w:color w:val="1A1A1A"/>
                <w:sz w:val="19"/>
                <w:szCs w:val="19"/>
              </w:rPr>
              <w:t xml:space="preserve">Inaction Risk</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Arial" w:cs="Arial" w:eastAsia="Arial" w:hAnsi="Arial"/>
                <w:color w:val="1A1A1A"/>
                <w:sz w:val="19"/>
                <w:szCs w:val="19"/>
              </w:rPr>
              <w:t xml:space="preserve">Severe</w:t>
            </w:r>
          </w:p>
        </w:tc>
        <w:tc>
          <w:tcPr>
            <w:tcW w:type="dxa" w:w="336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Arial" w:cs="Arial" w:eastAsia="Arial" w:hAnsi="Arial"/>
                <w:color w:val="1A1A1A"/>
                <w:sz w:val="19"/>
                <w:szCs w:val="19"/>
              </w:rPr>
              <w:t xml:space="preserve">Market share erosion, talent flight, franchise value destruction</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Arial" w:cs="Arial" w:eastAsia="Arial" w:hAnsi="Arial"/>
                <w:color w:val="1A1A1A"/>
                <w:sz w:val="19"/>
                <w:szCs w:val="19"/>
              </w:rPr>
              <w:t xml:space="preserve">10-15%</w:t>
            </w:r>
          </w:p>
        </w:tc>
      </w:tr>
      <w:tr>
        <w:tc>
          <w:tcPr>
            <w:tcW w:type="dxa" w:w="1800"/>
            <w:tcBorders>
              <w:top w:val="single" w:color="999999" w:sz="1"/>
              <w:left w:val="single" w:color="999999" w:sz="1"/>
              <w:bottom w:val="single" w:color="999999" w:sz="1"/>
              <w:right w:val="single" w:color="999999" w:sz="1"/>
            </w:tcBorders>
            <w:shd w:fill="EDF2F7" w:val="clear"/>
            <w:tcMar>
              <w:top w:type="dxa" w:w="60"/>
              <w:left w:type="dxa" w:w="100"/>
              <w:bottom w:type="dxa" w:w="60"/>
              <w:right w:type="dxa" w:w="100"/>
            </w:tcMar>
            <w:vAlign w:val="center"/>
          </w:tcPr>
          <w:p>
            <w:pPr>
              <w:spacing w:after="0"/>
            </w:pPr>
            <w:r>
              <w:rPr>
                <w:rFonts w:ascii="Arial" w:cs="Arial" w:eastAsia="Arial" w:hAnsi="Arial"/>
                <w:color w:val="1A1A1A"/>
                <w:sz w:val="19"/>
                <w:szCs w:val="19"/>
              </w:rPr>
              <w:t xml:space="preserve">B2: Regulatory Mandate Catch-up</w:t>
            </w:r>
          </w:p>
        </w:tc>
        <w:tc>
          <w:tcPr>
            <w:tcW w:type="dxa" w:w="1200"/>
            <w:tcBorders>
              <w:top w:val="single" w:color="999999" w:sz="1"/>
              <w:left w:val="single" w:color="999999" w:sz="1"/>
              <w:bottom w:val="single" w:color="999999" w:sz="1"/>
              <w:right w:val="single" w:color="999999" w:sz="1"/>
            </w:tcBorders>
            <w:shd w:fill="EDF2F7" w:val="clear"/>
            <w:tcMar>
              <w:top w:type="dxa" w:w="60"/>
              <w:left w:type="dxa" w:w="100"/>
              <w:bottom w:type="dxa" w:w="60"/>
              <w:right w:type="dxa" w:w="100"/>
            </w:tcMar>
            <w:vAlign w:val="center"/>
          </w:tcPr>
          <w:p>
            <w:pPr>
              <w:spacing w:after="0"/>
            </w:pPr>
            <w:r>
              <w:rPr>
                <w:rFonts w:ascii="Arial" w:cs="Arial" w:eastAsia="Arial" w:hAnsi="Arial"/>
                <w:color w:val="1A1A1A"/>
                <w:sz w:val="19"/>
                <w:szCs w:val="19"/>
              </w:rPr>
              <w:t xml:space="preserve">Inaction Risk</w:t>
            </w:r>
          </w:p>
        </w:tc>
        <w:tc>
          <w:tcPr>
            <w:tcW w:type="dxa" w:w="1000"/>
            <w:tcBorders>
              <w:top w:val="single" w:color="999999" w:sz="1"/>
              <w:left w:val="single" w:color="999999" w:sz="1"/>
              <w:bottom w:val="single" w:color="999999" w:sz="1"/>
              <w:right w:val="single" w:color="999999" w:sz="1"/>
            </w:tcBorders>
            <w:shd w:fill="EDF2F7" w:val="clear"/>
            <w:tcMar>
              <w:top w:type="dxa" w:w="60"/>
              <w:left w:type="dxa" w:w="100"/>
              <w:bottom w:type="dxa" w:w="60"/>
              <w:right w:type="dxa" w:w="100"/>
            </w:tcMar>
            <w:vAlign w:val="center"/>
          </w:tcPr>
          <w:p>
            <w:pPr>
              <w:spacing w:after="0"/>
            </w:pPr>
            <w:r>
              <w:rPr>
                <w:rFonts w:ascii="Arial" w:cs="Arial" w:eastAsia="Arial" w:hAnsi="Arial"/>
                <w:color w:val="1A1A1A"/>
                <w:sz w:val="19"/>
                <w:szCs w:val="19"/>
              </w:rPr>
              <w:t xml:space="preserve">Moderate-Severe</w:t>
            </w:r>
          </w:p>
        </w:tc>
        <w:tc>
          <w:tcPr>
            <w:tcW w:type="dxa" w:w="3360"/>
            <w:tcBorders>
              <w:top w:val="single" w:color="999999" w:sz="1"/>
              <w:left w:val="single" w:color="999999" w:sz="1"/>
              <w:bottom w:val="single" w:color="999999" w:sz="1"/>
              <w:right w:val="single" w:color="999999" w:sz="1"/>
            </w:tcBorders>
            <w:shd w:fill="EDF2F7" w:val="clear"/>
            <w:tcMar>
              <w:top w:type="dxa" w:w="60"/>
              <w:left w:type="dxa" w:w="100"/>
              <w:bottom w:type="dxa" w:w="60"/>
              <w:right w:type="dxa" w:w="100"/>
            </w:tcMar>
            <w:vAlign w:val="center"/>
          </w:tcPr>
          <w:p>
            <w:pPr>
              <w:spacing w:after="0"/>
            </w:pPr>
            <w:r>
              <w:rPr>
                <w:rFonts w:ascii="Arial" w:cs="Arial" w:eastAsia="Arial" w:hAnsi="Arial"/>
                <w:color w:val="1A1A1A"/>
                <w:sz w:val="19"/>
                <w:szCs w:val="19"/>
              </w:rPr>
              <w:t xml:space="preserve">Forced rapid deployment under pressure, heightened execution risk</w:t>
            </w:r>
          </w:p>
        </w:tc>
        <w:tc>
          <w:tcPr>
            <w:tcW w:type="dxa" w:w="1000"/>
            <w:tcBorders>
              <w:top w:val="single" w:color="999999" w:sz="1"/>
              <w:left w:val="single" w:color="999999" w:sz="1"/>
              <w:bottom w:val="single" w:color="999999" w:sz="1"/>
              <w:right w:val="single" w:color="999999" w:sz="1"/>
            </w:tcBorders>
            <w:shd w:fill="EDF2F7" w:val="clear"/>
            <w:tcMar>
              <w:top w:type="dxa" w:w="60"/>
              <w:left w:type="dxa" w:w="100"/>
              <w:bottom w:type="dxa" w:w="60"/>
              <w:right w:type="dxa" w:w="100"/>
            </w:tcMar>
            <w:vAlign w:val="center"/>
          </w:tcPr>
          <w:p>
            <w:pPr>
              <w:spacing w:after="0"/>
            </w:pPr>
            <w:r>
              <w:rPr>
                <w:rFonts w:ascii="Arial" w:cs="Arial" w:eastAsia="Arial" w:hAnsi="Arial"/>
                <w:color w:val="1A1A1A"/>
                <w:sz w:val="19"/>
                <w:szCs w:val="19"/>
              </w:rPr>
              <w:t xml:space="preserve">15-25%</w:t>
            </w:r>
          </w:p>
        </w:tc>
      </w:tr>
      <w:tr>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Arial" w:cs="Arial" w:eastAsia="Arial" w:hAnsi="Arial"/>
                <w:color w:val="1A1A1A"/>
                <w:sz w:val="19"/>
                <w:szCs w:val="19"/>
              </w:rPr>
              <w:t xml:space="preserve">C1: The Great Displacement</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Arial" w:cs="Arial" w:eastAsia="Arial" w:hAnsi="Arial"/>
                <w:color w:val="1A1A1A"/>
                <w:sz w:val="19"/>
                <w:szCs w:val="19"/>
              </w:rPr>
              <w:t xml:space="preserve">Systemic/Macro</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Arial" w:cs="Arial" w:eastAsia="Arial" w:hAnsi="Arial"/>
                <w:color w:val="1A1A1A"/>
                <w:sz w:val="19"/>
                <w:szCs w:val="19"/>
              </w:rPr>
              <w:t xml:space="preserve">Severely Adverse</w:t>
            </w:r>
          </w:p>
        </w:tc>
        <w:tc>
          <w:tcPr>
            <w:tcW w:type="dxa" w:w="336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Arial" w:cs="Arial" w:eastAsia="Arial" w:hAnsi="Arial"/>
                <w:color w:val="1A1A1A"/>
                <w:sz w:val="19"/>
                <w:szCs w:val="19"/>
              </w:rPr>
              <w:t xml:space="preserve">Economy-wide displacement cascade, credit stress, political backlash</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Arial" w:cs="Arial" w:eastAsia="Arial" w:hAnsi="Arial"/>
                <w:color w:val="1A1A1A"/>
                <w:sz w:val="19"/>
                <w:szCs w:val="19"/>
              </w:rPr>
              <w:t xml:space="preserve">5-10%</w:t>
            </w:r>
          </w:p>
        </w:tc>
      </w:tr>
      <w:tr>
        <w:tc>
          <w:tcPr>
            <w:tcW w:type="dxa" w:w="1800"/>
            <w:tcBorders>
              <w:top w:val="single" w:color="999999" w:sz="1"/>
              <w:left w:val="single" w:color="999999" w:sz="1"/>
              <w:bottom w:val="single" w:color="999999" w:sz="1"/>
              <w:right w:val="single" w:color="999999" w:sz="1"/>
            </w:tcBorders>
            <w:shd w:fill="EDF2F7" w:val="clear"/>
            <w:tcMar>
              <w:top w:type="dxa" w:w="60"/>
              <w:left w:type="dxa" w:w="100"/>
              <w:bottom w:type="dxa" w:w="60"/>
              <w:right w:type="dxa" w:w="100"/>
            </w:tcMar>
            <w:vAlign w:val="center"/>
          </w:tcPr>
          <w:p>
            <w:pPr>
              <w:spacing w:after="0"/>
            </w:pPr>
            <w:r>
              <w:rPr>
                <w:rFonts w:ascii="Arial" w:cs="Arial" w:eastAsia="Arial" w:hAnsi="Arial"/>
                <w:color w:val="1A1A1A"/>
                <w:sz w:val="19"/>
                <w:szCs w:val="19"/>
              </w:rPr>
              <w:t xml:space="preserve">C2: AI Winter/Backlash</w:t>
            </w:r>
          </w:p>
        </w:tc>
        <w:tc>
          <w:tcPr>
            <w:tcW w:type="dxa" w:w="1200"/>
            <w:tcBorders>
              <w:top w:val="single" w:color="999999" w:sz="1"/>
              <w:left w:val="single" w:color="999999" w:sz="1"/>
              <w:bottom w:val="single" w:color="999999" w:sz="1"/>
              <w:right w:val="single" w:color="999999" w:sz="1"/>
            </w:tcBorders>
            <w:shd w:fill="EDF2F7" w:val="clear"/>
            <w:tcMar>
              <w:top w:type="dxa" w:w="60"/>
              <w:left w:type="dxa" w:w="100"/>
              <w:bottom w:type="dxa" w:w="60"/>
              <w:right w:type="dxa" w:w="100"/>
            </w:tcMar>
            <w:vAlign w:val="center"/>
          </w:tcPr>
          <w:p>
            <w:pPr>
              <w:spacing w:after="0"/>
            </w:pPr>
            <w:r>
              <w:rPr>
                <w:rFonts w:ascii="Arial" w:cs="Arial" w:eastAsia="Arial" w:hAnsi="Arial"/>
                <w:color w:val="1A1A1A"/>
                <w:sz w:val="19"/>
                <w:szCs w:val="19"/>
              </w:rPr>
              <w:t xml:space="preserve">Systemic/Macro</w:t>
            </w:r>
          </w:p>
        </w:tc>
        <w:tc>
          <w:tcPr>
            <w:tcW w:type="dxa" w:w="1000"/>
            <w:tcBorders>
              <w:top w:val="single" w:color="999999" w:sz="1"/>
              <w:left w:val="single" w:color="999999" w:sz="1"/>
              <w:bottom w:val="single" w:color="999999" w:sz="1"/>
              <w:right w:val="single" w:color="999999" w:sz="1"/>
            </w:tcBorders>
            <w:shd w:fill="EDF2F7" w:val="clear"/>
            <w:tcMar>
              <w:top w:type="dxa" w:w="60"/>
              <w:left w:type="dxa" w:w="100"/>
              <w:bottom w:type="dxa" w:w="60"/>
              <w:right w:type="dxa" w:w="100"/>
            </w:tcMar>
            <w:vAlign w:val="center"/>
          </w:tcPr>
          <w:p>
            <w:pPr>
              <w:spacing w:after="0"/>
            </w:pPr>
            <w:r>
              <w:rPr>
                <w:rFonts w:ascii="Arial" w:cs="Arial" w:eastAsia="Arial" w:hAnsi="Arial"/>
                <w:color w:val="1A1A1A"/>
                <w:sz w:val="19"/>
                <w:szCs w:val="19"/>
              </w:rPr>
              <w:t xml:space="preserve">Alternative Adverse</w:t>
            </w:r>
          </w:p>
        </w:tc>
        <w:tc>
          <w:tcPr>
            <w:tcW w:type="dxa" w:w="3360"/>
            <w:tcBorders>
              <w:top w:val="single" w:color="999999" w:sz="1"/>
              <w:left w:val="single" w:color="999999" w:sz="1"/>
              <w:bottom w:val="single" w:color="999999" w:sz="1"/>
              <w:right w:val="single" w:color="999999" w:sz="1"/>
            </w:tcBorders>
            <w:shd w:fill="EDF2F7" w:val="clear"/>
            <w:tcMar>
              <w:top w:type="dxa" w:w="60"/>
              <w:left w:type="dxa" w:w="100"/>
              <w:bottom w:type="dxa" w:w="60"/>
              <w:right w:type="dxa" w:w="100"/>
            </w:tcMar>
            <w:vAlign w:val="center"/>
          </w:tcPr>
          <w:p>
            <w:pPr>
              <w:spacing w:after="0"/>
            </w:pPr>
            <w:r>
              <w:rPr>
                <w:rFonts w:ascii="Arial" w:cs="Arial" w:eastAsia="Arial" w:hAnsi="Arial"/>
                <w:color w:val="1A1A1A"/>
                <w:sz w:val="19"/>
                <w:szCs w:val="19"/>
              </w:rPr>
              <w:t xml:space="preserve">High-profile failures trigger regulatory freeze, stranded investments</w:t>
            </w:r>
          </w:p>
        </w:tc>
        <w:tc>
          <w:tcPr>
            <w:tcW w:type="dxa" w:w="1000"/>
            <w:tcBorders>
              <w:top w:val="single" w:color="999999" w:sz="1"/>
              <w:left w:val="single" w:color="999999" w:sz="1"/>
              <w:bottom w:val="single" w:color="999999" w:sz="1"/>
              <w:right w:val="single" w:color="999999" w:sz="1"/>
            </w:tcBorders>
            <w:shd w:fill="EDF2F7" w:val="clear"/>
            <w:tcMar>
              <w:top w:type="dxa" w:w="60"/>
              <w:left w:type="dxa" w:w="100"/>
              <w:bottom w:type="dxa" w:w="60"/>
              <w:right w:type="dxa" w:w="100"/>
            </w:tcMar>
            <w:vAlign w:val="center"/>
          </w:tcPr>
          <w:p>
            <w:pPr>
              <w:spacing w:after="0"/>
            </w:pPr>
            <w:r>
              <w:rPr>
                <w:rFonts w:ascii="Arial" w:cs="Arial" w:eastAsia="Arial" w:hAnsi="Arial"/>
                <w:color w:val="1A1A1A"/>
                <w:sz w:val="19"/>
                <w:szCs w:val="19"/>
              </w:rPr>
              <w:t xml:space="preserve">10-15%</w:t>
            </w:r>
          </w:p>
        </w:tc>
      </w:tr>
    </w:tbl>
    <w:p>
      <w:pPr>
        <w:spacing w:after="200"/>
      </w:pPr>
    </w:p>
    <w:p>
      <w:pPr>
        <w:pStyle w:val="Heading2"/>
      </w:pPr>
      <w:r>
        <w:t xml:space="preserve">1.4 Key Findings and Strategic Implications</w:t>
      </w:r>
    </w:p>
    <w:p>
      <w:pPr>
        <w:spacing w:after="120"/>
      </w:pPr>
      <w:r>
        <w:rPr>
          <w:b/>
          <w:bCs/>
        </w:rPr>
        <w:t xml:space="preserve">For financial institutions: </w:t>
      </w:r>
      <w:r>
        <w:t xml:space="preserve">The stress analysis reveals that inaction risk (Scenarios B1, B2) may exceed transformation risk (Scenarios A1, A2) over a five-to-ten-year horizon. Under Scenario B1, a large bank that fails to adopt AI faces cumulative franchise value destruction of 25-40%, while even the worst transformation scenario (A2) produces recoverable losses with appropriate governance. This asymmetry argues for deliberate but determined transformation, paired with robust risk management and staged deployment.</w:t>
      </w:r>
    </w:p>
    <w:p>
      <w:pPr>
        <w:spacing w:after="120"/>
      </w:pPr>
      <w:r>
        <w:rPr>
          <w:b/>
          <w:bCs/>
        </w:rPr>
        <w:t xml:space="preserve">For regulators: </w:t>
      </w:r>
      <w:r>
        <w:t xml:space="preserve">The systemic scenarios (C1, C2) reveal regulatory gaps. Current CCAR/DFAST frameworks do not model endogenous operating model transformation, AI provider concentration risk, or the feedback loop between institution-level AI adoption and economy-wide labor displacement. The FSB has flagged these gaps. This framework recommends incorporating AI transformation scenarios into future supervisory stress testing cycles and establishing concentration limits for AI provider dependencies at systemically important institutions.</w:t>
      </w:r>
    </w:p>
    <w:p>
      <w:pPr>
        <w:spacing w:after="120"/>
      </w:pPr>
      <w:r>
        <w:rPr>
          <w:b/>
          <w:bCs/>
        </w:rPr>
        <w:t xml:space="preserve">For policymakers: </w:t>
      </w:r>
      <w:r>
        <w:t xml:space="preserve">The Great Displacement scenario (C1) projects unemployment reaching 7-9% within three years under a rapid-adoption trajectory, with college-educated workers in financial services, professional services, and administrative functions disproportionately affected. Unlike prior automation waves, this displacement strikes politically active, heavily indebted populations concentrated in expensive metropolitan areas, creating significant fiscal and political headwinds. Proactive investment in reskilling infrastructure, transition support, and safety net modernization is essential.</w:t>
      </w:r>
    </w:p>
    <w:p>
      <w:r>
        <w:br w:type="page"/>
      </w:r>
    </w:p>
    <w:p>
      <w:pPr>
        <w:pStyle w:val="Heading1"/>
      </w:pPr>
      <w:r>
        <w:t xml:space="preserve">2. Conceptual Framework: AI Transformation as a Stressable Event</w:t>
      </w:r>
    </w:p>
    <w:p>
      <w:pPr>
        <w:pStyle w:val="Heading2"/>
      </w:pPr>
      <w:r>
        <w:t xml:space="preserve">2.1 Limitations of Traditional Stress Testing for AI Transformation</w:t>
      </w:r>
    </w:p>
    <w:p>
      <w:pPr>
        <w:spacing w:after="120"/>
      </w:pPr>
      <w:r>
        <w:t xml:space="preserve">Traditional stress testing frameworks such as CCAR and DFAST model the impact of exogenous macroeconomic and financial market shocks on financial institutions. They assume the institution's operating model remains fundamentally stable throughout the stress horizon. The bank continues to operate with the same business lines, the same cost structure, the same workforce model, and the same competitive positioning. The shocks are external: GDP declines, unemployment rises, asset prices fall, credit spreads widen. The bank absorbs these shocks and its capital adequacy is measured under stress.</w:t>
      </w:r>
    </w:p>
    <w:p>
      <w:pPr>
        <w:spacing w:after="120"/>
      </w:pPr>
      <w:r>
        <w:t xml:space="preserve">AI transformation breaks every one of these assumptions. It is not an exogenous shock but an endogenous structural transformation of the operating model itself. The workforce model changes as AI automates tasks and displaces roles. The cost structure shifts as technology investment rises while labor costs decline. Revenue models evolve as AI enables new products and services while disrupting existing ones. Competitive positioning shifts as faster adopters gain advantages. The regulatory environment responds to AI deployment, creating new constraints and expectations.</w:t>
      </w:r>
    </w:p>
    <w:p>
      <w:pPr>
        <w:spacing w:after="120"/>
      </w:pPr>
      <w:r>
        <w:t xml:space="preserve">Moreover, AI transformation creates risks and opportunities simultaneously, making traditional downside-only stress testing incomplete. An institution that deploys AI successfully may experience rising revenue, declining costs, and improved risk management, while simultaneously contributing to labor displacement that increases credit losses in its consumer portfolio. These countervailing effects demand a framework that captures both sides.</w:t>
      </w:r>
    </w:p>
    <w:p>
      <w:pPr>
        <w:spacing w:after="120"/>
      </w:pPr>
      <w:r>
        <w:t xml:space="preserve">The transmission channels of AI stress are also fundamentally different from those modeled in CCAR. Traditional stress tests model: macroeconomic shock leads to credit losses and market losses leads to capital depletion. AI transformation stress operates through: labor market disruption leads to consumer credit stress; operational failures from AI deployment lead to regulatory action; competitive displacement leads to franchise value erosion; technology concentration leads to systemic operational risk; regulatory backlash leads to strategy constraints. These channels require new modeling approaches.</w:t>
      </w:r>
    </w:p>
    <w:p>
      <w:pPr>
        <w:pStyle w:val="Heading2"/>
      </w:pPr>
      <w:r>
        <w:t xml:space="preserve">2.2 The Dual-Sided Stress Test Architecture</w:t>
      </w:r>
    </w:p>
    <w:p>
      <w:pPr>
        <w:spacing w:after="120"/>
      </w:pPr>
      <w:r>
        <w:t xml:space="preserve">This framework introduces a three-category stress test architecture that captures the full risk spectrum:</w:t>
      </w:r>
    </w:p>
    <w:p>
      <w:pPr>
        <w:spacing w:after="120"/>
      </w:pPr>
      <w:r>
        <w:rPr>
          <w:b/>
          <w:bCs/>
        </w:rPr>
        <w:t xml:space="preserve">Scenario Type A: Transformation Risk. </w:t>
      </w:r>
      <w:r>
        <w:t xml:space="preserve">These scenarios model what goes wrong when an institution aggressively pursues AI transformation. They encompass execution failures, operational disruptions from AI deployment, regulatory backlash against aggressive automation, legal and reputational risks from workforce displacement, technology cost overruns, and talent market dynamics. The stress event is the transformation itself and its unintended consequences.</w:t>
      </w:r>
    </w:p>
    <w:p>
      <w:pPr>
        <w:spacing w:after="120"/>
      </w:pPr>
      <w:r>
        <w:rPr>
          <w:b/>
          <w:bCs/>
        </w:rPr>
        <w:t xml:space="preserve">Scenario Type B: Inaction Risk. </w:t>
      </w:r>
      <w:r>
        <w:t xml:space="preserve">These scenarios model what goes wrong when an institution fails to adopt AI at the pace required to maintain competitiveness. They encompass competitive displacement by AI-forward peers and fintechs, talent attrition as high-performers leave for more technologically advanced firms, widening efficiency gaps, inability to meet evolving regulatory expectations, and franchise value erosion. The stress event is the failure to transform while the competitive environment shifts.</w:t>
      </w:r>
    </w:p>
    <w:p>
      <w:pPr>
        <w:spacing w:after="120"/>
      </w:pPr>
      <w:r>
        <w:rPr>
          <w:b/>
          <w:bCs/>
        </w:rPr>
        <w:t xml:space="preserve">Scenario Type C: Systemic/Macro Risk. </w:t>
      </w:r>
      <w:r>
        <w:t xml:space="preserve">These scenarios model economy-wide disruption from rapid, widespread AI adoption across all institutions and industries simultaneously, or from a severe backlash against AI that constrains adoption. They encompass aggregate labor market displacement, macroeconomic demand destruction, political and regulatory overreaction, and systemic operational risk from AI provider concentration. The stress event is the transformation of the entire economic environment.</w:t>
      </w:r>
    </w:p>
    <w:p>
      <w:pPr>
        <w:spacing w:after="120"/>
      </w:pPr>
      <w:r>
        <w:t xml:space="preserve">This dual-sided architecture is critical. Most existing AI risk frameworks only model one direction. This framework explicitly recognizes that the decision not to act carries risks that are at least as severe, and potentially more so, as the decision to act. Board and management must evaluate the full decision space.</w:t>
      </w:r>
    </w:p>
    <w:p>
      <w:pPr>
        <w:pStyle w:val="Heading2"/>
      </w:pPr>
      <w:r>
        <w:t xml:space="preserve">2.3 Transmission Channel Mapping</w:t>
      </w:r>
    </w:p>
    <w:p>
      <w:pPr>
        <w:spacing w:after="120"/>
      </w:pPr>
      <w:r>
        <w:t xml:space="preserve">The following transmission channels define how AI transformation stress propagates through the financial system and the broader economy. Each channel operates with different speeds, magnitudes, and feedback dynamics:</w:t>
      </w:r>
    </w:p>
    <w:p>
      <w:pPr>
        <w:spacing w:after="120"/>
      </w:pPr>
      <w:r>
        <w:rPr>
          <w:b/>
          <w:bCs/>
        </w:rPr>
        <w:t xml:space="preserve">Labor Market Channel. </w:t>
      </w:r>
      <w:r>
        <w:t xml:space="preserve">AI automates tasks leads to role elimination/transformation leads to worker displacement leads to unemployment/underemployment leads to reduced consumer spending leads to credit card, auto, and mortgage delinquencies leads to bank provision expense increase leads to earnings pressure leads to further AI-driven cost reduction leads to additional displacement. Goldman Sachs Research (August 2025) estimates this cycle could raise unemployment by 0.5 percentage points during the transition period under base case assumptions, with potential for higher increases under frontloaded adoption scenarios. Historical calibration: the China Shock (Autor, Dorn, Hanson 2013) demonstrated that concentrated labor market shocks can persist for over a decade with limited geographic adjustment.</w:t>
      </w:r>
    </w:p>
    <w:p>
      <w:pPr>
        <w:spacing w:after="120"/>
      </w:pPr>
      <w:r>
        <w:rPr>
          <w:b/>
          <w:bCs/>
        </w:rPr>
        <w:t xml:space="preserve">Operational Risk Channel. </w:t>
      </w:r>
      <w:r>
        <w:t xml:space="preserve">AI deployment in critical functions (credit decisioning, compliance monitoring, trading) leads to AI model errors (hallucinations, bias, drift) leads to operational losses (incorrect decisions, missed suspicious activity, trading errors) leads to regulatory examination findings leads to consent orders, fines, remediation costs leads to reputational damage leads to customer and talent attrition. Historical calibration: the Knight Capital algorithmic trading failure (2012, $440 million loss in 45 minutes) and Wells Fargo consent orders demonstrate the speed and severity of operational risk materialization.</w:t>
      </w:r>
    </w:p>
    <w:p>
      <w:pPr>
        <w:spacing w:after="120"/>
      </w:pPr>
      <w:r>
        <w:rPr>
          <w:b/>
          <w:bCs/>
        </w:rPr>
        <w:t xml:space="preserve">Competitive Displacement Channel. </w:t>
      </w:r>
      <w:r>
        <w:t xml:space="preserve">AI-forward competitors achieve lower cost structures leads to pricing advantages leads to market share shifts leads to revenue erosion at slower adopters leads to margin compression leads to franchise value decline leads to strategic distress. JPMorgan Chase disclosed at its May 2025 Investor Day that it expects consumer banking productivity gains of 40-50% from AI over the next five years. McKinsey estimates generative AI could deliver $200-340 billion in annual value for the banking sector. Institutions that capture this value earlier create compounding competitive advantages.</w:t>
      </w:r>
    </w:p>
    <w:p>
      <w:pPr>
        <w:spacing w:after="120"/>
      </w:pPr>
      <w:r>
        <w:rPr>
          <w:b/>
          <w:bCs/>
        </w:rPr>
        <w:t xml:space="preserve">Regulatory/Political Channel. </w:t>
      </w:r>
      <w:r>
        <w:t xml:space="preserve">AI-driven workforce displacement leads to public backlash leads to political pressure leads to restrictive legislation (mandatory headcount floors, AI taxes, moratoriums) leads to compliance costs and strategy constraints leads to competitive disadvantage versus less-regulated competitors or jurisdictions. The December 2025 Executive Order establishing a national AI policy framework, over 1,000 state-level AI bills introduced in 2024-2025, and the EU AI Act's phased implementation through 2027 all demonstrate the regulatory trajectory.</w:t>
      </w:r>
    </w:p>
    <w:p>
      <w:pPr>
        <w:spacing w:after="120"/>
      </w:pPr>
      <w:r>
        <w:rPr>
          <w:b/>
          <w:bCs/>
        </w:rPr>
        <w:t xml:space="preserve">Technology Concentration Channel. </w:t>
      </w:r>
      <w:r>
        <w:t xml:space="preserve">Financial institutions depend on a small number of AI providers (OpenAI/Microsoft, Google, Anthropic, AWS) leads to concentrated third-party risk leads to single provider failure or outage causes correlated operational disruption across multiple institutions simultaneously leads to systemic operational risk event. The FSB October 2025 report specifically highlights this vulnerability, noting that the market for specialized AI hardware, cloud infrastructure, and pre-trained models is highly concentrated, and that growing reliance on these providers could expose the financial system to systemic risk from disruptions affecting key service providers.</w:t>
      </w:r>
    </w:p>
    <w:p>
      <w:pPr>
        <w:spacing w:after="120"/>
      </w:pPr>
      <w:r>
        <w:rPr>
          <w:b/>
          <w:bCs/>
        </w:rPr>
        <w:t xml:space="preserve">Market Structure Channel. </w:t>
      </w:r>
      <w:r>
        <w:t xml:space="preserve">Multiple institutions adopt similar AI-driven trading, risk management, and investment strategies leads to homogeneous positions and correlated risk models leads to amplified market stress during episodes of volatility leads to flash crashes, liquidity withdrawals, and market dislocations. The FSB has identified market correlations from common AI models and data sources as a key vulnerability for financial stability.</w:t>
      </w:r>
    </w:p>
    <w:p>
      <w:pPr>
        <w:spacing w:after="120"/>
      </w:pPr>
      <w:r>
        <w:rPr>
          <w:b/>
          <w:bCs/>
        </w:rPr>
        <w:t xml:space="preserve">Wage/Inequality Channel. </w:t>
      </w:r>
      <w:r>
        <w:t xml:space="preserve">AI creates premium for AI-complementary skills and displaces AI-substitutable work leads to wage polarization leads to widening income inequality leads to reduced aggregate demand from lower/middle income consumers leads to political instability leads to populist regulatory responses. PwC AI Jobs Barometer reports that AI-skilled workers now enjoy a 56% wage premium, up from 25% in 2024.</w:t>
      </w:r>
    </w:p>
    <w:p>
      <w:pPr>
        <w:spacing w:after="120"/>
      </w:pPr>
      <w:r>
        <w:rPr>
          <w:b/>
          <w:bCs/>
        </w:rPr>
        <w:t xml:space="preserve">Geographic Concentration Channel. </w:t>
      </w:r>
      <w:r>
        <w:t xml:space="preserve">AI displaces back-office and operations work concentrated in specific metro areas (Charlotte, NC for banking operations; Hyderabad and Manila for offshore processing) leads to localized economic distress leads to concentrated credit losses in those regions leads to CRE deterioration leads to bank exposure losses. India's IT services industry, employing over 5 million workers, faces existential disruption as AI automates the outsourced knowledge work that comprises its primary export.</w:t>
      </w:r>
    </w:p>
    <w:p>
      <w:pPr>
        <w:spacing w:after="120"/>
      </w:pPr>
      <w:r>
        <w:rPr>
          <w:b/>
          <w:bCs/>
        </w:rPr>
        <w:t xml:space="preserve">Cybersecurity Channel. </w:t>
      </w:r>
      <w:r>
        <w:t xml:space="preserve">AI-powered attack tools (deepfakes, automated social engineering, AI-generated malware) leads to escalating fraud losses, data breaches, and operational disruptions leads to increased security spending, regulatory fines, and reputational damage. The FSB has identified AI-enhanced cyber risk as a growing vulnerability, noting that generative AI could increase the sophistication and scale of financial fraud and disinformation.</w:t>
      </w:r>
    </w:p>
    <w:p>
      <w:pPr>
        <w:pStyle w:val="Heading2"/>
      </w:pPr>
      <w:r>
        <w:t xml:space="preserve">2.4 Feedback Loops and Non-Linearities</w:t>
      </w:r>
    </w:p>
    <w:p>
      <w:pPr>
        <w:spacing w:after="120"/>
      </w:pPr>
      <w:r>
        <w:t xml:space="preserve">Several reinforcing feedback loops create potential for non-linear outcomes:</w:t>
      </w:r>
    </w:p>
    <w:p>
      <w:pPr>
        <w:spacing w:after="120"/>
      </w:pPr>
      <w:r>
        <w:rPr>
          <w:b/>
          <w:bCs/>
        </w:rPr>
        <w:t xml:space="preserve">The Displacement Acceleration Loop: </w:t>
      </w:r>
      <w:r>
        <w:t xml:space="preserve">AI displacement reduces consumer spending leads to bank credit losses leads to bank accelerates AI-driven cost reduction leads to additional displacement. This loop is self-reinforcing and could produce displacement rates that exceed linear projections. The loop is moderated by: new job creation in AI-adjacent roles, reskilling program effectiveness, fiscal policy interventions (unemployment insurance, retraining programs), and the speed at which AI creates enough productivity gains to lower prices and stimulate new demand.</w:t>
      </w:r>
    </w:p>
    <w:p>
      <w:pPr>
        <w:spacing w:after="120"/>
      </w:pPr>
      <w:r>
        <w:rPr>
          <w:b/>
          <w:bCs/>
        </w:rPr>
        <w:t xml:space="preserve">The Competitive Arms Race Loop: </w:t>
      </w:r>
      <w:r>
        <w:t xml:space="preserve">Bank A deploys AI successfully leads to efficiency advantage leads to Bank B forced to match leads to industry-wide AI acceleration leads to aggregate workforce reduction leads to Bank A and B both face credit losses from displacement. This loop drives faster adoption than any individual institution would choose in isolation, creating a classic coordination failure.</w:t>
      </w:r>
    </w:p>
    <w:p>
      <w:pPr>
        <w:spacing w:after="120"/>
      </w:pPr>
      <w:r>
        <w:rPr>
          <w:b/>
          <w:bCs/>
        </w:rPr>
        <w:t xml:space="preserve">The Regulatory Whiplash Loop: </w:t>
      </w:r>
      <w:r>
        <w:t xml:space="preserve">AI failures trigger regulatory action leads to institutions pull back on AI leads to competitive gap widens versus unregulated entities leads to regulatory arbitrage leads to regulators must either extend regulation or relax it leads to policy uncertainty leads to suboptimal investment in either direction.</w:t>
      </w:r>
    </w:p>
    <w:p>
      <w:r>
        <w:br w:type="page"/>
      </w:r>
    </w:p>
    <w:p>
      <w:pPr>
        <w:pStyle w:val="Heading1"/>
      </w:pPr>
      <w:r>
        <w:t xml:space="preserve">3. Scenario Design Methodology</w:t>
      </w:r>
    </w:p>
    <w:p>
      <w:pPr>
        <w:pStyle w:val="Heading2"/>
      </w:pPr>
      <w:r>
        <w:t xml:space="preserve">3.1 Severity Calibration Framework</w:t>
      </w:r>
    </w:p>
    <w:p>
      <w:pPr>
        <w:spacing w:after="120"/>
      </w:pPr>
      <w:r>
        <w:t xml:space="preserve">Each scenario is calibrated against four requirements that mirror CCAR/DFAST design standards:</w:t>
      </w:r>
    </w:p>
    <w:p>
      <w:pPr>
        <w:spacing w:after="120"/>
      </w:pPr>
      <w:r>
        <w:rPr>
          <w:b/>
          <w:bCs/>
        </w:rPr>
        <w:t xml:space="preserve">Plausibility: </w:t>
      </w:r>
      <w:r>
        <w:t xml:space="preserve">Every scenario is grounded in historical analogues and current observable trajectories. No scenario assumes technologies or adoption rates that lack empirical foundation. The most severe scenarios calibrate to the upper bounds of historical disruption events, not to speculative or science-fiction outcomes.</w:t>
      </w:r>
    </w:p>
    <w:p>
      <w:pPr>
        <w:spacing w:after="120"/>
      </w:pPr>
      <w:r>
        <w:rPr>
          <w:b/>
          <w:bCs/>
        </w:rPr>
        <w:t xml:space="preserve">Severity: </w:t>
      </w:r>
      <w:r>
        <w:t xml:space="preserve">Scenarios represent materially adverse conditions, comparable to the CCAR Severely Adverse scenario in their financial impact. The Great Displacement scenario (C1) is calibrated to produce credit losses and revenue impacts of similar magnitude to the 2008 Global Financial Crisis, with the critical difference that the structural component of the disruption persists beyond the cyclical recovery.</w:t>
      </w:r>
    </w:p>
    <w:p>
      <w:pPr>
        <w:spacing w:after="120"/>
      </w:pPr>
      <w:r>
        <w:rPr>
          <w:b/>
          <w:bCs/>
        </w:rPr>
        <w:t xml:space="preserve">Internal consistency: </w:t>
      </w:r>
      <w:r>
        <w:t xml:space="preserve">All variables within each scenario move together in an economically coherent manner. If unemployment rises to 9%, consumer spending contracts, credit card delinquencies spike, housing prices decline in affected regions, and equity markets correct. GDP growth cannot be positive while these dynamics are operating. Interest rates respond to Fed policy reactions. Technology investment adjusts to the economic environment.</w:t>
      </w:r>
    </w:p>
    <w:p>
      <w:pPr>
        <w:spacing w:after="120"/>
      </w:pPr>
      <w:r>
        <w:rPr>
          <w:b/>
          <w:bCs/>
        </w:rPr>
        <w:t xml:space="preserve">Time-bounded: </w:t>
      </w:r>
      <w:r>
        <w:t xml:space="preserve">Each scenario specifies variable paths at Year 1, Year 3, Year 5, and Year 10, with identified peak stress timing and recovery/adaptation trajectories.</w:t>
      </w:r>
    </w:p>
    <w:p>
      <w:pPr>
        <w:pStyle w:val="Heading2"/>
      </w:pPr>
      <w:r>
        <w:t xml:space="preserve">3.2 Historical Analogue Calibration</w:t>
      </w:r>
    </w:p>
    <w:p>
      <w:pPr>
        <w:spacing w:after="120"/>
      </w:pPr>
      <w:r>
        <w:t xml:space="preserve">The speed, magnitude, and shape of AI disruption scenarios are calibrated against six historical disruption events: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000"/>
        <w:gridCol w:w="1600"/>
        <w:gridCol w:w="1600"/>
        <w:gridCol w:w="3560"/>
      </w:tblGrid>
      <w:tr>
        <w:tc>
          <w:tcPr>
            <w:tcW w:type="dxa" w:w="1600"/>
            <w:tcBorders>
              <w:top w:val="single" w:color="999999" w:sz="1"/>
              <w:left w:val="single" w:color="999999" w:sz="1"/>
              <w:bottom w:val="single" w:color="999999" w:sz="1"/>
              <w:right w:val="single" w:color="999999"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20"/>
                <w:szCs w:val="20"/>
              </w:rPr>
              <w:t xml:space="preserve">Disruption Event</w:t>
            </w:r>
          </w:p>
        </w:tc>
        <w:tc>
          <w:tcPr>
            <w:tcW w:type="dxa" w:w="1000"/>
            <w:tcBorders>
              <w:top w:val="single" w:color="999999" w:sz="1"/>
              <w:left w:val="single" w:color="999999" w:sz="1"/>
              <w:bottom w:val="single" w:color="999999" w:sz="1"/>
              <w:right w:val="single" w:color="999999"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20"/>
                <w:szCs w:val="20"/>
              </w:rPr>
              <w:t xml:space="preserve">Duration</w:t>
            </w:r>
          </w:p>
        </w:tc>
        <w:tc>
          <w:tcPr>
            <w:tcW w:type="dxa" w:w="1600"/>
            <w:tcBorders>
              <w:top w:val="single" w:color="999999" w:sz="1"/>
              <w:left w:val="single" w:color="999999" w:sz="1"/>
              <w:bottom w:val="single" w:color="999999" w:sz="1"/>
              <w:right w:val="single" w:color="999999"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20"/>
                <w:szCs w:val="20"/>
              </w:rPr>
              <w:t xml:space="preserve">Peak Displacement</w:t>
            </w:r>
          </w:p>
        </w:tc>
        <w:tc>
          <w:tcPr>
            <w:tcW w:type="dxa" w:w="1600"/>
            <w:tcBorders>
              <w:top w:val="single" w:color="999999" w:sz="1"/>
              <w:left w:val="single" w:color="999999" w:sz="1"/>
              <w:bottom w:val="single" w:color="999999" w:sz="1"/>
              <w:right w:val="single" w:color="999999"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20"/>
                <w:szCs w:val="20"/>
              </w:rPr>
              <w:t xml:space="preserve">Adjustment Period</w:t>
            </w:r>
          </w:p>
        </w:tc>
        <w:tc>
          <w:tcPr>
            <w:tcW w:type="dxa" w:w="3560"/>
            <w:tcBorders>
              <w:top w:val="single" w:color="999999" w:sz="1"/>
              <w:left w:val="single" w:color="999999" w:sz="1"/>
              <w:bottom w:val="single" w:color="999999" w:sz="1"/>
              <w:right w:val="single" w:color="999999"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20"/>
                <w:szCs w:val="20"/>
              </w:rPr>
              <w:t xml:space="preserve">Key Lesson</w:t>
            </w:r>
          </w:p>
        </w:tc>
      </w:tr>
      <w:tr>
        <w:tc>
          <w:tcPr>
            <w:tcW w:type="dxa" w:w="16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Arial" w:cs="Arial" w:eastAsia="Arial" w:hAnsi="Arial"/>
                <w:color w:val="1A1A1A"/>
                <w:sz w:val="19"/>
                <w:szCs w:val="19"/>
              </w:rPr>
              <w:t xml:space="preserve">Industrial Revolution (1760-1840)</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Arial" w:cs="Arial" w:eastAsia="Arial" w:hAnsi="Arial"/>
                <w:color w:val="1A1A1A"/>
                <w:sz w:val="19"/>
                <w:szCs w:val="19"/>
              </w:rPr>
              <w:t xml:space="preserve">~80 years</w:t>
            </w:r>
          </w:p>
        </w:tc>
        <w:tc>
          <w:tcPr>
            <w:tcW w:type="dxa" w:w="16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Arial" w:cs="Arial" w:eastAsia="Arial" w:hAnsi="Arial"/>
                <w:color w:val="1A1A1A"/>
                <w:sz w:val="19"/>
                <w:szCs w:val="19"/>
              </w:rPr>
              <w:t xml:space="preserve">Hand-loom weavers: ~90% decline</w:t>
            </w:r>
          </w:p>
        </w:tc>
        <w:tc>
          <w:tcPr>
            <w:tcW w:type="dxa" w:w="16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Arial" w:cs="Arial" w:eastAsia="Arial" w:hAnsi="Arial"/>
                <w:color w:val="1A1A1A"/>
                <w:sz w:val="19"/>
                <w:szCs w:val="19"/>
              </w:rPr>
              <w:t xml:space="preserve">40-60 years to new equilibrium</w:t>
            </w:r>
          </w:p>
        </w:tc>
        <w:tc>
          <w:tcPr>
            <w:tcW w:type="dxa" w:w="356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Arial" w:cs="Arial" w:eastAsia="Arial" w:hAnsi="Arial"/>
                <w:color w:val="1A1A1A"/>
                <w:sz w:val="19"/>
                <w:szCs w:val="19"/>
              </w:rPr>
              <w:t xml:space="preserve">Magnitude can be extreme but over long timelines</w:t>
            </w:r>
          </w:p>
        </w:tc>
      </w:tr>
      <w:tr>
        <w:tc>
          <w:tcPr>
            <w:tcW w:type="dxa" w:w="1600"/>
            <w:tcBorders>
              <w:top w:val="single" w:color="999999" w:sz="1"/>
              <w:left w:val="single" w:color="999999" w:sz="1"/>
              <w:bottom w:val="single" w:color="999999" w:sz="1"/>
              <w:right w:val="single" w:color="999999" w:sz="1"/>
            </w:tcBorders>
            <w:shd w:fill="EDF2F7" w:val="clear"/>
            <w:tcMar>
              <w:top w:type="dxa" w:w="60"/>
              <w:left w:type="dxa" w:w="100"/>
              <w:bottom w:type="dxa" w:w="60"/>
              <w:right w:type="dxa" w:w="100"/>
            </w:tcMar>
            <w:vAlign w:val="center"/>
          </w:tcPr>
          <w:p>
            <w:pPr>
              <w:spacing w:after="0"/>
            </w:pPr>
            <w:r>
              <w:rPr>
                <w:rFonts w:ascii="Arial" w:cs="Arial" w:eastAsia="Arial" w:hAnsi="Arial"/>
                <w:color w:val="1A1A1A"/>
                <w:sz w:val="19"/>
                <w:szCs w:val="19"/>
              </w:rPr>
              <w:t xml:space="preserve">Electrification (1880s-1920s)</w:t>
            </w:r>
          </w:p>
        </w:tc>
        <w:tc>
          <w:tcPr>
            <w:tcW w:type="dxa" w:w="1000"/>
            <w:tcBorders>
              <w:top w:val="single" w:color="999999" w:sz="1"/>
              <w:left w:val="single" w:color="999999" w:sz="1"/>
              <w:bottom w:val="single" w:color="999999" w:sz="1"/>
              <w:right w:val="single" w:color="999999" w:sz="1"/>
            </w:tcBorders>
            <w:shd w:fill="EDF2F7" w:val="clear"/>
            <w:tcMar>
              <w:top w:type="dxa" w:w="60"/>
              <w:left w:type="dxa" w:w="100"/>
              <w:bottom w:type="dxa" w:w="60"/>
              <w:right w:type="dxa" w:w="100"/>
            </w:tcMar>
            <w:vAlign w:val="center"/>
          </w:tcPr>
          <w:p>
            <w:pPr>
              <w:spacing w:after="0"/>
            </w:pPr>
            <w:r>
              <w:rPr>
                <w:rFonts w:ascii="Arial" w:cs="Arial" w:eastAsia="Arial" w:hAnsi="Arial"/>
                <w:color w:val="1A1A1A"/>
                <w:sz w:val="19"/>
                <w:szCs w:val="19"/>
              </w:rPr>
              <w:t xml:space="preserve">~40 years</w:t>
            </w:r>
          </w:p>
        </w:tc>
        <w:tc>
          <w:tcPr>
            <w:tcW w:type="dxa" w:w="1600"/>
            <w:tcBorders>
              <w:top w:val="single" w:color="999999" w:sz="1"/>
              <w:left w:val="single" w:color="999999" w:sz="1"/>
              <w:bottom w:val="single" w:color="999999" w:sz="1"/>
              <w:right w:val="single" w:color="999999" w:sz="1"/>
            </w:tcBorders>
            <w:shd w:fill="EDF2F7" w:val="clear"/>
            <w:tcMar>
              <w:top w:type="dxa" w:w="60"/>
              <w:left w:type="dxa" w:w="100"/>
              <w:bottom w:type="dxa" w:w="60"/>
              <w:right w:type="dxa" w:w="100"/>
            </w:tcMar>
            <w:vAlign w:val="center"/>
          </w:tcPr>
          <w:p>
            <w:pPr>
              <w:spacing w:after="0"/>
            </w:pPr>
            <w:r>
              <w:rPr>
                <w:rFonts w:ascii="Arial" w:cs="Arial" w:eastAsia="Arial" w:hAnsi="Arial"/>
                <w:color w:val="1A1A1A"/>
                <w:sz w:val="19"/>
                <w:szCs w:val="19"/>
              </w:rPr>
              <w:t xml:space="preserve">Craft workers displaced; productivity doubled</w:t>
            </w:r>
          </w:p>
        </w:tc>
        <w:tc>
          <w:tcPr>
            <w:tcW w:type="dxa" w:w="1600"/>
            <w:tcBorders>
              <w:top w:val="single" w:color="999999" w:sz="1"/>
              <w:left w:val="single" w:color="999999" w:sz="1"/>
              <w:bottom w:val="single" w:color="999999" w:sz="1"/>
              <w:right w:val="single" w:color="999999" w:sz="1"/>
            </w:tcBorders>
            <w:shd w:fill="EDF2F7" w:val="clear"/>
            <w:tcMar>
              <w:top w:type="dxa" w:w="60"/>
              <w:left w:type="dxa" w:w="100"/>
              <w:bottom w:type="dxa" w:w="60"/>
              <w:right w:type="dxa" w:w="100"/>
            </w:tcMar>
            <w:vAlign w:val="center"/>
          </w:tcPr>
          <w:p>
            <w:pPr>
              <w:spacing w:after="0"/>
            </w:pPr>
            <w:r>
              <w:rPr>
                <w:rFonts w:ascii="Arial" w:cs="Arial" w:eastAsia="Arial" w:hAnsi="Arial"/>
                <w:color w:val="1A1A1A"/>
                <w:sz w:val="19"/>
                <w:szCs w:val="19"/>
              </w:rPr>
              <w:t xml:space="preserve">20-30 years for full diffusion</w:t>
            </w:r>
          </w:p>
        </w:tc>
        <w:tc>
          <w:tcPr>
            <w:tcW w:type="dxa" w:w="3560"/>
            <w:tcBorders>
              <w:top w:val="single" w:color="999999" w:sz="1"/>
              <w:left w:val="single" w:color="999999" w:sz="1"/>
              <w:bottom w:val="single" w:color="999999" w:sz="1"/>
              <w:right w:val="single" w:color="999999" w:sz="1"/>
            </w:tcBorders>
            <w:shd w:fill="EDF2F7" w:val="clear"/>
            <w:tcMar>
              <w:top w:type="dxa" w:w="60"/>
              <w:left w:type="dxa" w:w="100"/>
              <w:bottom w:type="dxa" w:w="60"/>
              <w:right w:type="dxa" w:w="100"/>
            </w:tcMar>
            <w:vAlign w:val="center"/>
          </w:tcPr>
          <w:p>
            <w:pPr>
              <w:spacing w:after="0"/>
            </w:pPr>
            <w:r>
              <w:rPr>
                <w:rFonts w:ascii="Arial" w:cs="Arial" w:eastAsia="Arial" w:hAnsi="Arial"/>
                <w:color w:val="1A1A1A"/>
                <w:sz w:val="19"/>
                <w:szCs w:val="19"/>
              </w:rPr>
              <w:t xml:space="preserve">Productivity-employment lag can last decades</w:t>
            </w:r>
          </w:p>
        </w:tc>
      </w:tr>
      <w:tr>
        <w:tc>
          <w:tcPr>
            <w:tcW w:type="dxa" w:w="16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Arial" w:cs="Arial" w:eastAsia="Arial" w:hAnsi="Arial"/>
                <w:color w:val="1A1A1A"/>
                <w:sz w:val="19"/>
                <w:szCs w:val="19"/>
              </w:rPr>
              <w:t xml:space="preserve">Computerization/IT (1980s-2000s)</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Arial" w:cs="Arial" w:eastAsia="Arial" w:hAnsi="Arial"/>
                <w:color w:val="1A1A1A"/>
                <w:sz w:val="19"/>
                <w:szCs w:val="19"/>
              </w:rPr>
              <w:t xml:space="preserve">~20 years</w:t>
            </w:r>
          </w:p>
        </w:tc>
        <w:tc>
          <w:tcPr>
            <w:tcW w:type="dxa" w:w="16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Arial" w:cs="Arial" w:eastAsia="Arial" w:hAnsi="Arial"/>
                <w:color w:val="1A1A1A"/>
                <w:sz w:val="19"/>
                <w:szCs w:val="19"/>
              </w:rPr>
              <w:t xml:space="preserve">Clerical/admin: 30-40% decline</w:t>
            </w:r>
          </w:p>
        </w:tc>
        <w:tc>
          <w:tcPr>
            <w:tcW w:type="dxa" w:w="16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Arial" w:cs="Arial" w:eastAsia="Arial" w:hAnsi="Arial"/>
                <w:color w:val="1A1A1A"/>
                <w:sz w:val="19"/>
                <w:szCs w:val="19"/>
              </w:rPr>
              <w:t xml:space="preserve">Ongoing; polarized labor market</w:t>
            </w:r>
          </w:p>
        </w:tc>
        <w:tc>
          <w:tcPr>
            <w:tcW w:type="dxa" w:w="356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Arial" w:cs="Arial" w:eastAsia="Arial" w:hAnsi="Arial"/>
                <w:color w:val="1A1A1A"/>
                <w:sz w:val="19"/>
                <w:szCs w:val="19"/>
              </w:rPr>
              <w:t xml:space="preserve">Middle-skill hollowing; wage polarization persistent</w:t>
            </w:r>
          </w:p>
        </w:tc>
      </w:tr>
      <w:tr>
        <w:tc>
          <w:tcPr>
            <w:tcW w:type="dxa" w:w="1600"/>
            <w:tcBorders>
              <w:top w:val="single" w:color="999999" w:sz="1"/>
              <w:left w:val="single" w:color="999999" w:sz="1"/>
              <w:bottom w:val="single" w:color="999999" w:sz="1"/>
              <w:right w:val="single" w:color="999999" w:sz="1"/>
            </w:tcBorders>
            <w:shd w:fill="EDF2F7" w:val="clear"/>
            <w:tcMar>
              <w:top w:type="dxa" w:w="60"/>
              <w:left w:type="dxa" w:w="100"/>
              <w:bottom w:type="dxa" w:w="60"/>
              <w:right w:type="dxa" w:w="100"/>
            </w:tcMar>
            <w:vAlign w:val="center"/>
          </w:tcPr>
          <w:p>
            <w:pPr>
              <w:spacing w:after="0"/>
            </w:pPr>
            <w:r>
              <w:rPr>
                <w:rFonts w:ascii="Arial" w:cs="Arial" w:eastAsia="Arial" w:hAnsi="Arial"/>
                <w:color w:val="1A1A1A"/>
                <w:sz w:val="19"/>
                <w:szCs w:val="19"/>
              </w:rPr>
              <w:t xml:space="preserve">Offshoring/China Shock (1990s-2010s)</w:t>
            </w:r>
          </w:p>
        </w:tc>
        <w:tc>
          <w:tcPr>
            <w:tcW w:type="dxa" w:w="1000"/>
            <w:tcBorders>
              <w:top w:val="single" w:color="999999" w:sz="1"/>
              <w:left w:val="single" w:color="999999" w:sz="1"/>
              <w:bottom w:val="single" w:color="999999" w:sz="1"/>
              <w:right w:val="single" w:color="999999" w:sz="1"/>
            </w:tcBorders>
            <w:shd w:fill="EDF2F7" w:val="clear"/>
            <w:tcMar>
              <w:top w:type="dxa" w:w="60"/>
              <w:left w:type="dxa" w:w="100"/>
              <w:bottom w:type="dxa" w:w="60"/>
              <w:right w:type="dxa" w:w="100"/>
            </w:tcMar>
            <w:vAlign w:val="center"/>
          </w:tcPr>
          <w:p>
            <w:pPr>
              <w:spacing w:after="0"/>
            </w:pPr>
            <w:r>
              <w:rPr>
                <w:rFonts w:ascii="Arial" w:cs="Arial" w:eastAsia="Arial" w:hAnsi="Arial"/>
                <w:color w:val="1A1A1A"/>
                <w:sz w:val="19"/>
                <w:szCs w:val="19"/>
              </w:rPr>
              <w:t xml:space="preserve">~15-20 years</w:t>
            </w:r>
          </w:p>
        </w:tc>
        <w:tc>
          <w:tcPr>
            <w:tcW w:type="dxa" w:w="1600"/>
            <w:tcBorders>
              <w:top w:val="single" w:color="999999" w:sz="1"/>
              <w:left w:val="single" w:color="999999" w:sz="1"/>
              <w:bottom w:val="single" w:color="999999" w:sz="1"/>
              <w:right w:val="single" w:color="999999" w:sz="1"/>
            </w:tcBorders>
            <w:shd w:fill="EDF2F7" w:val="clear"/>
            <w:tcMar>
              <w:top w:type="dxa" w:w="60"/>
              <w:left w:type="dxa" w:w="100"/>
              <w:bottom w:type="dxa" w:w="60"/>
              <w:right w:type="dxa" w:w="100"/>
            </w:tcMar>
            <w:vAlign w:val="center"/>
          </w:tcPr>
          <w:p>
            <w:pPr>
              <w:spacing w:after="0"/>
            </w:pPr>
            <w:r>
              <w:rPr>
                <w:rFonts w:ascii="Arial" w:cs="Arial" w:eastAsia="Arial" w:hAnsi="Arial"/>
                <w:color w:val="1A1A1A"/>
                <w:sz w:val="19"/>
                <w:szCs w:val="19"/>
              </w:rPr>
              <w:t xml:space="preserve">Manufacturing: 5.5M US jobs lost</w:t>
            </w:r>
          </w:p>
        </w:tc>
        <w:tc>
          <w:tcPr>
            <w:tcW w:type="dxa" w:w="1600"/>
            <w:tcBorders>
              <w:top w:val="single" w:color="999999" w:sz="1"/>
              <w:left w:val="single" w:color="999999" w:sz="1"/>
              <w:bottom w:val="single" w:color="999999" w:sz="1"/>
              <w:right w:val="single" w:color="999999" w:sz="1"/>
            </w:tcBorders>
            <w:shd w:fill="EDF2F7" w:val="clear"/>
            <w:tcMar>
              <w:top w:type="dxa" w:w="60"/>
              <w:left w:type="dxa" w:w="100"/>
              <w:bottom w:type="dxa" w:w="60"/>
              <w:right w:type="dxa" w:w="100"/>
            </w:tcMar>
            <w:vAlign w:val="center"/>
          </w:tcPr>
          <w:p>
            <w:pPr>
              <w:spacing w:after="0"/>
            </w:pPr>
            <w:r>
              <w:rPr>
                <w:rFonts w:ascii="Arial" w:cs="Arial" w:eastAsia="Arial" w:hAnsi="Arial"/>
                <w:color w:val="1A1A1A"/>
                <w:sz w:val="19"/>
                <w:szCs w:val="19"/>
              </w:rPr>
              <w:t xml:space="preserve">Regions never fully recovered</w:t>
            </w:r>
          </w:p>
        </w:tc>
        <w:tc>
          <w:tcPr>
            <w:tcW w:type="dxa" w:w="3560"/>
            <w:tcBorders>
              <w:top w:val="single" w:color="999999" w:sz="1"/>
              <w:left w:val="single" w:color="999999" w:sz="1"/>
              <w:bottom w:val="single" w:color="999999" w:sz="1"/>
              <w:right w:val="single" w:color="999999" w:sz="1"/>
            </w:tcBorders>
            <w:shd w:fill="EDF2F7" w:val="clear"/>
            <w:tcMar>
              <w:top w:type="dxa" w:w="60"/>
              <w:left w:type="dxa" w:w="100"/>
              <w:bottom w:type="dxa" w:w="60"/>
              <w:right w:type="dxa" w:w="100"/>
            </w:tcMar>
            <w:vAlign w:val="center"/>
          </w:tcPr>
          <w:p>
            <w:pPr>
              <w:spacing w:after="0"/>
            </w:pPr>
            <w:r>
              <w:rPr>
                <w:rFonts w:ascii="Arial" w:cs="Arial" w:eastAsia="Arial" w:hAnsi="Arial"/>
                <w:color w:val="1A1A1A"/>
                <w:sz w:val="19"/>
                <w:szCs w:val="19"/>
              </w:rPr>
              <w:t xml:space="preserve">Geographic concentration creates permanent distress</w:t>
            </w:r>
          </w:p>
        </w:tc>
      </w:tr>
      <w:tr>
        <w:tc>
          <w:tcPr>
            <w:tcW w:type="dxa" w:w="16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Arial" w:cs="Arial" w:eastAsia="Arial" w:hAnsi="Arial"/>
                <w:color w:val="1A1A1A"/>
                <w:sz w:val="19"/>
                <w:szCs w:val="19"/>
              </w:rPr>
              <w:t xml:space="preserve">Internet/E-commerce (1995-2015)</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Arial" w:cs="Arial" w:eastAsia="Arial" w:hAnsi="Arial"/>
                <w:color w:val="1A1A1A"/>
                <w:sz w:val="19"/>
                <w:szCs w:val="19"/>
              </w:rPr>
              <w:t xml:space="preserve">~20 years</w:t>
            </w:r>
          </w:p>
        </w:tc>
        <w:tc>
          <w:tcPr>
            <w:tcW w:type="dxa" w:w="16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Arial" w:cs="Arial" w:eastAsia="Arial" w:hAnsi="Arial"/>
                <w:color w:val="1A1A1A"/>
                <w:sz w:val="19"/>
                <w:szCs w:val="19"/>
              </w:rPr>
              <w:t xml:space="preserve">Retail: ~500K jobs; media: ~30% decline</w:t>
            </w:r>
          </w:p>
        </w:tc>
        <w:tc>
          <w:tcPr>
            <w:tcW w:type="dxa" w:w="16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Arial" w:cs="Arial" w:eastAsia="Arial" w:hAnsi="Arial"/>
                <w:color w:val="1A1A1A"/>
                <w:sz w:val="19"/>
                <w:szCs w:val="19"/>
              </w:rPr>
              <w:t xml:space="preserve">10-15 years; still adjusting</w:t>
            </w:r>
          </w:p>
        </w:tc>
        <w:tc>
          <w:tcPr>
            <w:tcW w:type="dxa" w:w="356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Arial" w:cs="Arial" w:eastAsia="Arial" w:hAnsi="Arial"/>
                <w:color w:val="1A1A1A"/>
                <w:sz w:val="19"/>
                <w:szCs w:val="19"/>
              </w:rPr>
              <w:t xml:space="preserve">Creative destruction is uneven and geographically concentrated</w:t>
            </w:r>
          </w:p>
        </w:tc>
      </w:tr>
      <w:tr>
        <w:tc>
          <w:tcPr>
            <w:tcW w:type="dxa" w:w="1600"/>
            <w:tcBorders>
              <w:top w:val="single" w:color="999999" w:sz="1"/>
              <w:left w:val="single" w:color="999999" w:sz="1"/>
              <w:bottom w:val="single" w:color="999999" w:sz="1"/>
              <w:right w:val="single" w:color="999999" w:sz="1"/>
            </w:tcBorders>
            <w:shd w:fill="EDF2F7" w:val="clear"/>
            <w:tcMar>
              <w:top w:type="dxa" w:w="60"/>
              <w:left w:type="dxa" w:w="100"/>
              <w:bottom w:type="dxa" w:w="60"/>
              <w:right w:type="dxa" w:w="100"/>
            </w:tcMar>
            <w:vAlign w:val="center"/>
          </w:tcPr>
          <w:p>
            <w:pPr>
              <w:spacing w:after="0"/>
            </w:pPr>
            <w:r>
              <w:rPr>
                <w:rFonts w:ascii="Arial" w:cs="Arial" w:eastAsia="Arial" w:hAnsi="Arial"/>
                <w:color w:val="1A1A1A"/>
                <w:sz w:val="19"/>
                <w:szCs w:val="19"/>
              </w:rPr>
              <w:t xml:space="preserve">COVID-19 Digital Acceleration (2020)</w:t>
            </w:r>
          </w:p>
        </w:tc>
        <w:tc>
          <w:tcPr>
            <w:tcW w:type="dxa" w:w="1000"/>
            <w:tcBorders>
              <w:top w:val="single" w:color="999999" w:sz="1"/>
              <w:left w:val="single" w:color="999999" w:sz="1"/>
              <w:bottom w:val="single" w:color="999999" w:sz="1"/>
              <w:right w:val="single" w:color="999999" w:sz="1"/>
            </w:tcBorders>
            <w:shd w:fill="EDF2F7" w:val="clear"/>
            <w:tcMar>
              <w:top w:type="dxa" w:w="60"/>
              <w:left w:type="dxa" w:w="100"/>
              <w:bottom w:type="dxa" w:w="60"/>
              <w:right w:type="dxa" w:w="100"/>
            </w:tcMar>
            <w:vAlign w:val="center"/>
          </w:tcPr>
          <w:p>
            <w:pPr>
              <w:spacing w:after="0"/>
            </w:pPr>
            <w:r>
              <w:rPr>
                <w:rFonts w:ascii="Arial" w:cs="Arial" w:eastAsia="Arial" w:hAnsi="Arial"/>
                <w:color w:val="1A1A1A"/>
                <w:sz w:val="19"/>
                <w:szCs w:val="19"/>
              </w:rPr>
              <w:t xml:space="preserve">&lt;2 years</w:t>
            </w:r>
          </w:p>
        </w:tc>
        <w:tc>
          <w:tcPr>
            <w:tcW w:type="dxa" w:w="1600"/>
            <w:tcBorders>
              <w:top w:val="single" w:color="999999" w:sz="1"/>
              <w:left w:val="single" w:color="999999" w:sz="1"/>
              <w:bottom w:val="single" w:color="999999" w:sz="1"/>
              <w:right w:val="single" w:color="999999" w:sz="1"/>
            </w:tcBorders>
            <w:shd w:fill="EDF2F7" w:val="clear"/>
            <w:tcMar>
              <w:top w:type="dxa" w:w="60"/>
              <w:left w:type="dxa" w:w="100"/>
              <w:bottom w:type="dxa" w:w="60"/>
              <w:right w:type="dxa" w:w="100"/>
            </w:tcMar>
            <w:vAlign w:val="center"/>
          </w:tcPr>
          <w:p>
            <w:pPr>
              <w:spacing w:after="0"/>
            </w:pPr>
            <w:r>
              <w:rPr>
                <w:rFonts w:ascii="Arial" w:cs="Arial" w:eastAsia="Arial" w:hAnsi="Arial"/>
                <w:color w:val="1A1A1A"/>
                <w:sz w:val="19"/>
                <w:szCs w:val="19"/>
              </w:rPr>
              <w:t xml:space="preserve">22M US jobs lost in 2 months (temporary)</w:t>
            </w:r>
          </w:p>
        </w:tc>
        <w:tc>
          <w:tcPr>
            <w:tcW w:type="dxa" w:w="1600"/>
            <w:tcBorders>
              <w:top w:val="single" w:color="999999" w:sz="1"/>
              <w:left w:val="single" w:color="999999" w:sz="1"/>
              <w:bottom w:val="single" w:color="999999" w:sz="1"/>
              <w:right w:val="single" w:color="999999" w:sz="1"/>
            </w:tcBorders>
            <w:shd w:fill="EDF2F7" w:val="clear"/>
            <w:tcMar>
              <w:top w:type="dxa" w:w="60"/>
              <w:left w:type="dxa" w:w="100"/>
              <w:bottom w:type="dxa" w:w="60"/>
              <w:right w:type="dxa" w:w="100"/>
            </w:tcMar>
            <w:vAlign w:val="center"/>
          </w:tcPr>
          <w:p>
            <w:pPr>
              <w:spacing w:after="0"/>
            </w:pPr>
            <w:r>
              <w:rPr>
                <w:rFonts w:ascii="Arial" w:cs="Arial" w:eastAsia="Arial" w:hAnsi="Arial"/>
                <w:color w:val="1A1A1A"/>
                <w:sz w:val="19"/>
                <w:szCs w:val="19"/>
              </w:rPr>
              <w:t xml:space="preserve">Most recovered within 2 years</w:t>
            </w:r>
          </w:p>
        </w:tc>
        <w:tc>
          <w:tcPr>
            <w:tcW w:type="dxa" w:w="3560"/>
            <w:tcBorders>
              <w:top w:val="single" w:color="999999" w:sz="1"/>
              <w:left w:val="single" w:color="999999" w:sz="1"/>
              <w:bottom w:val="single" w:color="999999" w:sz="1"/>
              <w:right w:val="single" w:color="999999" w:sz="1"/>
            </w:tcBorders>
            <w:shd w:fill="EDF2F7" w:val="clear"/>
            <w:tcMar>
              <w:top w:type="dxa" w:w="60"/>
              <w:left w:type="dxa" w:w="100"/>
              <w:bottom w:type="dxa" w:w="60"/>
              <w:right w:type="dxa" w:w="100"/>
            </w:tcMar>
            <w:vAlign w:val="center"/>
          </w:tcPr>
          <w:p>
            <w:pPr>
              <w:spacing w:after="0"/>
            </w:pPr>
            <w:r>
              <w:rPr>
                <w:rFonts w:ascii="Arial" w:cs="Arial" w:eastAsia="Arial" w:hAnsi="Arial"/>
                <w:color w:val="1A1A1A"/>
                <w:sz w:val="19"/>
                <w:szCs w:val="19"/>
              </w:rPr>
              <w:t xml:space="preserve">Shock speed can be extreme; remote work shift permanent</w:t>
            </w:r>
          </w:p>
        </w:tc>
      </w:tr>
    </w:tbl>
    <w:p>
      <w:pPr>
        <w:spacing w:after="200"/>
      </w:pPr>
    </w:p>
    <w:p>
      <w:pPr>
        <w:spacing w:after="120"/>
      </w:pPr>
      <w:r>
        <w:rPr>
          <w:b/>
          <w:bCs/>
        </w:rPr>
        <w:t xml:space="preserve">Calibration approach for AI scenarios: </w:t>
      </w:r>
      <w:r>
        <w:t xml:space="preserve">The Moderate severity level is calibrated to the computerization/IT revolution, which produced meaningful but manageable disruption over approximately 20 years with significant wage polarization effects identified by Autor, Katz, and Kearney (2006) and Autor and Dorn (2013). The Severe level is calibrated to the China Shock's concentrated displacement patterns but applied to a broader set of occupations, reflecting Goldman Sachs estimates that AI could affect 6-7% of US employment. The Extreme/tail level combines Industrial Revolution magnitude of disruption with IT revolution speed, representing a scenario where AI capabilities advance faster than institutional and labor market adjustment mechanisms can absorb.</w:t>
      </w:r>
    </w:p>
    <w:p>
      <w:pPr>
        <w:pStyle w:val="Heading2"/>
      </w:pPr>
      <w:r>
        <w:t xml:space="preserve">3.3 Variable Taxonomy</w:t>
      </w:r>
    </w:p>
    <w:p>
      <w:pPr>
        <w:spacing w:after="120"/>
      </w:pPr>
      <w:r>
        <w:t xml:space="preserve">Each scenario fully specifies the following variable categories at Year 1, 3, 5, and 10:</w:t>
      </w:r>
    </w:p>
    <w:p>
      <w:pPr>
        <w:spacing w:after="120"/>
      </w:pPr>
      <w:r>
        <w:rPr>
          <w:b/>
          <w:bCs/>
        </w:rPr>
        <w:t xml:space="preserve">Macroeconomic variables: </w:t>
      </w:r>
      <w:r>
        <w:t xml:space="preserve">GDP growth rate, unemployment rate (total and by sector/education/geography), labor force participation rate, wage growth (median and by quintile/education/occupation), inflation (CPI, PCE, sector-specific), interest rates (Fed funds, 10Y Treasury, credit spreads), consumer spending, housing prices (by metro area), equity markets (total, tech, financials), corporate earnings, productivity growth, and income inequality metrics.</w:t>
      </w:r>
    </w:p>
    <w:p>
      <w:pPr>
        <w:spacing w:after="120"/>
      </w:pPr>
      <w:r>
        <w:rPr>
          <w:b/>
          <w:bCs/>
        </w:rPr>
        <w:t xml:space="preserve">Labor market variables: </w:t>
      </w:r>
      <w:r>
        <w:t xml:space="preserve">Job displacement rate by industry, occupation, education level, income quintile, and geography; job creation rate in new/AI-adjacent roles; net employment impact; unemployment duration for displaced workers; reskilling success rate; wage scarring effect; gig economy absorption rate; early retirement/labor force exit rate; and youth employment impact.</w:t>
      </w:r>
    </w:p>
    <w:p>
      <w:pPr>
        <w:spacing w:after="120"/>
      </w:pPr>
      <w:r>
        <w:rPr>
          <w:b/>
          <w:bCs/>
        </w:rPr>
        <w:t xml:space="preserve">Financial services-specific variables: </w:t>
      </w:r>
      <w:r>
        <w:t xml:space="preserve">Bank headcount by function, efficiency ratio, technology spending, AI adoption rate, operational loss rate from AI, compliance costs, revenue impact from competitive shifts, credit losses from AI-driven unemployment, deposit stability, market-making revenue, wealth management disruption, and fintech market share capture.</w:t>
      </w:r>
    </w:p>
    <w:p>
      <w:pPr>
        <w:spacing w:after="120"/>
      </w:pPr>
      <w:r>
        <w:rPr>
          <w:b/>
          <w:bCs/>
        </w:rPr>
        <w:t xml:space="preserve">Technology/AI-specific variables: </w:t>
      </w:r>
      <w:r>
        <w:t xml:space="preserve">AI capability advancement rate, cost per inference trajectory, enterprise AI adoption curve, AI reliability/accuracy rates, provider concentration metrics, cybersecurity threat escalation, and regulatory constraint levels on AI deployment.</w:t>
      </w:r>
    </w:p>
    <w:p>
      <w:pPr>
        <w:spacing w:after="120"/>
      </w:pPr>
      <w:r>
        <w:rPr>
          <w:b/>
          <w:bCs/>
        </w:rPr>
        <w:t xml:space="preserve">Political/social/regulatory variables: </w:t>
      </w:r>
      <w:r>
        <w:t xml:space="preserve">Public sentiment toward AI, political action intensity, regulatory regime changes, labor organizing activity, social unrest indicators, and fiscal/tax policy responses.</w:t>
      </w:r>
    </w:p>
    <w:p>
      <w:r>
        <w:br w:type="page"/>
      </w:r>
    </w:p>
    <w:p>
      <w:pPr>
        <w:spacing w:before="600" w:after="400"/>
        <w:jc w:val="center"/>
      </w:pPr>
      <w:r>
        <w:rPr>
          <w:rFonts w:ascii="Arial" w:cs="Arial" w:eastAsia="Arial" w:hAnsi="Arial"/>
          <w:b/>
          <w:bCs/>
          <w:color w:val="1B3A5C"/>
          <w:sz w:val="36"/>
          <w:szCs w:val="36"/>
        </w:rPr>
        <w:t xml:space="preserve">PART II: THE SCENARIOS</w:t>
      </w:r>
    </w:p>
    <w:p>
      <w:r>
        <w:br w:type="page"/>
      </w:r>
    </w:p>
    <w:p>
      <w:pPr>
        <w:pStyle w:val="Heading1"/>
      </w:pPr>
      <w:r>
        <w:t xml:space="preserve">4. Scenario Specifications</w:t>
      </w:r>
    </w:p>
    <w:p>
      <w:pPr>
        <w:pStyle w:val="Heading2"/>
      </w:pPr>
      <w:r>
        <w:t xml:space="preserve">4.1 Scenario A1: The Botched Transformation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999999" w:sz="1"/>
              <w:left w:val="single" w:color="999999" w:sz="1"/>
              <w:bottom w:val="single" w:color="999999" w:sz="1"/>
              <w:right w:val="single" w:color="999999"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20"/>
                <w:szCs w:val="20"/>
              </w:rPr>
              <w:t xml:space="preserve">Parameter</w:t>
            </w:r>
          </w:p>
        </w:tc>
        <w:tc>
          <w:tcPr>
            <w:tcW w:type="dxa" w:w="6560"/>
            <w:tcBorders>
              <w:top w:val="single" w:color="999999" w:sz="1"/>
              <w:left w:val="single" w:color="999999" w:sz="1"/>
              <w:bottom w:val="single" w:color="999999" w:sz="1"/>
              <w:right w:val="single" w:color="999999"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20"/>
                <w:szCs w:val="20"/>
              </w:rPr>
              <w:t xml:space="preserve">Specification</w:t>
            </w:r>
          </w:p>
        </w:tc>
      </w:tr>
      <w:tr>
        <w:tc>
          <w:tcPr>
            <w:tcW w:type="dxa" w:w="28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Arial" w:cs="Arial" w:eastAsia="Arial" w:hAnsi="Arial"/>
                <w:color w:val="1A1A1A"/>
                <w:sz w:val="19"/>
                <w:szCs w:val="19"/>
              </w:rPr>
              <w:t xml:space="preserve">Classification</w:t>
            </w:r>
          </w:p>
        </w:tc>
        <w:tc>
          <w:tcPr>
            <w:tcW w:type="dxa" w:w="656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Arial" w:cs="Arial" w:eastAsia="Arial" w:hAnsi="Arial"/>
                <w:color w:val="1A1A1A"/>
                <w:sz w:val="19"/>
                <w:szCs w:val="19"/>
              </w:rPr>
              <w:t xml:space="preserve">Type A: Transformation Risk</w:t>
            </w:r>
          </w:p>
        </w:tc>
      </w:tr>
      <w:tr>
        <w:tc>
          <w:tcPr>
            <w:tcW w:type="dxa" w:w="2800"/>
            <w:tcBorders>
              <w:top w:val="single" w:color="999999" w:sz="1"/>
              <w:left w:val="single" w:color="999999" w:sz="1"/>
              <w:bottom w:val="single" w:color="999999" w:sz="1"/>
              <w:right w:val="single" w:color="999999" w:sz="1"/>
            </w:tcBorders>
            <w:shd w:fill="EDF2F7" w:val="clear"/>
            <w:tcMar>
              <w:top w:type="dxa" w:w="60"/>
              <w:left w:type="dxa" w:w="100"/>
              <w:bottom w:type="dxa" w:w="60"/>
              <w:right w:type="dxa" w:w="100"/>
            </w:tcMar>
            <w:vAlign w:val="center"/>
          </w:tcPr>
          <w:p>
            <w:pPr>
              <w:spacing w:after="0"/>
            </w:pPr>
            <w:r>
              <w:rPr>
                <w:rFonts w:ascii="Arial" w:cs="Arial" w:eastAsia="Arial" w:hAnsi="Arial"/>
                <w:color w:val="1A1A1A"/>
                <w:sz w:val="19"/>
                <w:szCs w:val="19"/>
              </w:rPr>
              <w:t xml:space="preserve">Severity</w:t>
            </w:r>
          </w:p>
        </w:tc>
        <w:tc>
          <w:tcPr>
            <w:tcW w:type="dxa" w:w="6560"/>
            <w:tcBorders>
              <w:top w:val="single" w:color="999999" w:sz="1"/>
              <w:left w:val="single" w:color="999999" w:sz="1"/>
              <w:bottom w:val="single" w:color="999999" w:sz="1"/>
              <w:right w:val="single" w:color="999999" w:sz="1"/>
            </w:tcBorders>
            <w:shd w:fill="EDF2F7" w:val="clear"/>
            <w:tcMar>
              <w:top w:type="dxa" w:w="60"/>
              <w:left w:type="dxa" w:w="100"/>
              <w:bottom w:type="dxa" w:w="60"/>
              <w:right w:type="dxa" w:w="100"/>
            </w:tcMar>
            <w:vAlign w:val="center"/>
          </w:tcPr>
          <w:p>
            <w:pPr>
              <w:spacing w:after="0"/>
            </w:pPr>
            <w:r>
              <w:rPr>
                <w:rFonts w:ascii="Arial" w:cs="Arial" w:eastAsia="Arial" w:hAnsi="Arial"/>
                <w:color w:val="1A1A1A"/>
                <w:sz w:val="19"/>
                <w:szCs w:val="19"/>
              </w:rPr>
              <w:t xml:space="preserve">Moderate (comparable to material supervisory finding / consent order event)</w:t>
            </w:r>
          </w:p>
        </w:tc>
      </w:tr>
      <w:tr>
        <w:tc>
          <w:tcPr>
            <w:tcW w:type="dxa" w:w="28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Arial" w:cs="Arial" w:eastAsia="Arial" w:hAnsi="Arial"/>
                <w:color w:val="1A1A1A"/>
                <w:sz w:val="19"/>
                <w:szCs w:val="19"/>
              </w:rPr>
              <w:t xml:space="preserve">Probability Assessment</w:t>
            </w:r>
          </w:p>
        </w:tc>
        <w:tc>
          <w:tcPr>
            <w:tcW w:type="dxa" w:w="656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Arial" w:cs="Arial" w:eastAsia="Arial" w:hAnsi="Arial"/>
                <w:color w:val="1A1A1A"/>
                <w:sz w:val="19"/>
                <w:szCs w:val="19"/>
              </w:rPr>
              <w:t xml:space="preserve">15-20% conditional on aggressive AI deployment strategy</w:t>
            </w:r>
          </w:p>
        </w:tc>
      </w:tr>
      <w:tr>
        <w:tc>
          <w:tcPr>
            <w:tcW w:type="dxa" w:w="2800"/>
            <w:tcBorders>
              <w:top w:val="single" w:color="999999" w:sz="1"/>
              <w:left w:val="single" w:color="999999" w:sz="1"/>
              <w:bottom w:val="single" w:color="999999" w:sz="1"/>
              <w:right w:val="single" w:color="999999" w:sz="1"/>
            </w:tcBorders>
            <w:shd w:fill="EDF2F7" w:val="clear"/>
            <w:tcMar>
              <w:top w:type="dxa" w:w="60"/>
              <w:left w:type="dxa" w:w="100"/>
              <w:bottom w:type="dxa" w:w="60"/>
              <w:right w:type="dxa" w:w="100"/>
            </w:tcMar>
            <w:vAlign w:val="center"/>
          </w:tcPr>
          <w:p>
            <w:pPr>
              <w:spacing w:after="0"/>
            </w:pPr>
            <w:r>
              <w:rPr>
                <w:rFonts w:ascii="Arial" w:cs="Arial" w:eastAsia="Arial" w:hAnsi="Arial"/>
                <w:color w:val="1A1A1A"/>
                <w:sz w:val="19"/>
                <w:szCs w:val="19"/>
              </w:rPr>
              <w:t xml:space="preserve">Historical Analogue</w:t>
            </w:r>
          </w:p>
        </w:tc>
        <w:tc>
          <w:tcPr>
            <w:tcW w:type="dxa" w:w="6560"/>
            <w:tcBorders>
              <w:top w:val="single" w:color="999999" w:sz="1"/>
              <w:left w:val="single" w:color="999999" w:sz="1"/>
              <w:bottom w:val="single" w:color="999999" w:sz="1"/>
              <w:right w:val="single" w:color="999999" w:sz="1"/>
            </w:tcBorders>
            <w:shd w:fill="EDF2F7" w:val="clear"/>
            <w:tcMar>
              <w:top w:type="dxa" w:w="60"/>
              <w:left w:type="dxa" w:w="100"/>
              <w:bottom w:type="dxa" w:w="60"/>
              <w:right w:type="dxa" w:w="100"/>
            </w:tcMar>
            <w:vAlign w:val="center"/>
          </w:tcPr>
          <w:p>
            <w:pPr>
              <w:spacing w:after="0"/>
            </w:pPr>
            <w:r>
              <w:rPr>
                <w:rFonts w:ascii="Arial" w:cs="Arial" w:eastAsia="Arial" w:hAnsi="Arial"/>
                <w:color w:val="1A1A1A"/>
                <w:sz w:val="19"/>
                <w:szCs w:val="19"/>
              </w:rPr>
              <w:t xml:space="preserve">Wells Fargo consent orders (2016-present); Zillow Offers ML failure (2021); Knight Capital (2012)</w:t>
            </w:r>
          </w:p>
        </w:tc>
      </w:tr>
      <w:tr>
        <w:tc>
          <w:tcPr>
            <w:tcW w:type="dxa" w:w="28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Arial" w:cs="Arial" w:eastAsia="Arial" w:hAnsi="Arial"/>
                <w:color w:val="1A1A1A"/>
                <w:sz w:val="19"/>
                <w:szCs w:val="19"/>
              </w:rPr>
              <w:t xml:space="preserve">Peak Stress Timing</w:t>
            </w:r>
          </w:p>
        </w:tc>
        <w:tc>
          <w:tcPr>
            <w:tcW w:type="dxa" w:w="656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Arial" w:cs="Arial" w:eastAsia="Arial" w:hAnsi="Arial"/>
                <w:color w:val="1A1A1A"/>
                <w:sz w:val="19"/>
                <w:szCs w:val="19"/>
              </w:rPr>
              <w:t xml:space="preserve">Year 2-3 (regulatory action crystallizes after 12-18 months of accumulated failures)</w:t>
            </w:r>
          </w:p>
        </w:tc>
      </w:tr>
      <w:tr>
        <w:tc>
          <w:tcPr>
            <w:tcW w:type="dxa" w:w="2800"/>
            <w:tcBorders>
              <w:top w:val="single" w:color="999999" w:sz="1"/>
              <w:left w:val="single" w:color="999999" w:sz="1"/>
              <w:bottom w:val="single" w:color="999999" w:sz="1"/>
              <w:right w:val="single" w:color="999999" w:sz="1"/>
            </w:tcBorders>
            <w:shd w:fill="EDF2F7" w:val="clear"/>
            <w:tcMar>
              <w:top w:type="dxa" w:w="60"/>
              <w:left w:type="dxa" w:w="100"/>
              <w:bottom w:type="dxa" w:w="60"/>
              <w:right w:type="dxa" w:w="100"/>
            </w:tcMar>
            <w:vAlign w:val="center"/>
          </w:tcPr>
          <w:p>
            <w:pPr>
              <w:spacing w:after="0"/>
            </w:pPr>
            <w:r>
              <w:rPr>
                <w:rFonts w:ascii="Arial" w:cs="Arial" w:eastAsia="Arial" w:hAnsi="Arial"/>
                <w:color w:val="1A1A1A"/>
                <w:sz w:val="19"/>
                <w:szCs w:val="19"/>
              </w:rPr>
              <w:t xml:space="preserve">Recovery Horizon</w:t>
            </w:r>
          </w:p>
        </w:tc>
        <w:tc>
          <w:tcPr>
            <w:tcW w:type="dxa" w:w="6560"/>
            <w:tcBorders>
              <w:top w:val="single" w:color="999999" w:sz="1"/>
              <w:left w:val="single" w:color="999999" w:sz="1"/>
              <w:bottom w:val="single" w:color="999999" w:sz="1"/>
              <w:right w:val="single" w:color="999999" w:sz="1"/>
            </w:tcBorders>
            <w:shd w:fill="EDF2F7" w:val="clear"/>
            <w:tcMar>
              <w:top w:type="dxa" w:w="60"/>
              <w:left w:type="dxa" w:w="100"/>
              <w:bottom w:type="dxa" w:w="60"/>
              <w:right w:type="dxa" w:w="100"/>
            </w:tcMar>
            <w:vAlign w:val="center"/>
          </w:tcPr>
          <w:p>
            <w:pPr>
              <w:spacing w:after="0"/>
            </w:pPr>
            <w:r>
              <w:rPr>
                <w:rFonts w:ascii="Arial" w:cs="Arial" w:eastAsia="Arial" w:hAnsi="Arial"/>
                <w:color w:val="1A1A1A"/>
                <w:sz w:val="19"/>
                <w:szCs w:val="19"/>
              </w:rPr>
              <w:t xml:space="preserve">3-5 years (remediation, consent order resolution, rebuilding trust)</w:t>
            </w:r>
          </w:p>
        </w:tc>
      </w:tr>
    </w:tbl>
    <w:p>
      <w:pPr>
        <w:spacing w:after="200"/>
      </w:pPr>
    </w:p>
    <w:p>
      <w:pPr>
        <w:pStyle w:val="Heading3"/>
      </w:pPr>
      <w:r>
        <w:t xml:space="preserve">4.1.1 Narrative</w:t>
      </w:r>
    </w:p>
    <w:p>
      <w:pPr>
        <w:spacing w:after="120"/>
      </w:pPr>
      <w:r>
        <w:t xml:space="preserve">A major financial institution, facing competitive pressure from AI-forward peers such as JPMorgan Chase and Goldman Sachs, launches an aggressive three-year AI transformation program targeting $3-4 billion in annual efficiency gains through workforce reduction, process automation, and AI-enabled decision-making. The program encompasses credit underwriting, compliance monitoring (BSA/AML, sanctions screening), customer service, risk management, and trading operations.</w:t>
      </w:r>
    </w:p>
    <w:p>
      <w:pPr>
        <w:spacing w:after="120"/>
      </w:pPr>
      <w:r>
        <w:t xml:space="preserve">The transformation begins promisingly in Year 1, with pilot deployments showing significant productivity improvements in targeted functions. Management, encouraged by early results and pressured by investor expectations, accelerates the rollout timeline by 12 months and expands scope to include regulatory reporting and client-facing advisory functions. Headcount reductions of approximately 8,000-12,000 FTEs (5-7% of workforce) are announced and largely executed through a combination of layoffs and accelerated attrition.</w:t>
      </w:r>
    </w:p>
    <w:p>
      <w:pPr>
        <w:spacing w:after="120"/>
      </w:pPr>
      <w:r>
        <w:t xml:space="preserve">Critical failures emerge in Year 2. The AI-powered BSA/AML monitoring system, designed to replace a significant portion of the human investigation workforce, generates a false negative rate 40% higher than the legacy system during its first six months of production use. Approximately 3,000 Suspicious Activity Reports (SARs) that would have been filed under the legacy process are missed. Simultaneously, the AI credit decisioning model develops a systematic bias against applicants from certain geographic areas that correlate with protected class characteristics, generating approximately 150,000 credit decisions that may violate fair lending requirements. A client-facing AI assistant deployed in the wealth management division provides materially incorrect investment guidance in approximately 2,500 client interactions, several of which are escalated publicly through social media.</w:t>
      </w:r>
    </w:p>
    <w:p>
      <w:pPr>
        <w:spacing w:after="120"/>
      </w:pPr>
      <w:r>
        <w:t xml:space="preserve">The OCC examination in Year 2 identifies material deficiencies in AI model risk management, including inadequate validation of production AI systems, insufficient human oversight of automated compliance processes, and failure to establish effective challenge mechanisms for AI outputs. A consent order is issued requiring: immediate remediation of BSA/AML deficiencies, a comprehensive fair lending review and potential customer remediation, enhanced AI governance and model risk management infrastructure, and restrictions on further AI deployment until governance deficiencies are resolved.</w:t>
      </w:r>
    </w:p>
    <w:p>
      <w:pPr>
        <w:pStyle w:val="Heading3"/>
      </w:pPr>
      <w:r>
        <w:t xml:space="preserve">4.1.2 Quantified Variable Paths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352"/>
        <w:gridCol w:w="1352"/>
        <w:gridCol w:w="1352"/>
        <w:gridCol w:w="1352"/>
        <w:gridCol w:w="1352"/>
      </w:tblGrid>
      <w:tr>
        <w:tc>
          <w:tcPr>
            <w:tcW w:type="dxa" w:w="2600"/>
            <w:tcBorders>
              <w:top w:val="single" w:color="999999" w:sz="1"/>
              <w:left w:val="single" w:color="999999" w:sz="1"/>
              <w:bottom w:val="single" w:color="999999" w:sz="1"/>
              <w:right w:val="single" w:color="999999"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20"/>
                <w:szCs w:val="20"/>
              </w:rPr>
              <w:t xml:space="preserve">Variable</w:t>
            </w:r>
          </w:p>
        </w:tc>
        <w:tc>
          <w:tcPr>
            <w:tcW w:type="dxa" w:w="1352"/>
            <w:tcBorders>
              <w:top w:val="single" w:color="999999" w:sz="1"/>
              <w:left w:val="single" w:color="999999" w:sz="1"/>
              <w:bottom w:val="single" w:color="999999" w:sz="1"/>
              <w:right w:val="single" w:color="999999"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20"/>
                <w:szCs w:val="20"/>
              </w:rPr>
              <w:t xml:space="preserve">Baseline</w:t>
            </w:r>
          </w:p>
        </w:tc>
        <w:tc>
          <w:tcPr>
            <w:tcW w:type="dxa" w:w="1352"/>
            <w:tcBorders>
              <w:top w:val="single" w:color="999999" w:sz="1"/>
              <w:left w:val="single" w:color="999999" w:sz="1"/>
              <w:bottom w:val="single" w:color="999999" w:sz="1"/>
              <w:right w:val="single" w:color="999999"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20"/>
                <w:szCs w:val="20"/>
              </w:rPr>
              <w:t xml:space="preserve">Year 1</w:t>
            </w:r>
          </w:p>
        </w:tc>
        <w:tc>
          <w:tcPr>
            <w:tcW w:type="dxa" w:w="1352"/>
            <w:tcBorders>
              <w:top w:val="single" w:color="999999" w:sz="1"/>
              <w:left w:val="single" w:color="999999" w:sz="1"/>
              <w:bottom w:val="single" w:color="999999" w:sz="1"/>
              <w:right w:val="single" w:color="999999"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20"/>
                <w:szCs w:val="20"/>
              </w:rPr>
              <w:t xml:space="preserve">Year 2</w:t>
            </w:r>
          </w:p>
        </w:tc>
        <w:tc>
          <w:tcPr>
            <w:tcW w:type="dxa" w:w="1352"/>
            <w:tcBorders>
              <w:top w:val="single" w:color="999999" w:sz="1"/>
              <w:left w:val="single" w:color="999999" w:sz="1"/>
              <w:bottom w:val="single" w:color="999999" w:sz="1"/>
              <w:right w:val="single" w:color="999999"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20"/>
                <w:szCs w:val="20"/>
              </w:rPr>
              <w:t xml:space="preserve">Year 3</w:t>
            </w:r>
          </w:p>
        </w:tc>
        <w:tc>
          <w:tcPr>
            <w:tcW w:type="dxa" w:w="1352"/>
            <w:tcBorders>
              <w:top w:val="single" w:color="999999" w:sz="1"/>
              <w:left w:val="single" w:color="999999" w:sz="1"/>
              <w:bottom w:val="single" w:color="999999" w:sz="1"/>
              <w:right w:val="single" w:color="999999"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20"/>
                <w:szCs w:val="20"/>
              </w:rPr>
              <w:t xml:space="preserve">Year 5</w:t>
            </w:r>
          </w:p>
        </w:tc>
      </w:tr>
      <w:tr>
        <w:tc>
          <w:tcPr>
            <w:tcW w:type="dxa" w:w="26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Arial" w:cs="Arial" w:eastAsia="Arial" w:hAnsi="Arial"/>
                <w:color w:val="1A1A1A"/>
                <w:sz w:val="19"/>
                <w:szCs w:val="19"/>
              </w:rPr>
              <w:t xml:space="preserve">Technology Investment ($B)</w:t>
            </w:r>
          </w:p>
        </w:tc>
        <w:tc>
          <w:tcPr>
            <w:tcW w:type="dxa" w:w="1352"/>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Arial" w:cs="Arial" w:eastAsia="Arial" w:hAnsi="Arial"/>
                <w:color w:val="1A1A1A"/>
                <w:sz w:val="19"/>
                <w:szCs w:val="19"/>
              </w:rPr>
              <w:t xml:space="preserve">5.5</w:t>
            </w:r>
          </w:p>
        </w:tc>
        <w:tc>
          <w:tcPr>
            <w:tcW w:type="dxa" w:w="1352"/>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Arial" w:cs="Arial" w:eastAsia="Arial" w:hAnsi="Arial"/>
                <w:color w:val="1A1A1A"/>
                <w:sz w:val="19"/>
                <w:szCs w:val="19"/>
              </w:rPr>
              <w:t xml:space="preserve">7.5 (+36%)</w:t>
            </w:r>
          </w:p>
        </w:tc>
        <w:tc>
          <w:tcPr>
            <w:tcW w:type="dxa" w:w="1352"/>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Arial" w:cs="Arial" w:eastAsia="Arial" w:hAnsi="Arial"/>
                <w:color w:val="1A1A1A"/>
                <w:sz w:val="19"/>
                <w:szCs w:val="19"/>
              </w:rPr>
              <w:t xml:space="preserve">8.0 (+45%)</w:t>
            </w:r>
          </w:p>
        </w:tc>
        <w:tc>
          <w:tcPr>
            <w:tcW w:type="dxa" w:w="1352"/>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Arial" w:cs="Arial" w:eastAsia="Arial" w:hAnsi="Arial"/>
                <w:color w:val="1A1A1A"/>
                <w:sz w:val="19"/>
                <w:szCs w:val="19"/>
              </w:rPr>
              <w:t xml:space="preserve">9.5 (+73%)</w:t>
            </w:r>
          </w:p>
        </w:tc>
        <w:tc>
          <w:tcPr>
            <w:tcW w:type="dxa" w:w="1352"/>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Arial" w:cs="Arial" w:eastAsia="Arial" w:hAnsi="Arial"/>
                <w:color w:val="1A1A1A"/>
                <w:sz w:val="19"/>
                <w:szCs w:val="19"/>
              </w:rPr>
              <w:t xml:space="preserve">8.0 (+45%)</w:t>
            </w:r>
          </w:p>
        </w:tc>
      </w:tr>
      <w:tr>
        <w:tc>
          <w:tcPr>
            <w:tcW w:type="dxa" w:w="2600"/>
            <w:tcBorders>
              <w:top w:val="single" w:color="999999" w:sz="1"/>
              <w:left w:val="single" w:color="999999" w:sz="1"/>
              <w:bottom w:val="single" w:color="999999" w:sz="1"/>
              <w:right w:val="single" w:color="999999" w:sz="1"/>
            </w:tcBorders>
            <w:shd w:fill="EDF2F7" w:val="clear"/>
            <w:tcMar>
              <w:top w:type="dxa" w:w="60"/>
              <w:left w:type="dxa" w:w="100"/>
              <w:bottom w:type="dxa" w:w="60"/>
              <w:right w:type="dxa" w:w="100"/>
            </w:tcMar>
            <w:vAlign w:val="center"/>
          </w:tcPr>
          <w:p>
            <w:pPr>
              <w:spacing w:after="0"/>
            </w:pPr>
            <w:r>
              <w:rPr>
                <w:rFonts w:ascii="Arial" w:cs="Arial" w:eastAsia="Arial" w:hAnsi="Arial"/>
                <w:color w:val="1A1A1A"/>
                <w:sz w:val="19"/>
                <w:szCs w:val="19"/>
              </w:rPr>
              <w:t xml:space="preserve">Headcount (thousands)</w:t>
            </w:r>
          </w:p>
        </w:tc>
        <w:tc>
          <w:tcPr>
            <w:tcW w:type="dxa" w:w="1352"/>
            <w:tcBorders>
              <w:top w:val="single" w:color="999999" w:sz="1"/>
              <w:left w:val="single" w:color="999999" w:sz="1"/>
              <w:bottom w:val="single" w:color="999999" w:sz="1"/>
              <w:right w:val="single" w:color="999999" w:sz="1"/>
            </w:tcBorders>
            <w:shd w:fill="EDF2F7" w:val="clear"/>
            <w:tcMar>
              <w:top w:type="dxa" w:w="60"/>
              <w:left w:type="dxa" w:w="100"/>
              <w:bottom w:type="dxa" w:w="60"/>
              <w:right w:type="dxa" w:w="100"/>
            </w:tcMar>
            <w:vAlign w:val="center"/>
          </w:tcPr>
          <w:p>
            <w:pPr>
              <w:spacing w:after="0"/>
            </w:pPr>
            <w:r>
              <w:rPr>
                <w:rFonts w:ascii="Arial" w:cs="Arial" w:eastAsia="Arial" w:hAnsi="Arial"/>
                <w:color w:val="1A1A1A"/>
                <w:sz w:val="19"/>
                <w:szCs w:val="19"/>
              </w:rPr>
              <w:t xml:space="preserve">225</w:t>
            </w:r>
          </w:p>
        </w:tc>
        <w:tc>
          <w:tcPr>
            <w:tcW w:type="dxa" w:w="1352"/>
            <w:tcBorders>
              <w:top w:val="single" w:color="999999" w:sz="1"/>
              <w:left w:val="single" w:color="999999" w:sz="1"/>
              <w:bottom w:val="single" w:color="999999" w:sz="1"/>
              <w:right w:val="single" w:color="999999" w:sz="1"/>
            </w:tcBorders>
            <w:shd w:fill="EDF2F7" w:val="clear"/>
            <w:tcMar>
              <w:top w:type="dxa" w:w="60"/>
              <w:left w:type="dxa" w:w="100"/>
              <w:bottom w:type="dxa" w:w="60"/>
              <w:right w:type="dxa" w:w="100"/>
            </w:tcMar>
            <w:vAlign w:val="center"/>
          </w:tcPr>
          <w:p>
            <w:pPr>
              <w:spacing w:after="0"/>
            </w:pPr>
            <w:r>
              <w:rPr>
                <w:rFonts w:ascii="Arial" w:cs="Arial" w:eastAsia="Arial" w:hAnsi="Arial"/>
                <w:color w:val="1A1A1A"/>
                <w:sz w:val="19"/>
                <w:szCs w:val="19"/>
              </w:rPr>
              <w:t xml:space="preserve">217 (-3.6%)</w:t>
            </w:r>
          </w:p>
        </w:tc>
        <w:tc>
          <w:tcPr>
            <w:tcW w:type="dxa" w:w="1352"/>
            <w:tcBorders>
              <w:top w:val="single" w:color="999999" w:sz="1"/>
              <w:left w:val="single" w:color="999999" w:sz="1"/>
              <w:bottom w:val="single" w:color="999999" w:sz="1"/>
              <w:right w:val="single" w:color="999999" w:sz="1"/>
            </w:tcBorders>
            <w:shd w:fill="EDF2F7" w:val="clear"/>
            <w:tcMar>
              <w:top w:type="dxa" w:w="60"/>
              <w:left w:type="dxa" w:w="100"/>
              <w:bottom w:type="dxa" w:w="60"/>
              <w:right w:type="dxa" w:w="100"/>
            </w:tcMar>
            <w:vAlign w:val="center"/>
          </w:tcPr>
          <w:p>
            <w:pPr>
              <w:spacing w:after="0"/>
            </w:pPr>
            <w:r>
              <w:rPr>
                <w:rFonts w:ascii="Arial" w:cs="Arial" w:eastAsia="Arial" w:hAnsi="Arial"/>
                <w:color w:val="1A1A1A"/>
                <w:sz w:val="19"/>
                <w:szCs w:val="19"/>
              </w:rPr>
              <w:t xml:space="preserve">213 (-5.3%)</w:t>
            </w:r>
          </w:p>
        </w:tc>
        <w:tc>
          <w:tcPr>
            <w:tcW w:type="dxa" w:w="1352"/>
            <w:tcBorders>
              <w:top w:val="single" w:color="999999" w:sz="1"/>
              <w:left w:val="single" w:color="999999" w:sz="1"/>
              <w:bottom w:val="single" w:color="999999" w:sz="1"/>
              <w:right w:val="single" w:color="999999" w:sz="1"/>
            </w:tcBorders>
            <w:shd w:fill="EDF2F7" w:val="clear"/>
            <w:tcMar>
              <w:top w:type="dxa" w:w="60"/>
              <w:left w:type="dxa" w:w="100"/>
              <w:bottom w:type="dxa" w:w="60"/>
              <w:right w:type="dxa" w:w="100"/>
            </w:tcMar>
            <w:vAlign w:val="center"/>
          </w:tcPr>
          <w:p>
            <w:pPr>
              <w:spacing w:after="0"/>
            </w:pPr>
            <w:r>
              <w:rPr>
                <w:rFonts w:ascii="Arial" w:cs="Arial" w:eastAsia="Arial" w:hAnsi="Arial"/>
                <w:color w:val="1A1A1A"/>
                <w:sz w:val="19"/>
                <w:szCs w:val="19"/>
              </w:rPr>
              <w:t xml:space="preserve">220 (+rehire)</w:t>
            </w:r>
          </w:p>
        </w:tc>
        <w:tc>
          <w:tcPr>
            <w:tcW w:type="dxa" w:w="1352"/>
            <w:tcBorders>
              <w:top w:val="single" w:color="999999" w:sz="1"/>
              <w:left w:val="single" w:color="999999" w:sz="1"/>
              <w:bottom w:val="single" w:color="999999" w:sz="1"/>
              <w:right w:val="single" w:color="999999" w:sz="1"/>
            </w:tcBorders>
            <w:shd w:fill="EDF2F7" w:val="clear"/>
            <w:tcMar>
              <w:top w:type="dxa" w:w="60"/>
              <w:left w:type="dxa" w:w="100"/>
              <w:bottom w:type="dxa" w:w="60"/>
              <w:right w:type="dxa" w:w="100"/>
            </w:tcMar>
            <w:vAlign w:val="center"/>
          </w:tcPr>
          <w:p>
            <w:pPr>
              <w:spacing w:after="0"/>
            </w:pPr>
            <w:r>
              <w:rPr>
                <w:rFonts w:ascii="Arial" w:cs="Arial" w:eastAsia="Arial" w:hAnsi="Arial"/>
                <w:color w:val="1A1A1A"/>
                <w:sz w:val="19"/>
                <w:szCs w:val="19"/>
              </w:rPr>
              <w:t xml:space="preserve">218 (-3.1%)</w:t>
            </w:r>
          </w:p>
        </w:tc>
      </w:tr>
      <w:tr>
        <w:tc>
          <w:tcPr>
            <w:tcW w:type="dxa" w:w="26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Arial" w:cs="Arial" w:eastAsia="Arial" w:hAnsi="Arial"/>
                <w:color w:val="1A1A1A"/>
                <w:sz w:val="19"/>
                <w:szCs w:val="19"/>
              </w:rPr>
              <w:t xml:space="preserve">Efficiency Ratio</w:t>
            </w:r>
          </w:p>
        </w:tc>
        <w:tc>
          <w:tcPr>
            <w:tcW w:type="dxa" w:w="1352"/>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Arial" w:cs="Arial" w:eastAsia="Arial" w:hAnsi="Arial"/>
                <w:color w:val="1A1A1A"/>
                <w:sz w:val="19"/>
                <w:szCs w:val="19"/>
              </w:rPr>
              <w:t xml:space="preserve">60%</w:t>
            </w:r>
          </w:p>
        </w:tc>
        <w:tc>
          <w:tcPr>
            <w:tcW w:type="dxa" w:w="1352"/>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Arial" w:cs="Arial" w:eastAsia="Arial" w:hAnsi="Arial"/>
                <w:color w:val="1A1A1A"/>
                <w:sz w:val="19"/>
                <w:szCs w:val="19"/>
              </w:rPr>
              <w:t xml:space="preserve">58%</w:t>
            </w:r>
          </w:p>
        </w:tc>
        <w:tc>
          <w:tcPr>
            <w:tcW w:type="dxa" w:w="1352"/>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Arial" w:cs="Arial" w:eastAsia="Arial" w:hAnsi="Arial"/>
                <w:color w:val="1A1A1A"/>
                <w:sz w:val="19"/>
                <w:szCs w:val="19"/>
              </w:rPr>
              <w:t xml:space="preserve">65% (remediation)</w:t>
            </w:r>
          </w:p>
        </w:tc>
        <w:tc>
          <w:tcPr>
            <w:tcW w:type="dxa" w:w="1352"/>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Arial" w:cs="Arial" w:eastAsia="Arial" w:hAnsi="Arial"/>
                <w:color w:val="1A1A1A"/>
                <w:sz w:val="19"/>
                <w:szCs w:val="19"/>
              </w:rPr>
              <w:t xml:space="preserve">68% (peak stress)</w:t>
            </w:r>
          </w:p>
        </w:tc>
        <w:tc>
          <w:tcPr>
            <w:tcW w:type="dxa" w:w="1352"/>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Arial" w:cs="Arial" w:eastAsia="Arial" w:hAnsi="Arial"/>
                <w:color w:val="1A1A1A"/>
                <w:sz w:val="19"/>
                <w:szCs w:val="19"/>
              </w:rPr>
              <w:t xml:space="preserve">61%</w:t>
            </w:r>
          </w:p>
        </w:tc>
      </w:tr>
      <w:tr>
        <w:tc>
          <w:tcPr>
            <w:tcW w:type="dxa" w:w="2600"/>
            <w:tcBorders>
              <w:top w:val="single" w:color="999999" w:sz="1"/>
              <w:left w:val="single" w:color="999999" w:sz="1"/>
              <w:bottom w:val="single" w:color="999999" w:sz="1"/>
              <w:right w:val="single" w:color="999999" w:sz="1"/>
            </w:tcBorders>
            <w:shd w:fill="EDF2F7" w:val="clear"/>
            <w:tcMar>
              <w:top w:type="dxa" w:w="60"/>
              <w:left w:type="dxa" w:w="100"/>
              <w:bottom w:type="dxa" w:w="60"/>
              <w:right w:type="dxa" w:w="100"/>
            </w:tcMar>
            <w:vAlign w:val="center"/>
          </w:tcPr>
          <w:p>
            <w:pPr>
              <w:spacing w:after="0"/>
            </w:pPr>
            <w:r>
              <w:rPr>
                <w:rFonts w:ascii="Arial" w:cs="Arial" w:eastAsia="Arial" w:hAnsi="Arial"/>
                <w:color w:val="1A1A1A"/>
                <w:sz w:val="19"/>
                <w:szCs w:val="19"/>
              </w:rPr>
              <w:t xml:space="preserve">Regulatory Fines ($M)</w:t>
            </w:r>
          </w:p>
        </w:tc>
        <w:tc>
          <w:tcPr>
            <w:tcW w:type="dxa" w:w="1352"/>
            <w:tcBorders>
              <w:top w:val="single" w:color="999999" w:sz="1"/>
              <w:left w:val="single" w:color="999999" w:sz="1"/>
              <w:bottom w:val="single" w:color="999999" w:sz="1"/>
              <w:right w:val="single" w:color="999999" w:sz="1"/>
            </w:tcBorders>
            <w:shd w:fill="EDF2F7" w:val="clear"/>
            <w:tcMar>
              <w:top w:type="dxa" w:w="60"/>
              <w:left w:type="dxa" w:w="100"/>
              <w:bottom w:type="dxa" w:w="60"/>
              <w:right w:type="dxa" w:w="100"/>
            </w:tcMar>
            <w:vAlign w:val="center"/>
          </w:tcPr>
          <w:p>
            <w:pPr>
              <w:spacing w:after="0"/>
            </w:pPr>
            <w:r>
              <w:rPr>
                <w:rFonts w:ascii="Arial" w:cs="Arial" w:eastAsia="Arial" w:hAnsi="Arial"/>
                <w:color w:val="1A1A1A"/>
                <w:sz w:val="19"/>
                <w:szCs w:val="19"/>
              </w:rPr>
              <w:t xml:space="preserve">0</w:t>
            </w:r>
          </w:p>
        </w:tc>
        <w:tc>
          <w:tcPr>
            <w:tcW w:type="dxa" w:w="1352"/>
            <w:tcBorders>
              <w:top w:val="single" w:color="999999" w:sz="1"/>
              <w:left w:val="single" w:color="999999" w:sz="1"/>
              <w:bottom w:val="single" w:color="999999" w:sz="1"/>
              <w:right w:val="single" w:color="999999" w:sz="1"/>
            </w:tcBorders>
            <w:shd w:fill="EDF2F7" w:val="clear"/>
            <w:tcMar>
              <w:top w:type="dxa" w:w="60"/>
              <w:left w:type="dxa" w:w="100"/>
              <w:bottom w:type="dxa" w:w="60"/>
              <w:right w:type="dxa" w:w="100"/>
            </w:tcMar>
            <w:vAlign w:val="center"/>
          </w:tcPr>
          <w:p>
            <w:pPr>
              <w:spacing w:after="0"/>
            </w:pPr>
            <w:r>
              <w:rPr>
                <w:rFonts w:ascii="Arial" w:cs="Arial" w:eastAsia="Arial" w:hAnsi="Arial"/>
                <w:color w:val="1A1A1A"/>
                <w:sz w:val="19"/>
                <w:szCs w:val="19"/>
              </w:rPr>
              <w:t xml:space="preserve">0</w:t>
            </w:r>
          </w:p>
        </w:tc>
        <w:tc>
          <w:tcPr>
            <w:tcW w:type="dxa" w:w="1352"/>
            <w:tcBorders>
              <w:top w:val="single" w:color="999999" w:sz="1"/>
              <w:left w:val="single" w:color="999999" w:sz="1"/>
              <w:bottom w:val="single" w:color="999999" w:sz="1"/>
              <w:right w:val="single" w:color="999999" w:sz="1"/>
            </w:tcBorders>
            <w:shd w:fill="EDF2F7" w:val="clear"/>
            <w:tcMar>
              <w:top w:type="dxa" w:w="60"/>
              <w:left w:type="dxa" w:w="100"/>
              <w:bottom w:type="dxa" w:w="60"/>
              <w:right w:type="dxa" w:w="100"/>
            </w:tcMar>
            <w:vAlign w:val="center"/>
          </w:tcPr>
          <w:p>
            <w:pPr>
              <w:spacing w:after="0"/>
            </w:pPr>
            <w:r>
              <w:rPr>
                <w:rFonts w:ascii="Arial" w:cs="Arial" w:eastAsia="Arial" w:hAnsi="Arial"/>
                <w:color w:val="1A1A1A"/>
                <w:sz w:val="19"/>
                <w:szCs w:val="19"/>
              </w:rPr>
              <w:t xml:space="preserve">500</w:t>
            </w:r>
          </w:p>
        </w:tc>
        <w:tc>
          <w:tcPr>
            <w:tcW w:type="dxa" w:w="1352"/>
            <w:tcBorders>
              <w:top w:val="single" w:color="999999" w:sz="1"/>
              <w:left w:val="single" w:color="999999" w:sz="1"/>
              <w:bottom w:val="single" w:color="999999" w:sz="1"/>
              <w:right w:val="single" w:color="999999" w:sz="1"/>
            </w:tcBorders>
            <w:shd w:fill="EDF2F7" w:val="clear"/>
            <w:tcMar>
              <w:top w:type="dxa" w:w="60"/>
              <w:left w:type="dxa" w:w="100"/>
              <w:bottom w:type="dxa" w:w="60"/>
              <w:right w:type="dxa" w:w="100"/>
            </w:tcMar>
            <w:vAlign w:val="center"/>
          </w:tcPr>
          <w:p>
            <w:pPr>
              <w:spacing w:after="0"/>
            </w:pPr>
            <w:r>
              <w:rPr>
                <w:rFonts w:ascii="Arial" w:cs="Arial" w:eastAsia="Arial" w:hAnsi="Arial"/>
                <w:color w:val="1A1A1A"/>
                <w:sz w:val="19"/>
                <w:szCs w:val="19"/>
              </w:rPr>
              <w:t xml:space="preserve">2,000</w:t>
            </w:r>
          </w:p>
        </w:tc>
        <w:tc>
          <w:tcPr>
            <w:tcW w:type="dxa" w:w="1352"/>
            <w:tcBorders>
              <w:top w:val="single" w:color="999999" w:sz="1"/>
              <w:left w:val="single" w:color="999999" w:sz="1"/>
              <w:bottom w:val="single" w:color="999999" w:sz="1"/>
              <w:right w:val="single" w:color="999999" w:sz="1"/>
            </w:tcBorders>
            <w:shd w:fill="EDF2F7" w:val="clear"/>
            <w:tcMar>
              <w:top w:type="dxa" w:w="60"/>
              <w:left w:type="dxa" w:w="100"/>
              <w:bottom w:type="dxa" w:w="60"/>
              <w:right w:type="dxa" w:w="100"/>
            </w:tcMar>
            <w:vAlign w:val="center"/>
          </w:tcPr>
          <w:p>
            <w:pPr>
              <w:spacing w:after="0"/>
            </w:pPr>
            <w:r>
              <w:rPr>
                <w:rFonts w:ascii="Arial" w:cs="Arial" w:eastAsia="Arial" w:hAnsi="Arial"/>
                <w:color w:val="1A1A1A"/>
                <w:sz w:val="19"/>
                <w:szCs w:val="19"/>
              </w:rPr>
              <w:t xml:space="preserve">500 (tail)</w:t>
            </w:r>
          </w:p>
        </w:tc>
      </w:tr>
      <w:tr>
        <w:tc>
          <w:tcPr>
            <w:tcW w:type="dxa" w:w="26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Arial" w:cs="Arial" w:eastAsia="Arial" w:hAnsi="Arial"/>
                <w:color w:val="1A1A1A"/>
                <w:sz w:val="19"/>
                <w:szCs w:val="19"/>
              </w:rPr>
              <w:t xml:space="preserve">Remediation Costs ($M)</w:t>
            </w:r>
          </w:p>
        </w:tc>
        <w:tc>
          <w:tcPr>
            <w:tcW w:type="dxa" w:w="1352"/>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Arial" w:cs="Arial" w:eastAsia="Arial" w:hAnsi="Arial"/>
                <w:color w:val="1A1A1A"/>
                <w:sz w:val="19"/>
                <w:szCs w:val="19"/>
              </w:rPr>
              <w:t xml:space="preserve">0</w:t>
            </w:r>
          </w:p>
        </w:tc>
        <w:tc>
          <w:tcPr>
            <w:tcW w:type="dxa" w:w="1352"/>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Arial" w:cs="Arial" w:eastAsia="Arial" w:hAnsi="Arial"/>
                <w:color w:val="1A1A1A"/>
                <w:sz w:val="19"/>
                <w:szCs w:val="19"/>
              </w:rPr>
              <w:t xml:space="preserve">0</w:t>
            </w:r>
          </w:p>
        </w:tc>
        <w:tc>
          <w:tcPr>
            <w:tcW w:type="dxa" w:w="1352"/>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Arial" w:cs="Arial" w:eastAsia="Arial" w:hAnsi="Arial"/>
                <w:color w:val="1A1A1A"/>
                <w:sz w:val="19"/>
                <w:szCs w:val="19"/>
              </w:rPr>
              <w:t xml:space="preserve">800</w:t>
            </w:r>
          </w:p>
        </w:tc>
        <w:tc>
          <w:tcPr>
            <w:tcW w:type="dxa" w:w="1352"/>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Arial" w:cs="Arial" w:eastAsia="Arial" w:hAnsi="Arial"/>
                <w:color w:val="1A1A1A"/>
                <w:sz w:val="19"/>
                <w:szCs w:val="19"/>
              </w:rPr>
              <w:t xml:space="preserve">1,500</w:t>
            </w:r>
          </w:p>
        </w:tc>
        <w:tc>
          <w:tcPr>
            <w:tcW w:type="dxa" w:w="1352"/>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Arial" w:cs="Arial" w:eastAsia="Arial" w:hAnsi="Arial"/>
                <w:color w:val="1A1A1A"/>
                <w:sz w:val="19"/>
                <w:szCs w:val="19"/>
              </w:rPr>
              <w:t xml:space="preserve">400</w:t>
            </w:r>
          </w:p>
        </w:tc>
      </w:tr>
      <w:tr>
        <w:tc>
          <w:tcPr>
            <w:tcW w:type="dxa" w:w="2600"/>
            <w:tcBorders>
              <w:top w:val="single" w:color="999999" w:sz="1"/>
              <w:left w:val="single" w:color="999999" w:sz="1"/>
              <w:bottom w:val="single" w:color="999999" w:sz="1"/>
              <w:right w:val="single" w:color="999999" w:sz="1"/>
            </w:tcBorders>
            <w:shd w:fill="EDF2F7" w:val="clear"/>
            <w:tcMar>
              <w:top w:type="dxa" w:w="60"/>
              <w:left w:type="dxa" w:w="100"/>
              <w:bottom w:type="dxa" w:w="60"/>
              <w:right w:type="dxa" w:w="100"/>
            </w:tcMar>
            <w:vAlign w:val="center"/>
          </w:tcPr>
          <w:p>
            <w:pPr>
              <w:spacing w:after="0"/>
            </w:pPr>
            <w:r>
              <w:rPr>
                <w:rFonts w:ascii="Arial" w:cs="Arial" w:eastAsia="Arial" w:hAnsi="Arial"/>
                <w:color w:val="1A1A1A"/>
                <w:sz w:val="19"/>
                <w:szCs w:val="19"/>
              </w:rPr>
              <w:t xml:space="preserve">Credit Loss Impact ($M)</w:t>
            </w:r>
          </w:p>
        </w:tc>
        <w:tc>
          <w:tcPr>
            <w:tcW w:type="dxa" w:w="1352"/>
            <w:tcBorders>
              <w:top w:val="single" w:color="999999" w:sz="1"/>
              <w:left w:val="single" w:color="999999" w:sz="1"/>
              <w:bottom w:val="single" w:color="999999" w:sz="1"/>
              <w:right w:val="single" w:color="999999" w:sz="1"/>
            </w:tcBorders>
            <w:shd w:fill="EDF2F7" w:val="clear"/>
            <w:tcMar>
              <w:top w:type="dxa" w:w="60"/>
              <w:left w:type="dxa" w:w="100"/>
              <w:bottom w:type="dxa" w:w="60"/>
              <w:right w:type="dxa" w:w="100"/>
            </w:tcMar>
            <w:vAlign w:val="center"/>
          </w:tcPr>
          <w:p>
            <w:pPr>
              <w:spacing w:after="0"/>
            </w:pPr>
            <w:r>
              <w:rPr>
                <w:rFonts w:ascii="Arial" w:cs="Arial" w:eastAsia="Arial" w:hAnsi="Arial"/>
                <w:color w:val="1A1A1A"/>
                <w:sz w:val="19"/>
                <w:szCs w:val="19"/>
              </w:rPr>
              <w:t xml:space="preserve">0</w:t>
            </w:r>
          </w:p>
        </w:tc>
        <w:tc>
          <w:tcPr>
            <w:tcW w:type="dxa" w:w="1352"/>
            <w:tcBorders>
              <w:top w:val="single" w:color="999999" w:sz="1"/>
              <w:left w:val="single" w:color="999999" w:sz="1"/>
              <w:bottom w:val="single" w:color="999999" w:sz="1"/>
              <w:right w:val="single" w:color="999999" w:sz="1"/>
            </w:tcBorders>
            <w:shd w:fill="EDF2F7" w:val="clear"/>
            <w:tcMar>
              <w:top w:type="dxa" w:w="60"/>
              <w:left w:type="dxa" w:w="100"/>
              <w:bottom w:type="dxa" w:w="60"/>
              <w:right w:type="dxa" w:w="100"/>
            </w:tcMar>
            <w:vAlign w:val="center"/>
          </w:tcPr>
          <w:p>
            <w:pPr>
              <w:spacing w:after="0"/>
            </w:pPr>
            <w:r>
              <w:rPr>
                <w:rFonts w:ascii="Arial" w:cs="Arial" w:eastAsia="Arial" w:hAnsi="Arial"/>
                <w:color w:val="1A1A1A"/>
                <w:sz w:val="19"/>
                <w:szCs w:val="19"/>
              </w:rPr>
              <w:t xml:space="preserve">0</w:t>
            </w:r>
          </w:p>
        </w:tc>
        <w:tc>
          <w:tcPr>
            <w:tcW w:type="dxa" w:w="1352"/>
            <w:tcBorders>
              <w:top w:val="single" w:color="999999" w:sz="1"/>
              <w:left w:val="single" w:color="999999" w:sz="1"/>
              <w:bottom w:val="single" w:color="999999" w:sz="1"/>
              <w:right w:val="single" w:color="999999" w:sz="1"/>
            </w:tcBorders>
            <w:shd w:fill="EDF2F7" w:val="clear"/>
            <w:tcMar>
              <w:top w:type="dxa" w:w="60"/>
              <w:left w:type="dxa" w:w="100"/>
              <w:bottom w:type="dxa" w:w="60"/>
              <w:right w:type="dxa" w:w="100"/>
            </w:tcMar>
            <w:vAlign w:val="center"/>
          </w:tcPr>
          <w:p>
            <w:pPr>
              <w:spacing w:after="0"/>
            </w:pPr>
            <w:r>
              <w:rPr>
                <w:rFonts w:ascii="Arial" w:cs="Arial" w:eastAsia="Arial" w:hAnsi="Arial"/>
                <w:color w:val="1A1A1A"/>
                <w:sz w:val="19"/>
                <w:szCs w:val="19"/>
              </w:rPr>
              <w:t xml:space="preserve">200 (fair lending)</w:t>
            </w:r>
          </w:p>
        </w:tc>
        <w:tc>
          <w:tcPr>
            <w:tcW w:type="dxa" w:w="1352"/>
            <w:tcBorders>
              <w:top w:val="single" w:color="999999" w:sz="1"/>
              <w:left w:val="single" w:color="999999" w:sz="1"/>
              <w:bottom w:val="single" w:color="999999" w:sz="1"/>
              <w:right w:val="single" w:color="999999" w:sz="1"/>
            </w:tcBorders>
            <w:shd w:fill="EDF2F7" w:val="clear"/>
            <w:tcMar>
              <w:top w:type="dxa" w:w="60"/>
              <w:left w:type="dxa" w:w="100"/>
              <w:bottom w:type="dxa" w:w="60"/>
              <w:right w:type="dxa" w:w="100"/>
            </w:tcMar>
            <w:vAlign w:val="center"/>
          </w:tcPr>
          <w:p>
            <w:pPr>
              <w:spacing w:after="0"/>
            </w:pPr>
            <w:r>
              <w:rPr>
                <w:rFonts w:ascii="Arial" w:cs="Arial" w:eastAsia="Arial" w:hAnsi="Arial"/>
                <w:color w:val="1A1A1A"/>
                <w:sz w:val="19"/>
                <w:szCs w:val="19"/>
              </w:rPr>
              <w:t xml:space="preserve">500</w:t>
            </w:r>
          </w:p>
        </w:tc>
        <w:tc>
          <w:tcPr>
            <w:tcW w:type="dxa" w:w="1352"/>
            <w:tcBorders>
              <w:top w:val="single" w:color="999999" w:sz="1"/>
              <w:left w:val="single" w:color="999999" w:sz="1"/>
              <w:bottom w:val="single" w:color="999999" w:sz="1"/>
              <w:right w:val="single" w:color="999999" w:sz="1"/>
            </w:tcBorders>
            <w:shd w:fill="EDF2F7" w:val="clear"/>
            <w:tcMar>
              <w:top w:type="dxa" w:w="60"/>
              <w:left w:type="dxa" w:w="100"/>
              <w:bottom w:type="dxa" w:w="60"/>
              <w:right w:type="dxa" w:w="100"/>
            </w:tcMar>
            <w:vAlign w:val="center"/>
          </w:tcPr>
          <w:p>
            <w:pPr>
              <w:spacing w:after="0"/>
            </w:pPr>
            <w:r>
              <w:rPr>
                <w:rFonts w:ascii="Arial" w:cs="Arial" w:eastAsia="Arial" w:hAnsi="Arial"/>
                <w:color w:val="1A1A1A"/>
                <w:sz w:val="19"/>
                <w:szCs w:val="19"/>
              </w:rPr>
              <w:t xml:space="preserve">100</w:t>
            </w:r>
          </w:p>
        </w:tc>
      </w:tr>
      <w:tr>
        <w:tc>
          <w:tcPr>
            <w:tcW w:type="dxa" w:w="26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Arial" w:cs="Arial" w:eastAsia="Arial" w:hAnsi="Arial"/>
                <w:color w:val="1A1A1A"/>
                <w:sz w:val="19"/>
                <w:szCs w:val="19"/>
              </w:rPr>
              <w:t xml:space="preserve">Revenue Impact ($M)</w:t>
            </w:r>
          </w:p>
        </w:tc>
        <w:tc>
          <w:tcPr>
            <w:tcW w:type="dxa" w:w="1352"/>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Arial" w:cs="Arial" w:eastAsia="Arial" w:hAnsi="Arial"/>
                <w:color w:val="1A1A1A"/>
                <w:sz w:val="19"/>
                <w:szCs w:val="19"/>
              </w:rPr>
              <w:t xml:space="preserve">0</w:t>
            </w:r>
          </w:p>
        </w:tc>
        <w:tc>
          <w:tcPr>
            <w:tcW w:type="dxa" w:w="1352"/>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Arial" w:cs="Arial" w:eastAsia="Arial" w:hAnsi="Arial"/>
                <w:color w:val="1A1A1A"/>
                <w:sz w:val="19"/>
                <w:szCs w:val="19"/>
              </w:rPr>
              <w:t xml:space="preserve">+300 (early gains)</w:t>
            </w:r>
          </w:p>
        </w:tc>
        <w:tc>
          <w:tcPr>
            <w:tcW w:type="dxa" w:w="1352"/>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Arial" w:cs="Arial" w:eastAsia="Arial" w:hAnsi="Arial"/>
                <w:color w:val="1A1A1A"/>
                <w:sz w:val="19"/>
                <w:szCs w:val="19"/>
              </w:rPr>
              <w:t xml:space="preserve">-500 (reputational)</w:t>
            </w:r>
          </w:p>
        </w:tc>
        <w:tc>
          <w:tcPr>
            <w:tcW w:type="dxa" w:w="1352"/>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Arial" w:cs="Arial" w:eastAsia="Arial" w:hAnsi="Arial"/>
                <w:color w:val="1A1A1A"/>
                <w:sz w:val="19"/>
                <w:szCs w:val="19"/>
              </w:rPr>
              <w:t xml:space="preserve">-1,200</w:t>
            </w:r>
          </w:p>
        </w:tc>
        <w:tc>
          <w:tcPr>
            <w:tcW w:type="dxa" w:w="1352"/>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Arial" w:cs="Arial" w:eastAsia="Arial" w:hAnsi="Arial"/>
                <w:color w:val="1A1A1A"/>
                <w:sz w:val="19"/>
                <w:szCs w:val="19"/>
              </w:rPr>
              <w:t xml:space="preserve">-300</w:t>
            </w:r>
          </w:p>
        </w:tc>
      </w:tr>
      <w:tr>
        <w:tc>
          <w:tcPr>
            <w:tcW w:type="dxa" w:w="2600"/>
            <w:tcBorders>
              <w:top w:val="single" w:color="999999" w:sz="1"/>
              <w:left w:val="single" w:color="999999" w:sz="1"/>
              <w:bottom w:val="single" w:color="999999" w:sz="1"/>
              <w:right w:val="single" w:color="999999" w:sz="1"/>
            </w:tcBorders>
            <w:shd w:fill="EDF2F7" w:val="clear"/>
            <w:tcMar>
              <w:top w:type="dxa" w:w="60"/>
              <w:left w:type="dxa" w:w="100"/>
              <w:bottom w:type="dxa" w:w="60"/>
              <w:right w:type="dxa" w:w="100"/>
            </w:tcMar>
            <w:vAlign w:val="center"/>
          </w:tcPr>
          <w:p>
            <w:pPr>
              <w:spacing w:after="0"/>
            </w:pPr>
            <w:r>
              <w:rPr>
                <w:rFonts w:ascii="Arial" w:cs="Arial" w:eastAsia="Arial" w:hAnsi="Arial"/>
                <w:color w:val="1A1A1A"/>
                <w:sz w:val="19"/>
                <w:szCs w:val="19"/>
              </w:rPr>
              <w:t xml:space="preserve">Stock Price Impact</w:t>
            </w:r>
          </w:p>
        </w:tc>
        <w:tc>
          <w:tcPr>
            <w:tcW w:type="dxa" w:w="1352"/>
            <w:tcBorders>
              <w:top w:val="single" w:color="999999" w:sz="1"/>
              <w:left w:val="single" w:color="999999" w:sz="1"/>
              <w:bottom w:val="single" w:color="999999" w:sz="1"/>
              <w:right w:val="single" w:color="999999" w:sz="1"/>
            </w:tcBorders>
            <w:shd w:fill="EDF2F7" w:val="clear"/>
            <w:tcMar>
              <w:top w:type="dxa" w:w="60"/>
              <w:left w:type="dxa" w:w="100"/>
              <w:bottom w:type="dxa" w:w="60"/>
              <w:right w:type="dxa" w:w="100"/>
            </w:tcMar>
            <w:vAlign w:val="center"/>
          </w:tcPr>
          <w:p>
            <w:pPr>
              <w:spacing w:after="0"/>
            </w:pPr>
            <w:r>
              <w:rPr>
                <w:rFonts w:ascii="Arial" w:cs="Arial" w:eastAsia="Arial" w:hAnsi="Arial"/>
                <w:color w:val="1A1A1A"/>
                <w:sz w:val="19"/>
                <w:szCs w:val="19"/>
              </w:rPr>
              <w:t xml:space="preserve">Baseline</w:t>
            </w:r>
          </w:p>
        </w:tc>
        <w:tc>
          <w:tcPr>
            <w:tcW w:type="dxa" w:w="1352"/>
            <w:tcBorders>
              <w:top w:val="single" w:color="999999" w:sz="1"/>
              <w:left w:val="single" w:color="999999" w:sz="1"/>
              <w:bottom w:val="single" w:color="999999" w:sz="1"/>
              <w:right w:val="single" w:color="999999" w:sz="1"/>
            </w:tcBorders>
            <w:shd w:fill="EDF2F7" w:val="clear"/>
            <w:tcMar>
              <w:top w:type="dxa" w:w="60"/>
              <w:left w:type="dxa" w:w="100"/>
              <w:bottom w:type="dxa" w:w="60"/>
              <w:right w:type="dxa" w:w="100"/>
            </w:tcMar>
            <w:vAlign w:val="center"/>
          </w:tcPr>
          <w:p>
            <w:pPr>
              <w:spacing w:after="0"/>
            </w:pPr>
            <w:r>
              <w:rPr>
                <w:rFonts w:ascii="Arial" w:cs="Arial" w:eastAsia="Arial" w:hAnsi="Arial"/>
                <w:color w:val="1A1A1A"/>
                <w:sz w:val="19"/>
                <w:szCs w:val="19"/>
              </w:rPr>
              <w:t xml:space="preserve">+5%</w:t>
            </w:r>
          </w:p>
        </w:tc>
        <w:tc>
          <w:tcPr>
            <w:tcW w:type="dxa" w:w="1352"/>
            <w:tcBorders>
              <w:top w:val="single" w:color="999999" w:sz="1"/>
              <w:left w:val="single" w:color="999999" w:sz="1"/>
              <w:bottom w:val="single" w:color="999999" w:sz="1"/>
              <w:right w:val="single" w:color="999999" w:sz="1"/>
            </w:tcBorders>
            <w:shd w:fill="EDF2F7" w:val="clear"/>
            <w:tcMar>
              <w:top w:type="dxa" w:w="60"/>
              <w:left w:type="dxa" w:w="100"/>
              <w:bottom w:type="dxa" w:w="60"/>
              <w:right w:type="dxa" w:w="100"/>
            </w:tcMar>
            <w:vAlign w:val="center"/>
          </w:tcPr>
          <w:p>
            <w:pPr>
              <w:spacing w:after="0"/>
            </w:pPr>
            <w:r>
              <w:rPr>
                <w:rFonts w:ascii="Arial" w:cs="Arial" w:eastAsia="Arial" w:hAnsi="Arial"/>
                <w:color w:val="1A1A1A"/>
                <w:sz w:val="19"/>
                <w:szCs w:val="19"/>
              </w:rPr>
              <w:t xml:space="preserve">-18%</w:t>
            </w:r>
          </w:p>
        </w:tc>
        <w:tc>
          <w:tcPr>
            <w:tcW w:type="dxa" w:w="1352"/>
            <w:tcBorders>
              <w:top w:val="single" w:color="999999" w:sz="1"/>
              <w:left w:val="single" w:color="999999" w:sz="1"/>
              <w:bottom w:val="single" w:color="999999" w:sz="1"/>
              <w:right w:val="single" w:color="999999" w:sz="1"/>
            </w:tcBorders>
            <w:shd w:fill="EDF2F7" w:val="clear"/>
            <w:tcMar>
              <w:top w:type="dxa" w:w="60"/>
              <w:left w:type="dxa" w:w="100"/>
              <w:bottom w:type="dxa" w:w="60"/>
              <w:right w:type="dxa" w:w="100"/>
            </w:tcMar>
            <w:vAlign w:val="center"/>
          </w:tcPr>
          <w:p>
            <w:pPr>
              <w:spacing w:after="0"/>
            </w:pPr>
            <w:r>
              <w:rPr>
                <w:rFonts w:ascii="Arial" w:cs="Arial" w:eastAsia="Arial" w:hAnsi="Arial"/>
                <w:color w:val="1A1A1A"/>
                <w:sz w:val="19"/>
                <w:szCs w:val="19"/>
              </w:rPr>
              <w:t xml:space="preserve">-25% (trough)</w:t>
            </w:r>
          </w:p>
        </w:tc>
        <w:tc>
          <w:tcPr>
            <w:tcW w:type="dxa" w:w="1352"/>
            <w:tcBorders>
              <w:top w:val="single" w:color="999999" w:sz="1"/>
              <w:left w:val="single" w:color="999999" w:sz="1"/>
              <w:bottom w:val="single" w:color="999999" w:sz="1"/>
              <w:right w:val="single" w:color="999999" w:sz="1"/>
            </w:tcBorders>
            <w:shd w:fill="EDF2F7" w:val="clear"/>
            <w:tcMar>
              <w:top w:type="dxa" w:w="60"/>
              <w:left w:type="dxa" w:w="100"/>
              <w:bottom w:type="dxa" w:w="60"/>
              <w:right w:type="dxa" w:w="100"/>
            </w:tcMar>
            <w:vAlign w:val="center"/>
          </w:tcPr>
          <w:p>
            <w:pPr>
              <w:spacing w:after="0"/>
            </w:pPr>
            <w:r>
              <w:rPr>
                <w:rFonts w:ascii="Arial" w:cs="Arial" w:eastAsia="Arial" w:hAnsi="Arial"/>
                <w:color w:val="1A1A1A"/>
                <w:sz w:val="19"/>
                <w:szCs w:val="19"/>
              </w:rPr>
              <w:t xml:space="preserve">-8%</w:t>
            </w:r>
          </w:p>
        </w:tc>
      </w:tr>
      <w:tr>
        <w:tc>
          <w:tcPr>
            <w:tcW w:type="dxa" w:w="26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Arial" w:cs="Arial" w:eastAsia="Arial" w:hAnsi="Arial"/>
                <w:color w:val="1A1A1A"/>
                <w:sz w:val="19"/>
                <w:szCs w:val="19"/>
              </w:rPr>
              <w:t xml:space="preserve">CET1 Impact (bps)</w:t>
            </w:r>
          </w:p>
        </w:tc>
        <w:tc>
          <w:tcPr>
            <w:tcW w:type="dxa" w:w="1352"/>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Arial" w:cs="Arial" w:eastAsia="Arial" w:hAnsi="Arial"/>
                <w:color w:val="1A1A1A"/>
                <w:sz w:val="19"/>
                <w:szCs w:val="19"/>
              </w:rPr>
              <w:t xml:space="preserve">0</w:t>
            </w:r>
          </w:p>
        </w:tc>
        <w:tc>
          <w:tcPr>
            <w:tcW w:type="dxa" w:w="1352"/>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Arial" w:cs="Arial" w:eastAsia="Arial" w:hAnsi="Arial"/>
                <w:color w:val="1A1A1A"/>
                <w:sz w:val="19"/>
                <w:szCs w:val="19"/>
              </w:rPr>
              <w:t xml:space="preserve">+5</w:t>
            </w:r>
          </w:p>
        </w:tc>
        <w:tc>
          <w:tcPr>
            <w:tcW w:type="dxa" w:w="1352"/>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Arial" w:cs="Arial" w:eastAsia="Arial" w:hAnsi="Arial"/>
                <w:color w:val="1A1A1A"/>
                <w:sz w:val="19"/>
                <w:szCs w:val="19"/>
              </w:rPr>
              <w:t xml:space="preserve">-45</w:t>
            </w:r>
          </w:p>
        </w:tc>
        <w:tc>
          <w:tcPr>
            <w:tcW w:type="dxa" w:w="1352"/>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Arial" w:cs="Arial" w:eastAsia="Arial" w:hAnsi="Arial"/>
                <w:color w:val="1A1A1A"/>
                <w:sz w:val="19"/>
                <w:szCs w:val="19"/>
              </w:rPr>
              <w:t xml:space="preserve">-85</w:t>
            </w:r>
          </w:p>
        </w:tc>
        <w:tc>
          <w:tcPr>
            <w:tcW w:type="dxa" w:w="1352"/>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Arial" w:cs="Arial" w:eastAsia="Arial" w:hAnsi="Arial"/>
                <w:color w:val="1A1A1A"/>
                <w:sz w:val="19"/>
                <w:szCs w:val="19"/>
              </w:rPr>
              <w:t xml:space="preserve">-25</w:t>
            </w:r>
          </w:p>
        </w:tc>
      </w:tr>
      <w:tr>
        <w:tc>
          <w:tcPr>
            <w:tcW w:type="dxa" w:w="2600"/>
            <w:tcBorders>
              <w:top w:val="single" w:color="999999" w:sz="1"/>
              <w:left w:val="single" w:color="999999" w:sz="1"/>
              <w:bottom w:val="single" w:color="999999" w:sz="1"/>
              <w:right w:val="single" w:color="999999" w:sz="1"/>
            </w:tcBorders>
            <w:shd w:fill="EDF2F7" w:val="clear"/>
            <w:tcMar>
              <w:top w:type="dxa" w:w="60"/>
              <w:left w:type="dxa" w:w="100"/>
              <w:bottom w:type="dxa" w:w="60"/>
              <w:right w:type="dxa" w:w="100"/>
            </w:tcMar>
            <w:vAlign w:val="center"/>
          </w:tcPr>
          <w:p>
            <w:pPr>
              <w:spacing w:after="0"/>
            </w:pPr>
            <w:r>
              <w:rPr>
                <w:rFonts w:ascii="Arial" w:cs="Arial" w:eastAsia="Arial" w:hAnsi="Arial"/>
                <w:color w:val="1A1A1A"/>
                <w:sz w:val="19"/>
                <w:szCs w:val="19"/>
              </w:rPr>
              <w:t xml:space="preserve">Pre-Tax Income Impact ($M)</w:t>
            </w:r>
          </w:p>
        </w:tc>
        <w:tc>
          <w:tcPr>
            <w:tcW w:type="dxa" w:w="1352"/>
            <w:tcBorders>
              <w:top w:val="single" w:color="999999" w:sz="1"/>
              <w:left w:val="single" w:color="999999" w:sz="1"/>
              <w:bottom w:val="single" w:color="999999" w:sz="1"/>
              <w:right w:val="single" w:color="999999" w:sz="1"/>
            </w:tcBorders>
            <w:shd w:fill="EDF2F7" w:val="clear"/>
            <w:tcMar>
              <w:top w:type="dxa" w:w="60"/>
              <w:left w:type="dxa" w:w="100"/>
              <w:bottom w:type="dxa" w:w="60"/>
              <w:right w:type="dxa" w:w="100"/>
            </w:tcMar>
            <w:vAlign w:val="center"/>
          </w:tcPr>
          <w:p>
            <w:pPr>
              <w:spacing w:after="0"/>
            </w:pPr>
            <w:r>
              <w:rPr>
                <w:rFonts w:ascii="Arial" w:cs="Arial" w:eastAsia="Arial" w:hAnsi="Arial"/>
                <w:color w:val="1A1A1A"/>
                <w:sz w:val="19"/>
                <w:szCs w:val="19"/>
              </w:rPr>
              <w:t xml:space="preserve">0</w:t>
            </w:r>
          </w:p>
        </w:tc>
        <w:tc>
          <w:tcPr>
            <w:tcW w:type="dxa" w:w="1352"/>
            <w:tcBorders>
              <w:top w:val="single" w:color="999999" w:sz="1"/>
              <w:left w:val="single" w:color="999999" w:sz="1"/>
              <w:bottom w:val="single" w:color="999999" w:sz="1"/>
              <w:right w:val="single" w:color="999999" w:sz="1"/>
            </w:tcBorders>
            <w:shd w:fill="EDF2F7" w:val="clear"/>
            <w:tcMar>
              <w:top w:type="dxa" w:w="60"/>
              <w:left w:type="dxa" w:w="100"/>
              <w:bottom w:type="dxa" w:w="60"/>
              <w:right w:type="dxa" w:w="100"/>
            </w:tcMar>
            <w:vAlign w:val="center"/>
          </w:tcPr>
          <w:p>
            <w:pPr>
              <w:spacing w:after="0"/>
            </w:pPr>
            <w:r>
              <w:rPr>
                <w:rFonts w:ascii="Arial" w:cs="Arial" w:eastAsia="Arial" w:hAnsi="Arial"/>
                <w:color w:val="1A1A1A"/>
                <w:sz w:val="19"/>
                <w:szCs w:val="19"/>
              </w:rPr>
              <w:t xml:space="preserve">+500</w:t>
            </w:r>
          </w:p>
        </w:tc>
        <w:tc>
          <w:tcPr>
            <w:tcW w:type="dxa" w:w="1352"/>
            <w:tcBorders>
              <w:top w:val="single" w:color="999999" w:sz="1"/>
              <w:left w:val="single" w:color="999999" w:sz="1"/>
              <w:bottom w:val="single" w:color="999999" w:sz="1"/>
              <w:right w:val="single" w:color="999999" w:sz="1"/>
            </w:tcBorders>
            <w:shd w:fill="EDF2F7" w:val="clear"/>
            <w:tcMar>
              <w:top w:type="dxa" w:w="60"/>
              <w:left w:type="dxa" w:w="100"/>
              <w:bottom w:type="dxa" w:w="60"/>
              <w:right w:type="dxa" w:w="100"/>
            </w:tcMar>
            <w:vAlign w:val="center"/>
          </w:tcPr>
          <w:p>
            <w:pPr>
              <w:spacing w:after="0"/>
            </w:pPr>
            <w:r>
              <w:rPr>
                <w:rFonts w:ascii="Arial" w:cs="Arial" w:eastAsia="Arial" w:hAnsi="Arial"/>
                <w:color w:val="1A1A1A"/>
                <w:sz w:val="19"/>
                <w:szCs w:val="19"/>
              </w:rPr>
              <w:t xml:space="preserve">-2,000</w:t>
            </w:r>
          </w:p>
        </w:tc>
        <w:tc>
          <w:tcPr>
            <w:tcW w:type="dxa" w:w="1352"/>
            <w:tcBorders>
              <w:top w:val="single" w:color="999999" w:sz="1"/>
              <w:left w:val="single" w:color="999999" w:sz="1"/>
              <w:bottom w:val="single" w:color="999999" w:sz="1"/>
              <w:right w:val="single" w:color="999999" w:sz="1"/>
            </w:tcBorders>
            <w:shd w:fill="EDF2F7" w:val="clear"/>
            <w:tcMar>
              <w:top w:type="dxa" w:w="60"/>
              <w:left w:type="dxa" w:w="100"/>
              <w:bottom w:type="dxa" w:w="60"/>
              <w:right w:type="dxa" w:w="100"/>
            </w:tcMar>
            <w:vAlign w:val="center"/>
          </w:tcPr>
          <w:p>
            <w:pPr>
              <w:spacing w:after="0"/>
            </w:pPr>
            <w:r>
              <w:rPr>
                <w:rFonts w:ascii="Arial" w:cs="Arial" w:eastAsia="Arial" w:hAnsi="Arial"/>
                <w:color w:val="1A1A1A"/>
                <w:sz w:val="19"/>
                <w:szCs w:val="19"/>
              </w:rPr>
              <w:t xml:space="preserve">-4,500</w:t>
            </w:r>
          </w:p>
        </w:tc>
        <w:tc>
          <w:tcPr>
            <w:tcW w:type="dxa" w:w="1352"/>
            <w:tcBorders>
              <w:top w:val="single" w:color="999999" w:sz="1"/>
              <w:left w:val="single" w:color="999999" w:sz="1"/>
              <w:bottom w:val="single" w:color="999999" w:sz="1"/>
              <w:right w:val="single" w:color="999999" w:sz="1"/>
            </w:tcBorders>
            <w:shd w:fill="EDF2F7" w:val="clear"/>
            <w:tcMar>
              <w:top w:type="dxa" w:w="60"/>
              <w:left w:type="dxa" w:w="100"/>
              <w:bottom w:type="dxa" w:w="60"/>
              <w:right w:type="dxa" w:w="100"/>
            </w:tcMar>
            <w:vAlign w:val="center"/>
          </w:tcPr>
          <w:p>
            <w:pPr>
              <w:spacing w:after="0"/>
            </w:pPr>
            <w:r>
              <w:rPr>
                <w:rFonts w:ascii="Arial" w:cs="Arial" w:eastAsia="Arial" w:hAnsi="Arial"/>
                <w:color w:val="1A1A1A"/>
                <w:sz w:val="19"/>
                <w:szCs w:val="19"/>
              </w:rPr>
              <w:t xml:space="preserve">-800</w:t>
            </w:r>
          </w:p>
        </w:tc>
      </w:tr>
    </w:tbl>
    <w:p>
      <w:pPr>
        <w:spacing w:after="200"/>
      </w:pPr>
    </w:p>
    <w:p>
      <w:pPr>
        <w:pStyle w:val="Heading3"/>
      </w:pPr>
      <w:r>
        <w:t xml:space="preserve">4.1.3 Transmission and Cascading Effects</w:t>
      </w:r>
    </w:p>
    <w:p>
      <w:pPr>
        <w:spacing w:after="120"/>
      </w:pPr>
      <w:r>
        <w:t xml:space="preserve">The consent order triggers a cascade of secondary effects. Talent exodus accelerates as senior technology and risk management professionals, unwilling to operate under a consent order, depart for competitors. The institution estimates it loses approximately 15-20% of its top-quartile AI and technology talent within 12 months of the consent order. Recruitment becomes significantly more challenging, with offer acceptance rates declining by 30-40% for critical AI roles. The compliance and risk remediation effort requires rehiring approximately 3,000-5,000 employees in functions that were recently automated, creating organizational chaos and significant expense. Morale among remaining employees declines sharply, with internal survey scores dropping 20-25 points.</w:t>
      </w:r>
    </w:p>
    <w:p>
      <w:pPr>
        <w:spacing w:after="120"/>
      </w:pPr>
      <w:r>
        <w:t xml:space="preserve">Investor confidence erodes as the J-curve that was expected from AI investment instead becomes a prolonged cost trough. Activist investors acquire positions and push for management changes. Two board members with technology expertise resign. The stock price declines approximately 25% from pre-crisis levels at the trough, destroying approximately $20-30 billion in market capitalization for a large institution.</w:t>
      </w:r>
    </w:p>
    <w:p>
      <w:r>
        <w:br w:type="page"/>
      </w:r>
    </w:p>
    <w:p>
      <w:pPr>
        <w:pStyle w:val="Heading2"/>
      </w:pPr>
      <w:r>
        <w:t xml:space="preserve">4.2 Scenario A2: The AI Talent Spiral and Cost Trap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999999" w:sz="1"/>
              <w:left w:val="single" w:color="999999" w:sz="1"/>
              <w:bottom w:val="single" w:color="999999" w:sz="1"/>
              <w:right w:val="single" w:color="999999"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20"/>
                <w:szCs w:val="20"/>
              </w:rPr>
              <w:t xml:space="preserve">Parameter</w:t>
            </w:r>
          </w:p>
        </w:tc>
        <w:tc>
          <w:tcPr>
            <w:tcW w:type="dxa" w:w="6560"/>
            <w:tcBorders>
              <w:top w:val="single" w:color="999999" w:sz="1"/>
              <w:left w:val="single" w:color="999999" w:sz="1"/>
              <w:bottom w:val="single" w:color="999999" w:sz="1"/>
              <w:right w:val="single" w:color="999999"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20"/>
                <w:szCs w:val="20"/>
              </w:rPr>
              <w:t xml:space="preserve">Specification</w:t>
            </w:r>
          </w:p>
        </w:tc>
      </w:tr>
      <w:tr>
        <w:tc>
          <w:tcPr>
            <w:tcW w:type="dxa" w:w="28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Arial" w:cs="Arial" w:eastAsia="Arial" w:hAnsi="Arial"/>
                <w:color w:val="1A1A1A"/>
                <w:sz w:val="19"/>
                <w:szCs w:val="19"/>
              </w:rPr>
              <w:t xml:space="preserve">Classification</w:t>
            </w:r>
          </w:p>
        </w:tc>
        <w:tc>
          <w:tcPr>
            <w:tcW w:type="dxa" w:w="656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Arial" w:cs="Arial" w:eastAsia="Arial" w:hAnsi="Arial"/>
                <w:color w:val="1A1A1A"/>
                <w:sz w:val="19"/>
                <w:szCs w:val="19"/>
              </w:rPr>
              <w:t xml:space="preserve">Type A: Transformation Risk</w:t>
            </w:r>
          </w:p>
        </w:tc>
      </w:tr>
      <w:tr>
        <w:tc>
          <w:tcPr>
            <w:tcW w:type="dxa" w:w="2800"/>
            <w:tcBorders>
              <w:top w:val="single" w:color="999999" w:sz="1"/>
              <w:left w:val="single" w:color="999999" w:sz="1"/>
              <w:bottom w:val="single" w:color="999999" w:sz="1"/>
              <w:right w:val="single" w:color="999999" w:sz="1"/>
            </w:tcBorders>
            <w:shd w:fill="EDF2F7" w:val="clear"/>
            <w:tcMar>
              <w:top w:type="dxa" w:w="60"/>
              <w:left w:type="dxa" w:w="100"/>
              <w:bottom w:type="dxa" w:w="60"/>
              <w:right w:type="dxa" w:w="100"/>
            </w:tcMar>
            <w:vAlign w:val="center"/>
          </w:tcPr>
          <w:p>
            <w:pPr>
              <w:spacing w:after="0"/>
            </w:pPr>
            <w:r>
              <w:rPr>
                <w:rFonts w:ascii="Arial" w:cs="Arial" w:eastAsia="Arial" w:hAnsi="Arial"/>
                <w:color w:val="1A1A1A"/>
                <w:sz w:val="19"/>
                <w:szCs w:val="19"/>
              </w:rPr>
              <w:t xml:space="preserve">Severity</w:t>
            </w:r>
          </w:p>
        </w:tc>
        <w:tc>
          <w:tcPr>
            <w:tcW w:type="dxa" w:w="6560"/>
            <w:tcBorders>
              <w:top w:val="single" w:color="999999" w:sz="1"/>
              <w:left w:val="single" w:color="999999" w:sz="1"/>
              <w:bottom w:val="single" w:color="999999" w:sz="1"/>
              <w:right w:val="single" w:color="999999" w:sz="1"/>
            </w:tcBorders>
            <w:shd w:fill="EDF2F7" w:val="clear"/>
            <w:tcMar>
              <w:top w:type="dxa" w:w="60"/>
              <w:left w:type="dxa" w:w="100"/>
              <w:bottom w:type="dxa" w:w="60"/>
              <w:right w:type="dxa" w:w="100"/>
            </w:tcMar>
            <w:vAlign w:val="center"/>
          </w:tcPr>
          <w:p>
            <w:pPr>
              <w:spacing w:after="0"/>
            </w:pPr>
            <w:r>
              <w:rPr>
                <w:rFonts w:ascii="Arial" w:cs="Arial" w:eastAsia="Arial" w:hAnsi="Arial"/>
                <w:color w:val="1A1A1A"/>
                <w:sz w:val="19"/>
                <w:szCs w:val="19"/>
              </w:rPr>
              <w:t xml:space="preserve">Moderate-Severe</w:t>
            </w:r>
          </w:p>
        </w:tc>
      </w:tr>
      <w:tr>
        <w:tc>
          <w:tcPr>
            <w:tcW w:type="dxa" w:w="28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Arial" w:cs="Arial" w:eastAsia="Arial" w:hAnsi="Arial"/>
                <w:color w:val="1A1A1A"/>
                <w:sz w:val="19"/>
                <w:szCs w:val="19"/>
              </w:rPr>
              <w:t xml:space="preserve">Probability Assessment</w:t>
            </w:r>
          </w:p>
        </w:tc>
        <w:tc>
          <w:tcPr>
            <w:tcW w:type="dxa" w:w="656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Arial" w:cs="Arial" w:eastAsia="Arial" w:hAnsi="Arial"/>
                <w:color w:val="1A1A1A"/>
                <w:sz w:val="19"/>
                <w:szCs w:val="19"/>
              </w:rPr>
              <w:t xml:space="preserve">20-25% conditional on large-scale transformation attempt</w:t>
            </w:r>
          </w:p>
        </w:tc>
      </w:tr>
      <w:tr>
        <w:tc>
          <w:tcPr>
            <w:tcW w:type="dxa" w:w="2800"/>
            <w:tcBorders>
              <w:top w:val="single" w:color="999999" w:sz="1"/>
              <w:left w:val="single" w:color="999999" w:sz="1"/>
              <w:bottom w:val="single" w:color="999999" w:sz="1"/>
              <w:right w:val="single" w:color="999999" w:sz="1"/>
            </w:tcBorders>
            <w:shd w:fill="EDF2F7" w:val="clear"/>
            <w:tcMar>
              <w:top w:type="dxa" w:w="60"/>
              <w:left w:type="dxa" w:w="100"/>
              <w:bottom w:type="dxa" w:w="60"/>
              <w:right w:type="dxa" w:w="100"/>
            </w:tcMar>
            <w:vAlign w:val="center"/>
          </w:tcPr>
          <w:p>
            <w:pPr>
              <w:spacing w:after="0"/>
            </w:pPr>
            <w:r>
              <w:rPr>
                <w:rFonts w:ascii="Arial" w:cs="Arial" w:eastAsia="Arial" w:hAnsi="Arial"/>
                <w:color w:val="1A1A1A"/>
                <w:sz w:val="19"/>
                <w:szCs w:val="19"/>
              </w:rPr>
              <w:t xml:space="preserve">Historical Analogue</w:t>
            </w:r>
          </w:p>
        </w:tc>
        <w:tc>
          <w:tcPr>
            <w:tcW w:type="dxa" w:w="6560"/>
            <w:tcBorders>
              <w:top w:val="single" w:color="999999" w:sz="1"/>
              <w:left w:val="single" w:color="999999" w:sz="1"/>
              <w:bottom w:val="single" w:color="999999" w:sz="1"/>
              <w:right w:val="single" w:color="999999" w:sz="1"/>
            </w:tcBorders>
            <w:shd w:fill="EDF2F7" w:val="clear"/>
            <w:tcMar>
              <w:top w:type="dxa" w:w="60"/>
              <w:left w:type="dxa" w:w="100"/>
              <w:bottom w:type="dxa" w:w="60"/>
              <w:right w:type="dxa" w:w="100"/>
            </w:tcMar>
            <w:vAlign w:val="center"/>
          </w:tcPr>
          <w:p>
            <w:pPr>
              <w:spacing w:after="0"/>
            </w:pPr>
            <w:r>
              <w:rPr>
                <w:rFonts w:ascii="Arial" w:cs="Arial" w:eastAsia="Arial" w:hAnsi="Arial"/>
                <w:color w:val="1A1A1A"/>
                <w:sz w:val="19"/>
                <w:szCs w:val="19"/>
              </w:rPr>
              <w:t xml:space="preserve">Enterprise IT megaproject failures; GE Digital transformation; IBM Watson Health</w:t>
            </w:r>
          </w:p>
        </w:tc>
      </w:tr>
      <w:tr>
        <w:tc>
          <w:tcPr>
            <w:tcW w:type="dxa" w:w="28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Arial" w:cs="Arial" w:eastAsia="Arial" w:hAnsi="Arial"/>
                <w:color w:val="1A1A1A"/>
                <w:sz w:val="19"/>
                <w:szCs w:val="19"/>
              </w:rPr>
              <w:t xml:space="preserve">Peak Stress Timing</w:t>
            </w:r>
          </w:p>
        </w:tc>
        <w:tc>
          <w:tcPr>
            <w:tcW w:type="dxa" w:w="656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Arial" w:cs="Arial" w:eastAsia="Arial" w:hAnsi="Arial"/>
                <w:color w:val="1A1A1A"/>
                <w:sz w:val="19"/>
                <w:szCs w:val="19"/>
              </w:rPr>
              <w:t xml:space="preserve">Year 3-4 (costs compound while benefits lag)</w:t>
            </w:r>
          </w:p>
        </w:tc>
      </w:tr>
      <w:tr>
        <w:tc>
          <w:tcPr>
            <w:tcW w:type="dxa" w:w="2800"/>
            <w:tcBorders>
              <w:top w:val="single" w:color="999999" w:sz="1"/>
              <w:left w:val="single" w:color="999999" w:sz="1"/>
              <w:bottom w:val="single" w:color="999999" w:sz="1"/>
              <w:right w:val="single" w:color="999999" w:sz="1"/>
            </w:tcBorders>
            <w:shd w:fill="EDF2F7" w:val="clear"/>
            <w:tcMar>
              <w:top w:type="dxa" w:w="60"/>
              <w:left w:type="dxa" w:w="100"/>
              <w:bottom w:type="dxa" w:w="60"/>
              <w:right w:type="dxa" w:w="100"/>
            </w:tcMar>
            <w:vAlign w:val="center"/>
          </w:tcPr>
          <w:p>
            <w:pPr>
              <w:spacing w:after="0"/>
            </w:pPr>
            <w:r>
              <w:rPr>
                <w:rFonts w:ascii="Arial" w:cs="Arial" w:eastAsia="Arial" w:hAnsi="Arial"/>
                <w:color w:val="1A1A1A"/>
                <w:sz w:val="19"/>
                <w:szCs w:val="19"/>
              </w:rPr>
              <w:t xml:space="preserve">Recovery Horizon</w:t>
            </w:r>
          </w:p>
        </w:tc>
        <w:tc>
          <w:tcPr>
            <w:tcW w:type="dxa" w:w="6560"/>
            <w:tcBorders>
              <w:top w:val="single" w:color="999999" w:sz="1"/>
              <w:left w:val="single" w:color="999999" w:sz="1"/>
              <w:bottom w:val="single" w:color="999999" w:sz="1"/>
              <w:right w:val="single" w:color="999999" w:sz="1"/>
            </w:tcBorders>
            <w:shd w:fill="EDF2F7" w:val="clear"/>
            <w:tcMar>
              <w:top w:type="dxa" w:w="60"/>
              <w:left w:type="dxa" w:w="100"/>
              <w:bottom w:type="dxa" w:w="60"/>
              <w:right w:type="dxa" w:w="100"/>
            </w:tcMar>
            <w:vAlign w:val="center"/>
          </w:tcPr>
          <w:p>
            <w:pPr>
              <w:spacing w:after="0"/>
            </w:pPr>
            <w:r>
              <w:rPr>
                <w:rFonts w:ascii="Arial" w:cs="Arial" w:eastAsia="Arial" w:hAnsi="Arial"/>
                <w:color w:val="1A1A1A"/>
                <w:sz w:val="19"/>
                <w:szCs w:val="19"/>
              </w:rPr>
              <w:t xml:space="preserve">4-6 years (requires strategic reset and patience investors may not provide)</w:t>
            </w:r>
          </w:p>
        </w:tc>
      </w:tr>
    </w:tbl>
    <w:p>
      <w:pPr>
        <w:spacing w:after="200"/>
      </w:pPr>
    </w:p>
    <w:p>
      <w:pPr>
        <w:pStyle w:val="Heading3"/>
      </w:pPr>
      <w:r>
        <w:t xml:space="preserve">4.2.1 Narrative</w:t>
      </w:r>
    </w:p>
    <w:p>
      <w:pPr>
        <w:spacing w:after="120"/>
      </w:pPr>
      <w:r>
        <w:t xml:space="preserve">A large financial institution commits to a five-year AI transformation program with a projected total investment of $8-12 billion, targeting $4-5 billion in annual run-rate savings by Year 5 primarily through workforce optimization. The business case, developed by management consulting firms and approved by the board, assumes: AI talent compensation grows at 8-10% annually, headcount reductions of 20-25% in targeted functions over five years, AI reliability and accuracy rates sufficient for production deployment within 12-18 months of development, and regulatory constraints remain manageable.</w:t>
      </w:r>
    </w:p>
    <w:p>
      <w:pPr>
        <w:spacing w:after="120"/>
      </w:pPr>
      <w:r>
        <w:t xml:space="preserve">Every assumption proves optimistic. AI talent compensation inflates at 20-30% annually as every major financial institution, technology company, and consulting firm competes for the same scarce pool of machine learning engineers, AI architects, and data scientists. The institution's total AI talent costs exceed projections by $500 million annually by Year 2. Key hires are poached by competitors offering 50-80% compensation premiums. The institution responds with retention packages that further inflate costs.</w:t>
      </w:r>
    </w:p>
    <w:p>
      <w:pPr>
        <w:spacing w:after="120"/>
      </w:pPr>
      <w:r>
        <w:t xml:space="preserve">Headcount reductions materialize at approximately 60% of the projected rate. Regulatory constraints prevent full automation of compliance and risk functions as anticipated. Change management proves far more complex and time-consuming than projected, with significant resistance from business units that were not adequately engaged in the transformation design. Several business lines refuse to adopt centrally developed AI tools, citing concerns about accuracy, and build parallel manual processes. The result is dual operating environments that are more expensive than either the legacy or target state.</w:t>
      </w:r>
    </w:p>
    <w:p>
      <w:pPr>
        <w:spacing w:after="120"/>
      </w:pPr>
      <w:r>
        <w:t xml:space="preserve">In Year 3, displaced employees file class-action lawsuits alleging age discrimination and disparate impact racial discrimination in the AI-driven layoff decisions. The lawsuits, which receive significant media coverage, allege that the AI systems used to identify redundant roles systematically flagged positions held disproportionately by employees over 50 and by certain minority groups. Legal costs reach $200-400 million and the EEOC opens an investigation. The institution is forced to pause further workforce reductions pending the resolution of legal proceedings.</w:t>
      </w:r>
    </w:p>
    <w:p>
      <w:pPr>
        <w:spacing w:after="120"/>
      </w:pPr>
      <w:r>
        <w:t xml:space="preserve">By Year 3, the institution is trapped in the J-curve: technology investment costs have risen $2-3 billion above baseline while projected headcount savings have only materialized at 40% of plan. The efficiency ratio deteriorates by 400-600 basis points rather than improving as projected. An activist investor acquires a 5% stake and publicly demands that the CEO be replaced and the transformation scaled back. The board, which approved the transformation plan, is caught between the sunk cost of the investment and the growing evidence that the projected returns may not materialize within the original timeframe.</w:t>
      </w:r>
    </w:p>
    <w:p>
      <w:pPr>
        <w:pStyle w:val="Heading3"/>
      </w:pPr>
      <w:r>
        <w:t xml:space="preserve">4.2.2 Quantified Variable Paths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640"/>
        <w:gridCol w:w="1640"/>
        <w:gridCol w:w="1640"/>
        <w:gridCol w:w="1640"/>
      </w:tblGrid>
      <w:tr>
        <w:tc>
          <w:tcPr>
            <w:tcW w:type="dxa" w:w="2800"/>
            <w:tcBorders>
              <w:top w:val="single" w:color="999999" w:sz="1"/>
              <w:left w:val="single" w:color="999999" w:sz="1"/>
              <w:bottom w:val="single" w:color="999999" w:sz="1"/>
              <w:right w:val="single" w:color="999999"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20"/>
                <w:szCs w:val="20"/>
              </w:rPr>
              <w:t xml:space="preserve">Variable</w:t>
            </w:r>
          </w:p>
        </w:tc>
        <w:tc>
          <w:tcPr>
            <w:tcW w:type="dxa" w:w="1640"/>
            <w:tcBorders>
              <w:top w:val="single" w:color="999999" w:sz="1"/>
              <w:left w:val="single" w:color="999999" w:sz="1"/>
              <w:bottom w:val="single" w:color="999999" w:sz="1"/>
              <w:right w:val="single" w:color="999999"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20"/>
                <w:szCs w:val="20"/>
              </w:rPr>
              <w:t xml:space="preserve">Baseline</w:t>
            </w:r>
          </w:p>
        </w:tc>
        <w:tc>
          <w:tcPr>
            <w:tcW w:type="dxa" w:w="1640"/>
            <w:tcBorders>
              <w:top w:val="single" w:color="999999" w:sz="1"/>
              <w:left w:val="single" w:color="999999" w:sz="1"/>
              <w:bottom w:val="single" w:color="999999" w:sz="1"/>
              <w:right w:val="single" w:color="999999"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20"/>
                <w:szCs w:val="20"/>
              </w:rPr>
              <w:t xml:space="preserve">Year 1</w:t>
            </w:r>
          </w:p>
        </w:tc>
        <w:tc>
          <w:tcPr>
            <w:tcW w:type="dxa" w:w="1640"/>
            <w:tcBorders>
              <w:top w:val="single" w:color="999999" w:sz="1"/>
              <w:left w:val="single" w:color="999999" w:sz="1"/>
              <w:bottom w:val="single" w:color="999999" w:sz="1"/>
              <w:right w:val="single" w:color="999999"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20"/>
                <w:szCs w:val="20"/>
              </w:rPr>
              <w:t xml:space="preserve">Year 3</w:t>
            </w:r>
          </w:p>
        </w:tc>
        <w:tc>
          <w:tcPr>
            <w:tcW w:type="dxa" w:w="1640"/>
            <w:tcBorders>
              <w:top w:val="single" w:color="999999" w:sz="1"/>
              <w:left w:val="single" w:color="999999" w:sz="1"/>
              <w:bottom w:val="single" w:color="999999" w:sz="1"/>
              <w:right w:val="single" w:color="999999"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20"/>
                <w:szCs w:val="20"/>
              </w:rPr>
              <w:t xml:space="preserve">Year 5</w:t>
            </w:r>
          </w:p>
        </w:tc>
      </w:tr>
      <w:tr>
        <w:tc>
          <w:tcPr>
            <w:tcW w:type="dxa" w:w="28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Arial" w:cs="Arial" w:eastAsia="Arial" w:hAnsi="Arial"/>
                <w:color w:val="1A1A1A"/>
                <w:sz w:val="19"/>
                <w:szCs w:val="19"/>
              </w:rPr>
              <w:t xml:space="preserve">Total Transformation Spend ($B cumulative)</w:t>
            </w:r>
          </w:p>
        </w:tc>
        <w:tc>
          <w:tcPr>
            <w:tcW w:type="dxa" w:w="164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Arial" w:cs="Arial" w:eastAsia="Arial" w:hAnsi="Arial"/>
                <w:color w:val="1A1A1A"/>
                <w:sz w:val="19"/>
                <w:szCs w:val="19"/>
              </w:rPr>
              <w:t xml:space="preserve">0</w:t>
            </w:r>
          </w:p>
        </w:tc>
        <w:tc>
          <w:tcPr>
            <w:tcW w:type="dxa" w:w="164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Arial" w:cs="Arial" w:eastAsia="Arial" w:hAnsi="Arial"/>
                <w:color w:val="1A1A1A"/>
                <w:sz w:val="19"/>
                <w:szCs w:val="19"/>
              </w:rPr>
              <w:t xml:space="preserve">2.5</w:t>
            </w:r>
          </w:p>
        </w:tc>
        <w:tc>
          <w:tcPr>
            <w:tcW w:type="dxa" w:w="164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Arial" w:cs="Arial" w:eastAsia="Arial" w:hAnsi="Arial"/>
                <w:color w:val="1A1A1A"/>
                <w:sz w:val="19"/>
                <w:szCs w:val="19"/>
              </w:rPr>
              <w:t xml:space="preserve">9.0</w:t>
            </w:r>
          </w:p>
        </w:tc>
        <w:tc>
          <w:tcPr>
            <w:tcW w:type="dxa" w:w="164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Arial" w:cs="Arial" w:eastAsia="Arial" w:hAnsi="Arial"/>
                <w:color w:val="1A1A1A"/>
                <w:sz w:val="19"/>
                <w:szCs w:val="19"/>
              </w:rPr>
              <w:t xml:space="preserve">14.0</w:t>
            </w:r>
          </w:p>
        </w:tc>
      </w:tr>
      <w:tr>
        <w:tc>
          <w:tcPr>
            <w:tcW w:type="dxa" w:w="2800"/>
            <w:tcBorders>
              <w:top w:val="single" w:color="999999" w:sz="1"/>
              <w:left w:val="single" w:color="999999" w:sz="1"/>
              <w:bottom w:val="single" w:color="999999" w:sz="1"/>
              <w:right w:val="single" w:color="999999" w:sz="1"/>
            </w:tcBorders>
            <w:shd w:fill="EDF2F7" w:val="clear"/>
            <w:tcMar>
              <w:top w:type="dxa" w:w="60"/>
              <w:left w:type="dxa" w:w="100"/>
              <w:bottom w:type="dxa" w:w="60"/>
              <w:right w:type="dxa" w:w="100"/>
            </w:tcMar>
            <w:vAlign w:val="center"/>
          </w:tcPr>
          <w:p>
            <w:pPr>
              <w:spacing w:after="0"/>
            </w:pPr>
            <w:r>
              <w:rPr>
                <w:rFonts w:ascii="Arial" w:cs="Arial" w:eastAsia="Arial" w:hAnsi="Arial"/>
                <w:color w:val="1A1A1A"/>
                <w:sz w:val="19"/>
                <w:szCs w:val="19"/>
              </w:rPr>
              <w:t xml:space="preserve">Realized Savings ($B cumulative)</w:t>
            </w:r>
          </w:p>
        </w:tc>
        <w:tc>
          <w:tcPr>
            <w:tcW w:type="dxa" w:w="1640"/>
            <w:tcBorders>
              <w:top w:val="single" w:color="999999" w:sz="1"/>
              <w:left w:val="single" w:color="999999" w:sz="1"/>
              <w:bottom w:val="single" w:color="999999" w:sz="1"/>
              <w:right w:val="single" w:color="999999" w:sz="1"/>
            </w:tcBorders>
            <w:shd w:fill="EDF2F7" w:val="clear"/>
            <w:tcMar>
              <w:top w:type="dxa" w:w="60"/>
              <w:left w:type="dxa" w:w="100"/>
              <w:bottom w:type="dxa" w:w="60"/>
              <w:right w:type="dxa" w:w="100"/>
            </w:tcMar>
            <w:vAlign w:val="center"/>
          </w:tcPr>
          <w:p>
            <w:pPr>
              <w:spacing w:after="0"/>
            </w:pPr>
            <w:r>
              <w:rPr>
                <w:rFonts w:ascii="Arial" w:cs="Arial" w:eastAsia="Arial" w:hAnsi="Arial"/>
                <w:color w:val="1A1A1A"/>
                <w:sz w:val="19"/>
                <w:szCs w:val="19"/>
              </w:rPr>
              <w:t xml:space="preserve">0</w:t>
            </w:r>
          </w:p>
        </w:tc>
        <w:tc>
          <w:tcPr>
            <w:tcW w:type="dxa" w:w="1640"/>
            <w:tcBorders>
              <w:top w:val="single" w:color="999999" w:sz="1"/>
              <w:left w:val="single" w:color="999999" w:sz="1"/>
              <w:bottom w:val="single" w:color="999999" w:sz="1"/>
              <w:right w:val="single" w:color="999999" w:sz="1"/>
            </w:tcBorders>
            <w:shd w:fill="EDF2F7" w:val="clear"/>
            <w:tcMar>
              <w:top w:type="dxa" w:w="60"/>
              <w:left w:type="dxa" w:w="100"/>
              <w:bottom w:type="dxa" w:w="60"/>
              <w:right w:type="dxa" w:w="100"/>
            </w:tcMar>
            <w:vAlign w:val="center"/>
          </w:tcPr>
          <w:p>
            <w:pPr>
              <w:spacing w:after="0"/>
            </w:pPr>
            <w:r>
              <w:rPr>
                <w:rFonts w:ascii="Arial" w:cs="Arial" w:eastAsia="Arial" w:hAnsi="Arial"/>
                <w:color w:val="1A1A1A"/>
                <w:sz w:val="19"/>
                <w:szCs w:val="19"/>
              </w:rPr>
              <w:t xml:space="preserve">0.3</w:t>
            </w:r>
          </w:p>
        </w:tc>
        <w:tc>
          <w:tcPr>
            <w:tcW w:type="dxa" w:w="1640"/>
            <w:tcBorders>
              <w:top w:val="single" w:color="999999" w:sz="1"/>
              <w:left w:val="single" w:color="999999" w:sz="1"/>
              <w:bottom w:val="single" w:color="999999" w:sz="1"/>
              <w:right w:val="single" w:color="999999" w:sz="1"/>
            </w:tcBorders>
            <w:shd w:fill="EDF2F7" w:val="clear"/>
            <w:tcMar>
              <w:top w:type="dxa" w:w="60"/>
              <w:left w:type="dxa" w:w="100"/>
              <w:bottom w:type="dxa" w:w="60"/>
              <w:right w:type="dxa" w:w="100"/>
            </w:tcMar>
            <w:vAlign w:val="center"/>
          </w:tcPr>
          <w:p>
            <w:pPr>
              <w:spacing w:after="0"/>
            </w:pPr>
            <w:r>
              <w:rPr>
                <w:rFonts w:ascii="Arial" w:cs="Arial" w:eastAsia="Arial" w:hAnsi="Arial"/>
                <w:color w:val="1A1A1A"/>
                <w:sz w:val="19"/>
                <w:szCs w:val="19"/>
              </w:rPr>
              <w:t xml:space="preserve">2.0</w:t>
            </w:r>
          </w:p>
        </w:tc>
        <w:tc>
          <w:tcPr>
            <w:tcW w:type="dxa" w:w="1640"/>
            <w:tcBorders>
              <w:top w:val="single" w:color="999999" w:sz="1"/>
              <w:left w:val="single" w:color="999999" w:sz="1"/>
              <w:bottom w:val="single" w:color="999999" w:sz="1"/>
              <w:right w:val="single" w:color="999999" w:sz="1"/>
            </w:tcBorders>
            <w:shd w:fill="EDF2F7" w:val="clear"/>
            <w:tcMar>
              <w:top w:type="dxa" w:w="60"/>
              <w:left w:type="dxa" w:w="100"/>
              <w:bottom w:type="dxa" w:w="60"/>
              <w:right w:type="dxa" w:w="100"/>
            </w:tcMar>
            <w:vAlign w:val="center"/>
          </w:tcPr>
          <w:p>
            <w:pPr>
              <w:spacing w:after="0"/>
            </w:pPr>
            <w:r>
              <w:rPr>
                <w:rFonts w:ascii="Arial" w:cs="Arial" w:eastAsia="Arial" w:hAnsi="Arial"/>
                <w:color w:val="1A1A1A"/>
                <w:sz w:val="19"/>
                <w:szCs w:val="19"/>
              </w:rPr>
              <w:t xml:space="preserve">5.5</w:t>
            </w:r>
          </w:p>
        </w:tc>
      </w:tr>
      <w:tr>
        <w:tc>
          <w:tcPr>
            <w:tcW w:type="dxa" w:w="28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Arial" w:cs="Arial" w:eastAsia="Arial" w:hAnsi="Arial"/>
                <w:color w:val="1A1A1A"/>
                <w:sz w:val="19"/>
                <w:szCs w:val="19"/>
              </w:rPr>
              <w:t xml:space="preserve">Net Cost Gap ($B cumulative)</w:t>
            </w:r>
          </w:p>
        </w:tc>
        <w:tc>
          <w:tcPr>
            <w:tcW w:type="dxa" w:w="164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Arial" w:cs="Arial" w:eastAsia="Arial" w:hAnsi="Arial"/>
                <w:color w:val="1A1A1A"/>
                <w:sz w:val="19"/>
                <w:szCs w:val="19"/>
              </w:rPr>
              <w:t xml:space="preserve">0</w:t>
            </w:r>
          </w:p>
        </w:tc>
        <w:tc>
          <w:tcPr>
            <w:tcW w:type="dxa" w:w="164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Arial" w:cs="Arial" w:eastAsia="Arial" w:hAnsi="Arial"/>
                <w:color w:val="1A1A1A"/>
                <w:sz w:val="19"/>
                <w:szCs w:val="19"/>
              </w:rPr>
              <w:t xml:space="preserve">-2.2</w:t>
            </w:r>
          </w:p>
        </w:tc>
        <w:tc>
          <w:tcPr>
            <w:tcW w:type="dxa" w:w="164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Arial" w:cs="Arial" w:eastAsia="Arial" w:hAnsi="Arial"/>
                <w:color w:val="1A1A1A"/>
                <w:sz w:val="19"/>
                <w:szCs w:val="19"/>
              </w:rPr>
              <w:t xml:space="preserve">-7.0</w:t>
            </w:r>
          </w:p>
        </w:tc>
        <w:tc>
          <w:tcPr>
            <w:tcW w:type="dxa" w:w="164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Arial" w:cs="Arial" w:eastAsia="Arial" w:hAnsi="Arial"/>
                <w:color w:val="1A1A1A"/>
                <w:sz w:val="19"/>
                <w:szCs w:val="19"/>
              </w:rPr>
              <w:t xml:space="preserve">-8.5</w:t>
            </w:r>
          </w:p>
        </w:tc>
      </w:tr>
      <w:tr>
        <w:tc>
          <w:tcPr>
            <w:tcW w:type="dxa" w:w="2800"/>
            <w:tcBorders>
              <w:top w:val="single" w:color="999999" w:sz="1"/>
              <w:left w:val="single" w:color="999999" w:sz="1"/>
              <w:bottom w:val="single" w:color="999999" w:sz="1"/>
              <w:right w:val="single" w:color="999999" w:sz="1"/>
            </w:tcBorders>
            <w:shd w:fill="EDF2F7" w:val="clear"/>
            <w:tcMar>
              <w:top w:type="dxa" w:w="60"/>
              <w:left w:type="dxa" w:w="100"/>
              <w:bottom w:type="dxa" w:w="60"/>
              <w:right w:type="dxa" w:w="100"/>
            </w:tcMar>
            <w:vAlign w:val="center"/>
          </w:tcPr>
          <w:p>
            <w:pPr>
              <w:spacing w:after="0"/>
            </w:pPr>
            <w:r>
              <w:rPr>
                <w:rFonts w:ascii="Arial" w:cs="Arial" w:eastAsia="Arial" w:hAnsi="Arial"/>
                <w:color w:val="1A1A1A"/>
                <w:sz w:val="19"/>
                <w:szCs w:val="19"/>
              </w:rPr>
              <w:t xml:space="preserve">Efficiency Ratio</w:t>
            </w:r>
          </w:p>
        </w:tc>
        <w:tc>
          <w:tcPr>
            <w:tcW w:type="dxa" w:w="1640"/>
            <w:tcBorders>
              <w:top w:val="single" w:color="999999" w:sz="1"/>
              <w:left w:val="single" w:color="999999" w:sz="1"/>
              <w:bottom w:val="single" w:color="999999" w:sz="1"/>
              <w:right w:val="single" w:color="999999" w:sz="1"/>
            </w:tcBorders>
            <w:shd w:fill="EDF2F7" w:val="clear"/>
            <w:tcMar>
              <w:top w:type="dxa" w:w="60"/>
              <w:left w:type="dxa" w:w="100"/>
              <w:bottom w:type="dxa" w:w="60"/>
              <w:right w:type="dxa" w:w="100"/>
            </w:tcMar>
            <w:vAlign w:val="center"/>
          </w:tcPr>
          <w:p>
            <w:pPr>
              <w:spacing w:after="0"/>
            </w:pPr>
            <w:r>
              <w:rPr>
                <w:rFonts w:ascii="Arial" w:cs="Arial" w:eastAsia="Arial" w:hAnsi="Arial"/>
                <w:color w:val="1A1A1A"/>
                <w:sz w:val="19"/>
                <w:szCs w:val="19"/>
              </w:rPr>
              <w:t xml:space="preserve">60%</w:t>
            </w:r>
          </w:p>
        </w:tc>
        <w:tc>
          <w:tcPr>
            <w:tcW w:type="dxa" w:w="1640"/>
            <w:tcBorders>
              <w:top w:val="single" w:color="999999" w:sz="1"/>
              <w:left w:val="single" w:color="999999" w:sz="1"/>
              <w:bottom w:val="single" w:color="999999" w:sz="1"/>
              <w:right w:val="single" w:color="999999" w:sz="1"/>
            </w:tcBorders>
            <w:shd w:fill="EDF2F7" w:val="clear"/>
            <w:tcMar>
              <w:top w:type="dxa" w:w="60"/>
              <w:left w:type="dxa" w:w="100"/>
              <w:bottom w:type="dxa" w:w="60"/>
              <w:right w:type="dxa" w:w="100"/>
            </w:tcMar>
            <w:vAlign w:val="center"/>
          </w:tcPr>
          <w:p>
            <w:pPr>
              <w:spacing w:after="0"/>
            </w:pPr>
            <w:r>
              <w:rPr>
                <w:rFonts w:ascii="Arial" w:cs="Arial" w:eastAsia="Arial" w:hAnsi="Arial"/>
                <w:color w:val="1A1A1A"/>
                <w:sz w:val="19"/>
                <w:szCs w:val="19"/>
              </w:rPr>
              <w:t xml:space="preserve">62%</w:t>
            </w:r>
          </w:p>
        </w:tc>
        <w:tc>
          <w:tcPr>
            <w:tcW w:type="dxa" w:w="1640"/>
            <w:tcBorders>
              <w:top w:val="single" w:color="999999" w:sz="1"/>
              <w:left w:val="single" w:color="999999" w:sz="1"/>
              <w:bottom w:val="single" w:color="999999" w:sz="1"/>
              <w:right w:val="single" w:color="999999" w:sz="1"/>
            </w:tcBorders>
            <w:shd w:fill="EDF2F7" w:val="clear"/>
            <w:tcMar>
              <w:top w:type="dxa" w:w="60"/>
              <w:left w:type="dxa" w:w="100"/>
              <w:bottom w:type="dxa" w:w="60"/>
              <w:right w:type="dxa" w:w="100"/>
            </w:tcMar>
            <w:vAlign w:val="center"/>
          </w:tcPr>
          <w:p>
            <w:pPr>
              <w:spacing w:after="0"/>
            </w:pPr>
            <w:r>
              <w:rPr>
                <w:rFonts w:ascii="Arial" w:cs="Arial" w:eastAsia="Arial" w:hAnsi="Arial"/>
                <w:color w:val="1A1A1A"/>
                <w:sz w:val="19"/>
                <w:szCs w:val="19"/>
              </w:rPr>
              <w:t xml:space="preserve">66%</w:t>
            </w:r>
          </w:p>
        </w:tc>
        <w:tc>
          <w:tcPr>
            <w:tcW w:type="dxa" w:w="1640"/>
            <w:tcBorders>
              <w:top w:val="single" w:color="999999" w:sz="1"/>
              <w:left w:val="single" w:color="999999" w:sz="1"/>
              <w:bottom w:val="single" w:color="999999" w:sz="1"/>
              <w:right w:val="single" w:color="999999" w:sz="1"/>
            </w:tcBorders>
            <w:shd w:fill="EDF2F7" w:val="clear"/>
            <w:tcMar>
              <w:top w:type="dxa" w:w="60"/>
              <w:left w:type="dxa" w:w="100"/>
              <w:bottom w:type="dxa" w:w="60"/>
              <w:right w:type="dxa" w:w="100"/>
            </w:tcMar>
            <w:vAlign w:val="center"/>
          </w:tcPr>
          <w:p>
            <w:pPr>
              <w:spacing w:after="0"/>
            </w:pPr>
            <w:r>
              <w:rPr>
                <w:rFonts w:ascii="Arial" w:cs="Arial" w:eastAsia="Arial" w:hAnsi="Arial"/>
                <w:color w:val="1A1A1A"/>
                <w:sz w:val="19"/>
                <w:szCs w:val="19"/>
              </w:rPr>
              <w:t xml:space="preserve">63%</w:t>
            </w:r>
          </w:p>
        </w:tc>
      </w:tr>
      <w:tr>
        <w:tc>
          <w:tcPr>
            <w:tcW w:type="dxa" w:w="28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Arial" w:cs="Arial" w:eastAsia="Arial" w:hAnsi="Arial"/>
                <w:color w:val="1A1A1A"/>
                <w:sz w:val="19"/>
                <w:szCs w:val="19"/>
              </w:rPr>
              <w:t xml:space="preserve">AI Talent Cost Premium ($M/yr)</w:t>
            </w:r>
          </w:p>
        </w:tc>
        <w:tc>
          <w:tcPr>
            <w:tcW w:type="dxa" w:w="164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Arial" w:cs="Arial" w:eastAsia="Arial" w:hAnsi="Arial"/>
                <w:color w:val="1A1A1A"/>
                <w:sz w:val="19"/>
                <w:szCs w:val="19"/>
              </w:rPr>
              <w:t xml:space="preserve">0</w:t>
            </w:r>
          </w:p>
        </w:tc>
        <w:tc>
          <w:tcPr>
            <w:tcW w:type="dxa" w:w="164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Arial" w:cs="Arial" w:eastAsia="Arial" w:hAnsi="Arial"/>
                <w:color w:val="1A1A1A"/>
                <w:sz w:val="19"/>
                <w:szCs w:val="19"/>
              </w:rPr>
              <w:t xml:space="preserve">250</w:t>
            </w:r>
          </w:p>
        </w:tc>
        <w:tc>
          <w:tcPr>
            <w:tcW w:type="dxa" w:w="164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Arial" w:cs="Arial" w:eastAsia="Arial" w:hAnsi="Arial"/>
                <w:color w:val="1A1A1A"/>
                <w:sz w:val="19"/>
                <w:szCs w:val="19"/>
              </w:rPr>
              <w:t xml:space="preserve">600</w:t>
            </w:r>
          </w:p>
        </w:tc>
        <w:tc>
          <w:tcPr>
            <w:tcW w:type="dxa" w:w="164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Arial" w:cs="Arial" w:eastAsia="Arial" w:hAnsi="Arial"/>
                <w:color w:val="1A1A1A"/>
                <w:sz w:val="19"/>
                <w:szCs w:val="19"/>
              </w:rPr>
              <w:t xml:space="preserve">400</w:t>
            </w:r>
          </w:p>
        </w:tc>
      </w:tr>
      <w:tr>
        <w:tc>
          <w:tcPr>
            <w:tcW w:type="dxa" w:w="2800"/>
            <w:tcBorders>
              <w:top w:val="single" w:color="999999" w:sz="1"/>
              <w:left w:val="single" w:color="999999" w:sz="1"/>
              <w:bottom w:val="single" w:color="999999" w:sz="1"/>
              <w:right w:val="single" w:color="999999" w:sz="1"/>
            </w:tcBorders>
            <w:shd w:fill="EDF2F7" w:val="clear"/>
            <w:tcMar>
              <w:top w:type="dxa" w:w="60"/>
              <w:left w:type="dxa" w:w="100"/>
              <w:bottom w:type="dxa" w:w="60"/>
              <w:right w:type="dxa" w:w="100"/>
            </w:tcMar>
            <w:vAlign w:val="center"/>
          </w:tcPr>
          <w:p>
            <w:pPr>
              <w:spacing w:after="0"/>
            </w:pPr>
            <w:r>
              <w:rPr>
                <w:rFonts w:ascii="Arial" w:cs="Arial" w:eastAsia="Arial" w:hAnsi="Arial"/>
                <w:color w:val="1A1A1A"/>
                <w:sz w:val="19"/>
                <w:szCs w:val="19"/>
              </w:rPr>
              <w:t xml:space="preserve">Litigation/Settlement Costs ($M cumulative)</w:t>
            </w:r>
          </w:p>
        </w:tc>
        <w:tc>
          <w:tcPr>
            <w:tcW w:type="dxa" w:w="1640"/>
            <w:tcBorders>
              <w:top w:val="single" w:color="999999" w:sz="1"/>
              <w:left w:val="single" w:color="999999" w:sz="1"/>
              <w:bottom w:val="single" w:color="999999" w:sz="1"/>
              <w:right w:val="single" w:color="999999" w:sz="1"/>
            </w:tcBorders>
            <w:shd w:fill="EDF2F7" w:val="clear"/>
            <w:tcMar>
              <w:top w:type="dxa" w:w="60"/>
              <w:left w:type="dxa" w:w="100"/>
              <w:bottom w:type="dxa" w:w="60"/>
              <w:right w:type="dxa" w:w="100"/>
            </w:tcMar>
            <w:vAlign w:val="center"/>
          </w:tcPr>
          <w:p>
            <w:pPr>
              <w:spacing w:after="0"/>
            </w:pPr>
            <w:r>
              <w:rPr>
                <w:rFonts w:ascii="Arial" w:cs="Arial" w:eastAsia="Arial" w:hAnsi="Arial"/>
                <w:color w:val="1A1A1A"/>
                <w:sz w:val="19"/>
                <w:szCs w:val="19"/>
              </w:rPr>
              <w:t xml:space="preserve">0</w:t>
            </w:r>
          </w:p>
        </w:tc>
        <w:tc>
          <w:tcPr>
            <w:tcW w:type="dxa" w:w="1640"/>
            <w:tcBorders>
              <w:top w:val="single" w:color="999999" w:sz="1"/>
              <w:left w:val="single" w:color="999999" w:sz="1"/>
              <w:bottom w:val="single" w:color="999999" w:sz="1"/>
              <w:right w:val="single" w:color="999999" w:sz="1"/>
            </w:tcBorders>
            <w:shd w:fill="EDF2F7" w:val="clear"/>
            <w:tcMar>
              <w:top w:type="dxa" w:w="60"/>
              <w:left w:type="dxa" w:w="100"/>
              <w:bottom w:type="dxa" w:w="60"/>
              <w:right w:type="dxa" w:w="100"/>
            </w:tcMar>
            <w:vAlign w:val="center"/>
          </w:tcPr>
          <w:p>
            <w:pPr>
              <w:spacing w:after="0"/>
            </w:pPr>
            <w:r>
              <w:rPr>
                <w:rFonts w:ascii="Arial" w:cs="Arial" w:eastAsia="Arial" w:hAnsi="Arial"/>
                <w:color w:val="1A1A1A"/>
                <w:sz w:val="19"/>
                <w:szCs w:val="19"/>
              </w:rPr>
              <w:t xml:space="preserve">0</w:t>
            </w:r>
          </w:p>
        </w:tc>
        <w:tc>
          <w:tcPr>
            <w:tcW w:type="dxa" w:w="1640"/>
            <w:tcBorders>
              <w:top w:val="single" w:color="999999" w:sz="1"/>
              <w:left w:val="single" w:color="999999" w:sz="1"/>
              <w:bottom w:val="single" w:color="999999" w:sz="1"/>
              <w:right w:val="single" w:color="999999" w:sz="1"/>
            </w:tcBorders>
            <w:shd w:fill="EDF2F7" w:val="clear"/>
            <w:tcMar>
              <w:top w:type="dxa" w:w="60"/>
              <w:left w:type="dxa" w:w="100"/>
              <w:bottom w:type="dxa" w:w="60"/>
              <w:right w:type="dxa" w:w="100"/>
            </w:tcMar>
            <w:vAlign w:val="center"/>
          </w:tcPr>
          <w:p>
            <w:pPr>
              <w:spacing w:after="0"/>
            </w:pPr>
            <w:r>
              <w:rPr>
                <w:rFonts w:ascii="Arial" w:cs="Arial" w:eastAsia="Arial" w:hAnsi="Arial"/>
                <w:color w:val="1A1A1A"/>
                <w:sz w:val="19"/>
                <w:szCs w:val="19"/>
              </w:rPr>
              <w:t xml:space="preserve">400</w:t>
            </w:r>
          </w:p>
        </w:tc>
        <w:tc>
          <w:tcPr>
            <w:tcW w:type="dxa" w:w="1640"/>
            <w:tcBorders>
              <w:top w:val="single" w:color="999999" w:sz="1"/>
              <w:left w:val="single" w:color="999999" w:sz="1"/>
              <w:bottom w:val="single" w:color="999999" w:sz="1"/>
              <w:right w:val="single" w:color="999999" w:sz="1"/>
            </w:tcBorders>
            <w:shd w:fill="EDF2F7" w:val="clear"/>
            <w:tcMar>
              <w:top w:type="dxa" w:w="60"/>
              <w:left w:type="dxa" w:w="100"/>
              <w:bottom w:type="dxa" w:w="60"/>
              <w:right w:type="dxa" w:w="100"/>
            </w:tcMar>
            <w:vAlign w:val="center"/>
          </w:tcPr>
          <w:p>
            <w:pPr>
              <w:spacing w:after="0"/>
            </w:pPr>
            <w:r>
              <w:rPr>
                <w:rFonts w:ascii="Arial" w:cs="Arial" w:eastAsia="Arial" w:hAnsi="Arial"/>
                <w:color w:val="1A1A1A"/>
                <w:sz w:val="19"/>
                <w:szCs w:val="19"/>
              </w:rPr>
              <w:t xml:space="preserve">800</w:t>
            </w:r>
          </w:p>
        </w:tc>
      </w:tr>
      <w:tr>
        <w:tc>
          <w:tcPr>
            <w:tcW w:type="dxa" w:w="28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Arial" w:cs="Arial" w:eastAsia="Arial" w:hAnsi="Arial"/>
                <w:color w:val="1A1A1A"/>
                <w:sz w:val="19"/>
                <w:szCs w:val="19"/>
              </w:rPr>
              <w:t xml:space="preserve">Stock Price Impact</w:t>
            </w:r>
          </w:p>
        </w:tc>
        <w:tc>
          <w:tcPr>
            <w:tcW w:type="dxa" w:w="164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Arial" w:cs="Arial" w:eastAsia="Arial" w:hAnsi="Arial"/>
                <w:color w:val="1A1A1A"/>
                <w:sz w:val="19"/>
                <w:szCs w:val="19"/>
              </w:rPr>
              <w:t xml:space="preserve">Baseline</w:t>
            </w:r>
          </w:p>
        </w:tc>
        <w:tc>
          <w:tcPr>
            <w:tcW w:type="dxa" w:w="164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Arial" w:cs="Arial" w:eastAsia="Arial" w:hAnsi="Arial"/>
                <w:color w:val="1A1A1A"/>
                <w:sz w:val="19"/>
                <w:szCs w:val="19"/>
              </w:rPr>
              <w:t xml:space="preserve">-5%</w:t>
            </w:r>
          </w:p>
        </w:tc>
        <w:tc>
          <w:tcPr>
            <w:tcW w:type="dxa" w:w="164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Arial" w:cs="Arial" w:eastAsia="Arial" w:hAnsi="Arial"/>
                <w:color w:val="1A1A1A"/>
                <w:sz w:val="19"/>
                <w:szCs w:val="19"/>
              </w:rPr>
              <w:t xml:space="preserve">-22%</w:t>
            </w:r>
          </w:p>
        </w:tc>
        <w:tc>
          <w:tcPr>
            <w:tcW w:type="dxa" w:w="164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Arial" w:cs="Arial" w:eastAsia="Arial" w:hAnsi="Arial"/>
                <w:color w:val="1A1A1A"/>
                <w:sz w:val="19"/>
                <w:szCs w:val="19"/>
              </w:rPr>
              <w:t xml:space="preserve">-12%</w:t>
            </w:r>
          </w:p>
        </w:tc>
      </w:tr>
      <w:tr>
        <w:tc>
          <w:tcPr>
            <w:tcW w:type="dxa" w:w="2800"/>
            <w:tcBorders>
              <w:top w:val="single" w:color="999999" w:sz="1"/>
              <w:left w:val="single" w:color="999999" w:sz="1"/>
              <w:bottom w:val="single" w:color="999999" w:sz="1"/>
              <w:right w:val="single" w:color="999999" w:sz="1"/>
            </w:tcBorders>
            <w:shd w:fill="EDF2F7" w:val="clear"/>
            <w:tcMar>
              <w:top w:type="dxa" w:w="60"/>
              <w:left w:type="dxa" w:w="100"/>
              <w:bottom w:type="dxa" w:w="60"/>
              <w:right w:type="dxa" w:w="100"/>
            </w:tcMar>
            <w:vAlign w:val="center"/>
          </w:tcPr>
          <w:p>
            <w:pPr>
              <w:spacing w:after="0"/>
            </w:pPr>
            <w:r>
              <w:rPr>
                <w:rFonts w:ascii="Arial" w:cs="Arial" w:eastAsia="Arial" w:hAnsi="Arial"/>
                <w:color w:val="1A1A1A"/>
                <w:sz w:val="19"/>
                <w:szCs w:val="19"/>
              </w:rPr>
              <w:t xml:space="preserve">CET1 Impact (bps)</w:t>
            </w:r>
          </w:p>
        </w:tc>
        <w:tc>
          <w:tcPr>
            <w:tcW w:type="dxa" w:w="1640"/>
            <w:tcBorders>
              <w:top w:val="single" w:color="999999" w:sz="1"/>
              <w:left w:val="single" w:color="999999" w:sz="1"/>
              <w:bottom w:val="single" w:color="999999" w:sz="1"/>
              <w:right w:val="single" w:color="999999" w:sz="1"/>
            </w:tcBorders>
            <w:shd w:fill="EDF2F7" w:val="clear"/>
            <w:tcMar>
              <w:top w:type="dxa" w:w="60"/>
              <w:left w:type="dxa" w:w="100"/>
              <w:bottom w:type="dxa" w:w="60"/>
              <w:right w:type="dxa" w:w="100"/>
            </w:tcMar>
            <w:vAlign w:val="center"/>
          </w:tcPr>
          <w:p>
            <w:pPr>
              <w:spacing w:after="0"/>
            </w:pPr>
            <w:r>
              <w:rPr>
                <w:rFonts w:ascii="Arial" w:cs="Arial" w:eastAsia="Arial" w:hAnsi="Arial"/>
                <w:color w:val="1A1A1A"/>
                <w:sz w:val="19"/>
                <w:szCs w:val="19"/>
              </w:rPr>
              <w:t xml:space="preserve">0</w:t>
            </w:r>
          </w:p>
        </w:tc>
        <w:tc>
          <w:tcPr>
            <w:tcW w:type="dxa" w:w="1640"/>
            <w:tcBorders>
              <w:top w:val="single" w:color="999999" w:sz="1"/>
              <w:left w:val="single" w:color="999999" w:sz="1"/>
              <w:bottom w:val="single" w:color="999999" w:sz="1"/>
              <w:right w:val="single" w:color="999999" w:sz="1"/>
            </w:tcBorders>
            <w:shd w:fill="EDF2F7" w:val="clear"/>
            <w:tcMar>
              <w:top w:type="dxa" w:w="60"/>
              <w:left w:type="dxa" w:w="100"/>
              <w:bottom w:type="dxa" w:w="60"/>
              <w:right w:type="dxa" w:w="100"/>
            </w:tcMar>
            <w:vAlign w:val="center"/>
          </w:tcPr>
          <w:p>
            <w:pPr>
              <w:spacing w:after="0"/>
            </w:pPr>
            <w:r>
              <w:rPr>
                <w:rFonts w:ascii="Arial" w:cs="Arial" w:eastAsia="Arial" w:hAnsi="Arial"/>
                <w:color w:val="1A1A1A"/>
                <w:sz w:val="19"/>
                <w:szCs w:val="19"/>
              </w:rPr>
              <w:t xml:space="preserve">-15</w:t>
            </w:r>
          </w:p>
        </w:tc>
        <w:tc>
          <w:tcPr>
            <w:tcW w:type="dxa" w:w="1640"/>
            <w:tcBorders>
              <w:top w:val="single" w:color="999999" w:sz="1"/>
              <w:left w:val="single" w:color="999999" w:sz="1"/>
              <w:bottom w:val="single" w:color="999999" w:sz="1"/>
              <w:right w:val="single" w:color="999999" w:sz="1"/>
            </w:tcBorders>
            <w:shd w:fill="EDF2F7" w:val="clear"/>
            <w:tcMar>
              <w:top w:type="dxa" w:w="60"/>
              <w:left w:type="dxa" w:w="100"/>
              <w:bottom w:type="dxa" w:w="60"/>
              <w:right w:type="dxa" w:w="100"/>
            </w:tcMar>
            <w:vAlign w:val="center"/>
          </w:tcPr>
          <w:p>
            <w:pPr>
              <w:spacing w:after="0"/>
            </w:pPr>
            <w:r>
              <w:rPr>
                <w:rFonts w:ascii="Arial" w:cs="Arial" w:eastAsia="Arial" w:hAnsi="Arial"/>
                <w:color w:val="1A1A1A"/>
                <w:sz w:val="19"/>
                <w:szCs w:val="19"/>
              </w:rPr>
              <w:t xml:space="preserve">-55</w:t>
            </w:r>
          </w:p>
        </w:tc>
        <w:tc>
          <w:tcPr>
            <w:tcW w:type="dxa" w:w="1640"/>
            <w:tcBorders>
              <w:top w:val="single" w:color="999999" w:sz="1"/>
              <w:left w:val="single" w:color="999999" w:sz="1"/>
              <w:bottom w:val="single" w:color="999999" w:sz="1"/>
              <w:right w:val="single" w:color="999999" w:sz="1"/>
            </w:tcBorders>
            <w:shd w:fill="EDF2F7" w:val="clear"/>
            <w:tcMar>
              <w:top w:type="dxa" w:w="60"/>
              <w:left w:type="dxa" w:w="100"/>
              <w:bottom w:type="dxa" w:w="60"/>
              <w:right w:type="dxa" w:w="100"/>
            </w:tcMar>
            <w:vAlign w:val="center"/>
          </w:tcPr>
          <w:p>
            <w:pPr>
              <w:spacing w:after="0"/>
            </w:pPr>
            <w:r>
              <w:rPr>
                <w:rFonts w:ascii="Arial" w:cs="Arial" w:eastAsia="Arial" w:hAnsi="Arial"/>
                <w:color w:val="1A1A1A"/>
                <w:sz w:val="19"/>
                <w:szCs w:val="19"/>
              </w:rPr>
              <w:t xml:space="preserve">-30</w:t>
            </w:r>
          </w:p>
        </w:tc>
      </w:tr>
      <w:tr>
        <w:tc>
          <w:tcPr>
            <w:tcW w:type="dxa" w:w="28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Arial" w:cs="Arial" w:eastAsia="Arial" w:hAnsi="Arial"/>
                <w:color w:val="1A1A1A"/>
                <w:sz w:val="19"/>
                <w:szCs w:val="19"/>
              </w:rPr>
              <w:t xml:space="preserve">Pre-Tax Income Impact ($M/yr)</w:t>
            </w:r>
          </w:p>
        </w:tc>
        <w:tc>
          <w:tcPr>
            <w:tcW w:type="dxa" w:w="164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Arial" w:cs="Arial" w:eastAsia="Arial" w:hAnsi="Arial"/>
                <w:color w:val="1A1A1A"/>
                <w:sz w:val="19"/>
                <w:szCs w:val="19"/>
              </w:rPr>
              <w:t xml:space="preserve">0</w:t>
            </w:r>
          </w:p>
        </w:tc>
        <w:tc>
          <w:tcPr>
            <w:tcW w:type="dxa" w:w="164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Arial" w:cs="Arial" w:eastAsia="Arial" w:hAnsi="Arial"/>
                <w:color w:val="1A1A1A"/>
                <w:sz w:val="19"/>
                <w:szCs w:val="19"/>
              </w:rPr>
              <w:t xml:space="preserve">-1,200</w:t>
            </w:r>
          </w:p>
        </w:tc>
        <w:tc>
          <w:tcPr>
            <w:tcW w:type="dxa" w:w="164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Arial" w:cs="Arial" w:eastAsia="Arial" w:hAnsi="Arial"/>
                <w:color w:val="1A1A1A"/>
                <w:sz w:val="19"/>
                <w:szCs w:val="19"/>
              </w:rPr>
              <w:t xml:space="preserve">-3,800</w:t>
            </w:r>
          </w:p>
        </w:tc>
        <w:tc>
          <w:tcPr>
            <w:tcW w:type="dxa" w:w="164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Arial" w:cs="Arial" w:eastAsia="Arial" w:hAnsi="Arial"/>
                <w:color w:val="1A1A1A"/>
                <w:sz w:val="19"/>
                <w:szCs w:val="19"/>
              </w:rPr>
              <w:t xml:space="preserve">-1,500</w:t>
            </w:r>
          </w:p>
        </w:tc>
      </w:tr>
    </w:tbl>
    <w:p>
      <w:pPr>
        <w:spacing w:after="200"/>
      </w:pPr>
    </w:p>
    <w:p>
      <w:r>
        <w:br w:type="page"/>
      </w:r>
    </w:p>
    <w:p>
      <w:pPr>
        <w:pStyle w:val="Heading2"/>
      </w:pPr>
      <w:r>
        <w:t xml:space="preserve">4.3 Scenario B1: The Competitive Collapse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999999" w:sz="1"/>
              <w:left w:val="single" w:color="999999" w:sz="1"/>
              <w:bottom w:val="single" w:color="999999" w:sz="1"/>
              <w:right w:val="single" w:color="999999"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20"/>
                <w:szCs w:val="20"/>
              </w:rPr>
              <w:t xml:space="preserve">Parameter</w:t>
            </w:r>
          </w:p>
        </w:tc>
        <w:tc>
          <w:tcPr>
            <w:tcW w:type="dxa" w:w="6560"/>
            <w:tcBorders>
              <w:top w:val="single" w:color="999999" w:sz="1"/>
              <w:left w:val="single" w:color="999999" w:sz="1"/>
              <w:bottom w:val="single" w:color="999999" w:sz="1"/>
              <w:right w:val="single" w:color="999999"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20"/>
                <w:szCs w:val="20"/>
              </w:rPr>
              <w:t xml:space="preserve">Specification</w:t>
            </w:r>
          </w:p>
        </w:tc>
      </w:tr>
      <w:tr>
        <w:tc>
          <w:tcPr>
            <w:tcW w:type="dxa" w:w="28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Arial" w:cs="Arial" w:eastAsia="Arial" w:hAnsi="Arial"/>
                <w:color w:val="1A1A1A"/>
                <w:sz w:val="19"/>
                <w:szCs w:val="19"/>
              </w:rPr>
              <w:t xml:space="preserve">Classification</w:t>
            </w:r>
          </w:p>
        </w:tc>
        <w:tc>
          <w:tcPr>
            <w:tcW w:type="dxa" w:w="656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Arial" w:cs="Arial" w:eastAsia="Arial" w:hAnsi="Arial"/>
                <w:color w:val="1A1A1A"/>
                <w:sz w:val="19"/>
                <w:szCs w:val="19"/>
              </w:rPr>
              <w:t xml:space="preserve">Type B: Inaction Risk</w:t>
            </w:r>
          </w:p>
        </w:tc>
      </w:tr>
      <w:tr>
        <w:tc>
          <w:tcPr>
            <w:tcW w:type="dxa" w:w="2800"/>
            <w:tcBorders>
              <w:top w:val="single" w:color="999999" w:sz="1"/>
              <w:left w:val="single" w:color="999999" w:sz="1"/>
              <w:bottom w:val="single" w:color="999999" w:sz="1"/>
              <w:right w:val="single" w:color="999999" w:sz="1"/>
            </w:tcBorders>
            <w:shd w:fill="EDF2F7" w:val="clear"/>
            <w:tcMar>
              <w:top w:type="dxa" w:w="60"/>
              <w:left w:type="dxa" w:w="100"/>
              <w:bottom w:type="dxa" w:w="60"/>
              <w:right w:type="dxa" w:w="100"/>
            </w:tcMar>
            <w:vAlign w:val="center"/>
          </w:tcPr>
          <w:p>
            <w:pPr>
              <w:spacing w:after="0"/>
            </w:pPr>
            <w:r>
              <w:rPr>
                <w:rFonts w:ascii="Arial" w:cs="Arial" w:eastAsia="Arial" w:hAnsi="Arial"/>
                <w:color w:val="1A1A1A"/>
                <w:sz w:val="19"/>
                <w:szCs w:val="19"/>
              </w:rPr>
              <w:t xml:space="preserve">Severity</w:t>
            </w:r>
          </w:p>
        </w:tc>
        <w:tc>
          <w:tcPr>
            <w:tcW w:type="dxa" w:w="6560"/>
            <w:tcBorders>
              <w:top w:val="single" w:color="999999" w:sz="1"/>
              <w:left w:val="single" w:color="999999" w:sz="1"/>
              <w:bottom w:val="single" w:color="999999" w:sz="1"/>
              <w:right w:val="single" w:color="999999" w:sz="1"/>
            </w:tcBorders>
            <w:shd w:fill="EDF2F7" w:val="clear"/>
            <w:tcMar>
              <w:top w:type="dxa" w:w="60"/>
              <w:left w:type="dxa" w:w="100"/>
              <w:bottom w:type="dxa" w:w="60"/>
              <w:right w:type="dxa" w:w="100"/>
            </w:tcMar>
            <w:vAlign w:val="center"/>
          </w:tcPr>
          <w:p>
            <w:pPr>
              <w:spacing w:after="0"/>
            </w:pPr>
            <w:r>
              <w:rPr>
                <w:rFonts w:ascii="Arial" w:cs="Arial" w:eastAsia="Arial" w:hAnsi="Arial"/>
                <w:color w:val="1A1A1A"/>
                <w:sz w:val="19"/>
                <w:szCs w:val="19"/>
              </w:rPr>
              <w:t xml:space="preserve">Severe</w:t>
            </w:r>
          </w:p>
        </w:tc>
      </w:tr>
      <w:tr>
        <w:tc>
          <w:tcPr>
            <w:tcW w:type="dxa" w:w="28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Arial" w:cs="Arial" w:eastAsia="Arial" w:hAnsi="Arial"/>
                <w:color w:val="1A1A1A"/>
                <w:sz w:val="19"/>
                <w:szCs w:val="19"/>
              </w:rPr>
              <w:t xml:space="preserve">Probability Assessment</w:t>
            </w:r>
          </w:p>
        </w:tc>
        <w:tc>
          <w:tcPr>
            <w:tcW w:type="dxa" w:w="656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Arial" w:cs="Arial" w:eastAsia="Arial" w:hAnsi="Arial"/>
                <w:color w:val="1A1A1A"/>
                <w:sz w:val="19"/>
                <w:szCs w:val="19"/>
              </w:rPr>
              <w:t xml:space="preserve">10-15% for full scenario materialization; higher probability for partial effects</w:t>
            </w:r>
          </w:p>
        </w:tc>
      </w:tr>
      <w:tr>
        <w:tc>
          <w:tcPr>
            <w:tcW w:type="dxa" w:w="2800"/>
            <w:tcBorders>
              <w:top w:val="single" w:color="999999" w:sz="1"/>
              <w:left w:val="single" w:color="999999" w:sz="1"/>
              <w:bottom w:val="single" w:color="999999" w:sz="1"/>
              <w:right w:val="single" w:color="999999" w:sz="1"/>
            </w:tcBorders>
            <w:shd w:fill="EDF2F7" w:val="clear"/>
            <w:tcMar>
              <w:top w:type="dxa" w:w="60"/>
              <w:left w:type="dxa" w:w="100"/>
              <w:bottom w:type="dxa" w:w="60"/>
              <w:right w:type="dxa" w:w="100"/>
            </w:tcMar>
            <w:vAlign w:val="center"/>
          </w:tcPr>
          <w:p>
            <w:pPr>
              <w:spacing w:after="0"/>
            </w:pPr>
            <w:r>
              <w:rPr>
                <w:rFonts w:ascii="Arial" w:cs="Arial" w:eastAsia="Arial" w:hAnsi="Arial"/>
                <w:color w:val="1A1A1A"/>
                <w:sz w:val="19"/>
                <w:szCs w:val="19"/>
              </w:rPr>
              <w:t xml:space="preserve">Historical Analogue</w:t>
            </w:r>
          </w:p>
        </w:tc>
        <w:tc>
          <w:tcPr>
            <w:tcW w:type="dxa" w:w="6560"/>
            <w:tcBorders>
              <w:top w:val="single" w:color="999999" w:sz="1"/>
              <w:left w:val="single" w:color="999999" w:sz="1"/>
              <w:bottom w:val="single" w:color="999999" w:sz="1"/>
              <w:right w:val="single" w:color="999999" w:sz="1"/>
            </w:tcBorders>
            <w:shd w:fill="EDF2F7" w:val="clear"/>
            <w:tcMar>
              <w:top w:type="dxa" w:w="60"/>
              <w:left w:type="dxa" w:w="100"/>
              <w:bottom w:type="dxa" w:w="60"/>
              <w:right w:type="dxa" w:w="100"/>
            </w:tcMar>
            <w:vAlign w:val="center"/>
          </w:tcPr>
          <w:p>
            <w:pPr>
              <w:spacing w:after="0"/>
            </w:pPr>
            <w:r>
              <w:rPr>
                <w:rFonts w:ascii="Arial" w:cs="Arial" w:eastAsia="Arial" w:hAnsi="Arial"/>
                <w:color w:val="1A1A1A"/>
                <w:sz w:val="19"/>
                <w:szCs w:val="19"/>
              </w:rPr>
              <w:t xml:space="preserve">Blockbuster vs. Netflix; Kodak vs. digital; traditional retail vs. Amazon</w:t>
            </w:r>
          </w:p>
        </w:tc>
      </w:tr>
      <w:tr>
        <w:tc>
          <w:tcPr>
            <w:tcW w:type="dxa" w:w="28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Arial" w:cs="Arial" w:eastAsia="Arial" w:hAnsi="Arial"/>
                <w:color w:val="1A1A1A"/>
                <w:sz w:val="19"/>
                <w:szCs w:val="19"/>
              </w:rPr>
              <w:t xml:space="preserve">Peak Stress Timing</w:t>
            </w:r>
          </w:p>
        </w:tc>
        <w:tc>
          <w:tcPr>
            <w:tcW w:type="dxa" w:w="656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Arial" w:cs="Arial" w:eastAsia="Arial" w:hAnsi="Arial"/>
                <w:color w:val="1A1A1A"/>
                <w:sz w:val="19"/>
                <w:szCs w:val="19"/>
              </w:rPr>
              <w:t xml:space="preserve">Year 5-7 (competitive erosion is gradual then accelerating)</w:t>
            </w:r>
          </w:p>
        </w:tc>
      </w:tr>
      <w:tr>
        <w:tc>
          <w:tcPr>
            <w:tcW w:type="dxa" w:w="2800"/>
            <w:tcBorders>
              <w:top w:val="single" w:color="999999" w:sz="1"/>
              <w:left w:val="single" w:color="999999" w:sz="1"/>
              <w:bottom w:val="single" w:color="999999" w:sz="1"/>
              <w:right w:val="single" w:color="999999" w:sz="1"/>
            </w:tcBorders>
            <w:shd w:fill="EDF2F7" w:val="clear"/>
            <w:tcMar>
              <w:top w:type="dxa" w:w="60"/>
              <w:left w:type="dxa" w:w="100"/>
              <w:bottom w:type="dxa" w:w="60"/>
              <w:right w:type="dxa" w:w="100"/>
            </w:tcMar>
            <w:vAlign w:val="center"/>
          </w:tcPr>
          <w:p>
            <w:pPr>
              <w:spacing w:after="0"/>
            </w:pPr>
            <w:r>
              <w:rPr>
                <w:rFonts w:ascii="Arial" w:cs="Arial" w:eastAsia="Arial" w:hAnsi="Arial"/>
                <w:color w:val="1A1A1A"/>
                <w:sz w:val="19"/>
                <w:szCs w:val="19"/>
              </w:rPr>
              <w:t xml:space="preserve">Recovery Horizon</w:t>
            </w:r>
          </w:p>
        </w:tc>
        <w:tc>
          <w:tcPr>
            <w:tcW w:type="dxa" w:w="6560"/>
            <w:tcBorders>
              <w:top w:val="single" w:color="999999" w:sz="1"/>
              <w:left w:val="single" w:color="999999" w:sz="1"/>
              <w:bottom w:val="single" w:color="999999" w:sz="1"/>
              <w:right w:val="single" w:color="999999" w:sz="1"/>
            </w:tcBorders>
            <w:shd w:fill="EDF2F7" w:val="clear"/>
            <w:tcMar>
              <w:top w:type="dxa" w:w="60"/>
              <w:left w:type="dxa" w:w="100"/>
              <w:bottom w:type="dxa" w:w="60"/>
              <w:right w:type="dxa" w:w="100"/>
            </w:tcMar>
            <w:vAlign w:val="center"/>
          </w:tcPr>
          <w:p>
            <w:pPr>
              <w:spacing w:after="0"/>
            </w:pPr>
            <w:r>
              <w:rPr>
                <w:rFonts w:ascii="Arial" w:cs="Arial" w:eastAsia="Arial" w:hAnsi="Arial"/>
                <w:color w:val="1A1A1A"/>
                <w:sz w:val="19"/>
                <w:szCs w:val="19"/>
              </w:rPr>
              <w:t xml:space="preserve">Limited recovery potential; may require strategic alternatives (M&amp;A, business line exit)</w:t>
            </w:r>
          </w:p>
        </w:tc>
      </w:tr>
    </w:tbl>
    <w:p>
      <w:pPr>
        <w:spacing w:after="200"/>
      </w:pPr>
    </w:p>
    <w:p>
      <w:pPr>
        <w:pStyle w:val="Heading3"/>
      </w:pPr>
      <w:r>
        <w:t xml:space="preserve">4.3.1 Narrative</w:t>
      </w:r>
    </w:p>
    <w:p>
      <w:pPr>
        <w:spacing w:after="120"/>
      </w:pPr>
      <w:r>
        <w:t xml:space="preserve">A large traditional bank adopts a cautious, incremental approach to AI. It launches pilot programs, forms an AI Center of Excellence with 200 staff, and deploys AI in narrow use cases such as chatbot-assisted customer service and document processing. It explicitly decides not to pursue AI-driven workforce reduction, citing cultural values, reputational concerns, and regulatory uncertainty. Its total AI investment is approximately $1-2 billion annually, roughly one-third of peer spending levels.</w:t>
      </w:r>
    </w:p>
    <w:p>
      <w:pPr>
        <w:spacing w:after="120"/>
      </w:pPr>
      <w:r>
        <w:t xml:space="preserve">Meanwhile, three categories of competitors move aggressively. First, peer institutions such as JPMorgan Chase (with $18 billion in 2025 technology spending and 450+ AI use cases) and Goldman Sachs (which has restructured around its OneGS 3.0 AI-driven operating model) achieve structural efficiency advantages. JPMorgan's consumer banking division projects 40-50% productivity improvement from AI, enabling it to offer products at lower cost with better service quality. Goldman's AI-enabled advisory platform captures market share in wealth management. By Year 3, the AI-forward peers operate with efficiency ratios 10-15 percentage points lower than the cautious bank.</w:t>
      </w:r>
    </w:p>
    <w:p>
      <w:pPr>
        <w:spacing w:after="120"/>
      </w:pPr>
      <w:r>
        <w:t xml:space="preserve">Second, fintech competitors leverage AI-native architectures to offer financial products at dramatically lower cost. Neobanks such as Nubank, Revolut, and Chime use AI across customer acquisition, underwriting, fraud detection, and customer service, operating with cost-to-serve ratios 60-80% lower than traditional banks. Stripe and Square capture SMB lending and payments. Specialized AI-native lending platforms offer consumer and small business credit at rates the cautious bank cannot match profitably.</w:t>
      </w:r>
    </w:p>
    <w:p>
      <w:pPr>
        <w:spacing w:after="120"/>
      </w:pPr>
      <w:r>
        <w:t xml:space="preserve">Third, technology companies deepen their financial services offerings. Apple, Google, and Amazon leverage their AI capabilities, distribution channels, and customer data advantages to offer deposit products, credit, and payments that are embedded seamlessly in consumer ecosystems the cautious bank cannot replicate.</w:t>
      </w:r>
    </w:p>
    <w:p>
      <w:pPr>
        <w:spacing w:after="120"/>
      </w:pPr>
      <w:r>
        <w:t xml:space="preserve">By Year 5, the cautious bank faces: revenue erosion of 8-15% as market share shifts to AI-forward competitors; a talent exodus as the institution's best technology and strategy professionals leave for firms where they can work with cutting-edge AI; an efficiency ratio gap of 12-18 percentage points versus leading peers; inability to match competitor pricing in commoditized products (consumer deposits, mortgage origination, payments); and a stock price that reflects the market's assessment of structural decline, trading at 0.6-0.8x book value versus 1.5-2.0x for AI leaders.</w:t>
      </w:r>
    </w:p>
    <w:p>
      <w:pPr>
        <w:pStyle w:val="Heading3"/>
      </w:pPr>
      <w:r>
        <w:t xml:space="preserve">4.3.2 Quantified Variable Paths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392"/>
        <w:gridCol w:w="1392"/>
        <w:gridCol w:w="1392"/>
        <w:gridCol w:w="1392"/>
        <w:gridCol w:w="1392"/>
      </w:tblGrid>
      <w:tr>
        <w:tc>
          <w:tcPr>
            <w:tcW w:type="dxa" w:w="2400"/>
            <w:tcBorders>
              <w:top w:val="single" w:color="999999" w:sz="1"/>
              <w:left w:val="single" w:color="999999" w:sz="1"/>
              <w:bottom w:val="single" w:color="999999" w:sz="1"/>
              <w:right w:val="single" w:color="999999"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20"/>
                <w:szCs w:val="20"/>
              </w:rPr>
              <w:t xml:space="preserve">Variable</w:t>
            </w:r>
          </w:p>
        </w:tc>
        <w:tc>
          <w:tcPr>
            <w:tcW w:type="dxa" w:w="1392"/>
            <w:tcBorders>
              <w:top w:val="single" w:color="999999" w:sz="1"/>
              <w:left w:val="single" w:color="999999" w:sz="1"/>
              <w:bottom w:val="single" w:color="999999" w:sz="1"/>
              <w:right w:val="single" w:color="999999"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20"/>
                <w:szCs w:val="20"/>
              </w:rPr>
              <w:t xml:space="preserve">Baseline</w:t>
            </w:r>
          </w:p>
        </w:tc>
        <w:tc>
          <w:tcPr>
            <w:tcW w:type="dxa" w:w="1392"/>
            <w:tcBorders>
              <w:top w:val="single" w:color="999999" w:sz="1"/>
              <w:left w:val="single" w:color="999999" w:sz="1"/>
              <w:bottom w:val="single" w:color="999999" w:sz="1"/>
              <w:right w:val="single" w:color="999999"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20"/>
                <w:szCs w:val="20"/>
              </w:rPr>
              <w:t xml:space="preserve">Year 3</w:t>
            </w:r>
          </w:p>
        </w:tc>
        <w:tc>
          <w:tcPr>
            <w:tcW w:type="dxa" w:w="1392"/>
            <w:tcBorders>
              <w:top w:val="single" w:color="999999" w:sz="1"/>
              <w:left w:val="single" w:color="999999" w:sz="1"/>
              <w:bottom w:val="single" w:color="999999" w:sz="1"/>
              <w:right w:val="single" w:color="999999"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20"/>
                <w:szCs w:val="20"/>
              </w:rPr>
              <w:t xml:space="preserve">Year 5</w:t>
            </w:r>
          </w:p>
        </w:tc>
        <w:tc>
          <w:tcPr>
            <w:tcW w:type="dxa" w:w="1392"/>
            <w:tcBorders>
              <w:top w:val="single" w:color="999999" w:sz="1"/>
              <w:left w:val="single" w:color="999999" w:sz="1"/>
              <w:bottom w:val="single" w:color="999999" w:sz="1"/>
              <w:right w:val="single" w:color="999999"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20"/>
                <w:szCs w:val="20"/>
              </w:rPr>
              <w:t xml:space="preserve">Year 7</w:t>
            </w:r>
          </w:p>
        </w:tc>
        <w:tc>
          <w:tcPr>
            <w:tcW w:type="dxa" w:w="1392"/>
            <w:tcBorders>
              <w:top w:val="single" w:color="999999" w:sz="1"/>
              <w:left w:val="single" w:color="999999" w:sz="1"/>
              <w:bottom w:val="single" w:color="999999" w:sz="1"/>
              <w:right w:val="single" w:color="999999"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20"/>
                <w:szCs w:val="20"/>
              </w:rPr>
              <w:t xml:space="preserve">Year 10</w:t>
            </w:r>
          </w:p>
        </w:tc>
      </w:tr>
      <w:tr>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Arial" w:cs="Arial" w:eastAsia="Arial" w:hAnsi="Arial"/>
                <w:color w:val="1A1A1A"/>
                <w:sz w:val="19"/>
                <w:szCs w:val="19"/>
              </w:rPr>
              <w:t xml:space="preserve">Revenue Growth (cumulative)</w:t>
            </w:r>
          </w:p>
        </w:tc>
        <w:tc>
          <w:tcPr>
            <w:tcW w:type="dxa" w:w="1392"/>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Arial" w:cs="Arial" w:eastAsia="Arial" w:hAnsi="Arial"/>
                <w:color w:val="1A1A1A"/>
                <w:sz w:val="19"/>
                <w:szCs w:val="19"/>
              </w:rPr>
              <w:t xml:space="preserve">Baseline</w:t>
            </w:r>
          </w:p>
        </w:tc>
        <w:tc>
          <w:tcPr>
            <w:tcW w:type="dxa" w:w="1392"/>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Arial" w:cs="Arial" w:eastAsia="Arial" w:hAnsi="Arial"/>
                <w:color w:val="1A1A1A"/>
                <w:sz w:val="19"/>
                <w:szCs w:val="19"/>
              </w:rPr>
              <w:t xml:space="preserve">-5%</w:t>
            </w:r>
          </w:p>
        </w:tc>
        <w:tc>
          <w:tcPr>
            <w:tcW w:type="dxa" w:w="1392"/>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Arial" w:cs="Arial" w:eastAsia="Arial" w:hAnsi="Arial"/>
                <w:color w:val="1A1A1A"/>
                <w:sz w:val="19"/>
                <w:szCs w:val="19"/>
              </w:rPr>
              <w:t xml:space="preserve">-12%</w:t>
            </w:r>
          </w:p>
        </w:tc>
        <w:tc>
          <w:tcPr>
            <w:tcW w:type="dxa" w:w="1392"/>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Arial" w:cs="Arial" w:eastAsia="Arial" w:hAnsi="Arial"/>
                <w:color w:val="1A1A1A"/>
                <w:sz w:val="19"/>
                <w:szCs w:val="19"/>
              </w:rPr>
              <w:t xml:space="preserve">-20%</w:t>
            </w:r>
          </w:p>
        </w:tc>
        <w:tc>
          <w:tcPr>
            <w:tcW w:type="dxa" w:w="1392"/>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Arial" w:cs="Arial" w:eastAsia="Arial" w:hAnsi="Arial"/>
                <w:color w:val="1A1A1A"/>
                <w:sz w:val="19"/>
                <w:szCs w:val="19"/>
              </w:rPr>
              <w:t xml:space="preserve">-30%</w:t>
            </w:r>
          </w:p>
        </w:tc>
      </w:tr>
      <w:tr>
        <w:tc>
          <w:tcPr>
            <w:tcW w:type="dxa" w:w="2400"/>
            <w:tcBorders>
              <w:top w:val="single" w:color="999999" w:sz="1"/>
              <w:left w:val="single" w:color="999999" w:sz="1"/>
              <w:bottom w:val="single" w:color="999999" w:sz="1"/>
              <w:right w:val="single" w:color="999999" w:sz="1"/>
            </w:tcBorders>
            <w:shd w:fill="EDF2F7" w:val="clear"/>
            <w:tcMar>
              <w:top w:type="dxa" w:w="60"/>
              <w:left w:type="dxa" w:w="100"/>
              <w:bottom w:type="dxa" w:w="60"/>
              <w:right w:type="dxa" w:w="100"/>
            </w:tcMar>
            <w:vAlign w:val="center"/>
          </w:tcPr>
          <w:p>
            <w:pPr>
              <w:spacing w:after="0"/>
            </w:pPr>
            <w:r>
              <w:rPr>
                <w:rFonts w:ascii="Arial" w:cs="Arial" w:eastAsia="Arial" w:hAnsi="Arial"/>
                <w:color w:val="1A1A1A"/>
                <w:sz w:val="19"/>
                <w:szCs w:val="19"/>
              </w:rPr>
              <w:t xml:space="preserve">Market Share (consumer)</w:t>
            </w:r>
          </w:p>
        </w:tc>
        <w:tc>
          <w:tcPr>
            <w:tcW w:type="dxa" w:w="1392"/>
            <w:tcBorders>
              <w:top w:val="single" w:color="999999" w:sz="1"/>
              <w:left w:val="single" w:color="999999" w:sz="1"/>
              <w:bottom w:val="single" w:color="999999" w:sz="1"/>
              <w:right w:val="single" w:color="999999" w:sz="1"/>
            </w:tcBorders>
            <w:shd w:fill="EDF2F7" w:val="clear"/>
            <w:tcMar>
              <w:top w:type="dxa" w:w="60"/>
              <w:left w:type="dxa" w:w="100"/>
              <w:bottom w:type="dxa" w:w="60"/>
              <w:right w:type="dxa" w:w="100"/>
            </w:tcMar>
            <w:vAlign w:val="center"/>
          </w:tcPr>
          <w:p>
            <w:pPr>
              <w:spacing w:after="0"/>
            </w:pPr>
            <w:r>
              <w:rPr>
                <w:rFonts w:ascii="Arial" w:cs="Arial" w:eastAsia="Arial" w:hAnsi="Arial"/>
                <w:color w:val="1A1A1A"/>
                <w:sz w:val="19"/>
                <w:szCs w:val="19"/>
              </w:rPr>
              <w:t xml:space="preserve">Baseline</w:t>
            </w:r>
          </w:p>
        </w:tc>
        <w:tc>
          <w:tcPr>
            <w:tcW w:type="dxa" w:w="1392"/>
            <w:tcBorders>
              <w:top w:val="single" w:color="999999" w:sz="1"/>
              <w:left w:val="single" w:color="999999" w:sz="1"/>
              <w:bottom w:val="single" w:color="999999" w:sz="1"/>
              <w:right w:val="single" w:color="999999" w:sz="1"/>
            </w:tcBorders>
            <w:shd w:fill="EDF2F7" w:val="clear"/>
            <w:tcMar>
              <w:top w:type="dxa" w:w="60"/>
              <w:left w:type="dxa" w:w="100"/>
              <w:bottom w:type="dxa" w:w="60"/>
              <w:right w:type="dxa" w:w="100"/>
            </w:tcMar>
            <w:vAlign w:val="center"/>
          </w:tcPr>
          <w:p>
            <w:pPr>
              <w:spacing w:after="0"/>
            </w:pPr>
            <w:r>
              <w:rPr>
                <w:rFonts w:ascii="Arial" w:cs="Arial" w:eastAsia="Arial" w:hAnsi="Arial"/>
                <w:color w:val="1A1A1A"/>
                <w:sz w:val="19"/>
                <w:szCs w:val="19"/>
              </w:rPr>
              <w:t xml:space="preserve">-2pp</w:t>
            </w:r>
          </w:p>
        </w:tc>
        <w:tc>
          <w:tcPr>
            <w:tcW w:type="dxa" w:w="1392"/>
            <w:tcBorders>
              <w:top w:val="single" w:color="999999" w:sz="1"/>
              <w:left w:val="single" w:color="999999" w:sz="1"/>
              <w:bottom w:val="single" w:color="999999" w:sz="1"/>
              <w:right w:val="single" w:color="999999" w:sz="1"/>
            </w:tcBorders>
            <w:shd w:fill="EDF2F7" w:val="clear"/>
            <w:tcMar>
              <w:top w:type="dxa" w:w="60"/>
              <w:left w:type="dxa" w:w="100"/>
              <w:bottom w:type="dxa" w:w="60"/>
              <w:right w:type="dxa" w:w="100"/>
            </w:tcMar>
            <w:vAlign w:val="center"/>
          </w:tcPr>
          <w:p>
            <w:pPr>
              <w:spacing w:after="0"/>
            </w:pPr>
            <w:r>
              <w:rPr>
                <w:rFonts w:ascii="Arial" w:cs="Arial" w:eastAsia="Arial" w:hAnsi="Arial"/>
                <w:color w:val="1A1A1A"/>
                <w:sz w:val="19"/>
                <w:szCs w:val="19"/>
              </w:rPr>
              <w:t xml:space="preserve">-5pp</w:t>
            </w:r>
          </w:p>
        </w:tc>
        <w:tc>
          <w:tcPr>
            <w:tcW w:type="dxa" w:w="1392"/>
            <w:tcBorders>
              <w:top w:val="single" w:color="999999" w:sz="1"/>
              <w:left w:val="single" w:color="999999" w:sz="1"/>
              <w:bottom w:val="single" w:color="999999" w:sz="1"/>
              <w:right w:val="single" w:color="999999" w:sz="1"/>
            </w:tcBorders>
            <w:shd w:fill="EDF2F7" w:val="clear"/>
            <w:tcMar>
              <w:top w:type="dxa" w:w="60"/>
              <w:left w:type="dxa" w:w="100"/>
              <w:bottom w:type="dxa" w:w="60"/>
              <w:right w:type="dxa" w:w="100"/>
            </w:tcMar>
            <w:vAlign w:val="center"/>
          </w:tcPr>
          <w:p>
            <w:pPr>
              <w:spacing w:after="0"/>
            </w:pPr>
            <w:r>
              <w:rPr>
                <w:rFonts w:ascii="Arial" w:cs="Arial" w:eastAsia="Arial" w:hAnsi="Arial"/>
                <w:color w:val="1A1A1A"/>
                <w:sz w:val="19"/>
                <w:szCs w:val="19"/>
              </w:rPr>
              <w:t xml:space="preserve">-8pp</w:t>
            </w:r>
          </w:p>
        </w:tc>
        <w:tc>
          <w:tcPr>
            <w:tcW w:type="dxa" w:w="1392"/>
            <w:tcBorders>
              <w:top w:val="single" w:color="999999" w:sz="1"/>
              <w:left w:val="single" w:color="999999" w:sz="1"/>
              <w:bottom w:val="single" w:color="999999" w:sz="1"/>
              <w:right w:val="single" w:color="999999" w:sz="1"/>
            </w:tcBorders>
            <w:shd w:fill="EDF2F7" w:val="clear"/>
            <w:tcMar>
              <w:top w:type="dxa" w:w="60"/>
              <w:left w:type="dxa" w:w="100"/>
              <w:bottom w:type="dxa" w:w="60"/>
              <w:right w:type="dxa" w:w="100"/>
            </w:tcMar>
            <w:vAlign w:val="center"/>
          </w:tcPr>
          <w:p>
            <w:pPr>
              <w:spacing w:after="0"/>
            </w:pPr>
            <w:r>
              <w:rPr>
                <w:rFonts w:ascii="Arial" w:cs="Arial" w:eastAsia="Arial" w:hAnsi="Arial"/>
                <w:color w:val="1A1A1A"/>
                <w:sz w:val="19"/>
                <w:szCs w:val="19"/>
              </w:rPr>
              <w:t xml:space="preserve">-12pp</w:t>
            </w:r>
          </w:p>
        </w:tc>
      </w:tr>
      <w:tr>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Arial" w:cs="Arial" w:eastAsia="Arial" w:hAnsi="Arial"/>
                <w:color w:val="1A1A1A"/>
                <w:sz w:val="19"/>
                <w:szCs w:val="19"/>
              </w:rPr>
              <w:t xml:space="preserve">Market Share (wealth mgmt)</w:t>
            </w:r>
          </w:p>
        </w:tc>
        <w:tc>
          <w:tcPr>
            <w:tcW w:type="dxa" w:w="1392"/>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Arial" w:cs="Arial" w:eastAsia="Arial" w:hAnsi="Arial"/>
                <w:color w:val="1A1A1A"/>
                <w:sz w:val="19"/>
                <w:szCs w:val="19"/>
              </w:rPr>
              <w:t xml:space="preserve">Baseline</w:t>
            </w:r>
          </w:p>
        </w:tc>
        <w:tc>
          <w:tcPr>
            <w:tcW w:type="dxa" w:w="1392"/>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Arial" w:cs="Arial" w:eastAsia="Arial" w:hAnsi="Arial"/>
                <w:color w:val="1A1A1A"/>
                <w:sz w:val="19"/>
                <w:szCs w:val="19"/>
              </w:rPr>
              <w:t xml:space="preserve">-3pp</w:t>
            </w:r>
          </w:p>
        </w:tc>
        <w:tc>
          <w:tcPr>
            <w:tcW w:type="dxa" w:w="1392"/>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Arial" w:cs="Arial" w:eastAsia="Arial" w:hAnsi="Arial"/>
                <w:color w:val="1A1A1A"/>
                <w:sz w:val="19"/>
                <w:szCs w:val="19"/>
              </w:rPr>
              <w:t xml:space="preserve">-7pp</w:t>
            </w:r>
          </w:p>
        </w:tc>
        <w:tc>
          <w:tcPr>
            <w:tcW w:type="dxa" w:w="1392"/>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Arial" w:cs="Arial" w:eastAsia="Arial" w:hAnsi="Arial"/>
                <w:color w:val="1A1A1A"/>
                <w:sz w:val="19"/>
                <w:szCs w:val="19"/>
              </w:rPr>
              <w:t xml:space="preserve">-11pp</w:t>
            </w:r>
          </w:p>
        </w:tc>
        <w:tc>
          <w:tcPr>
            <w:tcW w:type="dxa" w:w="1392"/>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Arial" w:cs="Arial" w:eastAsia="Arial" w:hAnsi="Arial"/>
                <w:color w:val="1A1A1A"/>
                <w:sz w:val="19"/>
                <w:szCs w:val="19"/>
              </w:rPr>
              <w:t xml:space="preserve">-15pp</w:t>
            </w:r>
          </w:p>
        </w:tc>
      </w:tr>
      <w:tr>
        <w:tc>
          <w:tcPr>
            <w:tcW w:type="dxa" w:w="2400"/>
            <w:tcBorders>
              <w:top w:val="single" w:color="999999" w:sz="1"/>
              <w:left w:val="single" w:color="999999" w:sz="1"/>
              <w:bottom w:val="single" w:color="999999" w:sz="1"/>
              <w:right w:val="single" w:color="999999" w:sz="1"/>
            </w:tcBorders>
            <w:shd w:fill="EDF2F7" w:val="clear"/>
            <w:tcMar>
              <w:top w:type="dxa" w:w="60"/>
              <w:left w:type="dxa" w:w="100"/>
              <w:bottom w:type="dxa" w:w="60"/>
              <w:right w:type="dxa" w:w="100"/>
            </w:tcMar>
            <w:vAlign w:val="center"/>
          </w:tcPr>
          <w:p>
            <w:pPr>
              <w:spacing w:after="0"/>
            </w:pPr>
            <w:r>
              <w:rPr>
                <w:rFonts w:ascii="Arial" w:cs="Arial" w:eastAsia="Arial" w:hAnsi="Arial"/>
                <w:color w:val="1A1A1A"/>
                <w:sz w:val="19"/>
                <w:szCs w:val="19"/>
              </w:rPr>
              <w:t xml:space="preserve">Efficiency Ratio</w:t>
            </w:r>
          </w:p>
        </w:tc>
        <w:tc>
          <w:tcPr>
            <w:tcW w:type="dxa" w:w="1392"/>
            <w:tcBorders>
              <w:top w:val="single" w:color="999999" w:sz="1"/>
              <w:left w:val="single" w:color="999999" w:sz="1"/>
              <w:bottom w:val="single" w:color="999999" w:sz="1"/>
              <w:right w:val="single" w:color="999999" w:sz="1"/>
            </w:tcBorders>
            <w:shd w:fill="EDF2F7" w:val="clear"/>
            <w:tcMar>
              <w:top w:type="dxa" w:w="60"/>
              <w:left w:type="dxa" w:w="100"/>
              <w:bottom w:type="dxa" w:w="60"/>
              <w:right w:type="dxa" w:w="100"/>
            </w:tcMar>
            <w:vAlign w:val="center"/>
          </w:tcPr>
          <w:p>
            <w:pPr>
              <w:spacing w:after="0"/>
            </w:pPr>
            <w:r>
              <w:rPr>
                <w:rFonts w:ascii="Arial" w:cs="Arial" w:eastAsia="Arial" w:hAnsi="Arial"/>
                <w:color w:val="1A1A1A"/>
                <w:sz w:val="19"/>
                <w:szCs w:val="19"/>
              </w:rPr>
              <w:t xml:space="preserve">60%</w:t>
            </w:r>
          </w:p>
        </w:tc>
        <w:tc>
          <w:tcPr>
            <w:tcW w:type="dxa" w:w="1392"/>
            <w:tcBorders>
              <w:top w:val="single" w:color="999999" w:sz="1"/>
              <w:left w:val="single" w:color="999999" w:sz="1"/>
              <w:bottom w:val="single" w:color="999999" w:sz="1"/>
              <w:right w:val="single" w:color="999999" w:sz="1"/>
            </w:tcBorders>
            <w:shd w:fill="EDF2F7" w:val="clear"/>
            <w:tcMar>
              <w:top w:type="dxa" w:w="60"/>
              <w:left w:type="dxa" w:w="100"/>
              <w:bottom w:type="dxa" w:w="60"/>
              <w:right w:type="dxa" w:w="100"/>
            </w:tcMar>
            <w:vAlign w:val="center"/>
          </w:tcPr>
          <w:p>
            <w:pPr>
              <w:spacing w:after="0"/>
            </w:pPr>
            <w:r>
              <w:rPr>
                <w:rFonts w:ascii="Arial" w:cs="Arial" w:eastAsia="Arial" w:hAnsi="Arial"/>
                <w:color w:val="1A1A1A"/>
                <w:sz w:val="19"/>
                <w:szCs w:val="19"/>
              </w:rPr>
              <w:t xml:space="preserve">62%</w:t>
            </w:r>
          </w:p>
        </w:tc>
        <w:tc>
          <w:tcPr>
            <w:tcW w:type="dxa" w:w="1392"/>
            <w:tcBorders>
              <w:top w:val="single" w:color="999999" w:sz="1"/>
              <w:left w:val="single" w:color="999999" w:sz="1"/>
              <w:bottom w:val="single" w:color="999999" w:sz="1"/>
              <w:right w:val="single" w:color="999999" w:sz="1"/>
            </w:tcBorders>
            <w:shd w:fill="EDF2F7" w:val="clear"/>
            <w:tcMar>
              <w:top w:type="dxa" w:w="60"/>
              <w:left w:type="dxa" w:w="100"/>
              <w:bottom w:type="dxa" w:w="60"/>
              <w:right w:type="dxa" w:w="100"/>
            </w:tcMar>
            <w:vAlign w:val="center"/>
          </w:tcPr>
          <w:p>
            <w:pPr>
              <w:spacing w:after="0"/>
            </w:pPr>
            <w:r>
              <w:rPr>
                <w:rFonts w:ascii="Arial" w:cs="Arial" w:eastAsia="Arial" w:hAnsi="Arial"/>
                <w:color w:val="1A1A1A"/>
                <w:sz w:val="19"/>
                <w:szCs w:val="19"/>
              </w:rPr>
              <w:t xml:space="preserve">65%</w:t>
            </w:r>
          </w:p>
        </w:tc>
        <w:tc>
          <w:tcPr>
            <w:tcW w:type="dxa" w:w="1392"/>
            <w:tcBorders>
              <w:top w:val="single" w:color="999999" w:sz="1"/>
              <w:left w:val="single" w:color="999999" w:sz="1"/>
              <w:bottom w:val="single" w:color="999999" w:sz="1"/>
              <w:right w:val="single" w:color="999999" w:sz="1"/>
            </w:tcBorders>
            <w:shd w:fill="EDF2F7" w:val="clear"/>
            <w:tcMar>
              <w:top w:type="dxa" w:w="60"/>
              <w:left w:type="dxa" w:w="100"/>
              <w:bottom w:type="dxa" w:w="60"/>
              <w:right w:type="dxa" w:w="100"/>
            </w:tcMar>
            <w:vAlign w:val="center"/>
          </w:tcPr>
          <w:p>
            <w:pPr>
              <w:spacing w:after="0"/>
            </w:pPr>
            <w:r>
              <w:rPr>
                <w:rFonts w:ascii="Arial" w:cs="Arial" w:eastAsia="Arial" w:hAnsi="Arial"/>
                <w:color w:val="1A1A1A"/>
                <w:sz w:val="19"/>
                <w:szCs w:val="19"/>
              </w:rPr>
              <w:t xml:space="preserve">68%</w:t>
            </w:r>
          </w:p>
        </w:tc>
        <w:tc>
          <w:tcPr>
            <w:tcW w:type="dxa" w:w="1392"/>
            <w:tcBorders>
              <w:top w:val="single" w:color="999999" w:sz="1"/>
              <w:left w:val="single" w:color="999999" w:sz="1"/>
              <w:bottom w:val="single" w:color="999999" w:sz="1"/>
              <w:right w:val="single" w:color="999999" w:sz="1"/>
            </w:tcBorders>
            <w:shd w:fill="EDF2F7" w:val="clear"/>
            <w:tcMar>
              <w:top w:type="dxa" w:w="60"/>
              <w:left w:type="dxa" w:w="100"/>
              <w:bottom w:type="dxa" w:w="60"/>
              <w:right w:type="dxa" w:w="100"/>
            </w:tcMar>
            <w:vAlign w:val="center"/>
          </w:tcPr>
          <w:p>
            <w:pPr>
              <w:spacing w:after="0"/>
            </w:pPr>
            <w:r>
              <w:rPr>
                <w:rFonts w:ascii="Arial" w:cs="Arial" w:eastAsia="Arial" w:hAnsi="Arial"/>
                <w:color w:val="1A1A1A"/>
                <w:sz w:val="19"/>
                <w:szCs w:val="19"/>
              </w:rPr>
              <w:t xml:space="preserve">72%</w:t>
            </w:r>
          </w:p>
        </w:tc>
      </w:tr>
      <w:tr>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Arial" w:cs="Arial" w:eastAsia="Arial" w:hAnsi="Arial"/>
                <w:color w:val="1A1A1A"/>
                <w:sz w:val="19"/>
                <w:szCs w:val="19"/>
              </w:rPr>
              <w:t xml:space="preserve">Peer Efficiency Ratio</w:t>
            </w:r>
          </w:p>
        </w:tc>
        <w:tc>
          <w:tcPr>
            <w:tcW w:type="dxa" w:w="1392"/>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Arial" w:cs="Arial" w:eastAsia="Arial" w:hAnsi="Arial"/>
                <w:color w:val="1A1A1A"/>
                <w:sz w:val="19"/>
                <w:szCs w:val="19"/>
              </w:rPr>
              <w:t xml:space="preserve">58%</w:t>
            </w:r>
          </w:p>
        </w:tc>
        <w:tc>
          <w:tcPr>
            <w:tcW w:type="dxa" w:w="1392"/>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Arial" w:cs="Arial" w:eastAsia="Arial" w:hAnsi="Arial"/>
                <w:color w:val="1A1A1A"/>
                <w:sz w:val="19"/>
                <w:szCs w:val="19"/>
              </w:rPr>
              <w:t xml:space="preserve">52%</w:t>
            </w:r>
          </w:p>
        </w:tc>
        <w:tc>
          <w:tcPr>
            <w:tcW w:type="dxa" w:w="1392"/>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Arial" w:cs="Arial" w:eastAsia="Arial" w:hAnsi="Arial"/>
                <w:color w:val="1A1A1A"/>
                <w:sz w:val="19"/>
                <w:szCs w:val="19"/>
              </w:rPr>
              <w:t xml:space="preserve">48%</w:t>
            </w:r>
          </w:p>
        </w:tc>
        <w:tc>
          <w:tcPr>
            <w:tcW w:type="dxa" w:w="1392"/>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Arial" w:cs="Arial" w:eastAsia="Arial" w:hAnsi="Arial"/>
                <w:color w:val="1A1A1A"/>
                <w:sz w:val="19"/>
                <w:szCs w:val="19"/>
              </w:rPr>
              <w:t xml:space="preserve">46%</w:t>
            </w:r>
          </w:p>
        </w:tc>
        <w:tc>
          <w:tcPr>
            <w:tcW w:type="dxa" w:w="1392"/>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Arial" w:cs="Arial" w:eastAsia="Arial" w:hAnsi="Arial"/>
                <w:color w:val="1A1A1A"/>
                <w:sz w:val="19"/>
                <w:szCs w:val="19"/>
              </w:rPr>
              <w:t xml:space="preserve">44%</w:t>
            </w:r>
          </w:p>
        </w:tc>
      </w:tr>
      <w:tr>
        <w:tc>
          <w:tcPr>
            <w:tcW w:type="dxa" w:w="2400"/>
            <w:tcBorders>
              <w:top w:val="single" w:color="999999" w:sz="1"/>
              <w:left w:val="single" w:color="999999" w:sz="1"/>
              <w:bottom w:val="single" w:color="999999" w:sz="1"/>
              <w:right w:val="single" w:color="999999" w:sz="1"/>
            </w:tcBorders>
            <w:shd w:fill="EDF2F7" w:val="clear"/>
            <w:tcMar>
              <w:top w:type="dxa" w:w="60"/>
              <w:left w:type="dxa" w:w="100"/>
              <w:bottom w:type="dxa" w:w="60"/>
              <w:right w:type="dxa" w:w="100"/>
            </w:tcMar>
            <w:vAlign w:val="center"/>
          </w:tcPr>
          <w:p>
            <w:pPr>
              <w:spacing w:after="0"/>
            </w:pPr>
            <w:r>
              <w:rPr>
                <w:rFonts w:ascii="Arial" w:cs="Arial" w:eastAsia="Arial" w:hAnsi="Arial"/>
                <w:color w:val="1A1A1A"/>
                <w:sz w:val="19"/>
                <w:szCs w:val="19"/>
              </w:rPr>
              <w:t xml:space="preserve">Efficiency Gap</w:t>
            </w:r>
          </w:p>
        </w:tc>
        <w:tc>
          <w:tcPr>
            <w:tcW w:type="dxa" w:w="1392"/>
            <w:tcBorders>
              <w:top w:val="single" w:color="999999" w:sz="1"/>
              <w:left w:val="single" w:color="999999" w:sz="1"/>
              <w:bottom w:val="single" w:color="999999" w:sz="1"/>
              <w:right w:val="single" w:color="999999" w:sz="1"/>
            </w:tcBorders>
            <w:shd w:fill="EDF2F7" w:val="clear"/>
            <w:tcMar>
              <w:top w:type="dxa" w:w="60"/>
              <w:left w:type="dxa" w:w="100"/>
              <w:bottom w:type="dxa" w:w="60"/>
              <w:right w:type="dxa" w:w="100"/>
            </w:tcMar>
            <w:vAlign w:val="center"/>
          </w:tcPr>
          <w:p>
            <w:pPr>
              <w:spacing w:after="0"/>
            </w:pPr>
            <w:r>
              <w:rPr>
                <w:rFonts w:ascii="Arial" w:cs="Arial" w:eastAsia="Arial" w:hAnsi="Arial"/>
                <w:color w:val="1A1A1A"/>
                <w:sz w:val="19"/>
                <w:szCs w:val="19"/>
              </w:rPr>
              <w:t xml:space="preserve">2pp</w:t>
            </w:r>
          </w:p>
        </w:tc>
        <w:tc>
          <w:tcPr>
            <w:tcW w:type="dxa" w:w="1392"/>
            <w:tcBorders>
              <w:top w:val="single" w:color="999999" w:sz="1"/>
              <w:left w:val="single" w:color="999999" w:sz="1"/>
              <w:bottom w:val="single" w:color="999999" w:sz="1"/>
              <w:right w:val="single" w:color="999999" w:sz="1"/>
            </w:tcBorders>
            <w:shd w:fill="EDF2F7" w:val="clear"/>
            <w:tcMar>
              <w:top w:type="dxa" w:w="60"/>
              <w:left w:type="dxa" w:w="100"/>
              <w:bottom w:type="dxa" w:w="60"/>
              <w:right w:type="dxa" w:w="100"/>
            </w:tcMar>
            <w:vAlign w:val="center"/>
          </w:tcPr>
          <w:p>
            <w:pPr>
              <w:spacing w:after="0"/>
            </w:pPr>
            <w:r>
              <w:rPr>
                <w:rFonts w:ascii="Arial" w:cs="Arial" w:eastAsia="Arial" w:hAnsi="Arial"/>
                <w:color w:val="1A1A1A"/>
                <w:sz w:val="19"/>
                <w:szCs w:val="19"/>
              </w:rPr>
              <w:t xml:space="preserve">10pp</w:t>
            </w:r>
          </w:p>
        </w:tc>
        <w:tc>
          <w:tcPr>
            <w:tcW w:type="dxa" w:w="1392"/>
            <w:tcBorders>
              <w:top w:val="single" w:color="999999" w:sz="1"/>
              <w:left w:val="single" w:color="999999" w:sz="1"/>
              <w:bottom w:val="single" w:color="999999" w:sz="1"/>
              <w:right w:val="single" w:color="999999" w:sz="1"/>
            </w:tcBorders>
            <w:shd w:fill="EDF2F7" w:val="clear"/>
            <w:tcMar>
              <w:top w:type="dxa" w:w="60"/>
              <w:left w:type="dxa" w:w="100"/>
              <w:bottom w:type="dxa" w:w="60"/>
              <w:right w:type="dxa" w:w="100"/>
            </w:tcMar>
            <w:vAlign w:val="center"/>
          </w:tcPr>
          <w:p>
            <w:pPr>
              <w:spacing w:after="0"/>
            </w:pPr>
            <w:r>
              <w:rPr>
                <w:rFonts w:ascii="Arial" w:cs="Arial" w:eastAsia="Arial" w:hAnsi="Arial"/>
                <w:color w:val="1A1A1A"/>
                <w:sz w:val="19"/>
                <w:szCs w:val="19"/>
              </w:rPr>
              <w:t xml:space="preserve">17pp</w:t>
            </w:r>
          </w:p>
        </w:tc>
        <w:tc>
          <w:tcPr>
            <w:tcW w:type="dxa" w:w="1392"/>
            <w:tcBorders>
              <w:top w:val="single" w:color="999999" w:sz="1"/>
              <w:left w:val="single" w:color="999999" w:sz="1"/>
              <w:bottom w:val="single" w:color="999999" w:sz="1"/>
              <w:right w:val="single" w:color="999999" w:sz="1"/>
            </w:tcBorders>
            <w:shd w:fill="EDF2F7" w:val="clear"/>
            <w:tcMar>
              <w:top w:type="dxa" w:w="60"/>
              <w:left w:type="dxa" w:w="100"/>
              <w:bottom w:type="dxa" w:w="60"/>
              <w:right w:type="dxa" w:w="100"/>
            </w:tcMar>
            <w:vAlign w:val="center"/>
          </w:tcPr>
          <w:p>
            <w:pPr>
              <w:spacing w:after="0"/>
            </w:pPr>
            <w:r>
              <w:rPr>
                <w:rFonts w:ascii="Arial" w:cs="Arial" w:eastAsia="Arial" w:hAnsi="Arial"/>
                <w:color w:val="1A1A1A"/>
                <w:sz w:val="19"/>
                <w:szCs w:val="19"/>
              </w:rPr>
              <w:t xml:space="preserve">22pp</w:t>
            </w:r>
          </w:p>
        </w:tc>
        <w:tc>
          <w:tcPr>
            <w:tcW w:type="dxa" w:w="1392"/>
            <w:tcBorders>
              <w:top w:val="single" w:color="999999" w:sz="1"/>
              <w:left w:val="single" w:color="999999" w:sz="1"/>
              <w:bottom w:val="single" w:color="999999" w:sz="1"/>
              <w:right w:val="single" w:color="999999" w:sz="1"/>
            </w:tcBorders>
            <w:shd w:fill="EDF2F7" w:val="clear"/>
            <w:tcMar>
              <w:top w:type="dxa" w:w="60"/>
              <w:left w:type="dxa" w:w="100"/>
              <w:bottom w:type="dxa" w:w="60"/>
              <w:right w:type="dxa" w:w="100"/>
            </w:tcMar>
            <w:vAlign w:val="center"/>
          </w:tcPr>
          <w:p>
            <w:pPr>
              <w:spacing w:after="0"/>
            </w:pPr>
            <w:r>
              <w:rPr>
                <w:rFonts w:ascii="Arial" w:cs="Arial" w:eastAsia="Arial" w:hAnsi="Arial"/>
                <w:color w:val="1A1A1A"/>
                <w:sz w:val="19"/>
                <w:szCs w:val="19"/>
              </w:rPr>
              <w:t xml:space="preserve">28pp</w:t>
            </w:r>
          </w:p>
        </w:tc>
      </w:tr>
      <w:tr>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Arial" w:cs="Arial" w:eastAsia="Arial" w:hAnsi="Arial"/>
                <w:color w:val="1A1A1A"/>
                <w:sz w:val="19"/>
                <w:szCs w:val="19"/>
              </w:rPr>
              <w:t xml:space="preserve">Talent Attrition (top quartile)</w:t>
            </w:r>
          </w:p>
        </w:tc>
        <w:tc>
          <w:tcPr>
            <w:tcW w:type="dxa" w:w="1392"/>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Arial" w:cs="Arial" w:eastAsia="Arial" w:hAnsi="Arial"/>
                <w:color w:val="1A1A1A"/>
                <w:sz w:val="19"/>
                <w:szCs w:val="19"/>
              </w:rPr>
              <w:t xml:space="preserve">8%/yr</w:t>
            </w:r>
          </w:p>
        </w:tc>
        <w:tc>
          <w:tcPr>
            <w:tcW w:type="dxa" w:w="1392"/>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Arial" w:cs="Arial" w:eastAsia="Arial" w:hAnsi="Arial"/>
                <w:color w:val="1A1A1A"/>
                <w:sz w:val="19"/>
                <w:szCs w:val="19"/>
              </w:rPr>
              <w:t xml:space="preserve">12%/yr</w:t>
            </w:r>
          </w:p>
        </w:tc>
        <w:tc>
          <w:tcPr>
            <w:tcW w:type="dxa" w:w="1392"/>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Arial" w:cs="Arial" w:eastAsia="Arial" w:hAnsi="Arial"/>
                <w:color w:val="1A1A1A"/>
                <w:sz w:val="19"/>
                <w:szCs w:val="19"/>
              </w:rPr>
              <w:t xml:space="preserve">18%/yr</w:t>
            </w:r>
          </w:p>
        </w:tc>
        <w:tc>
          <w:tcPr>
            <w:tcW w:type="dxa" w:w="1392"/>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Arial" w:cs="Arial" w:eastAsia="Arial" w:hAnsi="Arial"/>
                <w:color w:val="1A1A1A"/>
                <w:sz w:val="19"/>
                <w:szCs w:val="19"/>
              </w:rPr>
              <w:t xml:space="preserve">22%/yr</w:t>
            </w:r>
          </w:p>
        </w:tc>
        <w:tc>
          <w:tcPr>
            <w:tcW w:type="dxa" w:w="1392"/>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Arial" w:cs="Arial" w:eastAsia="Arial" w:hAnsi="Arial"/>
                <w:color w:val="1A1A1A"/>
                <w:sz w:val="19"/>
                <w:szCs w:val="19"/>
              </w:rPr>
              <w:t xml:space="preserve">15%/yr</w:t>
            </w:r>
          </w:p>
        </w:tc>
      </w:tr>
      <w:tr>
        <w:tc>
          <w:tcPr>
            <w:tcW w:type="dxa" w:w="2400"/>
            <w:tcBorders>
              <w:top w:val="single" w:color="999999" w:sz="1"/>
              <w:left w:val="single" w:color="999999" w:sz="1"/>
              <w:bottom w:val="single" w:color="999999" w:sz="1"/>
              <w:right w:val="single" w:color="999999" w:sz="1"/>
            </w:tcBorders>
            <w:shd w:fill="EDF2F7" w:val="clear"/>
            <w:tcMar>
              <w:top w:type="dxa" w:w="60"/>
              <w:left w:type="dxa" w:w="100"/>
              <w:bottom w:type="dxa" w:w="60"/>
              <w:right w:type="dxa" w:w="100"/>
            </w:tcMar>
            <w:vAlign w:val="center"/>
          </w:tcPr>
          <w:p>
            <w:pPr>
              <w:spacing w:after="0"/>
            </w:pPr>
            <w:r>
              <w:rPr>
                <w:rFonts w:ascii="Arial" w:cs="Arial" w:eastAsia="Arial" w:hAnsi="Arial"/>
                <w:color w:val="1A1A1A"/>
                <w:sz w:val="19"/>
                <w:szCs w:val="19"/>
              </w:rPr>
              <w:t xml:space="preserve">Price-to-Book Ratio</w:t>
            </w:r>
          </w:p>
        </w:tc>
        <w:tc>
          <w:tcPr>
            <w:tcW w:type="dxa" w:w="1392"/>
            <w:tcBorders>
              <w:top w:val="single" w:color="999999" w:sz="1"/>
              <w:left w:val="single" w:color="999999" w:sz="1"/>
              <w:bottom w:val="single" w:color="999999" w:sz="1"/>
              <w:right w:val="single" w:color="999999" w:sz="1"/>
            </w:tcBorders>
            <w:shd w:fill="EDF2F7" w:val="clear"/>
            <w:tcMar>
              <w:top w:type="dxa" w:w="60"/>
              <w:left w:type="dxa" w:w="100"/>
              <w:bottom w:type="dxa" w:w="60"/>
              <w:right w:type="dxa" w:w="100"/>
            </w:tcMar>
            <w:vAlign w:val="center"/>
          </w:tcPr>
          <w:p>
            <w:pPr>
              <w:spacing w:after="0"/>
            </w:pPr>
            <w:r>
              <w:rPr>
                <w:rFonts w:ascii="Arial" w:cs="Arial" w:eastAsia="Arial" w:hAnsi="Arial"/>
                <w:color w:val="1A1A1A"/>
                <w:sz w:val="19"/>
                <w:szCs w:val="19"/>
              </w:rPr>
              <w:t xml:space="preserve">1.2x</w:t>
            </w:r>
          </w:p>
        </w:tc>
        <w:tc>
          <w:tcPr>
            <w:tcW w:type="dxa" w:w="1392"/>
            <w:tcBorders>
              <w:top w:val="single" w:color="999999" w:sz="1"/>
              <w:left w:val="single" w:color="999999" w:sz="1"/>
              <w:bottom w:val="single" w:color="999999" w:sz="1"/>
              <w:right w:val="single" w:color="999999" w:sz="1"/>
            </w:tcBorders>
            <w:shd w:fill="EDF2F7" w:val="clear"/>
            <w:tcMar>
              <w:top w:type="dxa" w:w="60"/>
              <w:left w:type="dxa" w:w="100"/>
              <w:bottom w:type="dxa" w:w="60"/>
              <w:right w:type="dxa" w:w="100"/>
            </w:tcMar>
            <w:vAlign w:val="center"/>
          </w:tcPr>
          <w:p>
            <w:pPr>
              <w:spacing w:after="0"/>
            </w:pPr>
            <w:r>
              <w:rPr>
                <w:rFonts w:ascii="Arial" w:cs="Arial" w:eastAsia="Arial" w:hAnsi="Arial"/>
                <w:color w:val="1A1A1A"/>
                <w:sz w:val="19"/>
                <w:szCs w:val="19"/>
              </w:rPr>
              <w:t xml:space="preserve">1.0x</w:t>
            </w:r>
          </w:p>
        </w:tc>
        <w:tc>
          <w:tcPr>
            <w:tcW w:type="dxa" w:w="1392"/>
            <w:tcBorders>
              <w:top w:val="single" w:color="999999" w:sz="1"/>
              <w:left w:val="single" w:color="999999" w:sz="1"/>
              <w:bottom w:val="single" w:color="999999" w:sz="1"/>
              <w:right w:val="single" w:color="999999" w:sz="1"/>
            </w:tcBorders>
            <w:shd w:fill="EDF2F7" w:val="clear"/>
            <w:tcMar>
              <w:top w:type="dxa" w:w="60"/>
              <w:left w:type="dxa" w:w="100"/>
              <w:bottom w:type="dxa" w:w="60"/>
              <w:right w:type="dxa" w:w="100"/>
            </w:tcMar>
            <w:vAlign w:val="center"/>
          </w:tcPr>
          <w:p>
            <w:pPr>
              <w:spacing w:after="0"/>
            </w:pPr>
            <w:r>
              <w:rPr>
                <w:rFonts w:ascii="Arial" w:cs="Arial" w:eastAsia="Arial" w:hAnsi="Arial"/>
                <w:color w:val="1A1A1A"/>
                <w:sz w:val="19"/>
                <w:szCs w:val="19"/>
              </w:rPr>
              <w:t xml:space="preserve">0.75x</w:t>
            </w:r>
          </w:p>
        </w:tc>
        <w:tc>
          <w:tcPr>
            <w:tcW w:type="dxa" w:w="1392"/>
            <w:tcBorders>
              <w:top w:val="single" w:color="999999" w:sz="1"/>
              <w:left w:val="single" w:color="999999" w:sz="1"/>
              <w:bottom w:val="single" w:color="999999" w:sz="1"/>
              <w:right w:val="single" w:color="999999" w:sz="1"/>
            </w:tcBorders>
            <w:shd w:fill="EDF2F7" w:val="clear"/>
            <w:tcMar>
              <w:top w:type="dxa" w:w="60"/>
              <w:left w:type="dxa" w:w="100"/>
              <w:bottom w:type="dxa" w:w="60"/>
              <w:right w:type="dxa" w:w="100"/>
            </w:tcMar>
            <w:vAlign w:val="center"/>
          </w:tcPr>
          <w:p>
            <w:pPr>
              <w:spacing w:after="0"/>
            </w:pPr>
            <w:r>
              <w:rPr>
                <w:rFonts w:ascii="Arial" w:cs="Arial" w:eastAsia="Arial" w:hAnsi="Arial"/>
                <w:color w:val="1A1A1A"/>
                <w:sz w:val="19"/>
                <w:szCs w:val="19"/>
              </w:rPr>
              <w:t xml:space="preserve">0.60x</w:t>
            </w:r>
          </w:p>
        </w:tc>
        <w:tc>
          <w:tcPr>
            <w:tcW w:type="dxa" w:w="1392"/>
            <w:tcBorders>
              <w:top w:val="single" w:color="999999" w:sz="1"/>
              <w:left w:val="single" w:color="999999" w:sz="1"/>
              <w:bottom w:val="single" w:color="999999" w:sz="1"/>
              <w:right w:val="single" w:color="999999" w:sz="1"/>
            </w:tcBorders>
            <w:shd w:fill="EDF2F7" w:val="clear"/>
            <w:tcMar>
              <w:top w:type="dxa" w:w="60"/>
              <w:left w:type="dxa" w:w="100"/>
              <w:bottom w:type="dxa" w:w="60"/>
              <w:right w:type="dxa" w:w="100"/>
            </w:tcMar>
            <w:vAlign w:val="center"/>
          </w:tcPr>
          <w:p>
            <w:pPr>
              <w:spacing w:after="0"/>
            </w:pPr>
            <w:r>
              <w:rPr>
                <w:rFonts w:ascii="Arial" w:cs="Arial" w:eastAsia="Arial" w:hAnsi="Arial"/>
                <w:color w:val="1A1A1A"/>
                <w:sz w:val="19"/>
                <w:szCs w:val="19"/>
              </w:rPr>
              <w:t xml:space="preserve">0.50x</w:t>
            </w:r>
          </w:p>
        </w:tc>
      </w:tr>
      <w:tr>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Arial" w:cs="Arial" w:eastAsia="Arial" w:hAnsi="Arial"/>
                <w:color w:val="1A1A1A"/>
                <w:sz w:val="19"/>
                <w:szCs w:val="19"/>
              </w:rPr>
              <w:t xml:space="preserve">Stock Price Impact</w:t>
            </w:r>
          </w:p>
        </w:tc>
        <w:tc>
          <w:tcPr>
            <w:tcW w:type="dxa" w:w="1392"/>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Arial" w:cs="Arial" w:eastAsia="Arial" w:hAnsi="Arial"/>
                <w:color w:val="1A1A1A"/>
                <w:sz w:val="19"/>
                <w:szCs w:val="19"/>
              </w:rPr>
              <w:t xml:space="preserve">Baseline</w:t>
            </w:r>
          </w:p>
        </w:tc>
        <w:tc>
          <w:tcPr>
            <w:tcW w:type="dxa" w:w="1392"/>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Arial" w:cs="Arial" w:eastAsia="Arial" w:hAnsi="Arial"/>
                <w:color w:val="1A1A1A"/>
                <w:sz w:val="19"/>
                <w:szCs w:val="19"/>
              </w:rPr>
              <w:t xml:space="preserve">-20%</w:t>
            </w:r>
          </w:p>
        </w:tc>
        <w:tc>
          <w:tcPr>
            <w:tcW w:type="dxa" w:w="1392"/>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Arial" w:cs="Arial" w:eastAsia="Arial" w:hAnsi="Arial"/>
                <w:color w:val="1A1A1A"/>
                <w:sz w:val="19"/>
                <w:szCs w:val="19"/>
              </w:rPr>
              <w:t xml:space="preserve">-40%</w:t>
            </w:r>
          </w:p>
        </w:tc>
        <w:tc>
          <w:tcPr>
            <w:tcW w:type="dxa" w:w="1392"/>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Arial" w:cs="Arial" w:eastAsia="Arial" w:hAnsi="Arial"/>
                <w:color w:val="1A1A1A"/>
                <w:sz w:val="19"/>
                <w:szCs w:val="19"/>
              </w:rPr>
              <w:t xml:space="preserve">-55%</w:t>
            </w:r>
          </w:p>
        </w:tc>
        <w:tc>
          <w:tcPr>
            <w:tcW w:type="dxa" w:w="1392"/>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Arial" w:cs="Arial" w:eastAsia="Arial" w:hAnsi="Arial"/>
                <w:color w:val="1A1A1A"/>
                <w:sz w:val="19"/>
                <w:szCs w:val="19"/>
              </w:rPr>
              <w:t xml:space="preserve">-60%</w:t>
            </w:r>
          </w:p>
        </w:tc>
      </w:tr>
      <w:tr>
        <w:tc>
          <w:tcPr>
            <w:tcW w:type="dxa" w:w="2400"/>
            <w:tcBorders>
              <w:top w:val="single" w:color="999999" w:sz="1"/>
              <w:left w:val="single" w:color="999999" w:sz="1"/>
              <w:bottom w:val="single" w:color="999999" w:sz="1"/>
              <w:right w:val="single" w:color="999999" w:sz="1"/>
            </w:tcBorders>
            <w:shd w:fill="EDF2F7" w:val="clear"/>
            <w:tcMar>
              <w:top w:type="dxa" w:w="60"/>
              <w:left w:type="dxa" w:w="100"/>
              <w:bottom w:type="dxa" w:w="60"/>
              <w:right w:type="dxa" w:w="100"/>
            </w:tcMar>
            <w:vAlign w:val="center"/>
          </w:tcPr>
          <w:p>
            <w:pPr>
              <w:spacing w:after="0"/>
            </w:pPr>
            <w:r>
              <w:rPr>
                <w:rFonts w:ascii="Arial" w:cs="Arial" w:eastAsia="Arial" w:hAnsi="Arial"/>
                <w:color w:val="1A1A1A"/>
                <w:sz w:val="19"/>
                <w:szCs w:val="19"/>
              </w:rPr>
              <w:t xml:space="preserve">Pre-Tax Income Impact ($B/yr)</w:t>
            </w:r>
          </w:p>
        </w:tc>
        <w:tc>
          <w:tcPr>
            <w:tcW w:type="dxa" w:w="1392"/>
            <w:tcBorders>
              <w:top w:val="single" w:color="999999" w:sz="1"/>
              <w:left w:val="single" w:color="999999" w:sz="1"/>
              <w:bottom w:val="single" w:color="999999" w:sz="1"/>
              <w:right w:val="single" w:color="999999" w:sz="1"/>
            </w:tcBorders>
            <w:shd w:fill="EDF2F7" w:val="clear"/>
            <w:tcMar>
              <w:top w:type="dxa" w:w="60"/>
              <w:left w:type="dxa" w:w="100"/>
              <w:bottom w:type="dxa" w:w="60"/>
              <w:right w:type="dxa" w:w="100"/>
            </w:tcMar>
            <w:vAlign w:val="center"/>
          </w:tcPr>
          <w:p>
            <w:pPr>
              <w:spacing w:after="0"/>
            </w:pPr>
            <w:r>
              <w:rPr>
                <w:rFonts w:ascii="Arial" w:cs="Arial" w:eastAsia="Arial" w:hAnsi="Arial"/>
                <w:color w:val="1A1A1A"/>
                <w:sz w:val="19"/>
                <w:szCs w:val="19"/>
              </w:rPr>
              <w:t xml:space="preserve">0</w:t>
            </w:r>
          </w:p>
        </w:tc>
        <w:tc>
          <w:tcPr>
            <w:tcW w:type="dxa" w:w="1392"/>
            <w:tcBorders>
              <w:top w:val="single" w:color="999999" w:sz="1"/>
              <w:left w:val="single" w:color="999999" w:sz="1"/>
              <w:bottom w:val="single" w:color="999999" w:sz="1"/>
              <w:right w:val="single" w:color="999999" w:sz="1"/>
            </w:tcBorders>
            <w:shd w:fill="EDF2F7" w:val="clear"/>
            <w:tcMar>
              <w:top w:type="dxa" w:w="60"/>
              <w:left w:type="dxa" w:w="100"/>
              <w:bottom w:type="dxa" w:w="60"/>
              <w:right w:type="dxa" w:w="100"/>
            </w:tcMar>
            <w:vAlign w:val="center"/>
          </w:tcPr>
          <w:p>
            <w:pPr>
              <w:spacing w:after="0"/>
            </w:pPr>
            <w:r>
              <w:rPr>
                <w:rFonts w:ascii="Arial" w:cs="Arial" w:eastAsia="Arial" w:hAnsi="Arial"/>
                <w:color w:val="1A1A1A"/>
                <w:sz w:val="19"/>
                <w:szCs w:val="19"/>
              </w:rPr>
              <w:t xml:space="preserve">-1.5</w:t>
            </w:r>
          </w:p>
        </w:tc>
        <w:tc>
          <w:tcPr>
            <w:tcW w:type="dxa" w:w="1392"/>
            <w:tcBorders>
              <w:top w:val="single" w:color="999999" w:sz="1"/>
              <w:left w:val="single" w:color="999999" w:sz="1"/>
              <w:bottom w:val="single" w:color="999999" w:sz="1"/>
              <w:right w:val="single" w:color="999999" w:sz="1"/>
            </w:tcBorders>
            <w:shd w:fill="EDF2F7" w:val="clear"/>
            <w:tcMar>
              <w:top w:type="dxa" w:w="60"/>
              <w:left w:type="dxa" w:w="100"/>
              <w:bottom w:type="dxa" w:w="60"/>
              <w:right w:type="dxa" w:w="100"/>
            </w:tcMar>
            <w:vAlign w:val="center"/>
          </w:tcPr>
          <w:p>
            <w:pPr>
              <w:spacing w:after="0"/>
            </w:pPr>
            <w:r>
              <w:rPr>
                <w:rFonts w:ascii="Arial" w:cs="Arial" w:eastAsia="Arial" w:hAnsi="Arial"/>
                <w:color w:val="1A1A1A"/>
                <w:sz w:val="19"/>
                <w:szCs w:val="19"/>
              </w:rPr>
              <w:t xml:space="preserve">-4.0</w:t>
            </w:r>
          </w:p>
        </w:tc>
        <w:tc>
          <w:tcPr>
            <w:tcW w:type="dxa" w:w="1392"/>
            <w:tcBorders>
              <w:top w:val="single" w:color="999999" w:sz="1"/>
              <w:left w:val="single" w:color="999999" w:sz="1"/>
              <w:bottom w:val="single" w:color="999999" w:sz="1"/>
              <w:right w:val="single" w:color="999999" w:sz="1"/>
            </w:tcBorders>
            <w:shd w:fill="EDF2F7" w:val="clear"/>
            <w:tcMar>
              <w:top w:type="dxa" w:w="60"/>
              <w:left w:type="dxa" w:w="100"/>
              <w:bottom w:type="dxa" w:w="60"/>
              <w:right w:type="dxa" w:w="100"/>
            </w:tcMar>
            <w:vAlign w:val="center"/>
          </w:tcPr>
          <w:p>
            <w:pPr>
              <w:spacing w:after="0"/>
            </w:pPr>
            <w:r>
              <w:rPr>
                <w:rFonts w:ascii="Arial" w:cs="Arial" w:eastAsia="Arial" w:hAnsi="Arial"/>
                <w:color w:val="1A1A1A"/>
                <w:sz w:val="19"/>
                <w:szCs w:val="19"/>
              </w:rPr>
              <w:t xml:space="preserve">-6.5</w:t>
            </w:r>
          </w:p>
        </w:tc>
        <w:tc>
          <w:tcPr>
            <w:tcW w:type="dxa" w:w="1392"/>
            <w:tcBorders>
              <w:top w:val="single" w:color="999999" w:sz="1"/>
              <w:left w:val="single" w:color="999999" w:sz="1"/>
              <w:bottom w:val="single" w:color="999999" w:sz="1"/>
              <w:right w:val="single" w:color="999999" w:sz="1"/>
            </w:tcBorders>
            <w:shd w:fill="EDF2F7" w:val="clear"/>
            <w:tcMar>
              <w:top w:type="dxa" w:w="60"/>
              <w:left w:type="dxa" w:w="100"/>
              <w:bottom w:type="dxa" w:w="60"/>
              <w:right w:type="dxa" w:w="100"/>
            </w:tcMar>
            <w:vAlign w:val="center"/>
          </w:tcPr>
          <w:p>
            <w:pPr>
              <w:spacing w:after="0"/>
            </w:pPr>
            <w:r>
              <w:rPr>
                <w:rFonts w:ascii="Arial" w:cs="Arial" w:eastAsia="Arial" w:hAnsi="Arial"/>
                <w:color w:val="1A1A1A"/>
                <w:sz w:val="19"/>
                <w:szCs w:val="19"/>
              </w:rPr>
              <w:t xml:space="preserve">-8.0</w:t>
            </w:r>
          </w:p>
        </w:tc>
      </w:tr>
    </w:tbl>
    <w:p>
      <w:pPr>
        <w:spacing w:after="200"/>
      </w:pPr>
    </w:p>
    <w:p>
      <w:r>
        <w:br w:type="page"/>
      </w:r>
    </w:p>
    <w:p>
      <w:pPr>
        <w:pStyle w:val="Heading2"/>
      </w:pPr>
      <w:r>
        <w:t xml:space="preserve">4.4 Scenario B2: Regulatory Mandate Forces Rapid Catch-Up</w:t>
      </w:r>
    </w:p>
    <w:p>
      <w:pPr>
        <w:pStyle w:val="Heading3"/>
      </w:pPr>
      <w:r>
        <w:t xml:space="preserve">4.4.1 Narrative</w:t>
      </w:r>
    </w:p>
    <w:p>
      <w:pPr>
        <w:spacing w:after="120"/>
      </w:pPr>
      <w:r>
        <w:t xml:space="preserve">Following multiple high-profile demonstrations that AI-enabled compliance and risk management is materially superior to legacy approaches, including significantly lower false negative rates in BSA/AML monitoring, superior fraud detection, and faster and more accurate stress testing and regulatory reporting, prudential regulators begin treating AI adoption as an implicit supervisory expectation for large institutions.</w:t>
      </w:r>
    </w:p>
    <w:p>
      <w:pPr>
        <w:spacing w:after="120"/>
      </w:pPr>
      <w:r>
        <w:t xml:space="preserve">The OCC issues Bulletin 2028-XX establishing that continued reliance on manual, error-prone processes when demonstrably superior AI alternatives exist may constitute an unsafe and unsound practice for institutions above $250 billion in assets. The Federal Reserve incorporates AI-enabled risk management expectations into its Large Financial Institution supervisory program. CCAR/DFAST instructions begin requiring that stress testing models incorporate AI capabilities that are standard among well-managed peer institutions.</w:t>
      </w:r>
    </w:p>
    <w:p>
      <w:pPr>
        <w:spacing w:after="120"/>
      </w:pPr>
      <w:r>
        <w:t xml:space="preserve">A bank that delayed AI adoption must now implement a comprehensive AI transformation under regulatory pressure, faster than originally planned, with less preparation, at higher cost, and with worse talent availability than competitors who moved three to five years earlier. The institution faces: a regulatory remediation timeline of 18-24 months; a talent market where experienced AI professionals are already employed by competitors and command 30-50% premiums to switch to a lagging institution; technology vendor leverage, as AI providers know the institution is under regulatory pressure and price accordingly; organizational resistance from employees who have not been prepared for the cultural transformation; and competitive damage from being publicly identified as behind on technology.</w:t>
      </w:r>
    </w:p>
    <w:p>
      <w:pPr>
        <w:spacing w:after="120"/>
      </w:pPr>
      <w:r>
        <w:t xml:space="preserve">The forced catch-up attempt produces higher costs and lower returns than peer institutions achieved through planned transformation. Implementation risks are elevated because the timeline is compressed. Key person risk is acute because the AI talent pool is thin. And the institution must simultaneously manage the perception among regulators that it is now a supervisory concern on technology risk.</w:t>
      </w:r>
    </w:p>
    <w:p>
      <w:pPr>
        <w:pStyle w:val="Heading3"/>
      </w:pPr>
      <w:r>
        <w:t xml:space="preserve">4.4.2 Quantified Variable Paths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640"/>
        <w:gridCol w:w="1640"/>
        <w:gridCol w:w="1640"/>
        <w:gridCol w:w="1640"/>
      </w:tblGrid>
      <w:tr>
        <w:tc>
          <w:tcPr>
            <w:tcW w:type="dxa" w:w="2800"/>
            <w:tcBorders>
              <w:top w:val="single" w:color="999999" w:sz="1"/>
              <w:left w:val="single" w:color="999999" w:sz="1"/>
              <w:bottom w:val="single" w:color="999999" w:sz="1"/>
              <w:right w:val="single" w:color="999999"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20"/>
                <w:szCs w:val="20"/>
              </w:rPr>
              <w:t xml:space="preserve">Variable</w:t>
            </w:r>
          </w:p>
        </w:tc>
        <w:tc>
          <w:tcPr>
            <w:tcW w:type="dxa" w:w="1640"/>
            <w:tcBorders>
              <w:top w:val="single" w:color="999999" w:sz="1"/>
              <w:left w:val="single" w:color="999999" w:sz="1"/>
              <w:bottom w:val="single" w:color="999999" w:sz="1"/>
              <w:right w:val="single" w:color="999999"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20"/>
                <w:szCs w:val="20"/>
              </w:rPr>
              <w:t xml:space="preserve">Baseline</w:t>
            </w:r>
          </w:p>
        </w:tc>
        <w:tc>
          <w:tcPr>
            <w:tcW w:type="dxa" w:w="1640"/>
            <w:tcBorders>
              <w:top w:val="single" w:color="999999" w:sz="1"/>
              <w:left w:val="single" w:color="999999" w:sz="1"/>
              <w:bottom w:val="single" w:color="999999" w:sz="1"/>
              <w:right w:val="single" w:color="999999"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20"/>
                <w:szCs w:val="20"/>
              </w:rPr>
              <w:t xml:space="preserve">Year 1 (mandate)</w:t>
            </w:r>
          </w:p>
        </w:tc>
        <w:tc>
          <w:tcPr>
            <w:tcW w:type="dxa" w:w="1640"/>
            <w:tcBorders>
              <w:top w:val="single" w:color="999999" w:sz="1"/>
              <w:left w:val="single" w:color="999999" w:sz="1"/>
              <w:bottom w:val="single" w:color="999999" w:sz="1"/>
              <w:right w:val="single" w:color="999999"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20"/>
                <w:szCs w:val="20"/>
              </w:rPr>
              <w:t xml:space="preserve">Year 3</w:t>
            </w:r>
          </w:p>
        </w:tc>
        <w:tc>
          <w:tcPr>
            <w:tcW w:type="dxa" w:w="1640"/>
            <w:tcBorders>
              <w:top w:val="single" w:color="999999" w:sz="1"/>
              <w:left w:val="single" w:color="999999" w:sz="1"/>
              <w:bottom w:val="single" w:color="999999" w:sz="1"/>
              <w:right w:val="single" w:color="999999"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20"/>
                <w:szCs w:val="20"/>
              </w:rPr>
              <w:t xml:space="preserve">Year 5</w:t>
            </w:r>
          </w:p>
        </w:tc>
      </w:tr>
      <w:tr>
        <w:tc>
          <w:tcPr>
            <w:tcW w:type="dxa" w:w="28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Arial" w:cs="Arial" w:eastAsia="Arial" w:hAnsi="Arial"/>
                <w:color w:val="1A1A1A"/>
                <w:sz w:val="19"/>
                <w:szCs w:val="19"/>
              </w:rPr>
              <w:t xml:space="preserve">Emergency Tech Investment ($B/yr)</w:t>
            </w:r>
          </w:p>
        </w:tc>
        <w:tc>
          <w:tcPr>
            <w:tcW w:type="dxa" w:w="164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Arial" w:cs="Arial" w:eastAsia="Arial" w:hAnsi="Arial"/>
                <w:color w:val="1A1A1A"/>
                <w:sz w:val="19"/>
                <w:szCs w:val="19"/>
              </w:rPr>
              <w:t xml:space="preserve">3.0</w:t>
            </w:r>
          </w:p>
        </w:tc>
        <w:tc>
          <w:tcPr>
            <w:tcW w:type="dxa" w:w="164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Arial" w:cs="Arial" w:eastAsia="Arial" w:hAnsi="Arial"/>
                <w:color w:val="1A1A1A"/>
                <w:sz w:val="19"/>
                <w:szCs w:val="19"/>
              </w:rPr>
              <w:t xml:space="preserve">6.0 (+100%)</w:t>
            </w:r>
          </w:p>
        </w:tc>
        <w:tc>
          <w:tcPr>
            <w:tcW w:type="dxa" w:w="164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Arial" w:cs="Arial" w:eastAsia="Arial" w:hAnsi="Arial"/>
                <w:color w:val="1A1A1A"/>
                <w:sz w:val="19"/>
                <w:szCs w:val="19"/>
              </w:rPr>
              <w:t xml:space="preserve">7.5 (+150%)</w:t>
            </w:r>
          </w:p>
        </w:tc>
        <w:tc>
          <w:tcPr>
            <w:tcW w:type="dxa" w:w="164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Arial" w:cs="Arial" w:eastAsia="Arial" w:hAnsi="Arial"/>
                <w:color w:val="1A1A1A"/>
                <w:sz w:val="19"/>
                <w:szCs w:val="19"/>
              </w:rPr>
              <w:t xml:space="preserve">5.5 (+83%)</w:t>
            </w:r>
          </w:p>
        </w:tc>
      </w:tr>
      <w:tr>
        <w:tc>
          <w:tcPr>
            <w:tcW w:type="dxa" w:w="2800"/>
            <w:tcBorders>
              <w:top w:val="single" w:color="999999" w:sz="1"/>
              <w:left w:val="single" w:color="999999" w:sz="1"/>
              <w:bottom w:val="single" w:color="999999" w:sz="1"/>
              <w:right w:val="single" w:color="999999" w:sz="1"/>
            </w:tcBorders>
            <w:shd w:fill="EDF2F7" w:val="clear"/>
            <w:tcMar>
              <w:top w:type="dxa" w:w="60"/>
              <w:left w:type="dxa" w:w="100"/>
              <w:bottom w:type="dxa" w:w="60"/>
              <w:right w:type="dxa" w:w="100"/>
            </w:tcMar>
            <w:vAlign w:val="center"/>
          </w:tcPr>
          <w:p>
            <w:pPr>
              <w:spacing w:after="0"/>
            </w:pPr>
            <w:r>
              <w:rPr>
                <w:rFonts w:ascii="Arial" w:cs="Arial" w:eastAsia="Arial" w:hAnsi="Arial"/>
                <w:color w:val="1A1A1A"/>
                <w:sz w:val="19"/>
                <w:szCs w:val="19"/>
              </w:rPr>
              <w:t xml:space="preserve">Cost Premium vs. Early Movers</w:t>
            </w:r>
          </w:p>
        </w:tc>
        <w:tc>
          <w:tcPr>
            <w:tcW w:type="dxa" w:w="1640"/>
            <w:tcBorders>
              <w:top w:val="single" w:color="999999" w:sz="1"/>
              <w:left w:val="single" w:color="999999" w:sz="1"/>
              <w:bottom w:val="single" w:color="999999" w:sz="1"/>
              <w:right w:val="single" w:color="999999" w:sz="1"/>
            </w:tcBorders>
            <w:shd w:fill="EDF2F7" w:val="clear"/>
            <w:tcMar>
              <w:top w:type="dxa" w:w="60"/>
              <w:left w:type="dxa" w:w="100"/>
              <w:bottom w:type="dxa" w:w="60"/>
              <w:right w:type="dxa" w:w="100"/>
            </w:tcMar>
            <w:vAlign w:val="center"/>
          </w:tcPr>
          <w:p>
            <w:pPr>
              <w:spacing w:after="0"/>
            </w:pPr>
            <w:r>
              <w:rPr>
                <w:rFonts w:ascii="Arial" w:cs="Arial" w:eastAsia="Arial" w:hAnsi="Arial"/>
                <w:color w:val="1A1A1A"/>
                <w:sz w:val="19"/>
                <w:szCs w:val="19"/>
              </w:rPr>
              <w:t xml:space="preserve">N/A</w:t>
            </w:r>
          </w:p>
        </w:tc>
        <w:tc>
          <w:tcPr>
            <w:tcW w:type="dxa" w:w="1640"/>
            <w:tcBorders>
              <w:top w:val="single" w:color="999999" w:sz="1"/>
              <w:left w:val="single" w:color="999999" w:sz="1"/>
              <w:bottom w:val="single" w:color="999999" w:sz="1"/>
              <w:right w:val="single" w:color="999999" w:sz="1"/>
            </w:tcBorders>
            <w:shd w:fill="EDF2F7" w:val="clear"/>
            <w:tcMar>
              <w:top w:type="dxa" w:w="60"/>
              <w:left w:type="dxa" w:w="100"/>
              <w:bottom w:type="dxa" w:w="60"/>
              <w:right w:type="dxa" w:w="100"/>
            </w:tcMar>
            <w:vAlign w:val="center"/>
          </w:tcPr>
          <w:p>
            <w:pPr>
              <w:spacing w:after="0"/>
            </w:pPr>
            <w:r>
              <w:rPr>
                <w:rFonts w:ascii="Arial" w:cs="Arial" w:eastAsia="Arial" w:hAnsi="Arial"/>
                <w:color w:val="1A1A1A"/>
                <w:sz w:val="19"/>
                <w:szCs w:val="19"/>
              </w:rPr>
              <w:t xml:space="preserve">+35%</w:t>
            </w:r>
          </w:p>
        </w:tc>
        <w:tc>
          <w:tcPr>
            <w:tcW w:type="dxa" w:w="1640"/>
            <w:tcBorders>
              <w:top w:val="single" w:color="999999" w:sz="1"/>
              <w:left w:val="single" w:color="999999" w:sz="1"/>
              <w:bottom w:val="single" w:color="999999" w:sz="1"/>
              <w:right w:val="single" w:color="999999" w:sz="1"/>
            </w:tcBorders>
            <w:shd w:fill="EDF2F7" w:val="clear"/>
            <w:tcMar>
              <w:top w:type="dxa" w:w="60"/>
              <w:left w:type="dxa" w:w="100"/>
              <w:bottom w:type="dxa" w:w="60"/>
              <w:right w:type="dxa" w:w="100"/>
            </w:tcMar>
            <w:vAlign w:val="center"/>
          </w:tcPr>
          <w:p>
            <w:pPr>
              <w:spacing w:after="0"/>
            </w:pPr>
            <w:r>
              <w:rPr>
                <w:rFonts w:ascii="Arial" w:cs="Arial" w:eastAsia="Arial" w:hAnsi="Arial"/>
                <w:color w:val="1A1A1A"/>
                <w:sz w:val="19"/>
                <w:szCs w:val="19"/>
              </w:rPr>
              <w:t xml:space="preserve">+45%</w:t>
            </w:r>
          </w:p>
        </w:tc>
        <w:tc>
          <w:tcPr>
            <w:tcW w:type="dxa" w:w="1640"/>
            <w:tcBorders>
              <w:top w:val="single" w:color="999999" w:sz="1"/>
              <w:left w:val="single" w:color="999999" w:sz="1"/>
              <w:bottom w:val="single" w:color="999999" w:sz="1"/>
              <w:right w:val="single" w:color="999999" w:sz="1"/>
            </w:tcBorders>
            <w:shd w:fill="EDF2F7" w:val="clear"/>
            <w:tcMar>
              <w:top w:type="dxa" w:w="60"/>
              <w:left w:type="dxa" w:w="100"/>
              <w:bottom w:type="dxa" w:w="60"/>
              <w:right w:type="dxa" w:w="100"/>
            </w:tcMar>
            <w:vAlign w:val="center"/>
          </w:tcPr>
          <w:p>
            <w:pPr>
              <w:spacing w:after="0"/>
            </w:pPr>
            <w:r>
              <w:rPr>
                <w:rFonts w:ascii="Arial" w:cs="Arial" w:eastAsia="Arial" w:hAnsi="Arial"/>
                <w:color w:val="1A1A1A"/>
                <w:sz w:val="19"/>
                <w:szCs w:val="19"/>
              </w:rPr>
              <w:t xml:space="preserve">+25%</w:t>
            </w:r>
          </w:p>
        </w:tc>
      </w:tr>
      <w:tr>
        <w:tc>
          <w:tcPr>
            <w:tcW w:type="dxa" w:w="28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Arial" w:cs="Arial" w:eastAsia="Arial" w:hAnsi="Arial"/>
                <w:color w:val="1A1A1A"/>
                <w:sz w:val="19"/>
                <w:szCs w:val="19"/>
              </w:rPr>
              <w:t xml:space="preserve">Implementation Success Rate</w:t>
            </w:r>
          </w:p>
        </w:tc>
        <w:tc>
          <w:tcPr>
            <w:tcW w:type="dxa" w:w="164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Arial" w:cs="Arial" w:eastAsia="Arial" w:hAnsi="Arial"/>
                <w:color w:val="1A1A1A"/>
                <w:sz w:val="19"/>
                <w:szCs w:val="19"/>
              </w:rPr>
              <w:t xml:space="preserve">N/A</w:t>
            </w:r>
          </w:p>
        </w:tc>
        <w:tc>
          <w:tcPr>
            <w:tcW w:type="dxa" w:w="164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Arial" w:cs="Arial" w:eastAsia="Arial" w:hAnsi="Arial"/>
                <w:color w:val="1A1A1A"/>
                <w:sz w:val="19"/>
                <w:szCs w:val="19"/>
              </w:rPr>
              <w:t xml:space="preserve">55%</w:t>
            </w:r>
          </w:p>
        </w:tc>
        <w:tc>
          <w:tcPr>
            <w:tcW w:type="dxa" w:w="164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Arial" w:cs="Arial" w:eastAsia="Arial" w:hAnsi="Arial"/>
                <w:color w:val="1A1A1A"/>
                <w:sz w:val="19"/>
                <w:szCs w:val="19"/>
              </w:rPr>
              <w:t xml:space="preserve">70%</w:t>
            </w:r>
          </w:p>
        </w:tc>
        <w:tc>
          <w:tcPr>
            <w:tcW w:type="dxa" w:w="164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Arial" w:cs="Arial" w:eastAsia="Arial" w:hAnsi="Arial"/>
                <w:color w:val="1A1A1A"/>
                <w:sz w:val="19"/>
                <w:szCs w:val="19"/>
              </w:rPr>
              <w:t xml:space="preserve">82%</w:t>
            </w:r>
          </w:p>
        </w:tc>
      </w:tr>
      <w:tr>
        <w:tc>
          <w:tcPr>
            <w:tcW w:type="dxa" w:w="2800"/>
            <w:tcBorders>
              <w:top w:val="single" w:color="999999" w:sz="1"/>
              <w:left w:val="single" w:color="999999" w:sz="1"/>
              <w:bottom w:val="single" w:color="999999" w:sz="1"/>
              <w:right w:val="single" w:color="999999" w:sz="1"/>
            </w:tcBorders>
            <w:shd w:fill="EDF2F7" w:val="clear"/>
            <w:tcMar>
              <w:top w:type="dxa" w:w="60"/>
              <w:left w:type="dxa" w:w="100"/>
              <w:bottom w:type="dxa" w:w="60"/>
              <w:right w:type="dxa" w:w="100"/>
            </w:tcMar>
            <w:vAlign w:val="center"/>
          </w:tcPr>
          <w:p>
            <w:pPr>
              <w:spacing w:after="0"/>
            </w:pPr>
            <w:r>
              <w:rPr>
                <w:rFonts w:ascii="Arial" w:cs="Arial" w:eastAsia="Arial" w:hAnsi="Arial"/>
                <w:color w:val="1A1A1A"/>
                <w:sz w:val="19"/>
                <w:szCs w:val="19"/>
              </w:rPr>
              <w:t xml:space="preserve">Peer Implementation Success Rate</w:t>
            </w:r>
          </w:p>
        </w:tc>
        <w:tc>
          <w:tcPr>
            <w:tcW w:type="dxa" w:w="1640"/>
            <w:tcBorders>
              <w:top w:val="single" w:color="999999" w:sz="1"/>
              <w:left w:val="single" w:color="999999" w:sz="1"/>
              <w:bottom w:val="single" w:color="999999" w:sz="1"/>
              <w:right w:val="single" w:color="999999" w:sz="1"/>
            </w:tcBorders>
            <w:shd w:fill="EDF2F7" w:val="clear"/>
            <w:tcMar>
              <w:top w:type="dxa" w:w="60"/>
              <w:left w:type="dxa" w:w="100"/>
              <w:bottom w:type="dxa" w:w="60"/>
              <w:right w:type="dxa" w:w="100"/>
            </w:tcMar>
            <w:vAlign w:val="center"/>
          </w:tcPr>
          <w:p>
            <w:pPr>
              <w:spacing w:after="0"/>
            </w:pPr>
            <w:r>
              <w:rPr>
                <w:rFonts w:ascii="Arial" w:cs="Arial" w:eastAsia="Arial" w:hAnsi="Arial"/>
                <w:color w:val="1A1A1A"/>
                <w:sz w:val="19"/>
                <w:szCs w:val="19"/>
              </w:rPr>
              <w:t xml:space="preserve">N/A</w:t>
            </w:r>
          </w:p>
        </w:tc>
        <w:tc>
          <w:tcPr>
            <w:tcW w:type="dxa" w:w="1640"/>
            <w:tcBorders>
              <w:top w:val="single" w:color="999999" w:sz="1"/>
              <w:left w:val="single" w:color="999999" w:sz="1"/>
              <w:bottom w:val="single" w:color="999999" w:sz="1"/>
              <w:right w:val="single" w:color="999999" w:sz="1"/>
            </w:tcBorders>
            <w:shd w:fill="EDF2F7" w:val="clear"/>
            <w:tcMar>
              <w:top w:type="dxa" w:w="60"/>
              <w:left w:type="dxa" w:w="100"/>
              <w:bottom w:type="dxa" w:w="60"/>
              <w:right w:type="dxa" w:w="100"/>
            </w:tcMar>
            <w:vAlign w:val="center"/>
          </w:tcPr>
          <w:p>
            <w:pPr>
              <w:spacing w:after="0"/>
            </w:pPr>
            <w:r>
              <w:rPr>
                <w:rFonts w:ascii="Arial" w:cs="Arial" w:eastAsia="Arial" w:hAnsi="Arial"/>
                <w:color w:val="1A1A1A"/>
                <w:sz w:val="19"/>
                <w:szCs w:val="19"/>
              </w:rPr>
              <w:t xml:space="preserve">85%</w:t>
            </w:r>
          </w:p>
        </w:tc>
        <w:tc>
          <w:tcPr>
            <w:tcW w:type="dxa" w:w="1640"/>
            <w:tcBorders>
              <w:top w:val="single" w:color="999999" w:sz="1"/>
              <w:left w:val="single" w:color="999999" w:sz="1"/>
              <w:bottom w:val="single" w:color="999999" w:sz="1"/>
              <w:right w:val="single" w:color="999999" w:sz="1"/>
            </w:tcBorders>
            <w:shd w:fill="EDF2F7" w:val="clear"/>
            <w:tcMar>
              <w:top w:type="dxa" w:w="60"/>
              <w:left w:type="dxa" w:w="100"/>
              <w:bottom w:type="dxa" w:w="60"/>
              <w:right w:type="dxa" w:w="100"/>
            </w:tcMar>
            <w:vAlign w:val="center"/>
          </w:tcPr>
          <w:p>
            <w:pPr>
              <w:spacing w:after="0"/>
            </w:pPr>
            <w:r>
              <w:rPr>
                <w:rFonts w:ascii="Arial" w:cs="Arial" w:eastAsia="Arial" w:hAnsi="Arial"/>
                <w:color w:val="1A1A1A"/>
                <w:sz w:val="19"/>
                <w:szCs w:val="19"/>
              </w:rPr>
              <w:t xml:space="preserve">90%</w:t>
            </w:r>
          </w:p>
        </w:tc>
        <w:tc>
          <w:tcPr>
            <w:tcW w:type="dxa" w:w="1640"/>
            <w:tcBorders>
              <w:top w:val="single" w:color="999999" w:sz="1"/>
              <w:left w:val="single" w:color="999999" w:sz="1"/>
              <w:bottom w:val="single" w:color="999999" w:sz="1"/>
              <w:right w:val="single" w:color="999999" w:sz="1"/>
            </w:tcBorders>
            <w:shd w:fill="EDF2F7" w:val="clear"/>
            <w:tcMar>
              <w:top w:type="dxa" w:w="60"/>
              <w:left w:type="dxa" w:w="100"/>
              <w:bottom w:type="dxa" w:w="60"/>
              <w:right w:type="dxa" w:w="100"/>
            </w:tcMar>
            <w:vAlign w:val="center"/>
          </w:tcPr>
          <w:p>
            <w:pPr>
              <w:spacing w:after="0"/>
            </w:pPr>
            <w:r>
              <w:rPr>
                <w:rFonts w:ascii="Arial" w:cs="Arial" w:eastAsia="Arial" w:hAnsi="Arial"/>
                <w:color w:val="1A1A1A"/>
                <w:sz w:val="19"/>
                <w:szCs w:val="19"/>
              </w:rPr>
              <w:t xml:space="preserve">92%</w:t>
            </w:r>
          </w:p>
        </w:tc>
      </w:tr>
      <w:tr>
        <w:tc>
          <w:tcPr>
            <w:tcW w:type="dxa" w:w="28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Arial" w:cs="Arial" w:eastAsia="Arial" w:hAnsi="Arial"/>
                <w:color w:val="1A1A1A"/>
                <w:sz w:val="19"/>
                <w:szCs w:val="19"/>
              </w:rPr>
              <w:t xml:space="preserve">Regulatory Actions</w:t>
            </w:r>
          </w:p>
        </w:tc>
        <w:tc>
          <w:tcPr>
            <w:tcW w:type="dxa" w:w="164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Arial" w:cs="Arial" w:eastAsia="Arial" w:hAnsi="Arial"/>
                <w:color w:val="1A1A1A"/>
                <w:sz w:val="19"/>
                <w:szCs w:val="19"/>
              </w:rPr>
              <w:t xml:space="preserve">None</w:t>
            </w:r>
          </w:p>
        </w:tc>
        <w:tc>
          <w:tcPr>
            <w:tcW w:type="dxa" w:w="164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Arial" w:cs="Arial" w:eastAsia="Arial" w:hAnsi="Arial"/>
                <w:color w:val="1A1A1A"/>
                <w:sz w:val="19"/>
                <w:szCs w:val="19"/>
              </w:rPr>
              <w:t xml:space="preserve">MRA/MRIA</w:t>
            </w:r>
          </w:p>
        </w:tc>
        <w:tc>
          <w:tcPr>
            <w:tcW w:type="dxa" w:w="164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Arial" w:cs="Arial" w:eastAsia="Arial" w:hAnsi="Arial"/>
                <w:color w:val="1A1A1A"/>
                <w:sz w:val="19"/>
                <w:szCs w:val="19"/>
              </w:rPr>
              <w:t xml:space="preserve">Enhanced monitoring</w:t>
            </w:r>
          </w:p>
        </w:tc>
        <w:tc>
          <w:tcPr>
            <w:tcW w:type="dxa" w:w="164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Arial" w:cs="Arial" w:eastAsia="Arial" w:hAnsi="Arial"/>
                <w:color w:val="1A1A1A"/>
                <w:sz w:val="19"/>
                <w:szCs w:val="19"/>
              </w:rPr>
              <w:t xml:space="preserve">Gradually resolved</w:t>
            </w:r>
          </w:p>
        </w:tc>
      </w:tr>
      <w:tr>
        <w:tc>
          <w:tcPr>
            <w:tcW w:type="dxa" w:w="2800"/>
            <w:tcBorders>
              <w:top w:val="single" w:color="999999" w:sz="1"/>
              <w:left w:val="single" w:color="999999" w:sz="1"/>
              <w:bottom w:val="single" w:color="999999" w:sz="1"/>
              <w:right w:val="single" w:color="999999" w:sz="1"/>
            </w:tcBorders>
            <w:shd w:fill="EDF2F7" w:val="clear"/>
            <w:tcMar>
              <w:top w:type="dxa" w:w="60"/>
              <w:left w:type="dxa" w:w="100"/>
              <w:bottom w:type="dxa" w:w="60"/>
              <w:right w:type="dxa" w:w="100"/>
            </w:tcMar>
            <w:vAlign w:val="center"/>
          </w:tcPr>
          <w:p>
            <w:pPr>
              <w:spacing w:after="0"/>
            </w:pPr>
            <w:r>
              <w:rPr>
                <w:rFonts w:ascii="Arial" w:cs="Arial" w:eastAsia="Arial" w:hAnsi="Arial"/>
                <w:color w:val="1A1A1A"/>
                <w:sz w:val="19"/>
                <w:szCs w:val="19"/>
              </w:rPr>
              <w:t xml:space="preserve">Efficiency Ratio</w:t>
            </w:r>
          </w:p>
        </w:tc>
        <w:tc>
          <w:tcPr>
            <w:tcW w:type="dxa" w:w="1640"/>
            <w:tcBorders>
              <w:top w:val="single" w:color="999999" w:sz="1"/>
              <w:left w:val="single" w:color="999999" w:sz="1"/>
              <w:bottom w:val="single" w:color="999999" w:sz="1"/>
              <w:right w:val="single" w:color="999999" w:sz="1"/>
            </w:tcBorders>
            <w:shd w:fill="EDF2F7" w:val="clear"/>
            <w:tcMar>
              <w:top w:type="dxa" w:w="60"/>
              <w:left w:type="dxa" w:w="100"/>
              <w:bottom w:type="dxa" w:w="60"/>
              <w:right w:type="dxa" w:w="100"/>
            </w:tcMar>
            <w:vAlign w:val="center"/>
          </w:tcPr>
          <w:p>
            <w:pPr>
              <w:spacing w:after="0"/>
            </w:pPr>
            <w:r>
              <w:rPr>
                <w:rFonts w:ascii="Arial" w:cs="Arial" w:eastAsia="Arial" w:hAnsi="Arial"/>
                <w:color w:val="1A1A1A"/>
                <w:sz w:val="19"/>
                <w:szCs w:val="19"/>
              </w:rPr>
              <w:t xml:space="preserve">63%</w:t>
            </w:r>
          </w:p>
        </w:tc>
        <w:tc>
          <w:tcPr>
            <w:tcW w:type="dxa" w:w="1640"/>
            <w:tcBorders>
              <w:top w:val="single" w:color="999999" w:sz="1"/>
              <w:left w:val="single" w:color="999999" w:sz="1"/>
              <w:bottom w:val="single" w:color="999999" w:sz="1"/>
              <w:right w:val="single" w:color="999999" w:sz="1"/>
            </w:tcBorders>
            <w:shd w:fill="EDF2F7" w:val="clear"/>
            <w:tcMar>
              <w:top w:type="dxa" w:w="60"/>
              <w:left w:type="dxa" w:w="100"/>
              <w:bottom w:type="dxa" w:w="60"/>
              <w:right w:type="dxa" w:w="100"/>
            </w:tcMar>
            <w:vAlign w:val="center"/>
          </w:tcPr>
          <w:p>
            <w:pPr>
              <w:spacing w:after="0"/>
            </w:pPr>
            <w:r>
              <w:rPr>
                <w:rFonts w:ascii="Arial" w:cs="Arial" w:eastAsia="Arial" w:hAnsi="Arial"/>
                <w:color w:val="1A1A1A"/>
                <w:sz w:val="19"/>
                <w:szCs w:val="19"/>
              </w:rPr>
              <w:t xml:space="preserve">67%</w:t>
            </w:r>
          </w:p>
        </w:tc>
        <w:tc>
          <w:tcPr>
            <w:tcW w:type="dxa" w:w="1640"/>
            <w:tcBorders>
              <w:top w:val="single" w:color="999999" w:sz="1"/>
              <w:left w:val="single" w:color="999999" w:sz="1"/>
              <w:bottom w:val="single" w:color="999999" w:sz="1"/>
              <w:right w:val="single" w:color="999999" w:sz="1"/>
            </w:tcBorders>
            <w:shd w:fill="EDF2F7" w:val="clear"/>
            <w:tcMar>
              <w:top w:type="dxa" w:w="60"/>
              <w:left w:type="dxa" w:w="100"/>
              <w:bottom w:type="dxa" w:w="60"/>
              <w:right w:type="dxa" w:w="100"/>
            </w:tcMar>
            <w:vAlign w:val="center"/>
          </w:tcPr>
          <w:p>
            <w:pPr>
              <w:spacing w:after="0"/>
            </w:pPr>
            <w:r>
              <w:rPr>
                <w:rFonts w:ascii="Arial" w:cs="Arial" w:eastAsia="Arial" w:hAnsi="Arial"/>
                <w:color w:val="1A1A1A"/>
                <w:sz w:val="19"/>
                <w:szCs w:val="19"/>
              </w:rPr>
              <w:t xml:space="preserve">64%</w:t>
            </w:r>
          </w:p>
        </w:tc>
        <w:tc>
          <w:tcPr>
            <w:tcW w:type="dxa" w:w="1640"/>
            <w:tcBorders>
              <w:top w:val="single" w:color="999999" w:sz="1"/>
              <w:left w:val="single" w:color="999999" w:sz="1"/>
              <w:bottom w:val="single" w:color="999999" w:sz="1"/>
              <w:right w:val="single" w:color="999999" w:sz="1"/>
            </w:tcBorders>
            <w:shd w:fill="EDF2F7" w:val="clear"/>
            <w:tcMar>
              <w:top w:type="dxa" w:w="60"/>
              <w:left w:type="dxa" w:w="100"/>
              <w:bottom w:type="dxa" w:w="60"/>
              <w:right w:type="dxa" w:w="100"/>
            </w:tcMar>
            <w:vAlign w:val="center"/>
          </w:tcPr>
          <w:p>
            <w:pPr>
              <w:spacing w:after="0"/>
            </w:pPr>
            <w:r>
              <w:rPr>
                <w:rFonts w:ascii="Arial" w:cs="Arial" w:eastAsia="Arial" w:hAnsi="Arial"/>
                <w:color w:val="1A1A1A"/>
                <w:sz w:val="19"/>
                <w:szCs w:val="19"/>
              </w:rPr>
              <w:t xml:space="preserve">59%</w:t>
            </w:r>
          </w:p>
        </w:tc>
      </w:tr>
      <w:tr>
        <w:tc>
          <w:tcPr>
            <w:tcW w:type="dxa" w:w="28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Arial" w:cs="Arial" w:eastAsia="Arial" w:hAnsi="Arial"/>
                <w:color w:val="1A1A1A"/>
                <w:sz w:val="19"/>
                <w:szCs w:val="19"/>
              </w:rPr>
              <w:t xml:space="preserve">Stock Price Impact</w:t>
            </w:r>
          </w:p>
        </w:tc>
        <w:tc>
          <w:tcPr>
            <w:tcW w:type="dxa" w:w="164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Arial" w:cs="Arial" w:eastAsia="Arial" w:hAnsi="Arial"/>
                <w:color w:val="1A1A1A"/>
                <w:sz w:val="19"/>
                <w:szCs w:val="19"/>
              </w:rPr>
              <w:t xml:space="preserve">Baseline</w:t>
            </w:r>
          </w:p>
        </w:tc>
        <w:tc>
          <w:tcPr>
            <w:tcW w:type="dxa" w:w="164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Arial" w:cs="Arial" w:eastAsia="Arial" w:hAnsi="Arial"/>
                <w:color w:val="1A1A1A"/>
                <w:sz w:val="19"/>
                <w:szCs w:val="19"/>
              </w:rPr>
              <w:t xml:space="preserve">-15%</w:t>
            </w:r>
          </w:p>
        </w:tc>
        <w:tc>
          <w:tcPr>
            <w:tcW w:type="dxa" w:w="164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Arial" w:cs="Arial" w:eastAsia="Arial" w:hAnsi="Arial"/>
                <w:color w:val="1A1A1A"/>
                <w:sz w:val="19"/>
                <w:szCs w:val="19"/>
              </w:rPr>
              <w:t xml:space="preserve">-20%</w:t>
            </w:r>
          </w:p>
        </w:tc>
        <w:tc>
          <w:tcPr>
            <w:tcW w:type="dxa" w:w="164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Arial" w:cs="Arial" w:eastAsia="Arial" w:hAnsi="Arial"/>
                <w:color w:val="1A1A1A"/>
                <w:sz w:val="19"/>
                <w:szCs w:val="19"/>
              </w:rPr>
              <w:t xml:space="preserve">-10%</w:t>
            </w:r>
          </w:p>
        </w:tc>
      </w:tr>
      <w:tr>
        <w:tc>
          <w:tcPr>
            <w:tcW w:type="dxa" w:w="2800"/>
            <w:tcBorders>
              <w:top w:val="single" w:color="999999" w:sz="1"/>
              <w:left w:val="single" w:color="999999" w:sz="1"/>
              <w:bottom w:val="single" w:color="999999" w:sz="1"/>
              <w:right w:val="single" w:color="999999" w:sz="1"/>
            </w:tcBorders>
            <w:shd w:fill="EDF2F7" w:val="clear"/>
            <w:tcMar>
              <w:top w:type="dxa" w:w="60"/>
              <w:left w:type="dxa" w:w="100"/>
              <w:bottom w:type="dxa" w:w="60"/>
              <w:right w:type="dxa" w:w="100"/>
            </w:tcMar>
            <w:vAlign w:val="center"/>
          </w:tcPr>
          <w:p>
            <w:pPr>
              <w:spacing w:after="0"/>
            </w:pPr>
            <w:r>
              <w:rPr>
                <w:rFonts w:ascii="Arial" w:cs="Arial" w:eastAsia="Arial" w:hAnsi="Arial"/>
                <w:color w:val="1A1A1A"/>
                <w:sz w:val="19"/>
                <w:szCs w:val="19"/>
              </w:rPr>
              <w:t xml:space="preserve">Pre-Tax Income Impact ($M/yr)</w:t>
            </w:r>
          </w:p>
        </w:tc>
        <w:tc>
          <w:tcPr>
            <w:tcW w:type="dxa" w:w="1640"/>
            <w:tcBorders>
              <w:top w:val="single" w:color="999999" w:sz="1"/>
              <w:left w:val="single" w:color="999999" w:sz="1"/>
              <w:bottom w:val="single" w:color="999999" w:sz="1"/>
              <w:right w:val="single" w:color="999999" w:sz="1"/>
            </w:tcBorders>
            <w:shd w:fill="EDF2F7" w:val="clear"/>
            <w:tcMar>
              <w:top w:type="dxa" w:w="60"/>
              <w:left w:type="dxa" w:w="100"/>
              <w:bottom w:type="dxa" w:w="60"/>
              <w:right w:type="dxa" w:w="100"/>
            </w:tcMar>
            <w:vAlign w:val="center"/>
          </w:tcPr>
          <w:p>
            <w:pPr>
              <w:spacing w:after="0"/>
            </w:pPr>
            <w:r>
              <w:rPr>
                <w:rFonts w:ascii="Arial" w:cs="Arial" w:eastAsia="Arial" w:hAnsi="Arial"/>
                <w:color w:val="1A1A1A"/>
                <w:sz w:val="19"/>
                <w:szCs w:val="19"/>
              </w:rPr>
              <w:t xml:space="preserve">0</w:t>
            </w:r>
          </w:p>
        </w:tc>
        <w:tc>
          <w:tcPr>
            <w:tcW w:type="dxa" w:w="1640"/>
            <w:tcBorders>
              <w:top w:val="single" w:color="999999" w:sz="1"/>
              <w:left w:val="single" w:color="999999" w:sz="1"/>
              <w:bottom w:val="single" w:color="999999" w:sz="1"/>
              <w:right w:val="single" w:color="999999" w:sz="1"/>
            </w:tcBorders>
            <w:shd w:fill="EDF2F7" w:val="clear"/>
            <w:tcMar>
              <w:top w:type="dxa" w:w="60"/>
              <w:left w:type="dxa" w:w="100"/>
              <w:bottom w:type="dxa" w:w="60"/>
              <w:right w:type="dxa" w:w="100"/>
            </w:tcMar>
            <w:vAlign w:val="center"/>
          </w:tcPr>
          <w:p>
            <w:pPr>
              <w:spacing w:after="0"/>
            </w:pPr>
            <w:r>
              <w:rPr>
                <w:rFonts w:ascii="Arial" w:cs="Arial" w:eastAsia="Arial" w:hAnsi="Arial"/>
                <w:color w:val="1A1A1A"/>
                <w:sz w:val="19"/>
                <w:szCs w:val="19"/>
              </w:rPr>
              <w:t xml:space="preserve">-2,500</w:t>
            </w:r>
          </w:p>
        </w:tc>
        <w:tc>
          <w:tcPr>
            <w:tcW w:type="dxa" w:w="1640"/>
            <w:tcBorders>
              <w:top w:val="single" w:color="999999" w:sz="1"/>
              <w:left w:val="single" w:color="999999" w:sz="1"/>
              <w:bottom w:val="single" w:color="999999" w:sz="1"/>
              <w:right w:val="single" w:color="999999" w:sz="1"/>
            </w:tcBorders>
            <w:shd w:fill="EDF2F7" w:val="clear"/>
            <w:tcMar>
              <w:top w:type="dxa" w:w="60"/>
              <w:left w:type="dxa" w:w="100"/>
              <w:bottom w:type="dxa" w:w="60"/>
              <w:right w:type="dxa" w:w="100"/>
            </w:tcMar>
            <w:vAlign w:val="center"/>
          </w:tcPr>
          <w:p>
            <w:pPr>
              <w:spacing w:after="0"/>
            </w:pPr>
            <w:r>
              <w:rPr>
                <w:rFonts w:ascii="Arial" w:cs="Arial" w:eastAsia="Arial" w:hAnsi="Arial"/>
                <w:color w:val="1A1A1A"/>
                <w:sz w:val="19"/>
                <w:szCs w:val="19"/>
              </w:rPr>
              <w:t xml:space="preserve">-3,200</w:t>
            </w:r>
          </w:p>
        </w:tc>
        <w:tc>
          <w:tcPr>
            <w:tcW w:type="dxa" w:w="1640"/>
            <w:tcBorders>
              <w:top w:val="single" w:color="999999" w:sz="1"/>
              <w:left w:val="single" w:color="999999" w:sz="1"/>
              <w:bottom w:val="single" w:color="999999" w:sz="1"/>
              <w:right w:val="single" w:color="999999" w:sz="1"/>
            </w:tcBorders>
            <w:shd w:fill="EDF2F7" w:val="clear"/>
            <w:tcMar>
              <w:top w:type="dxa" w:w="60"/>
              <w:left w:type="dxa" w:w="100"/>
              <w:bottom w:type="dxa" w:w="60"/>
              <w:right w:type="dxa" w:w="100"/>
            </w:tcMar>
            <w:vAlign w:val="center"/>
          </w:tcPr>
          <w:p>
            <w:pPr>
              <w:spacing w:after="0"/>
            </w:pPr>
            <w:r>
              <w:rPr>
                <w:rFonts w:ascii="Arial" w:cs="Arial" w:eastAsia="Arial" w:hAnsi="Arial"/>
                <w:color w:val="1A1A1A"/>
                <w:sz w:val="19"/>
                <w:szCs w:val="19"/>
              </w:rPr>
              <w:t xml:space="preserve">-1,000</w:t>
            </w:r>
          </w:p>
        </w:tc>
      </w:tr>
    </w:tbl>
    <w:p>
      <w:pPr>
        <w:spacing w:after="200"/>
      </w:pPr>
    </w:p>
    <w:p>
      <w:r>
        <w:br w:type="page"/>
      </w:r>
    </w:p>
    <w:p>
      <w:pPr>
        <w:pStyle w:val="Heading2"/>
      </w:pPr>
      <w:r>
        <w:t xml:space="preserve">4.5 Scenario C1: The Great Displacement (Severely Adverse)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999999" w:sz="1"/>
              <w:left w:val="single" w:color="999999" w:sz="1"/>
              <w:bottom w:val="single" w:color="999999" w:sz="1"/>
              <w:right w:val="single" w:color="999999"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20"/>
                <w:szCs w:val="20"/>
              </w:rPr>
              <w:t xml:space="preserve">Parameter</w:t>
            </w:r>
          </w:p>
        </w:tc>
        <w:tc>
          <w:tcPr>
            <w:tcW w:type="dxa" w:w="6560"/>
            <w:tcBorders>
              <w:top w:val="single" w:color="999999" w:sz="1"/>
              <w:left w:val="single" w:color="999999" w:sz="1"/>
              <w:bottom w:val="single" w:color="999999" w:sz="1"/>
              <w:right w:val="single" w:color="999999"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20"/>
                <w:szCs w:val="20"/>
              </w:rPr>
              <w:t xml:space="preserve">Specification</w:t>
            </w:r>
          </w:p>
        </w:tc>
      </w:tr>
      <w:tr>
        <w:tc>
          <w:tcPr>
            <w:tcW w:type="dxa" w:w="28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Arial" w:cs="Arial" w:eastAsia="Arial" w:hAnsi="Arial"/>
                <w:color w:val="1A1A1A"/>
                <w:sz w:val="19"/>
                <w:szCs w:val="19"/>
              </w:rPr>
              <w:t xml:space="preserve">Classification</w:t>
            </w:r>
          </w:p>
        </w:tc>
        <w:tc>
          <w:tcPr>
            <w:tcW w:type="dxa" w:w="656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Arial" w:cs="Arial" w:eastAsia="Arial" w:hAnsi="Arial"/>
                <w:color w:val="1A1A1A"/>
                <w:sz w:val="19"/>
                <w:szCs w:val="19"/>
              </w:rPr>
              <w:t xml:space="preserve">Type C: Systemic/Macro</w:t>
            </w:r>
          </w:p>
        </w:tc>
      </w:tr>
      <w:tr>
        <w:tc>
          <w:tcPr>
            <w:tcW w:type="dxa" w:w="2800"/>
            <w:tcBorders>
              <w:top w:val="single" w:color="999999" w:sz="1"/>
              <w:left w:val="single" w:color="999999" w:sz="1"/>
              <w:bottom w:val="single" w:color="999999" w:sz="1"/>
              <w:right w:val="single" w:color="999999" w:sz="1"/>
            </w:tcBorders>
            <w:shd w:fill="EDF2F7" w:val="clear"/>
            <w:tcMar>
              <w:top w:type="dxa" w:w="60"/>
              <w:left w:type="dxa" w:w="100"/>
              <w:bottom w:type="dxa" w:w="60"/>
              <w:right w:type="dxa" w:w="100"/>
            </w:tcMar>
            <w:vAlign w:val="center"/>
          </w:tcPr>
          <w:p>
            <w:pPr>
              <w:spacing w:after="0"/>
            </w:pPr>
            <w:r>
              <w:rPr>
                <w:rFonts w:ascii="Arial" w:cs="Arial" w:eastAsia="Arial" w:hAnsi="Arial"/>
                <w:color w:val="1A1A1A"/>
                <w:sz w:val="19"/>
                <w:szCs w:val="19"/>
              </w:rPr>
              <w:t xml:space="preserve">Severity</w:t>
            </w:r>
          </w:p>
        </w:tc>
        <w:tc>
          <w:tcPr>
            <w:tcW w:type="dxa" w:w="6560"/>
            <w:tcBorders>
              <w:top w:val="single" w:color="999999" w:sz="1"/>
              <w:left w:val="single" w:color="999999" w:sz="1"/>
              <w:bottom w:val="single" w:color="999999" w:sz="1"/>
              <w:right w:val="single" w:color="999999" w:sz="1"/>
            </w:tcBorders>
            <w:shd w:fill="EDF2F7" w:val="clear"/>
            <w:tcMar>
              <w:top w:type="dxa" w:w="60"/>
              <w:left w:type="dxa" w:w="100"/>
              <w:bottom w:type="dxa" w:w="60"/>
              <w:right w:type="dxa" w:w="100"/>
            </w:tcMar>
            <w:vAlign w:val="center"/>
          </w:tcPr>
          <w:p>
            <w:pPr>
              <w:spacing w:after="0"/>
            </w:pPr>
            <w:r>
              <w:rPr>
                <w:rFonts w:ascii="Arial" w:cs="Arial" w:eastAsia="Arial" w:hAnsi="Arial"/>
                <w:color w:val="1A1A1A"/>
                <w:sz w:val="19"/>
                <w:szCs w:val="19"/>
              </w:rPr>
              <w:t xml:space="preserve">Severely Adverse (CCAR-grade with structural permanent component)</w:t>
            </w:r>
          </w:p>
        </w:tc>
      </w:tr>
      <w:tr>
        <w:tc>
          <w:tcPr>
            <w:tcW w:type="dxa" w:w="28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Arial" w:cs="Arial" w:eastAsia="Arial" w:hAnsi="Arial"/>
                <w:color w:val="1A1A1A"/>
                <w:sz w:val="19"/>
                <w:szCs w:val="19"/>
              </w:rPr>
              <w:t xml:space="preserve">Probability Assessment</w:t>
            </w:r>
          </w:p>
        </w:tc>
        <w:tc>
          <w:tcPr>
            <w:tcW w:type="dxa" w:w="656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Arial" w:cs="Arial" w:eastAsia="Arial" w:hAnsi="Arial"/>
                <w:color w:val="1A1A1A"/>
                <w:sz w:val="19"/>
                <w:szCs w:val="19"/>
              </w:rPr>
              <w:t xml:space="preserve">5-10% for full severity; 20-30% for moderate version</w:t>
            </w:r>
          </w:p>
        </w:tc>
      </w:tr>
      <w:tr>
        <w:tc>
          <w:tcPr>
            <w:tcW w:type="dxa" w:w="2800"/>
            <w:tcBorders>
              <w:top w:val="single" w:color="999999" w:sz="1"/>
              <w:left w:val="single" w:color="999999" w:sz="1"/>
              <w:bottom w:val="single" w:color="999999" w:sz="1"/>
              <w:right w:val="single" w:color="999999" w:sz="1"/>
            </w:tcBorders>
            <w:shd w:fill="EDF2F7" w:val="clear"/>
            <w:tcMar>
              <w:top w:type="dxa" w:w="60"/>
              <w:left w:type="dxa" w:w="100"/>
              <w:bottom w:type="dxa" w:w="60"/>
              <w:right w:type="dxa" w:w="100"/>
            </w:tcMar>
            <w:vAlign w:val="center"/>
          </w:tcPr>
          <w:p>
            <w:pPr>
              <w:spacing w:after="0"/>
            </w:pPr>
            <w:r>
              <w:rPr>
                <w:rFonts w:ascii="Arial" w:cs="Arial" w:eastAsia="Arial" w:hAnsi="Arial"/>
                <w:color w:val="1A1A1A"/>
                <w:sz w:val="19"/>
                <w:szCs w:val="19"/>
              </w:rPr>
              <w:t xml:space="preserve">Historical Analogue</w:t>
            </w:r>
          </w:p>
        </w:tc>
        <w:tc>
          <w:tcPr>
            <w:tcW w:type="dxa" w:w="6560"/>
            <w:tcBorders>
              <w:top w:val="single" w:color="999999" w:sz="1"/>
              <w:left w:val="single" w:color="999999" w:sz="1"/>
              <w:bottom w:val="single" w:color="999999" w:sz="1"/>
              <w:right w:val="single" w:color="999999" w:sz="1"/>
            </w:tcBorders>
            <w:shd w:fill="EDF2F7" w:val="clear"/>
            <w:tcMar>
              <w:top w:type="dxa" w:w="60"/>
              <w:left w:type="dxa" w:w="100"/>
              <w:bottom w:type="dxa" w:w="60"/>
              <w:right w:type="dxa" w:w="100"/>
            </w:tcMar>
            <w:vAlign w:val="center"/>
          </w:tcPr>
          <w:p>
            <w:pPr>
              <w:spacing w:after="0"/>
            </w:pPr>
            <w:r>
              <w:rPr>
                <w:rFonts w:ascii="Arial" w:cs="Arial" w:eastAsia="Arial" w:hAnsi="Arial"/>
                <w:color w:val="1A1A1A"/>
                <w:sz w:val="19"/>
                <w:szCs w:val="19"/>
              </w:rPr>
              <w:t xml:space="preserve">2008 GFC severity + China Shock structural persistence + COVID-19 speed</w:t>
            </w:r>
          </w:p>
        </w:tc>
      </w:tr>
      <w:tr>
        <w:tc>
          <w:tcPr>
            <w:tcW w:type="dxa" w:w="28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Arial" w:cs="Arial" w:eastAsia="Arial" w:hAnsi="Arial"/>
                <w:color w:val="1A1A1A"/>
                <w:sz w:val="19"/>
                <w:szCs w:val="19"/>
              </w:rPr>
              <w:t xml:space="preserve">Peak Stress Timing</w:t>
            </w:r>
          </w:p>
        </w:tc>
        <w:tc>
          <w:tcPr>
            <w:tcW w:type="dxa" w:w="656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Arial" w:cs="Arial" w:eastAsia="Arial" w:hAnsi="Arial"/>
                <w:color w:val="1A1A1A"/>
                <w:sz w:val="19"/>
                <w:szCs w:val="19"/>
              </w:rPr>
              <w:t xml:space="preserve">Year 3-4 (unemployment peak, maximum credit stress)</w:t>
            </w:r>
          </w:p>
        </w:tc>
      </w:tr>
      <w:tr>
        <w:tc>
          <w:tcPr>
            <w:tcW w:type="dxa" w:w="2800"/>
            <w:tcBorders>
              <w:top w:val="single" w:color="999999" w:sz="1"/>
              <w:left w:val="single" w:color="999999" w:sz="1"/>
              <w:bottom w:val="single" w:color="999999" w:sz="1"/>
              <w:right w:val="single" w:color="999999" w:sz="1"/>
            </w:tcBorders>
            <w:shd w:fill="EDF2F7" w:val="clear"/>
            <w:tcMar>
              <w:top w:type="dxa" w:w="60"/>
              <w:left w:type="dxa" w:w="100"/>
              <w:bottom w:type="dxa" w:w="60"/>
              <w:right w:type="dxa" w:w="100"/>
            </w:tcMar>
            <w:vAlign w:val="center"/>
          </w:tcPr>
          <w:p>
            <w:pPr>
              <w:spacing w:after="0"/>
            </w:pPr>
            <w:r>
              <w:rPr>
                <w:rFonts w:ascii="Arial" w:cs="Arial" w:eastAsia="Arial" w:hAnsi="Arial"/>
                <w:color w:val="1A1A1A"/>
                <w:sz w:val="19"/>
                <w:szCs w:val="19"/>
              </w:rPr>
              <w:t xml:space="preserve">Recovery Horizon</w:t>
            </w:r>
          </w:p>
        </w:tc>
        <w:tc>
          <w:tcPr>
            <w:tcW w:type="dxa" w:w="6560"/>
            <w:tcBorders>
              <w:top w:val="single" w:color="999999" w:sz="1"/>
              <w:left w:val="single" w:color="999999" w:sz="1"/>
              <w:bottom w:val="single" w:color="999999" w:sz="1"/>
              <w:right w:val="single" w:color="999999" w:sz="1"/>
            </w:tcBorders>
            <w:shd w:fill="EDF2F7" w:val="clear"/>
            <w:tcMar>
              <w:top w:type="dxa" w:w="60"/>
              <w:left w:type="dxa" w:w="100"/>
              <w:bottom w:type="dxa" w:w="60"/>
              <w:right w:type="dxa" w:w="100"/>
            </w:tcMar>
            <w:vAlign w:val="center"/>
          </w:tcPr>
          <w:p>
            <w:pPr>
              <w:spacing w:after="0"/>
            </w:pPr>
            <w:r>
              <w:rPr>
                <w:rFonts w:ascii="Arial" w:cs="Arial" w:eastAsia="Arial" w:hAnsi="Arial"/>
                <w:color w:val="1A1A1A"/>
                <w:sz w:val="19"/>
                <w:szCs w:val="19"/>
              </w:rPr>
              <w:t xml:space="preserve">Partial cyclical recovery by Year 5-7; structural component persists 10+ years</w:t>
            </w:r>
          </w:p>
        </w:tc>
      </w:tr>
    </w:tbl>
    <w:p>
      <w:pPr>
        <w:spacing w:after="200"/>
      </w:pPr>
    </w:p>
    <w:p>
      <w:pPr>
        <w:pStyle w:val="Heading3"/>
      </w:pPr>
      <w:r>
        <w:t xml:space="preserve">4.5.1 Narrative</w:t>
      </w:r>
    </w:p>
    <w:p>
      <w:pPr>
        <w:spacing w:after="120"/>
      </w:pPr>
      <w:r>
        <w:t xml:space="preserve">AI adoption accelerates faster than consensus expectations across all major industries simultaneously. Driven by rapid improvements in AI capabilities, declining costs per inference, competitive pressure, and investor demands for efficiency, enterprise AI adoption reaches 40-50% of large firms with production-scale deployment by Year 3, up from approximately 9% in Q2 2025. By Year 3, an estimated 15-20% of tasks across the US economy are being performed by AI systems, up from approximately 5% in 2025.</w:t>
      </w:r>
    </w:p>
    <w:p>
      <w:pPr>
        <w:spacing w:after="120"/>
      </w:pPr>
      <w:r>
        <w:t xml:space="preserve">The productivity gains are real and substantial, broadly consistent with the upper range of Goldman Sachs estimates of 15% labor productivity improvement. However, the labor market adjustment is brutally slow relative to the speed of task automation. Unlike prior automation waves that primarily affected blue-collar manufacturing workers with lower educational attainment and, importantly, lower political influence and lower levels of indebtedness, this wave hits hardest in white-collar, professional, and knowledge-work occupations: financial services, legal services, accounting, consulting, media, customer service, and administrative functions.</w:t>
      </w:r>
    </w:p>
    <w:p>
      <w:pPr>
        <w:spacing w:after="120"/>
      </w:pPr>
      <w:r>
        <w:t xml:space="preserve">The affected population is college-educated, middle and upper-middle income, politically active, heavily indebted (mortgages in expensive metro areas, student loans), and concentrated in the service-sector metropolitan areas that have been the engines of post-2008 economic growth. This demographic profile creates a fundamentally different political economy than prior automation waves.</w:t>
      </w:r>
    </w:p>
    <w:p>
      <w:pPr>
        <w:pStyle w:val="Heading3"/>
      </w:pPr>
      <w:r>
        <w:t xml:space="preserve">4.5.2 The Macroeconomic Cascade</w:t>
      </w:r>
    </w:p>
    <w:p>
      <w:pPr>
        <w:spacing w:after="120"/>
      </w:pPr>
      <w:r>
        <w:rPr>
          <w:b/>
          <w:bCs/>
        </w:rPr>
        <w:t xml:space="preserve">Unemployment surge: </w:t>
      </w:r>
      <w:r>
        <w:t xml:space="preserve">The headline U-3 unemployment rate rises from approximately 4.2% to 7.5-9.0% over three years. However, the headline rate understates the disruption. The U-6 rate, which includes discouraged workers and those working part-time for economic reasons, rises to 14-16%. A significant cohort of displaced workers transitions to gig and freelance work at substantially lower compensation, appearing as employed but experiencing 30-50% income declines. Labor force participation declines by 1.5-2.5 percentage points as older displaced workers exit permanently and younger workers extend education. Effective displacement, measured as individuals experiencing material income decline from AI-related job loss, reaches 12-15% of the workforce.</w:t>
      </w:r>
    </w:p>
    <w:p>
      <w:pPr>
        <w:spacing w:after="120"/>
      </w:pPr>
      <w:r>
        <w:rPr>
          <w:b/>
          <w:bCs/>
        </w:rPr>
        <w:t xml:space="preserve">Consumer spending contraction: </w:t>
      </w:r>
      <w:r>
        <w:t xml:space="preserve">Real consumer spending declines 4-6% from peak as displaced and underemployed workers cut discretionary expenditure, reduce housing costs by downsizing or relocating, and prioritize debt service. Consumer confidence, as measured by the Conference Board index, falls to levels last seen during the 2008-2009 recession. The spending contraction is concentrated in services and durable goods, with particularly severe impacts on: restaurants and hospitality; personal services; retail (beyond essential goods); travel and leisure; and luxury goods.</w:t>
      </w:r>
    </w:p>
    <w:p>
      <w:pPr>
        <w:spacing w:after="120"/>
      </w:pPr>
      <w:r>
        <w:rPr>
          <w:b/>
          <w:bCs/>
        </w:rPr>
        <w:t xml:space="preserve">Housing market stress: </w:t>
      </w:r>
      <w:r>
        <w:t xml:space="preserve">Housing prices decline 10-20% in metropolitan areas with concentrated white-collar employment, with the most severe declines in high-cost markets where displaced workers are most concentrated: New York metro (-15 to -20%), San Francisco/Bay Area (-18 to -25%), Chicago metro (-12 to -18%), Charlotte, NC (-15 to -22%, reflecting concentration of banking operations), and Dallas/Fort Worth (-10 to -15%). Commercial real estate further deteriorates as both remote work expansion and workforce reduction compress office demand. Office vacancy rates reach 25-35% in affected metros, with corresponding declines in commercial property values of 30-45%.</w:t>
      </w:r>
    </w:p>
    <w:p>
      <w:pPr>
        <w:spacing w:after="120"/>
      </w:pPr>
      <w:r>
        <w:rPr>
          <w:b/>
          <w:bCs/>
        </w:rPr>
        <w:t xml:space="preserve">Credit market stress: </w:t>
      </w:r>
      <w:r>
        <w:t xml:space="preserve">Credit card delinquency rates rise from approximately 2.5% to 5.5-7.0% as displaced workers draw down savings and rely on revolving credit. Auto loan delinquencies rise from 2.0% to 4.5-5.5%. Mortgage delinquencies, which are more lagging, rise from 1.5% to 3.5-4.5% in affected metros by Year 3-4. Student loan stress increases significantly as borrowers who can no longer earn sufficient income to service their debt face defaults, though federal income-driven repayment plans and forbearance programs moderate the realized loss rate. Corporate credit quality deteriorates in industries facing demand destruction from the consumer spending contraction and in industries where AI disruption directly impacts business models. High-yield spreads widen from approximately 350 bps to 700-900 bps. Leveraged loan defaults rise from 2% to 6-8%.</w:t>
      </w:r>
    </w:p>
    <w:p>
      <w:pPr>
        <w:pStyle w:val="Heading3"/>
      </w:pPr>
      <w:r>
        <w:t xml:space="preserve">4.5.3 Financial Institution Impact Under C1</w:t>
      </w:r>
    </w:p>
    <w:p>
      <w:pPr>
        <w:spacing w:after="120"/>
      </w:pPr>
      <w:r>
        <w:t xml:space="preserve">For a representative large bank with approximately 225,000 employees, $1.9 trillion in assets, and a diversified business model spanning consumer, commercial, CIB, and wealth management: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352"/>
        <w:gridCol w:w="1352"/>
        <w:gridCol w:w="1352"/>
        <w:gridCol w:w="1352"/>
        <w:gridCol w:w="1352"/>
      </w:tblGrid>
      <w:tr>
        <w:tc>
          <w:tcPr>
            <w:tcW w:type="dxa" w:w="2600"/>
            <w:tcBorders>
              <w:top w:val="single" w:color="999999" w:sz="1"/>
              <w:left w:val="single" w:color="999999" w:sz="1"/>
              <w:bottom w:val="single" w:color="999999" w:sz="1"/>
              <w:right w:val="single" w:color="999999"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20"/>
                <w:szCs w:val="20"/>
              </w:rPr>
              <w:t xml:space="preserve">Metric</w:t>
            </w:r>
          </w:p>
        </w:tc>
        <w:tc>
          <w:tcPr>
            <w:tcW w:type="dxa" w:w="1352"/>
            <w:tcBorders>
              <w:top w:val="single" w:color="999999" w:sz="1"/>
              <w:left w:val="single" w:color="999999" w:sz="1"/>
              <w:bottom w:val="single" w:color="999999" w:sz="1"/>
              <w:right w:val="single" w:color="999999"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20"/>
                <w:szCs w:val="20"/>
              </w:rPr>
              <w:t xml:space="preserve">Baseline</w:t>
            </w:r>
          </w:p>
        </w:tc>
        <w:tc>
          <w:tcPr>
            <w:tcW w:type="dxa" w:w="1352"/>
            <w:tcBorders>
              <w:top w:val="single" w:color="999999" w:sz="1"/>
              <w:left w:val="single" w:color="999999" w:sz="1"/>
              <w:bottom w:val="single" w:color="999999" w:sz="1"/>
              <w:right w:val="single" w:color="999999"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20"/>
                <w:szCs w:val="20"/>
              </w:rPr>
              <w:t xml:space="preserve">Year 1</w:t>
            </w:r>
          </w:p>
        </w:tc>
        <w:tc>
          <w:tcPr>
            <w:tcW w:type="dxa" w:w="1352"/>
            <w:tcBorders>
              <w:top w:val="single" w:color="999999" w:sz="1"/>
              <w:left w:val="single" w:color="999999" w:sz="1"/>
              <w:bottom w:val="single" w:color="999999" w:sz="1"/>
              <w:right w:val="single" w:color="999999"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20"/>
                <w:szCs w:val="20"/>
              </w:rPr>
              <w:t xml:space="preserve">Year 3 (Peak)</w:t>
            </w:r>
          </w:p>
        </w:tc>
        <w:tc>
          <w:tcPr>
            <w:tcW w:type="dxa" w:w="1352"/>
            <w:tcBorders>
              <w:top w:val="single" w:color="999999" w:sz="1"/>
              <w:left w:val="single" w:color="999999" w:sz="1"/>
              <w:bottom w:val="single" w:color="999999" w:sz="1"/>
              <w:right w:val="single" w:color="999999"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20"/>
                <w:szCs w:val="20"/>
              </w:rPr>
              <w:t xml:space="preserve">Year 5</w:t>
            </w:r>
          </w:p>
        </w:tc>
        <w:tc>
          <w:tcPr>
            <w:tcW w:type="dxa" w:w="1352"/>
            <w:tcBorders>
              <w:top w:val="single" w:color="999999" w:sz="1"/>
              <w:left w:val="single" w:color="999999" w:sz="1"/>
              <w:bottom w:val="single" w:color="999999" w:sz="1"/>
              <w:right w:val="single" w:color="999999"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20"/>
                <w:szCs w:val="20"/>
              </w:rPr>
              <w:t xml:space="preserve">Year 7</w:t>
            </w:r>
          </w:p>
        </w:tc>
      </w:tr>
      <w:tr>
        <w:tc>
          <w:tcPr>
            <w:tcW w:type="dxa" w:w="26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Arial" w:cs="Arial" w:eastAsia="Arial" w:hAnsi="Arial"/>
                <w:color w:val="1A1A1A"/>
                <w:sz w:val="19"/>
                <w:szCs w:val="19"/>
              </w:rPr>
              <w:t xml:space="preserve">Net Revenue ($B)</w:t>
            </w:r>
          </w:p>
        </w:tc>
        <w:tc>
          <w:tcPr>
            <w:tcW w:type="dxa" w:w="1352"/>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Arial" w:cs="Arial" w:eastAsia="Arial" w:hAnsi="Arial"/>
                <w:color w:val="1A1A1A"/>
                <w:sz w:val="19"/>
                <w:szCs w:val="19"/>
              </w:rPr>
              <w:t xml:space="preserve">88</w:t>
            </w:r>
          </w:p>
        </w:tc>
        <w:tc>
          <w:tcPr>
            <w:tcW w:type="dxa" w:w="1352"/>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Arial" w:cs="Arial" w:eastAsia="Arial" w:hAnsi="Arial"/>
                <w:color w:val="1A1A1A"/>
                <w:sz w:val="19"/>
                <w:szCs w:val="19"/>
              </w:rPr>
              <w:t xml:space="preserve">85 (-3%)</w:t>
            </w:r>
          </w:p>
        </w:tc>
        <w:tc>
          <w:tcPr>
            <w:tcW w:type="dxa" w:w="1352"/>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Arial" w:cs="Arial" w:eastAsia="Arial" w:hAnsi="Arial"/>
                <w:color w:val="1A1A1A"/>
                <w:sz w:val="19"/>
                <w:szCs w:val="19"/>
              </w:rPr>
              <w:t xml:space="preserve">74 (-16%)</w:t>
            </w:r>
          </w:p>
        </w:tc>
        <w:tc>
          <w:tcPr>
            <w:tcW w:type="dxa" w:w="1352"/>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Arial" w:cs="Arial" w:eastAsia="Arial" w:hAnsi="Arial"/>
                <w:color w:val="1A1A1A"/>
                <w:sz w:val="19"/>
                <w:szCs w:val="19"/>
              </w:rPr>
              <w:t xml:space="preserve">79 (-10%)</w:t>
            </w:r>
          </w:p>
        </w:tc>
        <w:tc>
          <w:tcPr>
            <w:tcW w:type="dxa" w:w="1352"/>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Arial" w:cs="Arial" w:eastAsia="Arial" w:hAnsi="Arial"/>
                <w:color w:val="1A1A1A"/>
                <w:sz w:val="19"/>
                <w:szCs w:val="19"/>
              </w:rPr>
              <w:t xml:space="preserve">85 (-3%)</w:t>
            </w:r>
          </w:p>
        </w:tc>
      </w:tr>
      <w:tr>
        <w:tc>
          <w:tcPr>
            <w:tcW w:type="dxa" w:w="2600"/>
            <w:tcBorders>
              <w:top w:val="single" w:color="999999" w:sz="1"/>
              <w:left w:val="single" w:color="999999" w:sz="1"/>
              <w:bottom w:val="single" w:color="999999" w:sz="1"/>
              <w:right w:val="single" w:color="999999" w:sz="1"/>
            </w:tcBorders>
            <w:shd w:fill="EDF2F7" w:val="clear"/>
            <w:tcMar>
              <w:top w:type="dxa" w:w="60"/>
              <w:left w:type="dxa" w:w="100"/>
              <w:bottom w:type="dxa" w:w="60"/>
              <w:right w:type="dxa" w:w="100"/>
            </w:tcMar>
            <w:vAlign w:val="center"/>
          </w:tcPr>
          <w:p>
            <w:pPr>
              <w:spacing w:after="0"/>
            </w:pPr>
            <w:r>
              <w:rPr>
                <w:rFonts w:ascii="Arial" w:cs="Arial" w:eastAsia="Arial" w:hAnsi="Arial"/>
                <w:color w:val="1A1A1A"/>
                <w:sz w:val="19"/>
                <w:szCs w:val="19"/>
              </w:rPr>
              <w:t xml:space="preserve">Consumer Banking Rev.</w:t>
            </w:r>
          </w:p>
        </w:tc>
        <w:tc>
          <w:tcPr>
            <w:tcW w:type="dxa" w:w="1352"/>
            <w:tcBorders>
              <w:top w:val="single" w:color="999999" w:sz="1"/>
              <w:left w:val="single" w:color="999999" w:sz="1"/>
              <w:bottom w:val="single" w:color="999999" w:sz="1"/>
              <w:right w:val="single" w:color="999999" w:sz="1"/>
            </w:tcBorders>
            <w:shd w:fill="EDF2F7" w:val="clear"/>
            <w:tcMar>
              <w:top w:type="dxa" w:w="60"/>
              <w:left w:type="dxa" w:w="100"/>
              <w:bottom w:type="dxa" w:w="60"/>
              <w:right w:type="dxa" w:w="100"/>
            </w:tcMar>
            <w:vAlign w:val="center"/>
          </w:tcPr>
          <w:p>
            <w:pPr>
              <w:spacing w:after="0"/>
            </w:pPr>
            <w:r>
              <w:rPr>
                <w:rFonts w:ascii="Arial" w:cs="Arial" w:eastAsia="Arial" w:hAnsi="Arial"/>
                <w:color w:val="1A1A1A"/>
                <w:sz w:val="19"/>
                <w:szCs w:val="19"/>
              </w:rPr>
              <w:t xml:space="preserve">40</w:t>
            </w:r>
          </w:p>
        </w:tc>
        <w:tc>
          <w:tcPr>
            <w:tcW w:type="dxa" w:w="1352"/>
            <w:tcBorders>
              <w:top w:val="single" w:color="999999" w:sz="1"/>
              <w:left w:val="single" w:color="999999" w:sz="1"/>
              <w:bottom w:val="single" w:color="999999" w:sz="1"/>
              <w:right w:val="single" w:color="999999" w:sz="1"/>
            </w:tcBorders>
            <w:shd w:fill="EDF2F7" w:val="clear"/>
            <w:tcMar>
              <w:top w:type="dxa" w:w="60"/>
              <w:left w:type="dxa" w:w="100"/>
              <w:bottom w:type="dxa" w:w="60"/>
              <w:right w:type="dxa" w:w="100"/>
            </w:tcMar>
            <w:vAlign w:val="center"/>
          </w:tcPr>
          <w:p>
            <w:pPr>
              <w:spacing w:after="0"/>
            </w:pPr>
            <w:r>
              <w:rPr>
                <w:rFonts w:ascii="Arial" w:cs="Arial" w:eastAsia="Arial" w:hAnsi="Arial"/>
                <w:color w:val="1A1A1A"/>
                <w:sz w:val="19"/>
                <w:szCs w:val="19"/>
              </w:rPr>
              <w:t xml:space="preserve">38</w:t>
            </w:r>
          </w:p>
        </w:tc>
        <w:tc>
          <w:tcPr>
            <w:tcW w:type="dxa" w:w="1352"/>
            <w:tcBorders>
              <w:top w:val="single" w:color="999999" w:sz="1"/>
              <w:left w:val="single" w:color="999999" w:sz="1"/>
              <w:bottom w:val="single" w:color="999999" w:sz="1"/>
              <w:right w:val="single" w:color="999999" w:sz="1"/>
            </w:tcBorders>
            <w:shd w:fill="EDF2F7" w:val="clear"/>
            <w:tcMar>
              <w:top w:type="dxa" w:w="60"/>
              <w:left w:type="dxa" w:w="100"/>
              <w:bottom w:type="dxa" w:w="60"/>
              <w:right w:type="dxa" w:w="100"/>
            </w:tcMar>
            <w:vAlign w:val="center"/>
          </w:tcPr>
          <w:p>
            <w:pPr>
              <w:spacing w:after="0"/>
            </w:pPr>
            <w:r>
              <w:rPr>
                <w:rFonts w:ascii="Arial" w:cs="Arial" w:eastAsia="Arial" w:hAnsi="Arial"/>
                <w:color w:val="1A1A1A"/>
                <w:sz w:val="19"/>
                <w:szCs w:val="19"/>
              </w:rPr>
              <w:t xml:space="preserve">32 (-20%)</w:t>
            </w:r>
          </w:p>
        </w:tc>
        <w:tc>
          <w:tcPr>
            <w:tcW w:type="dxa" w:w="1352"/>
            <w:tcBorders>
              <w:top w:val="single" w:color="999999" w:sz="1"/>
              <w:left w:val="single" w:color="999999" w:sz="1"/>
              <w:bottom w:val="single" w:color="999999" w:sz="1"/>
              <w:right w:val="single" w:color="999999" w:sz="1"/>
            </w:tcBorders>
            <w:shd w:fill="EDF2F7" w:val="clear"/>
            <w:tcMar>
              <w:top w:type="dxa" w:w="60"/>
              <w:left w:type="dxa" w:w="100"/>
              <w:bottom w:type="dxa" w:w="60"/>
              <w:right w:type="dxa" w:w="100"/>
            </w:tcMar>
            <w:vAlign w:val="center"/>
          </w:tcPr>
          <w:p>
            <w:pPr>
              <w:spacing w:after="0"/>
            </w:pPr>
            <w:r>
              <w:rPr>
                <w:rFonts w:ascii="Arial" w:cs="Arial" w:eastAsia="Arial" w:hAnsi="Arial"/>
                <w:color w:val="1A1A1A"/>
                <w:sz w:val="19"/>
                <w:szCs w:val="19"/>
              </w:rPr>
              <w:t xml:space="preserve">34</w:t>
            </w:r>
          </w:p>
        </w:tc>
        <w:tc>
          <w:tcPr>
            <w:tcW w:type="dxa" w:w="1352"/>
            <w:tcBorders>
              <w:top w:val="single" w:color="999999" w:sz="1"/>
              <w:left w:val="single" w:color="999999" w:sz="1"/>
              <w:bottom w:val="single" w:color="999999" w:sz="1"/>
              <w:right w:val="single" w:color="999999" w:sz="1"/>
            </w:tcBorders>
            <w:shd w:fill="EDF2F7" w:val="clear"/>
            <w:tcMar>
              <w:top w:type="dxa" w:w="60"/>
              <w:left w:type="dxa" w:w="100"/>
              <w:bottom w:type="dxa" w:w="60"/>
              <w:right w:type="dxa" w:w="100"/>
            </w:tcMar>
            <w:vAlign w:val="center"/>
          </w:tcPr>
          <w:p>
            <w:pPr>
              <w:spacing w:after="0"/>
            </w:pPr>
            <w:r>
              <w:rPr>
                <w:rFonts w:ascii="Arial" w:cs="Arial" w:eastAsia="Arial" w:hAnsi="Arial"/>
                <w:color w:val="1A1A1A"/>
                <w:sz w:val="19"/>
                <w:szCs w:val="19"/>
              </w:rPr>
              <w:t xml:space="preserve">37</w:t>
            </w:r>
          </w:p>
        </w:tc>
      </w:tr>
      <w:tr>
        <w:tc>
          <w:tcPr>
            <w:tcW w:type="dxa" w:w="26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Arial" w:cs="Arial" w:eastAsia="Arial" w:hAnsi="Arial"/>
                <w:color w:val="1A1A1A"/>
                <w:sz w:val="19"/>
                <w:szCs w:val="19"/>
              </w:rPr>
              <w:t xml:space="preserve">CIB Revenue</w:t>
            </w:r>
          </w:p>
        </w:tc>
        <w:tc>
          <w:tcPr>
            <w:tcW w:type="dxa" w:w="1352"/>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Arial" w:cs="Arial" w:eastAsia="Arial" w:hAnsi="Arial"/>
                <w:color w:val="1A1A1A"/>
                <w:sz w:val="19"/>
                <w:szCs w:val="19"/>
              </w:rPr>
              <w:t xml:space="preserve">22</w:t>
            </w:r>
          </w:p>
        </w:tc>
        <w:tc>
          <w:tcPr>
            <w:tcW w:type="dxa" w:w="1352"/>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Arial" w:cs="Arial" w:eastAsia="Arial" w:hAnsi="Arial"/>
                <w:color w:val="1A1A1A"/>
                <w:sz w:val="19"/>
                <w:szCs w:val="19"/>
              </w:rPr>
              <w:t xml:space="preserve">23</w:t>
            </w:r>
          </w:p>
        </w:tc>
        <w:tc>
          <w:tcPr>
            <w:tcW w:type="dxa" w:w="1352"/>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Arial" w:cs="Arial" w:eastAsia="Arial" w:hAnsi="Arial"/>
                <w:color w:val="1A1A1A"/>
                <w:sz w:val="19"/>
                <w:szCs w:val="19"/>
              </w:rPr>
              <w:t xml:space="preserve">20 (-9%)</w:t>
            </w:r>
          </w:p>
        </w:tc>
        <w:tc>
          <w:tcPr>
            <w:tcW w:type="dxa" w:w="1352"/>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Arial" w:cs="Arial" w:eastAsia="Arial" w:hAnsi="Arial"/>
                <w:color w:val="1A1A1A"/>
                <w:sz w:val="19"/>
                <w:szCs w:val="19"/>
              </w:rPr>
              <w:t xml:space="preserve">22</w:t>
            </w:r>
          </w:p>
        </w:tc>
        <w:tc>
          <w:tcPr>
            <w:tcW w:type="dxa" w:w="1352"/>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Arial" w:cs="Arial" w:eastAsia="Arial" w:hAnsi="Arial"/>
                <w:color w:val="1A1A1A"/>
                <w:sz w:val="19"/>
                <w:szCs w:val="19"/>
              </w:rPr>
              <w:t xml:space="preserve">24</w:t>
            </w:r>
          </w:p>
        </w:tc>
      </w:tr>
      <w:tr>
        <w:tc>
          <w:tcPr>
            <w:tcW w:type="dxa" w:w="2600"/>
            <w:tcBorders>
              <w:top w:val="single" w:color="999999" w:sz="1"/>
              <w:left w:val="single" w:color="999999" w:sz="1"/>
              <w:bottom w:val="single" w:color="999999" w:sz="1"/>
              <w:right w:val="single" w:color="999999" w:sz="1"/>
            </w:tcBorders>
            <w:shd w:fill="EDF2F7" w:val="clear"/>
            <w:tcMar>
              <w:top w:type="dxa" w:w="60"/>
              <w:left w:type="dxa" w:w="100"/>
              <w:bottom w:type="dxa" w:w="60"/>
              <w:right w:type="dxa" w:w="100"/>
            </w:tcMar>
            <w:vAlign w:val="center"/>
          </w:tcPr>
          <w:p>
            <w:pPr>
              <w:spacing w:after="0"/>
            </w:pPr>
            <w:r>
              <w:rPr>
                <w:rFonts w:ascii="Arial" w:cs="Arial" w:eastAsia="Arial" w:hAnsi="Arial"/>
                <w:color w:val="1A1A1A"/>
                <w:sz w:val="19"/>
                <w:szCs w:val="19"/>
              </w:rPr>
              <w:t xml:space="preserve">Wealth Mgmt Rev.</w:t>
            </w:r>
          </w:p>
        </w:tc>
        <w:tc>
          <w:tcPr>
            <w:tcW w:type="dxa" w:w="1352"/>
            <w:tcBorders>
              <w:top w:val="single" w:color="999999" w:sz="1"/>
              <w:left w:val="single" w:color="999999" w:sz="1"/>
              <w:bottom w:val="single" w:color="999999" w:sz="1"/>
              <w:right w:val="single" w:color="999999" w:sz="1"/>
            </w:tcBorders>
            <w:shd w:fill="EDF2F7" w:val="clear"/>
            <w:tcMar>
              <w:top w:type="dxa" w:w="60"/>
              <w:left w:type="dxa" w:w="100"/>
              <w:bottom w:type="dxa" w:w="60"/>
              <w:right w:type="dxa" w:w="100"/>
            </w:tcMar>
            <w:vAlign w:val="center"/>
          </w:tcPr>
          <w:p>
            <w:pPr>
              <w:spacing w:after="0"/>
            </w:pPr>
            <w:r>
              <w:rPr>
                <w:rFonts w:ascii="Arial" w:cs="Arial" w:eastAsia="Arial" w:hAnsi="Arial"/>
                <w:color w:val="1A1A1A"/>
                <w:sz w:val="19"/>
                <w:szCs w:val="19"/>
              </w:rPr>
              <w:t xml:space="preserve">16</w:t>
            </w:r>
          </w:p>
        </w:tc>
        <w:tc>
          <w:tcPr>
            <w:tcW w:type="dxa" w:w="1352"/>
            <w:tcBorders>
              <w:top w:val="single" w:color="999999" w:sz="1"/>
              <w:left w:val="single" w:color="999999" w:sz="1"/>
              <w:bottom w:val="single" w:color="999999" w:sz="1"/>
              <w:right w:val="single" w:color="999999" w:sz="1"/>
            </w:tcBorders>
            <w:shd w:fill="EDF2F7" w:val="clear"/>
            <w:tcMar>
              <w:top w:type="dxa" w:w="60"/>
              <w:left w:type="dxa" w:w="100"/>
              <w:bottom w:type="dxa" w:w="60"/>
              <w:right w:type="dxa" w:w="100"/>
            </w:tcMar>
            <w:vAlign w:val="center"/>
          </w:tcPr>
          <w:p>
            <w:pPr>
              <w:spacing w:after="0"/>
            </w:pPr>
            <w:r>
              <w:rPr>
                <w:rFonts w:ascii="Arial" w:cs="Arial" w:eastAsia="Arial" w:hAnsi="Arial"/>
                <w:color w:val="1A1A1A"/>
                <w:sz w:val="19"/>
                <w:szCs w:val="19"/>
              </w:rPr>
              <w:t xml:space="preserve">15</w:t>
            </w:r>
          </w:p>
        </w:tc>
        <w:tc>
          <w:tcPr>
            <w:tcW w:type="dxa" w:w="1352"/>
            <w:tcBorders>
              <w:top w:val="single" w:color="999999" w:sz="1"/>
              <w:left w:val="single" w:color="999999" w:sz="1"/>
              <w:bottom w:val="single" w:color="999999" w:sz="1"/>
              <w:right w:val="single" w:color="999999" w:sz="1"/>
            </w:tcBorders>
            <w:shd w:fill="EDF2F7" w:val="clear"/>
            <w:tcMar>
              <w:top w:type="dxa" w:w="60"/>
              <w:left w:type="dxa" w:w="100"/>
              <w:bottom w:type="dxa" w:w="60"/>
              <w:right w:type="dxa" w:w="100"/>
            </w:tcMar>
            <w:vAlign w:val="center"/>
          </w:tcPr>
          <w:p>
            <w:pPr>
              <w:spacing w:after="0"/>
            </w:pPr>
            <w:r>
              <w:rPr>
                <w:rFonts w:ascii="Arial" w:cs="Arial" w:eastAsia="Arial" w:hAnsi="Arial"/>
                <w:color w:val="1A1A1A"/>
                <w:sz w:val="19"/>
                <w:szCs w:val="19"/>
              </w:rPr>
              <w:t xml:space="preserve">13 (-19%)</w:t>
            </w:r>
          </w:p>
        </w:tc>
        <w:tc>
          <w:tcPr>
            <w:tcW w:type="dxa" w:w="1352"/>
            <w:tcBorders>
              <w:top w:val="single" w:color="999999" w:sz="1"/>
              <w:left w:val="single" w:color="999999" w:sz="1"/>
              <w:bottom w:val="single" w:color="999999" w:sz="1"/>
              <w:right w:val="single" w:color="999999" w:sz="1"/>
            </w:tcBorders>
            <w:shd w:fill="EDF2F7" w:val="clear"/>
            <w:tcMar>
              <w:top w:type="dxa" w:w="60"/>
              <w:left w:type="dxa" w:w="100"/>
              <w:bottom w:type="dxa" w:w="60"/>
              <w:right w:type="dxa" w:w="100"/>
            </w:tcMar>
            <w:vAlign w:val="center"/>
          </w:tcPr>
          <w:p>
            <w:pPr>
              <w:spacing w:after="0"/>
            </w:pPr>
            <w:r>
              <w:rPr>
                <w:rFonts w:ascii="Arial" w:cs="Arial" w:eastAsia="Arial" w:hAnsi="Arial"/>
                <w:color w:val="1A1A1A"/>
                <w:sz w:val="19"/>
                <w:szCs w:val="19"/>
              </w:rPr>
              <w:t xml:space="preserve">14</w:t>
            </w:r>
          </w:p>
        </w:tc>
        <w:tc>
          <w:tcPr>
            <w:tcW w:type="dxa" w:w="1352"/>
            <w:tcBorders>
              <w:top w:val="single" w:color="999999" w:sz="1"/>
              <w:left w:val="single" w:color="999999" w:sz="1"/>
              <w:bottom w:val="single" w:color="999999" w:sz="1"/>
              <w:right w:val="single" w:color="999999" w:sz="1"/>
            </w:tcBorders>
            <w:shd w:fill="EDF2F7" w:val="clear"/>
            <w:tcMar>
              <w:top w:type="dxa" w:w="60"/>
              <w:left w:type="dxa" w:w="100"/>
              <w:bottom w:type="dxa" w:w="60"/>
              <w:right w:type="dxa" w:w="100"/>
            </w:tcMar>
            <w:vAlign w:val="center"/>
          </w:tcPr>
          <w:p>
            <w:pPr>
              <w:spacing w:after="0"/>
            </w:pPr>
            <w:r>
              <w:rPr>
                <w:rFonts w:ascii="Arial" w:cs="Arial" w:eastAsia="Arial" w:hAnsi="Arial"/>
                <w:color w:val="1A1A1A"/>
                <w:sz w:val="19"/>
                <w:szCs w:val="19"/>
              </w:rPr>
              <w:t xml:space="preserve">16</w:t>
            </w:r>
          </w:p>
        </w:tc>
      </w:tr>
      <w:tr>
        <w:tc>
          <w:tcPr>
            <w:tcW w:type="dxa" w:w="26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Arial" w:cs="Arial" w:eastAsia="Arial" w:hAnsi="Arial"/>
                <w:color w:val="1A1A1A"/>
                <w:sz w:val="19"/>
                <w:szCs w:val="19"/>
              </w:rPr>
              <w:t xml:space="preserve">Commercial Banking Rev.</w:t>
            </w:r>
          </w:p>
        </w:tc>
        <w:tc>
          <w:tcPr>
            <w:tcW w:type="dxa" w:w="1352"/>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Arial" w:cs="Arial" w:eastAsia="Arial" w:hAnsi="Arial"/>
                <w:color w:val="1A1A1A"/>
                <w:sz w:val="19"/>
                <w:szCs w:val="19"/>
              </w:rPr>
              <w:t xml:space="preserve">10</w:t>
            </w:r>
          </w:p>
        </w:tc>
        <w:tc>
          <w:tcPr>
            <w:tcW w:type="dxa" w:w="1352"/>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Arial" w:cs="Arial" w:eastAsia="Arial" w:hAnsi="Arial"/>
                <w:color w:val="1A1A1A"/>
                <w:sz w:val="19"/>
                <w:szCs w:val="19"/>
              </w:rPr>
              <w:t xml:space="preserve">9</w:t>
            </w:r>
          </w:p>
        </w:tc>
        <w:tc>
          <w:tcPr>
            <w:tcW w:type="dxa" w:w="1352"/>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Arial" w:cs="Arial" w:eastAsia="Arial" w:hAnsi="Arial"/>
                <w:color w:val="1A1A1A"/>
                <w:sz w:val="19"/>
                <w:szCs w:val="19"/>
              </w:rPr>
              <w:t xml:space="preserve">9 (-10%)</w:t>
            </w:r>
          </w:p>
        </w:tc>
        <w:tc>
          <w:tcPr>
            <w:tcW w:type="dxa" w:w="1352"/>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Arial" w:cs="Arial" w:eastAsia="Arial" w:hAnsi="Arial"/>
                <w:color w:val="1A1A1A"/>
                <w:sz w:val="19"/>
                <w:szCs w:val="19"/>
              </w:rPr>
              <w:t xml:space="preserve">9</w:t>
            </w:r>
          </w:p>
        </w:tc>
        <w:tc>
          <w:tcPr>
            <w:tcW w:type="dxa" w:w="1352"/>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Arial" w:cs="Arial" w:eastAsia="Arial" w:hAnsi="Arial"/>
                <w:color w:val="1A1A1A"/>
                <w:sz w:val="19"/>
                <w:szCs w:val="19"/>
              </w:rPr>
              <w:t xml:space="preserve">8</w:t>
            </w:r>
          </w:p>
        </w:tc>
      </w:tr>
      <w:tr>
        <w:tc>
          <w:tcPr>
            <w:tcW w:type="dxa" w:w="2600"/>
            <w:tcBorders>
              <w:top w:val="single" w:color="999999" w:sz="1"/>
              <w:left w:val="single" w:color="999999" w:sz="1"/>
              <w:bottom w:val="single" w:color="999999" w:sz="1"/>
              <w:right w:val="single" w:color="999999" w:sz="1"/>
            </w:tcBorders>
            <w:shd w:fill="EDF2F7" w:val="clear"/>
            <w:tcMar>
              <w:top w:type="dxa" w:w="60"/>
              <w:left w:type="dxa" w:w="100"/>
              <w:bottom w:type="dxa" w:w="60"/>
              <w:right w:type="dxa" w:w="100"/>
            </w:tcMar>
            <w:vAlign w:val="center"/>
          </w:tcPr>
          <w:p>
            <w:pPr>
              <w:spacing w:after="0"/>
            </w:pPr>
            <w:r>
              <w:rPr>
                <w:rFonts w:ascii="Arial" w:cs="Arial" w:eastAsia="Arial" w:hAnsi="Arial"/>
                <w:color w:val="1A1A1A"/>
                <w:sz w:val="19"/>
                <w:szCs w:val="19"/>
              </w:rPr>
              <w:t xml:space="preserve">Provision for Credit Losses ($B)</w:t>
            </w:r>
          </w:p>
        </w:tc>
        <w:tc>
          <w:tcPr>
            <w:tcW w:type="dxa" w:w="1352"/>
            <w:tcBorders>
              <w:top w:val="single" w:color="999999" w:sz="1"/>
              <w:left w:val="single" w:color="999999" w:sz="1"/>
              <w:bottom w:val="single" w:color="999999" w:sz="1"/>
              <w:right w:val="single" w:color="999999" w:sz="1"/>
            </w:tcBorders>
            <w:shd w:fill="EDF2F7" w:val="clear"/>
            <w:tcMar>
              <w:top w:type="dxa" w:w="60"/>
              <w:left w:type="dxa" w:w="100"/>
              <w:bottom w:type="dxa" w:w="60"/>
              <w:right w:type="dxa" w:w="100"/>
            </w:tcMar>
            <w:vAlign w:val="center"/>
          </w:tcPr>
          <w:p>
            <w:pPr>
              <w:spacing w:after="0"/>
            </w:pPr>
            <w:r>
              <w:rPr>
                <w:rFonts w:ascii="Arial" w:cs="Arial" w:eastAsia="Arial" w:hAnsi="Arial"/>
                <w:color w:val="1A1A1A"/>
                <w:sz w:val="19"/>
                <w:szCs w:val="19"/>
              </w:rPr>
              <w:t xml:space="preserve">5.5</w:t>
            </w:r>
          </w:p>
        </w:tc>
        <w:tc>
          <w:tcPr>
            <w:tcW w:type="dxa" w:w="1352"/>
            <w:tcBorders>
              <w:top w:val="single" w:color="999999" w:sz="1"/>
              <w:left w:val="single" w:color="999999" w:sz="1"/>
              <w:bottom w:val="single" w:color="999999" w:sz="1"/>
              <w:right w:val="single" w:color="999999" w:sz="1"/>
            </w:tcBorders>
            <w:shd w:fill="EDF2F7" w:val="clear"/>
            <w:tcMar>
              <w:top w:type="dxa" w:w="60"/>
              <w:left w:type="dxa" w:w="100"/>
              <w:bottom w:type="dxa" w:w="60"/>
              <w:right w:type="dxa" w:w="100"/>
            </w:tcMar>
            <w:vAlign w:val="center"/>
          </w:tcPr>
          <w:p>
            <w:pPr>
              <w:spacing w:after="0"/>
            </w:pPr>
            <w:r>
              <w:rPr>
                <w:rFonts w:ascii="Arial" w:cs="Arial" w:eastAsia="Arial" w:hAnsi="Arial"/>
                <w:color w:val="1A1A1A"/>
                <w:sz w:val="19"/>
                <w:szCs w:val="19"/>
              </w:rPr>
              <w:t xml:space="preserve">8.0</w:t>
            </w:r>
          </w:p>
        </w:tc>
        <w:tc>
          <w:tcPr>
            <w:tcW w:type="dxa" w:w="1352"/>
            <w:tcBorders>
              <w:top w:val="single" w:color="999999" w:sz="1"/>
              <w:left w:val="single" w:color="999999" w:sz="1"/>
              <w:bottom w:val="single" w:color="999999" w:sz="1"/>
              <w:right w:val="single" w:color="999999" w:sz="1"/>
            </w:tcBorders>
            <w:shd w:fill="EDF2F7" w:val="clear"/>
            <w:tcMar>
              <w:top w:type="dxa" w:w="60"/>
              <w:left w:type="dxa" w:w="100"/>
              <w:bottom w:type="dxa" w:w="60"/>
              <w:right w:type="dxa" w:w="100"/>
            </w:tcMar>
            <w:vAlign w:val="center"/>
          </w:tcPr>
          <w:p>
            <w:pPr>
              <w:spacing w:after="0"/>
            </w:pPr>
            <w:r>
              <w:rPr>
                <w:rFonts w:ascii="Arial" w:cs="Arial" w:eastAsia="Arial" w:hAnsi="Arial"/>
                <w:color w:val="1A1A1A"/>
                <w:sz w:val="19"/>
                <w:szCs w:val="19"/>
              </w:rPr>
              <w:t xml:space="preserve">18.5</w:t>
            </w:r>
          </w:p>
        </w:tc>
        <w:tc>
          <w:tcPr>
            <w:tcW w:type="dxa" w:w="1352"/>
            <w:tcBorders>
              <w:top w:val="single" w:color="999999" w:sz="1"/>
              <w:left w:val="single" w:color="999999" w:sz="1"/>
              <w:bottom w:val="single" w:color="999999" w:sz="1"/>
              <w:right w:val="single" w:color="999999" w:sz="1"/>
            </w:tcBorders>
            <w:shd w:fill="EDF2F7" w:val="clear"/>
            <w:tcMar>
              <w:top w:type="dxa" w:w="60"/>
              <w:left w:type="dxa" w:w="100"/>
              <w:bottom w:type="dxa" w:w="60"/>
              <w:right w:type="dxa" w:w="100"/>
            </w:tcMar>
            <w:vAlign w:val="center"/>
          </w:tcPr>
          <w:p>
            <w:pPr>
              <w:spacing w:after="0"/>
            </w:pPr>
            <w:r>
              <w:rPr>
                <w:rFonts w:ascii="Arial" w:cs="Arial" w:eastAsia="Arial" w:hAnsi="Arial"/>
                <w:color w:val="1A1A1A"/>
                <w:sz w:val="19"/>
                <w:szCs w:val="19"/>
              </w:rPr>
              <w:t xml:space="preserve">12.0</w:t>
            </w:r>
          </w:p>
        </w:tc>
        <w:tc>
          <w:tcPr>
            <w:tcW w:type="dxa" w:w="1352"/>
            <w:tcBorders>
              <w:top w:val="single" w:color="999999" w:sz="1"/>
              <w:left w:val="single" w:color="999999" w:sz="1"/>
              <w:bottom w:val="single" w:color="999999" w:sz="1"/>
              <w:right w:val="single" w:color="999999" w:sz="1"/>
            </w:tcBorders>
            <w:shd w:fill="EDF2F7" w:val="clear"/>
            <w:tcMar>
              <w:top w:type="dxa" w:w="60"/>
              <w:left w:type="dxa" w:w="100"/>
              <w:bottom w:type="dxa" w:w="60"/>
              <w:right w:type="dxa" w:w="100"/>
            </w:tcMar>
            <w:vAlign w:val="center"/>
          </w:tcPr>
          <w:p>
            <w:pPr>
              <w:spacing w:after="0"/>
            </w:pPr>
            <w:r>
              <w:rPr>
                <w:rFonts w:ascii="Arial" w:cs="Arial" w:eastAsia="Arial" w:hAnsi="Arial"/>
                <w:color w:val="1A1A1A"/>
                <w:sz w:val="19"/>
                <w:szCs w:val="19"/>
              </w:rPr>
              <w:t xml:space="preserve">7.0</w:t>
            </w:r>
          </w:p>
        </w:tc>
      </w:tr>
      <w:tr>
        <w:tc>
          <w:tcPr>
            <w:tcW w:type="dxa" w:w="26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Arial" w:cs="Arial" w:eastAsia="Arial" w:hAnsi="Arial"/>
                <w:color w:val="1A1A1A"/>
                <w:sz w:val="19"/>
                <w:szCs w:val="19"/>
              </w:rPr>
              <w:t xml:space="preserve">  - Consumer (cards, auto, mortgage)</w:t>
            </w:r>
          </w:p>
        </w:tc>
        <w:tc>
          <w:tcPr>
            <w:tcW w:type="dxa" w:w="1352"/>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Arial" w:cs="Arial" w:eastAsia="Arial" w:hAnsi="Arial"/>
                <w:color w:val="1A1A1A"/>
                <w:sz w:val="19"/>
                <w:szCs w:val="19"/>
              </w:rPr>
              <w:t xml:space="preserve">3.5</w:t>
            </w:r>
          </w:p>
        </w:tc>
        <w:tc>
          <w:tcPr>
            <w:tcW w:type="dxa" w:w="1352"/>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Arial" w:cs="Arial" w:eastAsia="Arial" w:hAnsi="Arial"/>
                <w:color w:val="1A1A1A"/>
                <w:sz w:val="19"/>
                <w:szCs w:val="19"/>
              </w:rPr>
              <w:t xml:space="preserve">5.5</w:t>
            </w:r>
          </w:p>
        </w:tc>
        <w:tc>
          <w:tcPr>
            <w:tcW w:type="dxa" w:w="1352"/>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Arial" w:cs="Arial" w:eastAsia="Arial" w:hAnsi="Arial"/>
                <w:color w:val="1A1A1A"/>
                <w:sz w:val="19"/>
                <w:szCs w:val="19"/>
              </w:rPr>
              <w:t xml:space="preserve">12.5</w:t>
            </w:r>
          </w:p>
        </w:tc>
        <w:tc>
          <w:tcPr>
            <w:tcW w:type="dxa" w:w="1352"/>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Arial" w:cs="Arial" w:eastAsia="Arial" w:hAnsi="Arial"/>
                <w:color w:val="1A1A1A"/>
                <w:sz w:val="19"/>
                <w:szCs w:val="19"/>
              </w:rPr>
              <w:t xml:space="preserve">8.0</w:t>
            </w:r>
          </w:p>
        </w:tc>
        <w:tc>
          <w:tcPr>
            <w:tcW w:type="dxa" w:w="1352"/>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Arial" w:cs="Arial" w:eastAsia="Arial" w:hAnsi="Arial"/>
                <w:color w:val="1A1A1A"/>
                <w:sz w:val="19"/>
                <w:szCs w:val="19"/>
              </w:rPr>
              <w:t xml:space="preserve">4.5</w:t>
            </w:r>
          </w:p>
        </w:tc>
      </w:tr>
      <w:tr>
        <w:tc>
          <w:tcPr>
            <w:tcW w:type="dxa" w:w="2600"/>
            <w:tcBorders>
              <w:top w:val="single" w:color="999999" w:sz="1"/>
              <w:left w:val="single" w:color="999999" w:sz="1"/>
              <w:bottom w:val="single" w:color="999999" w:sz="1"/>
              <w:right w:val="single" w:color="999999" w:sz="1"/>
            </w:tcBorders>
            <w:shd w:fill="EDF2F7" w:val="clear"/>
            <w:tcMar>
              <w:top w:type="dxa" w:w="60"/>
              <w:left w:type="dxa" w:w="100"/>
              <w:bottom w:type="dxa" w:w="60"/>
              <w:right w:type="dxa" w:w="100"/>
            </w:tcMar>
            <w:vAlign w:val="center"/>
          </w:tcPr>
          <w:p>
            <w:pPr>
              <w:spacing w:after="0"/>
            </w:pPr>
            <w:r>
              <w:rPr>
                <w:rFonts w:ascii="Arial" w:cs="Arial" w:eastAsia="Arial" w:hAnsi="Arial"/>
                <w:color w:val="1A1A1A"/>
                <w:sz w:val="19"/>
                <w:szCs w:val="19"/>
              </w:rPr>
              <w:t xml:space="preserve">  - Commercial (CRE, C&amp;I, SMB)</w:t>
            </w:r>
          </w:p>
        </w:tc>
        <w:tc>
          <w:tcPr>
            <w:tcW w:type="dxa" w:w="1352"/>
            <w:tcBorders>
              <w:top w:val="single" w:color="999999" w:sz="1"/>
              <w:left w:val="single" w:color="999999" w:sz="1"/>
              <w:bottom w:val="single" w:color="999999" w:sz="1"/>
              <w:right w:val="single" w:color="999999" w:sz="1"/>
            </w:tcBorders>
            <w:shd w:fill="EDF2F7" w:val="clear"/>
            <w:tcMar>
              <w:top w:type="dxa" w:w="60"/>
              <w:left w:type="dxa" w:w="100"/>
              <w:bottom w:type="dxa" w:w="60"/>
              <w:right w:type="dxa" w:w="100"/>
            </w:tcMar>
            <w:vAlign w:val="center"/>
          </w:tcPr>
          <w:p>
            <w:pPr>
              <w:spacing w:after="0"/>
            </w:pPr>
            <w:r>
              <w:rPr>
                <w:rFonts w:ascii="Arial" w:cs="Arial" w:eastAsia="Arial" w:hAnsi="Arial"/>
                <w:color w:val="1A1A1A"/>
                <w:sz w:val="19"/>
                <w:szCs w:val="19"/>
              </w:rPr>
              <w:t xml:space="preserve">2.0</w:t>
            </w:r>
          </w:p>
        </w:tc>
        <w:tc>
          <w:tcPr>
            <w:tcW w:type="dxa" w:w="1352"/>
            <w:tcBorders>
              <w:top w:val="single" w:color="999999" w:sz="1"/>
              <w:left w:val="single" w:color="999999" w:sz="1"/>
              <w:bottom w:val="single" w:color="999999" w:sz="1"/>
              <w:right w:val="single" w:color="999999" w:sz="1"/>
            </w:tcBorders>
            <w:shd w:fill="EDF2F7" w:val="clear"/>
            <w:tcMar>
              <w:top w:type="dxa" w:w="60"/>
              <w:left w:type="dxa" w:w="100"/>
              <w:bottom w:type="dxa" w:w="60"/>
              <w:right w:type="dxa" w:w="100"/>
            </w:tcMar>
            <w:vAlign w:val="center"/>
          </w:tcPr>
          <w:p>
            <w:pPr>
              <w:spacing w:after="0"/>
            </w:pPr>
            <w:r>
              <w:rPr>
                <w:rFonts w:ascii="Arial" w:cs="Arial" w:eastAsia="Arial" w:hAnsi="Arial"/>
                <w:color w:val="1A1A1A"/>
                <w:sz w:val="19"/>
                <w:szCs w:val="19"/>
              </w:rPr>
              <w:t xml:space="preserve">2.5</w:t>
            </w:r>
          </w:p>
        </w:tc>
        <w:tc>
          <w:tcPr>
            <w:tcW w:type="dxa" w:w="1352"/>
            <w:tcBorders>
              <w:top w:val="single" w:color="999999" w:sz="1"/>
              <w:left w:val="single" w:color="999999" w:sz="1"/>
              <w:bottom w:val="single" w:color="999999" w:sz="1"/>
              <w:right w:val="single" w:color="999999" w:sz="1"/>
            </w:tcBorders>
            <w:shd w:fill="EDF2F7" w:val="clear"/>
            <w:tcMar>
              <w:top w:type="dxa" w:w="60"/>
              <w:left w:type="dxa" w:w="100"/>
              <w:bottom w:type="dxa" w:w="60"/>
              <w:right w:type="dxa" w:w="100"/>
            </w:tcMar>
            <w:vAlign w:val="center"/>
          </w:tcPr>
          <w:p>
            <w:pPr>
              <w:spacing w:after="0"/>
            </w:pPr>
            <w:r>
              <w:rPr>
                <w:rFonts w:ascii="Arial" w:cs="Arial" w:eastAsia="Arial" w:hAnsi="Arial"/>
                <w:color w:val="1A1A1A"/>
                <w:sz w:val="19"/>
                <w:szCs w:val="19"/>
              </w:rPr>
              <w:t xml:space="preserve">6.0</w:t>
            </w:r>
          </w:p>
        </w:tc>
        <w:tc>
          <w:tcPr>
            <w:tcW w:type="dxa" w:w="1352"/>
            <w:tcBorders>
              <w:top w:val="single" w:color="999999" w:sz="1"/>
              <w:left w:val="single" w:color="999999" w:sz="1"/>
              <w:bottom w:val="single" w:color="999999" w:sz="1"/>
              <w:right w:val="single" w:color="999999" w:sz="1"/>
            </w:tcBorders>
            <w:shd w:fill="EDF2F7" w:val="clear"/>
            <w:tcMar>
              <w:top w:type="dxa" w:w="60"/>
              <w:left w:type="dxa" w:w="100"/>
              <w:bottom w:type="dxa" w:w="60"/>
              <w:right w:type="dxa" w:w="100"/>
            </w:tcMar>
            <w:vAlign w:val="center"/>
          </w:tcPr>
          <w:p>
            <w:pPr>
              <w:spacing w:after="0"/>
            </w:pPr>
            <w:r>
              <w:rPr>
                <w:rFonts w:ascii="Arial" w:cs="Arial" w:eastAsia="Arial" w:hAnsi="Arial"/>
                <w:color w:val="1A1A1A"/>
                <w:sz w:val="19"/>
                <w:szCs w:val="19"/>
              </w:rPr>
              <w:t xml:space="preserve">4.0</w:t>
            </w:r>
          </w:p>
        </w:tc>
        <w:tc>
          <w:tcPr>
            <w:tcW w:type="dxa" w:w="1352"/>
            <w:tcBorders>
              <w:top w:val="single" w:color="999999" w:sz="1"/>
              <w:left w:val="single" w:color="999999" w:sz="1"/>
              <w:bottom w:val="single" w:color="999999" w:sz="1"/>
              <w:right w:val="single" w:color="999999" w:sz="1"/>
            </w:tcBorders>
            <w:shd w:fill="EDF2F7" w:val="clear"/>
            <w:tcMar>
              <w:top w:type="dxa" w:w="60"/>
              <w:left w:type="dxa" w:w="100"/>
              <w:bottom w:type="dxa" w:w="60"/>
              <w:right w:type="dxa" w:w="100"/>
            </w:tcMar>
            <w:vAlign w:val="center"/>
          </w:tcPr>
          <w:p>
            <w:pPr>
              <w:spacing w:after="0"/>
            </w:pPr>
            <w:r>
              <w:rPr>
                <w:rFonts w:ascii="Arial" w:cs="Arial" w:eastAsia="Arial" w:hAnsi="Arial"/>
                <w:color w:val="1A1A1A"/>
                <w:sz w:val="19"/>
                <w:szCs w:val="19"/>
              </w:rPr>
              <w:t xml:space="preserve">2.5</w:t>
            </w:r>
          </w:p>
        </w:tc>
      </w:tr>
      <w:tr>
        <w:tc>
          <w:tcPr>
            <w:tcW w:type="dxa" w:w="26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Arial" w:cs="Arial" w:eastAsia="Arial" w:hAnsi="Arial"/>
                <w:color w:val="1A1A1A"/>
                <w:sz w:val="19"/>
                <w:szCs w:val="19"/>
              </w:rPr>
              <w:t xml:space="preserve">Non-Interest Expense ($B)</w:t>
            </w:r>
          </w:p>
        </w:tc>
        <w:tc>
          <w:tcPr>
            <w:tcW w:type="dxa" w:w="1352"/>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Arial" w:cs="Arial" w:eastAsia="Arial" w:hAnsi="Arial"/>
                <w:color w:val="1A1A1A"/>
                <w:sz w:val="19"/>
                <w:szCs w:val="19"/>
              </w:rPr>
              <w:t xml:space="preserve">52</w:t>
            </w:r>
          </w:p>
        </w:tc>
        <w:tc>
          <w:tcPr>
            <w:tcW w:type="dxa" w:w="1352"/>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Arial" w:cs="Arial" w:eastAsia="Arial" w:hAnsi="Arial"/>
                <w:color w:val="1A1A1A"/>
                <w:sz w:val="19"/>
                <w:szCs w:val="19"/>
              </w:rPr>
              <w:t xml:space="preserve">51</w:t>
            </w:r>
          </w:p>
        </w:tc>
        <w:tc>
          <w:tcPr>
            <w:tcW w:type="dxa" w:w="1352"/>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Arial" w:cs="Arial" w:eastAsia="Arial" w:hAnsi="Arial"/>
                <w:color w:val="1A1A1A"/>
                <w:sz w:val="19"/>
                <w:szCs w:val="19"/>
              </w:rPr>
              <w:t xml:space="preserve">49</w:t>
            </w:r>
          </w:p>
        </w:tc>
        <w:tc>
          <w:tcPr>
            <w:tcW w:type="dxa" w:w="1352"/>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Arial" w:cs="Arial" w:eastAsia="Arial" w:hAnsi="Arial"/>
                <w:color w:val="1A1A1A"/>
                <w:sz w:val="19"/>
                <w:szCs w:val="19"/>
              </w:rPr>
              <w:t xml:space="preserve">47</w:t>
            </w:r>
          </w:p>
        </w:tc>
        <w:tc>
          <w:tcPr>
            <w:tcW w:type="dxa" w:w="1352"/>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Arial" w:cs="Arial" w:eastAsia="Arial" w:hAnsi="Arial"/>
                <w:color w:val="1A1A1A"/>
                <w:sz w:val="19"/>
                <w:szCs w:val="19"/>
              </w:rPr>
              <w:t xml:space="preserve">46</w:t>
            </w:r>
          </w:p>
        </w:tc>
      </w:tr>
      <w:tr>
        <w:tc>
          <w:tcPr>
            <w:tcW w:type="dxa" w:w="2600"/>
            <w:tcBorders>
              <w:top w:val="single" w:color="999999" w:sz="1"/>
              <w:left w:val="single" w:color="999999" w:sz="1"/>
              <w:bottom w:val="single" w:color="999999" w:sz="1"/>
              <w:right w:val="single" w:color="999999" w:sz="1"/>
            </w:tcBorders>
            <w:shd w:fill="EDF2F7" w:val="clear"/>
            <w:tcMar>
              <w:top w:type="dxa" w:w="60"/>
              <w:left w:type="dxa" w:w="100"/>
              <w:bottom w:type="dxa" w:w="60"/>
              <w:right w:type="dxa" w:w="100"/>
            </w:tcMar>
            <w:vAlign w:val="center"/>
          </w:tcPr>
          <w:p>
            <w:pPr>
              <w:spacing w:after="0"/>
            </w:pPr>
            <w:r>
              <w:rPr>
                <w:rFonts w:ascii="Arial" w:cs="Arial" w:eastAsia="Arial" w:hAnsi="Arial"/>
                <w:color w:val="1A1A1A"/>
                <w:sz w:val="19"/>
                <w:szCs w:val="19"/>
              </w:rPr>
              <w:t xml:space="preserve">Headcount (thousands)</w:t>
            </w:r>
          </w:p>
        </w:tc>
        <w:tc>
          <w:tcPr>
            <w:tcW w:type="dxa" w:w="1352"/>
            <w:tcBorders>
              <w:top w:val="single" w:color="999999" w:sz="1"/>
              <w:left w:val="single" w:color="999999" w:sz="1"/>
              <w:bottom w:val="single" w:color="999999" w:sz="1"/>
              <w:right w:val="single" w:color="999999" w:sz="1"/>
            </w:tcBorders>
            <w:shd w:fill="EDF2F7" w:val="clear"/>
            <w:tcMar>
              <w:top w:type="dxa" w:w="60"/>
              <w:left w:type="dxa" w:w="100"/>
              <w:bottom w:type="dxa" w:w="60"/>
              <w:right w:type="dxa" w:w="100"/>
            </w:tcMar>
            <w:vAlign w:val="center"/>
          </w:tcPr>
          <w:p>
            <w:pPr>
              <w:spacing w:after="0"/>
            </w:pPr>
            <w:r>
              <w:rPr>
                <w:rFonts w:ascii="Arial" w:cs="Arial" w:eastAsia="Arial" w:hAnsi="Arial"/>
                <w:color w:val="1A1A1A"/>
                <w:sz w:val="19"/>
                <w:szCs w:val="19"/>
              </w:rPr>
              <w:t xml:space="preserve">225</w:t>
            </w:r>
          </w:p>
        </w:tc>
        <w:tc>
          <w:tcPr>
            <w:tcW w:type="dxa" w:w="1352"/>
            <w:tcBorders>
              <w:top w:val="single" w:color="999999" w:sz="1"/>
              <w:left w:val="single" w:color="999999" w:sz="1"/>
              <w:bottom w:val="single" w:color="999999" w:sz="1"/>
              <w:right w:val="single" w:color="999999" w:sz="1"/>
            </w:tcBorders>
            <w:shd w:fill="EDF2F7" w:val="clear"/>
            <w:tcMar>
              <w:top w:type="dxa" w:w="60"/>
              <w:left w:type="dxa" w:w="100"/>
              <w:bottom w:type="dxa" w:w="60"/>
              <w:right w:type="dxa" w:w="100"/>
            </w:tcMar>
            <w:vAlign w:val="center"/>
          </w:tcPr>
          <w:p>
            <w:pPr>
              <w:spacing w:after="0"/>
            </w:pPr>
            <w:r>
              <w:rPr>
                <w:rFonts w:ascii="Arial" w:cs="Arial" w:eastAsia="Arial" w:hAnsi="Arial"/>
                <w:color w:val="1A1A1A"/>
                <w:sz w:val="19"/>
                <w:szCs w:val="19"/>
              </w:rPr>
              <w:t xml:space="preserve">218</w:t>
            </w:r>
          </w:p>
        </w:tc>
        <w:tc>
          <w:tcPr>
            <w:tcW w:type="dxa" w:w="1352"/>
            <w:tcBorders>
              <w:top w:val="single" w:color="999999" w:sz="1"/>
              <w:left w:val="single" w:color="999999" w:sz="1"/>
              <w:bottom w:val="single" w:color="999999" w:sz="1"/>
              <w:right w:val="single" w:color="999999" w:sz="1"/>
            </w:tcBorders>
            <w:shd w:fill="EDF2F7" w:val="clear"/>
            <w:tcMar>
              <w:top w:type="dxa" w:w="60"/>
              <w:left w:type="dxa" w:w="100"/>
              <w:bottom w:type="dxa" w:w="60"/>
              <w:right w:type="dxa" w:w="100"/>
            </w:tcMar>
            <w:vAlign w:val="center"/>
          </w:tcPr>
          <w:p>
            <w:pPr>
              <w:spacing w:after="0"/>
            </w:pPr>
            <w:r>
              <w:rPr>
                <w:rFonts w:ascii="Arial" w:cs="Arial" w:eastAsia="Arial" w:hAnsi="Arial"/>
                <w:color w:val="1A1A1A"/>
                <w:sz w:val="19"/>
                <w:szCs w:val="19"/>
              </w:rPr>
              <w:t xml:space="preserve">200</w:t>
            </w:r>
          </w:p>
        </w:tc>
        <w:tc>
          <w:tcPr>
            <w:tcW w:type="dxa" w:w="1352"/>
            <w:tcBorders>
              <w:top w:val="single" w:color="999999" w:sz="1"/>
              <w:left w:val="single" w:color="999999" w:sz="1"/>
              <w:bottom w:val="single" w:color="999999" w:sz="1"/>
              <w:right w:val="single" w:color="999999" w:sz="1"/>
            </w:tcBorders>
            <w:shd w:fill="EDF2F7" w:val="clear"/>
            <w:tcMar>
              <w:top w:type="dxa" w:w="60"/>
              <w:left w:type="dxa" w:w="100"/>
              <w:bottom w:type="dxa" w:w="60"/>
              <w:right w:type="dxa" w:w="100"/>
            </w:tcMar>
            <w:vAlign w:val="center"/>
          </w:tcPr>
          <w:p>
            <w:pPr>
              <w:spacing w:after="0"/>
            </w:pPr>
            <w:r>
              <w:rPr>
                <w:rFonts w:ascii="Arial" w:cs="Arial" w:eastAsia="Arial" w:hAnsi="Arial"/>
                <w:color w:val="1A1A1A"/>
                <w:sz w:val="19"/>
                <w:szCs w:val="19"/>
              </w:rPr>
              <w:t xml:space="preserve">188</w:t>
            </w:r>
          </w:p>
        </w:tc>
        <w:tc>
          <w:tcPr>
            <w:tcW w:type="dxa" w:w="1352"/>
            <w:tcBorders>
              <w:top w:val="single" w:color="999999" w:sz="1"/>
              <w:left w:val="single" w:color="999999" w:sz="1"/>
              <w:bottom w:val="single" w:color="999999" w:sz="1"/>
              <w:right w:val="single" w:color="999999" w:sz="1"/>
            </w:tcBorders>
            <w:shd w:fill="EDF2F7" w:val="clear"/>
            <w:tcMar>
              <w:top w:type="dxa" w:w="60"/>
              <w:left w:type="dxa" w:w="100"/>
              <w:bottom w:type="dxa" w:w="60"/>
              <w:right w:type="dxa" w:w="100"/>
            </w:tcMar>
            <w:vAlign w:val="center"/>
          </w:tcPr>
          <w:p>
            <w:pPr>
              <w:spacing w:after="0"/>
            </w:pPr>
            <w:r>
              <w:rPr>
                <w:rFonts w:ascii="Arial" w:cs="Arial" w:eastAsia="Arial" w:hAnsi="Arial"/>
                <w:color w:val="1A1A1A"/>
                <w:sz w:val="19"/>
                <w:szCs w:val="19"/>
              </w:rPr>
              <w:t xml:space="preserve">182</w:t>
            </w:r>
          </w:p>
        </w:tc>
      </w:tr>
      <w:tr>
        <w:tc>
          <w:tcPr>
            <w:tcW w:type="dxa" w:w="26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Arial" w:cs="Arial" w:eastAsia="Arial" w:hAnsi="Arial"/>
                <w:color w:val="1A1A1A"/>
                <w:sz w:val="19"/>
                <w:szCs w:val="19"/>
              </w:rPr>
              <w:t xml:space="preserve">Efficiency Ratio</w:t>
            </w:r>
          </w:p>
        </w:tc>
        <w:tc>
          <w:tcPr>
            <w:tcW w:type="dxa" w:w="1352"/>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Arial" w:cs="Arial" w:eastAsia="Arial" w:hAnsi="Arial"/>
                <w:color w:val="1A1A1A"/>
                <w:sz w:val="19"/>
                <w:szCs w:val="19"/>
              </w:rPr>
              <w:t xml:space="preserve">59%</w:t>
            </w:r>
          </w:p>
        </w:tc>
        <w:tc>
          <w:tcPr>
            <w:tcW w:type="dxa" w:w="1352"/>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Arial" w:cs="Arial" w:eastAsia="Arial" w:hAnsi="Arial"/>
                <w:color w:val="1A1A1A"/>
                <w:sz w:val="19"/>
                <w:szCs w:val="19"/>
              </w:rPr>
              <w:t xml:space="preserve">60%</w:t>
            </w:r>
          </w:p>
        </w:tc>
        <w:tc>
          <w:tcPr>
            <w:tcW w:type="dxa" w:w="1352"/>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Arial" w:cs="Arial" w:eastAsia="Arial" w:hAnsi="Arial"/>
                <w:color w:val="1A1A1A"/>
                <w:sz w:val="19"/>
                <w:szCs w:val="19"/>
              </w:rPr>
              <w:t xml:space="preserve">66%</w:t>
            </w:r>
          </w:p>
        </w:tc>
        <w:tc>
          <w:tcPr>
            <w:tcW w:type="dxa" w:w="1352"/>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Arial" w:cs="Arial" w:eastAsia="Arial" w:hAnsi="Arial"/>
                <w:color w:val="1A1A1A"/>
                <w:sz w:val="19"/>
                <w:szCs w:val="19"/>
              </w:rPr>
              <w:t xml:space="preserve">59%</w:t>
            </w:r>
          </w:p>
        </w:tc>
        <w:tc>
          <w:tcPr>
            <w:tcW w:type="dxa" w:w="1352"/>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Arial" w:cs="Arial" w:eastAsia="Arial" w:hAnsi="Arial"/>
                <w:color w:val="1A1A1A"/>
                <w:sz w:val="19"/>
                <w:szCs w:val="19"/>
              </w:rPr>
              <w:t xml:space="preserve">54%</w:t>
            </w:r>
          </w:p>
        </w:tc>
      </w:tr>
      <w:tr>
        <w:tc>
          <w:tcPr>
            <w:tcW w:type="dxa" w:w="2600"/>
            <w:tcBorders>
              <w:top w:val="single" w:color="999999" w:sz="1"/>
              <w:left w:val="single" w:color="999999" w:sz="1"/>
              <w:bottom w:val="single" w:color="999999" w:sz="1"/>
              <w:right w:val="single" w:color="999999" w:sz="1"/>
            </w:tcBorders>
            <w:shd w:fill="EDF2F7" w:val="clear"/>
            <w:tcMar>
              <w:top w:type="dxa" w:w="60"/>
              <w:left w:type="dxa" w:w="100"/>
              <w:bottom w:type="dxa" w:w="60"/>
              <w:right w:type="dxa" w:w="100"/>
            </w:tcMar>
            <w:vAlign w:val="center"/>
          </w:tcPr>
          <w:p>
            <w:pPr>
              <w:spacing w:after="0"/>
            </w:pPr>
            <w:r>
              <w:rPr>
                <w:rFonts w:ascii="Arial" w:cs="Arial" w:eastAsia="Arial" w:hAnsi="Arial"/>
                <w:color w:val="1A1A1A"/>
                <w:sz w:val="19"/>
                <w:szCs w:val="19"/>
              </w:rPr>
              <w:t xml:space="preserve">Pre-Tax Net Income ($B)</w:t>
            </w:r>
          </w:p>
        </w:tc>
        <w:tc>
          <w:tcPr>
            <w:tcW w:type="dxa" w:w="1352"/>
            <w:tcBorders>
              <w:top w:val="single" w:color="999999" w:sz="1"/>
              <w:left w:val="single" w:color="999999" w:sz="1"/>
              <w:bottom w:val="single" w:color="999999" w:sz="1"/>
              <w:right w:val="single" w:color="999999" w:sz="1"/>
            </w:tcBorders>
            <w:shd w:fill="EDF2F7" w:val="clear"/>
            <w:tcMar>
              <w:top w:type="dxa" w:w="60"/>
              <w:left w:type="dxa" w:w="100"/>
              <w:bottom w:type="dxa" w:w="60"/>
              <w:right w:type="dxa" w:w="100"/>
            </w:tcMar>
            <w:vAlign w:val="center"/>
          </w:tcPr>
          <w:p>
            <w:pPr>
              <w:spacing w:after="0"/>
            </w:pPr>
            <w:r>
              <w:rPr>
                <w:rFonts w:ascii="Arial" w:cs="Arial" w:eastAsia="Arial" w:hAnsi="Arial"/>
                <w:color w:val="1A1A1A"/>
                <w:sz w:val="19"/>
                <w:szCs w:val="19"/>
              </w:rPr>
              <w:t xml:space="preserve">30.5</w:t>
            </w:r>
          </w:p>
        </w:tc>
        <w:tc>
          <w:tcPr>
            <w:tcW w:type="dxa" w:w="1352"/>
            <w:tcBorders>
              <w:top w:val="single" w:color="999999" w:sz="1"/>
              <w:left w:val="single" w:color="999999" w:sz="1"/>
              <w:bottom w:val="single" w:color="999999" w:sz="1"/>
              <w:right w:val="single" w:color="999999" w:sz="1"/>
            </w:tcBorders>
            <w:shd w:fill="EDF2F7" w:val="clear"/>
            <w:tcMar>
              <w:top w:type="dxa" w:w="60"/>
              <w:left w:type="dxa" w:w="100"/>
              <w:bottom w:type="dxa" w:w="60"/>
              <w:right w:type="dxa" w:w="100"/>
            </w:tcMar>
            <w:vAlign w:val="center"/>
          </w:tcPr>
          <w:p>
            <w:pPr>
              <w:spacing w:after="0"/>
            </w:pPr>
            <w:r>
              <w:rPr>
                <w:rFonts w:ascii="Arial" w:cs="Arial" w:eastAsia="Arial" w:hAnsi="Arial"/>
                <w:color w:val="1A1A1A"/>
                <w:sz w:val="19"/>
                <w:szCs w:val="19"/>
              </w:rPr>
              <w:t xml:space="preserve">26.0</w:t>
            </w:r>
          </w:p>
        </w:tc>
        <w:tc>
          <w:tcPr>
            <w:tcW w:type="dxa" w:w="1352"/>
            <w:tcBorders>
              <w:top w:val="single" w:color="999999" w:sz="1"/>
              <w:left w:val="single" w:color="999999" w:sz="1"/>
              <w:bottom w:val="single" w:color="999999" w:sz="1"/>
              <w:right w:val="single" w:color="999999" w:sz="1"/>
            </w:tcBorders>
            <w:shd w:fill="EDF2F7" w:val="clear"/>
            <w:tcMar>
              <w:top w:type="dxa" w:w="60"/>
              <w:left w:type="dxa" w:w="100"/>
              <w:bottom w:type="dxa" w:w="60"/>
              <w:right w:type="dxa" w:w="100"/>
            </w:tcMar>
            <w:vAlign w:val="center"/>
          </w:tcPr>
          <w:p>
            <w:pPr>
              <w:spacing w:after="0"/>
            </w:pPr>
            <w:r>
              <w:rPr>
                <w:rFonts w:ascii="Arial" w:cs="Arial" w:eastAsia="Arial" w:hAnsi="Arial"/>
                <w:color w:val="1A1A1A"/>
                <w:sz w:val="19"/>
                <w:szCs w:val="19"/>
              </w:rPr>
              <w:t xml:space="preserve">6.5</w:t>
            </w:r>
          </w:p>
        </w:tc>
        <w:tc>
          <w:tcPr>
            <w:tcW w:type="dxa" w:w="1352"/>
            <w:tcBorders>
              <w:top w:val="single" w:color="999999" w:sz="1"/>
              <w:left w:val="single" w:color="999999" w:sz="1"/>
              <w:bottom w:val="single" w:color="999999" w:sz="1"/>
              <w:right w:val="single" w:color="999999" w:sz="1"/>
            </w:tcBorders>
            <w:shd w:fill="EDF2F7" w:val="clear"/>
            <w:tcMar>
              <w:top w:type="dxa" w:w="60"/>
              <w:left w:type="dxa" w:w="100"/>
              <w:bottom w:type="dxa" w:w="60"/>
              <w:right w:type="dxa" w:w="100"/>
            </w:tcMar>
            <w:vAlign w:val="center"/>
          </w:tcPr>
          <w:p>
            <w:pPr>
              <w:spacing w:after="0"/>
            </w:pPr>
            <w:r>
              <w:rPr>
                <w:rFonts w:ascii="Arial" w:cs="Arial" w:eastAsia="Arial" w:hAnsi="Arial"/>
                <w:color w:val="1A1A1A"/>
                <w:sz w:val="19"/>
                <w:szCs w:val="19"/>
              </w:rPr>
              <w:t xml:space="preserve">20.0</w:t>
            </w:r>
          </w:p>
        </w:tc>
        <w:tc>
          <w:tcPr>
            <w:tcW w:type="dxa" w:w="1352"/>
            <w:tcBorders>
              <w:top w:val="single" w:color="999999" w:sz="1"/>
              <w:left w:val="single" w:color="999999" w:sz="1"/>
              <w:bottom w:val="single" w:color="999999" w:sz="1"/>
              <w:right w:val="single" w:color="999999" w:sz="1"/>
            </w:tcBorders>
            <w:shd w:fill="EDF2F7" w:val="clear"/>
            <w:tcMar>
              <w:top w:type="dxa" w:w="60"/>
              <w:left w:type="dxa" w:w="100"/>
              <w:bottom w:type="dxa" w:w="60"/>
              <w:right w:type="dxa" w:w="100"/>
            </w:tcMar>
            <w:vAlign w:val="center"/>
          </w:tcPr>
          <w:p>
            <w:pPr>
              <w:spacing w:after="0"/>
            </w:pPr>
            <w:r>
              <w:rPr>
                <w:rFonts w:ascii="Arial" w:cs="Arial" w:eastAsia="Arial" w:hAnsi="Arial"/>
                <w:color w:val="1A1A1A"/>
                <w:sz w:val="19"/>
                <w:szCs w:val="19"/>
              </w:rPr>
              <w:t xml:space="preserve">32.0</w:t>
            </w:r>
          </w:p>
        </w:tc>
      </w:tr>
      <w:tr>
        <w:tc>
          <w:tcPr>
            <w:tcW w:type="dxa" w:w="26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Arial" w:cs="Arial" w:eastAsia="Arial" w:hAnsi="Arial"/>
                <w:color w:val="1A1A1A"/>
                <w:sz w:val="19"/>
                <w:szCs w:val="19"/>
              </w:rPr>
              <w:t xml:space="preserve">CET1 Ratio</w:t>
            </w:r>
          </w:p>
        </w:tc>
        <w:tc>
          <w:tcPr>
            <w:tcW w:type="dxa" w:w="1352"/>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Arial" w:cs="Arial" w:eastAsia="Arial" w:hAnsi="Arial"/>
                <w:color w:val="1A1A1A"/>
                <w:sz w:val="19"/>
                <w:szCs w:val="19"/>
              </w:rPr>
              <w:t xml:space="preserve">11.5%</w:t>
            </w:r>
          </w:p>
        </w:tc>
        <w:tc>
          <w:tcPr>
            <w:tcW w:type="dxa" w:w="1352"/>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Arial" w:cs="Arial" w:eastAsia="Arial" w:hAnsi="Arial"/>
                <w:color w:val="1A1A1A"/>
                <w:sz w:val="19"/>
                <w:szCs w:val="19"/>
              </w:rPr>
              <w:t xml:space="preserve">11.0%</w:t>
            </w:r>
          </w:p>
        </w:tc>
        <w:tc>
          <w:tcPr>
            <w:tcW w:type="dxa" w:w="1352"/>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Arial" w:cs="Arial" w:eastAsia="Arial" w:hAnsi="Arial"/>
                <w:color w:val="1A1A1A"/>
                <w:sz w:val="19"/>
                <w:szCs w:val="19"/>
              </w:rPr>
              <w:t xml:space="preserve">9.2%</w:t>
            </w:r>
          </w:p>
        </w:tc>
        <w:tc>
          <w:tcPr>
            <w:tcW w:type="dxa" w:w="1352"/>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Arial" w:cs="Arial" w:eastAsia="Arial" w:hAnsi="Arial"/>
                <w:color w:val="1A1A1A"/>
                <w:sz w:val="19"/>
                <w:szCs w:val="19"/>
              </w:rPr>
              <w:t xml:space="preserve">10.0%</w:t>
            </w:r>
          </w:p>
        </w:tc>
        <w:tc>
          <w:tcPr>
            <w:tcW w:type="dxa" w:w="1352"/>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Arial" w:cs="Arial" w:eastAsia="Arial" w:hAnsi="Arial"/>
                <w:color w:val="1A1A1A"/>
                <w:sz w:val="19"/>
                <w:szCs w:val="19"/>
              </w:rPr>
              <w:t xml:space="preserve">11.5%</w:t>
            </w:r>
          </w:p>
        </w:tc>
      </w:tr>
      <w:tr>
        <w:tc>
          <w:tcPr>
            <w:tcW w:type="dxa" w:w="2600"/>
            <w:tcBorders>
              <w:top w:val="single" w:color="999999" w:sz="1"/>
              <w:left w:val="single" w:color="999999" w:sz="1"/>
              <w:bottom w:val="single" w:color="999999" w:sz="1"/>
              <w:right w:val="single" w:color="999999" w:sz="1"/>
            </w:tcBorders>
            <w:shd w:fill="EDF2F7" w:val="clear"/>
            <w:tcMar>
              <w:top w:type="dxa" w:w="60"/>
              <w:left w:type="dxa" w:w="100"/>
              <w:bottom w:type="dxa" w:w="60"/>
              <w:right w:type="dxa" w:w="100"/>
            </w:tcMar>
            <w:vAlign w:val="center"/>
          </w:tcPr>
          <w:p>
            <w:pPr>
              <w:spacing w:after="0"/>
            </w:pPr>
            <w:r>
              <w:rPr>
                <w:rFonts w:ascii="Arial" w:cs="Arial" w:eastAsia="Arial" w:hAnsi="Arial"/>
                <w:color w:val="1A1A1A"/>
                <w:sz w:val="19"/>
                <w:szCs w:val="19"/>
              </w:rPr>
              <w:t xml:space="preserve">CET1 Impact (bps)</w:t>
            </w:r>
          </w:p>
        </w:tc>
        <w:tc>
          <w:tcPr>
            <w:tcW w:type="dxa" w:w="1352"/>
            <w:tcBorders>
              <w:top w:val="single" w:color="999999" w:sz="1"/>
              <w:left w:val="single" w:color="999999" w:sz="1"/>
              <w:bottom w:val="single" w:color="999999" w:sz="1"/>
              <w:right w:val="single" w:color="999999" w:sz="1"/>
            </w:tcBorders>
            <w:shd w:fill="EDF2F7" w:val="clear"/>
            <w:tcMar>
              <w:top w:type="dxa" w:w="60"/>
              <w:left w:type="dxa" w:w="100"/>
              <w:bottom w:type="dxa" w:w="60"/>
              <w:right w:type="dxa" w:w="100"/>
            </w:tcMar>
            <w:vAlign w:val="center"/>
          </w:tcPr>
          <w:p>
            <w:pPr>
              <w:spacing w:after="0"/>
            </w:pPr>
            <w:r>
              <w:rPr>
                <w:rFonts w:ascii="Arial" w:cs="Arial" w:eastAsia="Arial" w:hAnsi="Arial"/>
                <w:color w:val="1A1A1A"/>
                <w:sz w:val="19"/>
                <w:szCs w:val="19"/>
              </w:rPr>
              <w:t xml:space="preserve">0</w:t>
            </w:r>
          </w:p>
        </w:tc>
        <w:tc>
          <w:tcPr>
            <w:tcW w:type="dxa" w:w="1352"/>
            <w:tcBorders>
              <w:top w:val="single" w:color="999999" w:sz="1"/>
              <w:left w:val="single" w:color="999999" w:sz="1"/>
              <w:bottom w:val="single" w:color="999999" w:sz="1"/>
              <w:right w:val="single" w:color="999999" w:sz="1"/>
            </w:tcBorders>
            <w:shd w:fill="EDF2F7" w:val="clear"/>
            <w:tcMar>
              <w:top w:type="dxa" w:w="60"/>
              <w:left w:type="dxa" w:w="100"/>
              <w:bottom w:type="dxa" w:w="60"/>
              <w:right w:type="dxa" w:w="100"/>
            </w:tcMar>
            <w:vAlign w:val="center"/>
          </w:tcPr>
          <w:p>
            <w:pPr>
              <w:spacing w:after="0"/>
            </w:pPr>
            <w:r>
              <w:rPr>
                <w:rFonts w:ascii="Arial" w:cs="Arial" w:eastAsia="Arial" w:hAnsi="Arial"/>
                <w:color w:val="1A1A1A"/>
                <w:sz w:val="19"/>
                <w:szCs w:val="19"/>
              </w:rPr>
              <w:t xml:space="preserve">-50</w:t>
            </w:r>
          </w:p>
        </w:tc>
        <w:tc>
          <w:tcPr>
            <w:tcW w:type="dxa" w:w="1352"/>
            <w:tcBorders>
              <w:top w:val="single" w:color="999999" w:sz="1"/>
              <w:left w:val="single" w:color="999999" w:sz="1"/>
              <w:bottom w:val="single" w:color="999999" w:sz="1"/>
              <w:right w:val="single" w:color="999999" w:sz="1"/>
            </w:tcBorders>
            <w:shd w:fill="EDF2F7" w:val="clear"/>
            <w:tcMar>
              <w:top w:type="dxa" w:w="60"/>
              <w:left w:type="dxa" w:w="100"/>
              <w:bottom w:type="dxa" w:w="60"/>
              <w:right w:type="dxa" w:w="100"/>
            </w:tcMar>
            <w:vAlign w:val="center"/>
          </w:tcPr>
          <w:p>
            <w:pPr>
              <w:spacing w:after="0"/>
            </w:pPr>
            <w:r>
              <w:rPr>
                <w:rFonts w:ascii="Arial" w:cs="Arial" w:eastAsia="Arial" w:hAnsi="Arial"/>
                <w:color w:val="1A1A1A"/>
                <w:sz w:val="19"/>
                <w:szCs w:val="19"/>
              </w:rPr>
              <w:t xml:space="preserve">-230</w:t>
            </w:r>
          </w:p>
        </w:tc>
        <w:tc>
          <w:tcPr>
            <w:tcW w:type="dxa" w:w="1352"/>
            <w:tcBorders>
              <w:top w:val="single" w:color="999999" w:sz="1"/>
              <w:left w:val="single" w:color="999999" w:sz="1"/>
              <w:bottom w:val="single" w:color="999999" w:sz="1"/>
              <w:right w:val="single" w:color="999999" w:sz="1"/>
            </w:tcBorders>
            <w:shd w:fill="EDF2F7" w:val="clear"/>
            <w:tcMar>
              <w:top w:type="dxa" w:w="60"/>
              <w:left w:type="dxa" w:w="100"/>
              <w:bottom w:type="dxa" w:w="60"/>
              <w:right w:type="dxa" w:w="100"/>
            </w:tcMar>
            <w:vAlign w:val="center"/>
          </w:tcPr>
          <w:p>
            <w:pPr>
              <w:spacing w:after="0"/>
            </w:pPr>
            <w:r>
              <w:rPr>
                <w:rFonts w:ascii="Arial" w:cs="Arial" w:eastAsia="Arial" w:hAnsi="Arial"/>
                <w:color w:val="1A1A1A"/>
                <w:sz w:val="19"/>
                <w:szCs w:val="19"/>
              </w:rPr>
              <w:t xml:space="preserve">-150</w:t>
            </w:r>
          </w:p>
        </w:tc>
        <w:tc>
          <w:tcPr>
            <w:tcW w:type="dxa" w:w="1352"/>
            <w:tcBorders>
              <w:top w:val="single" w:color="999999" w:sz="1"/>
              <w:left w:val="single" w:color="999999" w:sz="1"/>
              <w:bottom w:val="single" w:color="999999" w:sz="1"/>
              <w:right w:val="single" w:color="999999" w:sz="1"/>
            </w:tcBorders>
            <w:shd w:fill="EDF2F7" w:val="clear"/>
            <w:tcMar>
              <w:top w:type="dxa" w:w="60"/>
              <w:left w:type="dxa" w:w="100"/>
              <w:bottom w:type="dxa" w:w="60"/>
              <w:right w:type="dxa" w:w="100"/>
            </w:tcMar>
            <w:vAlign w:val="center"/>
          </w:tcPr>
          <w:p>
            <w:pPr>
              <w:spacing w:after="0"/>
            </w:pPr>
            <w:r>
              <w:rPr>
                <w:rFonts w:ascii="Arial" w:cs="Arial" w:eastAsia="Arial" w:hAnsi="Arial"/>
                <w:color w:val="1A1A1A"/>
                <w:sz w:val="19"/>
                <w:szCs w:val="19"/>
              </w:rPr>
              <w:t xml:space="preserve">0</w:t>
            </w:r>
          </w:p>
        </w:tc>
      </w:tr>
      <w:tr>
        <w:tc>
          <w:tcPr>
            <w:tcW w:type="dxa" w:w="26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Arial" w:cs="Arial" w:eastAsia="Arial" w:hAnsi="Arial"/>
                <w:color w:val="1A1A1A"/>
                <w:sz w:val="19"/>
                <w:szCs w:val="19"/>
              </w:rPr>
              <w:t xml:space="preserve">Market Cap Impact</w:t>
            </w:r>
          </w:p>
        </w:tc>
        <w:tc>
          <w:tcPr>
            <w:tcW w:type="dxa" w:w="1352"/>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Arial" w:cs="Arial" w:eastAsia="Arial" w:hAnsi="Arial"/>
                <w:color w:val="1A1A1A"/>
                <w:sz w:val="19"/>
                <w:szCs w:val="19"/>
              </w:rPr>
              <w:t xml:space="preserve">Baseline</w:t>
            </w:r>
          </w:p>
        </w:tc>
        <w:tc>
          <w:tcPr>
            <w:tcW w:type="dxa" w:w="1352"/>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Arial" w:cs="Arial" w:eastAsia="Arial" w:hAnsi="Arial"/>
                <w:color w:val="1A1A1A"/>
                <w:sz w:val="19"/>
                <w:szCs w:val="19"/>
              </w:rPr>
              <w:t xml:space="preserve">-15%</w:t>
            </w:r>
          </w:p>
        </w:tc>
        <w:tc>
          <w:tcPr>
            <w:tcW w:type="dxa" w:w="1352"/>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Arial" w:cs="Arial" w:eastAsia="Arial" w:hAnsi="Arial"/>
                <w:color w:val="1A1A1A"/>
                <w:sz w:val="19"/>
                <w:szCs w:val="19"/>
              </w:rPr>
              <w:t xml:space="preserve">-42%</w:t>
            </w:r>
          </w:p>
        </w:tc>
        <w:tc>
          <w:tcPr>
            <w:tcW w:type="dxa" w:w="1352"/>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Arial" w:cs="Arial" w:eastAsia="Arial" w:hAnsi="Arial"/>
                <w:color w:val="1A1A1A"/>
                <w:sz w:val="19"/>
                <w:szCs w:val="19"/>
              </w:rPr>
              <w:t xml:space="preserve">-20%</w:t>
            </w:r>
          </w:p>
        </w:tc>
        <w:tc>
          <w:tcPr>
            <w:tcW w:type="dxa" w:w="1352"/>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Arial" w:cs="Arial" w:eastAsia="Arial" w:hAnsi="Arial"/>
                <w:color w:val="1A1A1A"/>
                <w:sz w:val="19"/>
                <w:szCs w:val="19"/>
              </w:rPr>
              <w:t xml:space="preserve">-5%</w:t>
            </w:r>
          </w:p>
        </w:tc>
      </w:tr>
    </w:tbl>
    <w:p>
      <w:pPr>
        <w:spacing w:after="200"/>
      </w:pPr>
    </w:p>
    <w:p>
      <w:pPr>
        <w:spacing w:after="120"/>
      </w:pPr>
      <w:r>
        <w:rPr>
          <w:b/>
          <w:bCs/>
        </w:rPr>
        <w:t xml:space="preserve">The strategic dilemma: </w:t>
      </w:r>
      <w:r>
        <w:t xml:space="preserve">Under this scenario, the institution faces a profound strategic tension. Its own AI transformation is contributing to the macroeconomic displacement that drives the credit losses in its consumer portfolio. Decelerating AI adoption would worsen its competitive position against peers (who face the same dilemma but may not pull back), while accelerating it would contribute to the broader displacement problem. This is a classic tragedy of the commons: each institution's rational individual action (adopt AI to remain competitive) produces a collectively adverse outcome (aggregate displacement exceeds what the economy can absorb). This coordination failure is the strongest argument for macroprudential regulatory involvement.</w:t>
      </w:r>
    </w:p>
    <w:p>
      <w:r>
        <w:br w:type="page"/>
      </w:r>
    </w:p>
    <w:p>
      <w:pPr>
        <w:pStyle w:val="Heading2"/>
      </w:pPr>
      <w:r>
        <w:t xml:space="preserve">4.6 Scenario C2: The AI Winter / Backlash Scenario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999999" w:sz="1"/>
              <w:left w:val="single" w:color="999999" w:sz="1"/>
              <w:bottom w:val="single" w:color="999999" w:sz="1"/>
              <w:right w:val="single" w:color="999999"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20"/>
                <w:szCs w:val="20"/>
              </w:rPr>
              <w:t xml:space="preserve">Parameter</w:t>
            </w:r>
          </w:p>
        </w:tc>
        <w:tc>
          <w:tcPr>
            <w:tcW w:type="dxa" w:w="6560"/>
            <w:tcBorders>
              <w:top w:val="single" w:color="999999" w:sz="1"/>
              <w:left w:val="single" w:color="999999" w:sz="1"/>
              <w:bottom w:val="single" w:color="999999" w:sz="1"/>
              <w:right w:val="single" w:color="999999"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20"/>
                <w:szCs w:val="20"/>
              </w:rPr>
              <w:t xml:space="preserve">Specification</w:t>
            </w:r>
          </w:p>
        </w:tc>
      </w:tr>
      <w:tr>
        <w:tc>
          <w:tcPr>
            <w:tcW w:type="dxa" w:w="28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Arial" w:cs="Arial" w:eastAsia="Arial" w:hAnsi="Arial"/>
                <w:color w:val="1A1A1A"/>
                <w:sz w:val="19"/>
                <w:szCs w:val="19"/>
              </w:rPr>
              <w:t xml:space="preserve">Classification</w:t>
            </w:r>
          </w:p>
        </w:tc>
        <w:tc>
          <w:tcPr>
            <w:tcW w:type="dxa" w:w="656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Arial" w:cs="Arial" w:eastAsia="Arial" w:hAnsi="Arial"/>
                <w:color w:val="1A1A1A"/>
                <w:sz w:val="19"/>
                <w:szCs w:val="19"/>
              </w:rPr>
              <w:t xml:space="preserve">Type C: Systemic/Macro (Alternative Adverse)</w:t>
            </w:r>
          </w:p>
        </w:tc>
      </w:tr>
      <w:tr>
        <w:tc>
          <w:tcPr>
            <w:tcW w:type="dxa" w:w="2800"/>
            <w:tcBorders>
              <w:top w:val="single" w:color="999999" w:sz="1"/>
              <w:left w:val="single" w:color="999999" w:sz="1"/>
              <w:bottom w:val="single" w:color="999999" w:sz="1"/>
              <w:right w:val="single" w:color="999999" w:sz="1"/>
            </w:tcBorders>
            <w:shd w:fill="EDF2F7" w:val="clear"/>
            <w:tcMar>
              <w:top w:type="dxa" w:w="60"/>
              <w:left w:type="dxa" w:w="100"/>
              <w:bottom w:type="dxa" w:w="60"/>
              <w:right w:type="dxa" w:w="100"/>
            </w:tcMar>
            <w:vAlign w:val="center"/>
          </w:tcPr>
          <w:p>
            <w:pPr>
              <w:spacing w:after="0"/>
            </w:pPr>
            <w:r>
              <w:rPr>
                <w:rFonts w:ascii="Arial" w:cs="Arial" w:eastAsia="Arial" w:hAnsi="Arial"/>
                <w:color w:val="1A1A1A"/>
                <w:sz w:val="19"/>
                <w:szCs w:val="19"/>
              </w:rPr>
              <w:t xml:space="preserve">Severity</w:t>
            </w:r>
          </w:p>
        </w:tc>
        <w:tc>
          <w:tcPr>
            <w:tcW w:type="dxa" w:w="6560"/>
            <w:tcBorders>
              <w:top w:val="single" w:color="999999" w:sz="1"/>
              <w:left w:val="single" w:color="999999" w:sz="1"/>
              <w:bottom w:val="single" w:color="999999" w:sz="1"/>
              <w:right w:val="single" w:color="999999" w:sz="1"/>
            </w:tcBorders>
            <w:shd w:fill="EDF2F7" w:val="clear"/>
            <w:tcMar>
              <w:top w:type="dxa" w:w="60"/>
              <w:left w:type="dxa" w:w="100"/>
              <w:bottom w:type="dxa" w:w="60"/>
              <w:right w:type="dxa" w:w="100"/>
            </w:tcMar>
            <w:vAlign w:val="center"/>
          </w:tcPr>
          <w:p>
            <w:pPr>
              <w:spacing w:after="0"/>
            </w:pPr>
            <w:r>
              <w:rPr>
                <w:rFonts w:ascii="Arial" w:cs="Arial" w:eastAsia="Arial" w:hAnsi="Arial"/>
                <w:color w:val="1A1A1A"/>
                <w:sz w:val="19"/>
                <w:szCs w:val="19"/>
              </w:rPr>
              <w:t xml:space="preserve">Alternative Adverse</w:t>
            </w:r>
          </w:p>
        </w:tc>
      </w:tr>
      <w:tr>
        <w:tc>
          <w:tcPr>
            <w:tcW w:type="dxa" w:w="28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Arial" w:cs="Arial" w:eastAsia="Arial" w:hAnsi="Arial"/>
                <w:color w:val="1A1A1A"/>
                <w:sz w:val="19"/>
                <w:szCs w:val="19"/>
              </w:rPr>
              <w:t xml:space="preserve">Probability Assessment</w:t>
            </w:r>
          </w:p>
        </w:tc>
        <w:tc>
          <w:tcPr>
            <w:tcW w:type="dxa" w:w="656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Arial" w:cs="Arial" w:eastAsia="Arial" w:hAnsi="Arial"/>
                <w:color w:val="1A1A1A"/>
                <w:sz w:val="19"/>
                <w:szCs w:val="19"/>
              </w:rPr>
              <w:t xml:space="preserve">10-15%</w:t>
            </w:r>
          </w:p>
        </w:tc>
      </w:tr>
      <w:tr>
        <w:tc>
          <w:tcPr>
            <w:tcW w:type="dxa" w:w="2800"/>
            <w:tcBorders>
              <w:top w:val="single" w:color="999999" w:sz="1"/>
              <w:left w:val="single" w:color="999999" w:sz="1"/>
              <w:bottom w:val="single" w:color="999999" w:sz="1"/>
              <w:right w:val="single" w:color="999999" w:sz="1"/>
            </w:tcBorders>
            <w:shd w:fill="EDF2F7" w:val="clear"/>
            <w:tcMar>
              <w:top w:type="dxa" w:w="60"/>
              <w:left w:type="dxa" w:w="100"/>
              <w:bottom w:type="dxa" w:w="60"/>
              <w:right w:type="dxa" w:w="100"/>
            </w:tcMar>
            <w:vAlign w:val="center"/>
          </w:tcPr>
          <w:p>
            <w:pPr>
              <w:spacing w:after="0"/>
            </w:pPr>
            <w:r>
              <w:rPr>
                <w:rFonts w:ascii="Arial" w:cs="Arial" w:eastAsia="Arial" w:hAnsi="Arial"/>
                <w:color w:val="1A1A1A"/>
                <w:sz w:val="19"/>
                <w:szCs w:val="19"/>
              </w:rPr>
              <w:t xml:space="preserve">Historical Analogue</w:t>
            </w:r>
          </w:p>
        </w:tc>
        <w:tc>
          <w:tcPr>
            <w:tcW w:type="dxa" w:w="6560"/>
            <w:tcBorders>
              <w:top w:val="single" w:color="999999" w:sz="1"/>
              <w:left w:val="single" w:color="999999" w:sz="1"/>
              <w:bottom w:val="single" w:color="999999" w:sz="1"/>
              <w:right w:val="single" w:color="999999" w:sz="1"/>
            </w:tcBorders>
            <w:shd w:fill="EDF2F7" w:val="clear"/>
            <w:tcMar>
              <w:top w:type="dxa" w:w="60"/>
              <w:left w:type="dxa" w:w="100"/>
              <w:bottom w:type="dxa" w:w="60"/>
              <w:right w:type="dxa" w:w="100"/>
            </w:tcMar>
            <w:vAlign w:val="center"/>
          </w:tcPr>
          <w:p>
            <w:pPr>
              <w:spacing w:after="0"/>
            </w:pPr>
            <w:r>
              <w:rPr>
                <w:rFonts w:ascii="Arial" w:cs="Arial" w:eastAsia="Arial" w:hAnsi="Arial"/>
                <w:color w:val="1A1A1A"/>
                <w:sz w:val="19"/>
                <w:szCs w:val="19"/>
              </w:rPr>
              <w:t xml:space="preserve">Nuclear power post-Three Mile Island; GMO backlash in Europe; crypto post-FTX</w:t>
            </w:r>
          </w:p>
        </w:tc>
      </w:tr>
      <w:tr>
        <w:tc>
          <w:tcPr>
            <w:tcW w:type="dxa" w:w="28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Arial" w:cs="Arial" w:eastAsia="Arial" w:hAnsi="Arial"/>
                <w:color w:val="1A1A1A"/>
                <w:sz w:val="19"/>
                <w:szCs w:val="19"/>
              </w:rPr>
              <w:t xml:space="preserve">Peak Stress Timing</w:t>
            </w:r>
          </w:p>
        </w:tc>
        <w:tc>
          <w:tcPr>
            <w:tcW w:type="dxa" w:w="656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Arial" w:cs="Arial" w:eastAsia="Arial" w:hAnsi="Arial"/>
                <w:color w:val="1A1A1A"/>
                <w:sz w:val="19"/>
                <w:szCs w:val="19"/>
              </w:rPr>
              <w:t xml:space="preserve">Year 2-3 (legislative/regulatory response)</w:t>
            </w:r>
          </w:p>
        </w:tc>
      </w:tr>
      <w:tr>
        <w:tc>
          <w:tcPr>
            <w:tcW w:type="dxa" w:w="2800"/>
            <w:tcBorders>
              <w:top w:val="single" w:color="999999" w:sz="1"/>
              <w:left w:val="single" w:color="999999" w:sz="1"/>
              <w:bottom w:val="single" w:color="999999" w:sz="1"/>
              <w:right w:val="single" w:color="999999" w:sz="1"/>
            </w:tcBorders>
            <w:shd w:fill="EDF2F7" w:val="clear"/>
            <w:tcMar>
              <w:top w:type="dxa" w:w="60"/>
              <w:left w:type="dxa" w:w="100"/>
              <w:bottom w:type="dxa" w:w="60"/>
              <w:right w:type="dxa" w:w="100"/>
            </w:tcMar>
            <w:vAlign w:val="center"/>
          </w:tcPr>
          <w:p>
            <w:pPr>
              <w:spacing w:after="0"/>
            </w:pPr>
            <w:r>
              <w:rPr>
                <w:rFonts w:ascii="Arial" w:cs="Arial" w:eastAsia="Arial" w:hAnsi="Arial"/>
                <w:color w:val="1A1A1A"/>
                <w:sz w:val="19"/>
                <w:szCs w:val="19"/>
              </w:rPr>
              <w:t xml:space="preserve">Recovery Horizon</w:t>
            </w:r>
          </w:p>
        </w:tc>
        <w:tc>
          <w:tcPr>
            <w:tcW w:type="dxa" w:w="6560"/>
            <w:tcBorders>
              <w:top w:val="single" w:color="999999" w:sz="1"/>
              <w:left w:val="single" w:color="999999" w:sz="1"/>
              <w:bottom w:val="single" w:color="999999" w:sz="1"/>
              <w:right w:val="single" w:color="999999" w:sz="1"/>
            </w:tcBorders>
            <w:shd w:fill="EDF2F7" w:val="clear"/>
            <w:tcMar>
              <w:top w:type="dxa" w:w="60"/>
              <w:left w:type="dxa" w:w="100"/>
              <w:bottom w:type="dxa" w:w="60"/>
              <w:right w:type="dxa" w:w="100"/>
            </w:tcMar>
            <w:vAlign w:val="center"/>
          </w:tcPr>
          <w:p>
            <w:pPr>
              <w:spacing w:after="0"/>
            </w:pPr>
            <w:r>
              <w:rPr>
                <w:rFonts w:ascii="Arial" w:cs="Arial" w:eastAsia="Arial" w:hAnsi="Arial"/>
                <w:color w:val="1A1A1A"/>
                <w:sz w:val="19"/>
                <w:szCs w:val="19"/>
              </w:rPr>
              <w:t xml:space="preserve">5-8 years (AI eventually resumes under tighter constraints)</w:t>
            </w:r>
          </w:p>
        </w:tc>
      </w:tr>
    </w:tbl>
    <w:p>
      <w:pPr>
        <w:spacing w:after="200"/>
      </w:pPr>
    </w:p>
    <w:p>
      <w:pPr>
        <w:pStyle w:val="Heading3"/>
      </w:pPr>
      <w:r>
        <w:t xml:space="preserve">4.6.1 Narrative: Cascade of Triggering Events</w:t>
      </w:r>
    </w:p>
    <w:p>
      <w:pPr>
        <w:spacing w:after="120"/>
      </w:pPr>
      <w:r>
        <w:rPr>
          <w:b/>
          <w:bCs/>
        </w:rPr>
        <w:t xml:space="preserve">Event 1: Systematic Fair Lending Violation (Year 1, Q1). </w:t>
      </w:r>
      <w:r>
        <w:t xml:space="preserve">A major bank's AI-powered credit decisioning system, deployed across mortgage origination and credit card underwriting, is found to have systematically denied or adversely priced applications from Black and Hispanic borrowers at rates that significantly exceed what can be explained by creditworthiness factors. The bias is traced to training data that encoded historical lending patterns, compounded by proxy variables (ZIP code, educational institution, employment patterns) that correlated with race. Approximately 2.5 million credit decisions over 18 months are affected. The DOJ opens a pattern-or-practice investigation. Congressional hearings are convened. A $5 billion settlement is eventually reached, but the political damage is immediate.</w:t>
      </w:r>
    </w:p>
    <w:p>
      <w:pPr>
        <w:spacing w:after="120"/>
      </w:pPr>
      <w:r>
        <w:rPr>
          <w:b/>
          <w:bCs/>
        </w:rPr>
        <w:t xml:space="preserve">Event 2: AI-Driven Flash Crash (Year 1, Q3). </w:t>
      </w:r>
      <w:r>
        <w:t xml:space="preserve">An AI-powered trading system at a major global bank, deployed for market-making across US equities and Treasury markets, encounters an edge case in market microstructure that its training data did not capture. The system initiates a cascade of sell orders that trigger stop-losses at other institutions using similar AI-driven risk management systems. The correlated response, amplified by the homogeneity of AI models across major dealers, produces a flash crash that temporarily erases $2-3 trillion in equity market value and causes Treasury market dislocations that require Fed intervention. While markets recover within days, the incident demonstrates the systemic risk of correlated AI strategies. SEC issues an emergency rule restricting AI in high-frequency trading.</w:t>
      </w:r>
    </w:p>
    <w:p>
      <w:pPr>
        <w:spacing w:after="120"/>
      </w:pPr>
      <w:r>
        <w:rPr>
          <w:b/>
          <w:bCs/>
        </w:rPr>
        <w:t xml:space="preserve">Event 3: Deepfake Fraud Epidemic (Year 2, Q1). </w:t>
      </w:r>
      <w:r>
        <w:t xml:space="preserve">AI-generated deepfake audio and video are used in a coordinated wave of corporate fraud targeting financial institutions. Attackers use AI-generated voice clones of C-suite executives to authorize wire transfers, and AI-generated video in fake video conferences to impersonate clients. Total losses across the banking system reach $1-2 billion before detection and response mechanisms are strengthened. Consumer confidence in digital banking declines sharply.</w:t>
      </w:r>
    </w:p>
    <w:p>
      <w:pPr>
        <w:spacing w:after="120"/>
      </w:pPr>
      <w:r>
        <w:rPr>
          <w:b/>
          <w:bCs/>
        </w:rPr>
        <w:t xml:space="preserve">Event 4: Major AI Provider Outage (Year 2, Q2). </w:t>
      </w:r>
      <w:r>
        <w:t xml:space="preserve">A catastrophic failure at a major cloud AI provider (representing 35-40% of financial institution AI workloads) causes a simultaneous outage affecting dozens of financial institutions for 48-72 hours. Automated credit decisioning, compliance monitoring, fraud detection, and customer service functions go offline simultaneously across multiple institutions. The incident demonstrates the systemic concentration risk that the FSB highlighted in its November 2024 and October 2025 reports. It becomes front-page news and prompts an FSB emergency review of AI provider concentration in the financial system.</w:t>
      </w:r>
    </w:p>
    <w:p>
      <w:pPr>
        <w:spacing w:after="120"/>
      </w:pPr>
      <w:r>
        <w:rPr>
          <w:b/>
          <w:bCs/>
        </w:rPr>
        <w:t xml:space="preserve">Legislative Response (Year 2-3): </w:t>
      </w:r>
      <w:r>
        <w:t xml:space="preserve">The AI Accountability Act is passed with bipartisan support, imposing: strict liability for AI-automated decisions in lending, insurance, and employment; mandatory human review requirements for all consequential financial decisions; comprehensive AI audit requirements for systemically important financial institutions; a three-year moratorium on AI-driven workforce reductions at institutions with more than $100 billion in assets; and an AI safety assessment requirement for any production AI deployment in regulated financial services. The EU AI Act's most restrictive provisions take full effect, creating additional compliance burdens for institutions with European operations.</w:t>
      </w:r>
    </w:p>
    <w:p>
      <w:pPr>
        <w:pStyle w:val="Heading3"/>
      </w:pPr>
      <w:r>
        <w:t xml:space="preserve">4.6.2 Impact on Financial Institutions</w:t>
      </w:r>
    </w:p>
    <w:p>
      <w:pPr>
        <w:spacing w:after="120"/>
      </w:pPr>
      <w:r>
        <w:rPr>
          <w:b/>
          <w:bCs/>
        </w:rPr>
        <w:t xml:space="preserve">Institutions that invested heavily in AI </w:t>
      </w:r>
      <w:r>
        <w:t xml:space="preserve">face: stranded technology investments of $3-8 billion (AI systems that cannot be deployed under new regulatory constraints); mandatory restoration of human oversight and review functions, requiring rehiring of 5-15% of previously reduced workforce at premium compensation; compliance remediation costs of $1-3 billion to meet new AI audit and accountability requirements; litigation from the class of events that triggered the backlash; and a 15-25% stock price decline reflecting both the immediate costs and the constraint on future AI-driven efficiency gains.</w:t>
      </w:r>
    </w:p>
    <w:p>
      <w:pPr>
        <w:spacing w:after="120"/>
      </w:pPr>
      <w:r>
        <w:rPr>
          <w:b/>
          <w:bCs/>
        </w:rPr>
        <w:t xml:space="preserve">Institutions that moved cautiously </w:t>
      </w:r>
      <w:r>
        <w:t xml:space="preserve">are temporarily vindicated and experience relative outperformance. However, the underlying technology has not disappeared, merely been delayed. These institutions face the risk that when AI adoption eventually resumes under tighter regulatory constraints (estimated 5-8 years for the moratorium to expire or be relaxed), the market will have moved on and they will still need to transform, but in a more constrained and costly regulatory environment.</w:t>
      </w:r>
    </w:p>
    <w:p>
      <w:pPr>
        <w:spacing w:after="120"/>
      </w:pPr>
      <w:r>
        <w:rPr>
          <w:b/>
          <w:bCs/>
        </w:rPr>
        <w:t xml:space="preserve">Duration calibration: </w:t>
      </w:r>
      <w:r>
        <w:t xml:space="preserve">The nuclear power analogy is instructive. After the Three Mile Island incident in 1979, no new nuclear plant construction permits were issued in the US for over 30 years. The crypto winter following the FTX collapse in November 2022 lasted approximately 18-24 months before institutional interest revived. For AI in financial services, the estimated backlash duration is 3-5 years for the most restrictive provisions, with a gradual regulatory relaxation over 5-8 years as the technology matures, safety frameworks improve, and the economic cost of forgoing AI becomes apparent.</w:t>
      </w:r>
    </w:p>
    <w:p>
      <w:r>
        <w:br w:type="page"/>
      </w:r>
    </w:p>
    <w:p>
      <w:pPr>
        <w:spacing w:before="600" w:after="400"/>
        <w:jc w:val="center"/>
      </w:pPr>
      <w:r>
        <w:rPr>
          <w:rFonts w:ascii="Arial" w:cs="Arial" w:eastAsia="Arial" w:hAnsi="Arial"/>
          <w:b/>
          <w:bCs/>
          <w:color w:val="1B3A5C"/>
          <w:sz w:val="36"/>
          <w:szCs w:val="36"/>
        </w:rPr>
        <w:t xml:space="preserve">PART III: IMPACT ANALYSIS &amp; QUANTIFICATION</w:t>
      </w:r>
    </w:p>
    <w:p>
      <w:r>
        <w:br w:type="page"/>
      </w:r>
    </w:p>
    <w:p>
      <w:pPr>
        <w:pStyle w:val="Heading1"/>
      </w:pPr>
      <w:r>
        <w:t xml:space="preserve">5. Industry-by-Industry Impact Analysis Under Scenario C1</w:t>
      </w:r>
    </w:p>
    <w:p>
      <w:pPr>
        <w:spacing w:after="120"/>
      </w:pPr>
      <w:r>
        <w:t xml:space="preserve">The following analysis estimates displacement impacts under the Great Displacement scenario (C1) for twelve industry sectors, drawing on BLS employment data, academic research on AI task exposure, and sector-specific adoption trajectories.</w:t>
      </w:r>
    </w:p>
    <w:p>
      <w:pPr>
        <w:pStyle w:val="Heading2"/>
      </w:pPr>
      <w:r>
        <w:t xml:space="preserve">5.1 Financial Services (Banking, Insurance, Asset Management)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999999" w:sz="1"/>
              <w:left w:val="single" w:color="999999" w:sz="1"/>
              <w:bottom w:val="single" w:color="999999" w:sz="1"/>
              <w:right w:val="single" w:color="999999"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20"/>
                <w:szCs w:val="20"/>
              </w:rPr>
              <w:t xml:space="preserve">Dimension</w:t>
            </w:r>
          </w:p>
        </w:tc>
        <w:tc>
          <w:tcPr>
            <w:tcW w:type="dxa" w:w="6960"/>
            <w:tcBorders>
              <w:top w:val="single" w:color="999999" w:sz="1"/>
              <w:left w:val="single" w:color="999999" w:sz="1"/>
              <w:bottom w:val="single" w:color="999999" w:sz="1"/>
              <w:right w:val="single" w:color="999999"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20"/>
                <w:szCs w:val="20"/>
              </w:rPr>
              <w:t xml:space="preserve">Assessment</w:t>
            </w:r>
          </w:p>
        </w:tc>
      </w:tr>
      <w:tr>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Arial" w:cs="Arial" w:eastAsia="Arial" w:hAnsi="Arial"/>
                <w:color w:val="1A1A1A"/>
                <w:sz w:val="19"/>
                <w:szCs w:val="19"/>
              </w:rPr>
              <w:t xml:space="preserve">Current US Employment</w:t>
            </w:r>
          </w:p>
        </w:tc>
        <w:tc>
          <w:tcPr>
            <w:tcW w:type="dxa" w:w="696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Arial" w:cs="Arial" w:eastAsia="Arial" w:hAnsi="Arial"/>
                <w:color w:val="1A1A1A"/>
                <w:sz w:val="19"/>
                <w:szCs w:val="19"/>
              </w:rPr>
              <w:t xml:space="preserve">~6.8 million (BLS, 2025)</w:t>
            </w:r>
          </w:p>
        </w:tc>
      </w:tr>
      <w:tr>
        <w:tc>
          <w:tcPr>
            <w:tcW w:type="dxa" w:w="2400"/>
            <w:tcBorders>
              <w:top w:val="single" w:color="999999" w:sz="1"/>
              <w:left w:val="single" w:color="999999" w:sz="1"/>
              <w:bottom w:val="single" w:color="999999" w:sz="1"/>
              <w:right w:val="single" w:color="999999" w:sz="1"/>
            </w:tcBorders>
            <w:shd w:fill="EDF2F7" w:val="clear"/>
            <w:tcMar>
              <w:top w:type="dxa" w:w="60"/>
              <w:left w:type="dxa" w:w="100"/>
              <w:bottom w:type="dxa" w:w="60"/>
              <w:right w:type="dxa" w:w="100"/>
            </w:tcMar>
            <w:vAlign w:val="center"/>
          </w:tcPr>
          <w:p>
            <w:pPr>
              <w:spacing w:after="0"/>
            </w:pPr>
            <w:r>
              <w:rPr>
                <w:rFonts w:ascii="Arial" w:cs="Arial" w:eastAsia="Arial" w:hAnsi="Arial"/>
                <w:color w:val="1A1A1A"/>
                <w:sz w:val="19"/>
                <w:szCs w:val="19"/>
              </w:rPr>
              <w:t xml:space="preserve">Most Affected Roles</w:t>
            </w:r>
          </w:p>
        </w:tc>
        <w:tc>
          <w:tcPr>
            <w:tcW w:type="dxa" w:w="6960"/>
            <w:tcBorders>
              <w:top w:val="single" w:color="999999" w:sz="1"/>
              <w:left w:val="single" w:color="999999" w:sz="1"/>
              <w:bottom w:val="single" w:color="999999" w:sz="1"/>
              <w:right w:val="single" w:color="999999" w:sz="1"/>
            </w:tcBorders>
            <w:shd w:fill="EDF2F7" w:val="clear"/>
            <w:tcMar>
              <w:top w:type="dxa" w:w="60"/>
              <w:left w:type="dxa" w:w="100"/>
              <w:bottom w:type="dxa" w:w="60"/>
              <w:right w:type="dxa" w:w="100"/>
            </w:tcMar>
            <w:vAlign w:val="center"/>
          </w:tcPr>
          <w:p>
            <w:pPr>
              <w:spacing w:after="0"/>
            </w:pPr>
            <w:r>
              <w:rPr>
                <w:rFonts w:ascii="Arial" w:cs="Arial" w:eastAsia="Arial" w:hAnsi="Arial"/>
                <w:color w:val="1A1A1A"/>
                <w:sz w:val="19"/>
                <w:szCs w:val="19"/>
              </w:rPr>
              <w:t xml:space="preserve">Operations and back-office staff, loan processors, compliance analysts, customer service representatives, insurance underwriters, financial advisors (robo-advisory), actuaries, middle-office risk analysts</w:t>
            </w:r>
          </w:p>
        </w:tc>
      </w:tr>
      <w:tr>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Arial" w:cs="Arial" w:eastAsia="Arial" w:hAnsi="Arial"/>
                <w:color w:val="1A1A1A"/>
                <w:sz w:val="19"/>
                <w:szCs w:val="19"/>
              </w:rPr>
              <w:t xml:space="preserve">Displacement Range (Year 3)</w:t>
            </w:r>
          </w:p>
        </w:tc>
        <w:tc>
          <w:tcPr>
            <w:tcW w:type="dxa" w:w="696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Arial" w:cs="Arial" w:eastAsia="Arial" w:hAnsi="Arial"/>
                <w:color w:val="1A1A1A"/>
                <w:sz w:val="19"/>
                <w:szCs w:val="19"/>
              </w:rPr>
              <w:t xml:space="preserve">8-12%</w:t>
            </w:r>
          </w:p>
        </w:tc>
      </w:tr>
      <w:tr>
        <w:tc>
          <w:tcPr>
            <w:tcW w:type="dxa" w:w="2400"/>
            <w:tcBorders>
              <w:top w:val="single" w:color="999999" w:sz="1"/>
              <w:left w:val="single" w:color="999999" w:sz="1"/>
              <w:bottom w:val="single" w:color="999999" w:sz="1"/>
              <w:right w:val="single" w:color="999999" w:sz="1"/>
            </w:tcBorders>
            <w:shd w:fill="EDF2F7" w:val="clear"/>
            <w:tcMar>
              <w:top w:type="dxa" w:w="60"/>
              <w:left w:type="dxa" w:w="100"/>
              <w:bottom w:type="dxa" w:w="60"/>
              <w:right w:type="dxa" w:w="100"/>
            </w:tcMar>
            <w:vAlign w:val="center"/>
          </w:tcPr>
          <w:p>
            <w:pPr>
              <w:spacing w:after="0"/>
            </w:pPr>
            <w:r>
              <w:rPr>
                <w:rFonts w:ascii="Arial" w:cs="Arial" w:eastAsia="Arial" w:hAnsi="Arial"/>
                <w:color w:val="1A1A1A"/>
                <w:sz w:val="19"/>
                <w:szCs w:val="19"/>
              </w:rPr>
              <w:t xml:space="preserve">Displacement Range (Year 5)</w:t>
            </w:r>
          </w:p>
        </w:tc>
        <w:tc>
          <w:tcPr>
            <w:tcW w:type="dxa" w:w="6960"/>
            <w:tcBorders>
              <w:top w:val="single" w:color="999999" w:sz="1"/>
              <w:left w:val="single" w:color="999999" w:sz="1"/>
              <w:bottom w:val="single" w:color="999999" w:sz="1"/>
              <w:right w:val="single" w:color="999999" w:sz="1"/>
            </w:tcBorders>
            <w:shd w:fill="EDF2F7" w:val="clear"/>
            <w:tcMar>
              <w:top w:type="dxa" w:w="60"/>
              <w:left w:type="dxa" w:w="100"/>
              <w:bottom w:type="dxa" w:w="60"/>
              <w:right w:type="dxa" w:w="100"/>
            </w:tcMar>
            <w:vAlign w:val="center"/>
          </w:tcPr>
          <w:p>
            <w:pPr>
              <w:spacing w:after="0"/>
            </w:pPr>
            <w:r>
              <w:rPr>
                <w:rFonts w:ascii="Arial" w:cs="Arial" w:eastAsia="Arial" w:hAnsi="Arial"/>
                <w:color w:val="1A1A1A"/>
                <w:sz w:val="19"/>
                <w:szCs w:val="19"/>
              </w:rPr>
              <w:t xml:space="preserve">15-22%</w:t>
            </w:r>
          </w:p>
        </w:tc>
      </w:tr>
      <w:tr>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Arial" w:cs="Arial" w:eastAsia="Arial" w:hAnsi="Arial"/>
                <w:color w:val="1A1A1A"/>
                <w:sz w:val="19"/>
                <w:szCs w:val="19"/>
              </w:rPr>
              <w:t xml:space="preserve">Job Creation (AI-Adjacent Roles)</w:t>
            </w:r>
          </w:p>
        </w:tc>
        <w:tc>
          <w:tcPr>
            <w:tcW w:type="dxa" w:w="696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Arial" w:cs="Arial" w:eastAsia="Arial" w:hAnsi="Arial"/>
                <w:color w:val="1A1A1A"/>
                <w:sz w:val="19"/>
                <w:szCs w:val="19"/>
              </w:rPr>
              <w:t xml:space="preserve">AI engineers, prompt engineers, AI risk managers, AI compliance specialists, human-AI collaboration designers</w:t>
            </w:r>
          </w:p>
        </w:tc>
      </w:tr>
      <w:tr>
        <w:tc>
          <w:tcPr>
            <w:tcW w:type="dxa" w:w="2400"/>
            <w:tcBorders>
              <w:top w:val="single" w:color="999999" w:sz="1"/>
              <w:left w:val="single" w:color="999999" w:sz="1"/>
              <w:bottom w:val="single" w:color="999999" w:sz="1"/>
              <w:right w:val="single" w:color="999999" w:sz="1"/>
            </w:tcBorders>
            <w:shd w:fill="EDF2F7" w:val="clear"/>
            <w:tcMar>
              <w:top w:type="dxa" w:w="60"/>
              <w:left w:type="dxa" w:w="100"/>
              <w:bottom w:type="dxa" w:w="60"/>
              <w:right w:type="dxa" w:w="100"/>
            </w:tcMar>
            <w:vAlign w:val="center"/>
          </w:tcPr>
          <w:p>
            <w:pPr>
              <w:spacing w:after="0"/>
            </w:pPr>
            <w:r>
              <w:rPr>
                <w:rFonts w:ascii="Arial" w:cs="Arial" w:eastAsia="Arial" w:hAnsi="Arial"/>
                <w:color w:val="1A1A1A"/>
                <w:sz w:val="19"/>
                <w:szCs w:val="19"/>
              </w:rPr>
              <w:t xml:space="preserve">Net Employment Impact</w:t>
            </w:r>
          </w:p>
        </w:tc>
        <w:tc>
          <w:tcPr>
            <w:tcW w:type="dxa" w:w="6960"/>
            <w:tcBorders>
              <w:top w:val="single" w:color="999999" w:sz="1"/>
              <w:left w:val="single" w:color="999999" w:sz="1"/>
              <w:bottom w:val="single" w:color="999999" w:sz="1"/>
              <w:right w:val="single" w:color="999999" w:sz="1"/>
            </w:tcBorders>
            <w:shd w:fill="EDF2F7" w:val="clear"/>
            <w:tcMar>
              <w:top w:type="dxa" w:w="60"/>
              <w:left w:type="dxa" w:w="100"/>
              <w:bottom w:type="dxa" w:w="60"/>
              <w:right w:type="dxa" w:w="100"/>
            </w:tcMar>
            <w:vAlign w:val="center"/>
          </w:tcPr>
          <w:p>
            <w:pPr>
              <w:spacing w:after="0"/>
            </w:pPr>
            <w:r>
              <w:rPr>
                <w:rFonts w:ascii="Arial" w:cs="Arial" w:eastAsia="Arial" w:hAnsi="Arial"/>
                <w:color w:val="1A1A1A"/>
                <w:sz w:val="19"/>
                <w:szCs w:val="19"/>
              </w:rPr>
              <w:t xml:space="preserve">-10 to -15% by Year 5 (net of creation)</w:t>
            </w:r>
          </w:p>
        </w:tc>
      </w:tr>
      <w:tr>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Arial" w:cs="Arial" w:eastAsia="Arial" w:hAnsi="Arial"/>
                <w:color w:val="1A1A1A"/>
                <w:sz w:val="19"/>
                <w:szCs w:val="19"/>
              </w:rPr>
              <w:t xml:space="preserve">Wage Impact</w:t>
            </w:r>
          </w:p>
        </w:tc>
        <w:tc>
          <w:tcPr>
            <w:tcW w:type="dxa" w:w="696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Arial" w:cs="Arial" w:eastAsia="Arial" w:hAnsi="Arial"/>
                <w:color w:val="1A1A1A"/>
                <w:sz w:val="19"/>
                <w:szCs w:val="19"/>
              </w:rPr>
              <w:t xml:space="preserve">+25-40% for AI-skilled; -10 to -20% for displaced/transitioning workers</w:t>
            </w:r>
          </w:p>
        </w:tc>
      </w:tr>
      <w:tr>
        <w:tc>
          <w:tcPr>
            <w:tcW w:type="dxa" w:w="2400"/>
            <w:tcBorders>
              <w:top w:val="single" w:color="999999" w:sz="1"/>
              <w:left w:val="single" w:color="999999" w:sz="1"/>
              <w:bottom w:val="single" w:color="999999" w:sz="1"/>
              <w:right w:val="single" w:color="999999" w:sz="1"/>
            </w:tcBorders>
            <w:shd w:fill="EDF2F7" w:val="clear"/>
            <w:tcMar>
              <w:top w:type="dxa" w:w="60"/>
              <w:left w:type="dxa" w:w="100"/>
              <w:bottom w:type="dxa" w:w="60"/>
              <w:right w:type="dxa" w:w="100"/>
            </w:tcMar>
            <w:vAlign w:val="center"/>
          </w:tcPr>
          <w:p>
            <w:pPr>
              <w:spacing w:after="0"/>
            </w:pPr>
            <w:r>
              <w:rPr>
                <w:rFonts w:ascii="Arial" w:cs="Arial" w:eastAsia="Arial" w:hAnsi="Arial"/>
                <w:color w:val="1A1A1A"/>
                <w:sz w:val="19"/>
                <w:szCs w:val="19"/>
              </w:rPr>
              <w:t xml:space="preserve">Credit Risk Implications</w:t>
            </w:r>
          </w:p>
        </w:tc>
        <w:tc>
          <w:tcPr>
            <w:tcW w:type="dxa" w:w="6960"/>
            <w:tcBorders>
              <w:top w:val="single" w:color="999999" w:sz="1"/>
              <w:left w:val="single" w:color="999999" w:sz="1"/>
              <w:bottom w:val="single" w:color="999999" w:sz="1"/>
              <w:right w:val="single" w:color="999999" w:sz="1"/>
            </w:tcBorders>
            <w:shd w:fill="EDF2F7" w:val="clear"/>
            <w:tcMar>
              <w:top w:type="dxa" w:w="60"/>
              <w:left w:type="dxa" w:w="100"/>
              <w:bottom w:type="dxa" w:w="60"/>
              <w:right w:type="dxa" w:w="100"/>
            </w:tcMar>
            <w:vAlign w:val="center"/>
          </w:tcPr>
          <w:p>
            <w:pPr>
              <w:spacing w:after="0"/>
            </w:pPr>
            <w:r>
              <w:rPr>
                <w:rFonts w:ascii="Arial" w:cs="Arial" w:eastAsia="Arial" w:hAnsi="Arial"/>
                <w:color w:val="1A1A1A"/>
                <w:sz w:val="19"/>
                <w:szCs w:val="19"/>
              </w:rPr>
              <w:t xml:space="preserve">Direct: reduced consumer spending from displaced financial workers impacts local economies. Indirect: competitive disruption threatens smaller institutions that cannot invest in AI, potentially leading to consolidation or failure</w:t>
            </w:r>
          </w:p>
        </w:tc>
      </w:tr>
      <w:tr>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Arial" w:cs="Arial" w:eastAsia="Arial" w:hAnsi="Arial"/>
                <w:color w:val="1A1A1A"/>
                <w:sz w:val="19"/>
                <w:szCs w:val="19"/>
              </w:rPr>
              <w:t xml:space="preserve">Geographic Concentration</w:t>
            </w:r>
          </w:p>
        </w:tc>
        <w:tc>
          <w:tcPr>
            <w:tcW w:type="dxa" w:w="696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Arial" w:cs="Arial" w:eastAsia="Arial" w:hAnsi="Arial"/>
                <w:color w:val="1A1A1A"/>
                <w:sz w:val="19"/>
                <w:szCs w:val="19"/>
              </w:rPr>
              <w:t xml:space="preserve">Charlotte, NC (banking operations center); New York metro; Hartford, CT (insurance); Omaha, NE; Jacksonville, FL</w:t>
            </w:r>
          </w:p>
        </w:tc>
      </w:tr>
    </w:tbl>
    <w:p>
      <w:pPr>
        <w:spacing w:after="200"/>
      </w:pPr>
    </w:p>
    <w:p>
      <w:pPr>
        <w:pStyle w:val="Heading2"/>
      </w:pPr>
      <w:r>
        <w:t xml:space="preserve">5.2 Professional Services (Legal, Accounting, Consulting)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999999" w:sz="1"/>
              <w:left w:val="single" w:color="999999" w:sz="1"/>
              <w:bottom w:val="single" w:color="999999" w:sz="1"/>
              <w:right w:val="single" w:color="999999"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20"/>
                <w:szCs w:val="20"/>
              </w:rPr>
              <w:t xml:space="preserve">Dimension</w:t>
            </w:r>
          </w:p>
        </w:tc>
        <w:tc>
          <w:tcPr>
            <w:tcW w:type="dxa" w:w="6960"/>
            <w:tcBorders>
              <w:top w:val="single" w:color="999999" w:sz="1"/>
              <w:left w:val="single" w:color="999999" w:sz="1"/>
              <w:bottom w:val="single" w:color="999999" w:sz="1"/>
              <w:right w:val="single" w:color="999999"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20"/>
                <w:szCs w:val="20"/>
              </w:rPr>
              <w:t xml:space="preserve">Assessment</w:t>
            </w:r>
          </w:p>
        </w:tc>
      </w:tr>
      <w:tr>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Arial" w:cs="Arial" w:eastAsia="Arial" w:hAnsi="Arial"/>
                <w:color w:val="1A1A1A"/>
                <w:sz w:val="19"/>
                <w:szCs w:val="19"/>
              </w:rPr>
              <w:t xml:space="preserve">Current US Employment</w:t>
            </w:r>
          </w:p>
        </w:tc>
        <w:tc>
          <w:tcPr>
            <w:tcW w:type="dxa" w:w="696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Arial" w:cs="Arial" w:eastAsia="Arial" w:hAnsi="Arial"/>
                <w:color w:val="1A1A1A"/>
                <w:sz w:val="19"/>
                <w:szCs w:val="19"/>
              </w:rPr>
              <w:t xml:space="preserve">~9.5 million (BLS, 2025)</w:t>
            </w:r>
          </w:p>
        </w:tc>
      </w:tr>
      <w:tr>
        <w:tc>
          <w:tcPr>
            <w:tcW w:type="dxa" w:w="2400"/>
            <w:tcBorders>
              <w:top w:val="single" w:color="999999" w:sz="1"/>
              <w:left w:val="single" w:color="999999" w:sz="1"/>
              <w:bottom w:val="single" w:color="999999" w:sz="1"/>
              <w:right w:val="single" w:color="999999" w:sz="1"/>
            </w:tcBorders>
            <w:shd w:fill="EDF2F7" w:val="clear"/>
            <w:tcMar>
              <w:top w:type="dxa" w:w="60"/>
              <w:left w:type="dxa" w:w="100"/>
              <w:bottom w:type="dxa" w:w="60"/>
              <w:right w:type="dxa" w:w="100"/>
            </w:tcMar>
            <w:vAlign w:val="center"/>
          </w:tcPr>
          <w:p>
            <w:pPr>
              <w:spacing w:after="0"/>
            </w:pPr>
            <w:r>
              <w:rPr>
                <w:rFonts w:ascii="Arial" w:cs="Arial" w:eastAsia="Arial" w:hAnsi="Arial"/>
                <w:color w:val="1A1A1A"/>
                <w:sz w:val="19"/>
                <w:szCs w:val="19"/>
              </w:rPr>
              <w:t xml:space="preserve">Most Affected Roles</w:t>
            </w:r>
          </w:p>
        </w:tc>
        <w:tc>
          <w:tcPr>
            <w:tcW w:type="dxa" w:w="6960"/>
            <w:tcBorders>
              <w:top w:val="single" w:color="999999" w:sz="1"/>
              <w:left w:val="single" w:color="999999" w:sz="1"/>
              <w:bottom w:val="single" w:color="999999" w:sz="1"/>
              <w:right w:val="single" w:color="999999" w:sz="1"/>
            </w:tcBorders>
            <w:shd w:fill="EDF2F7" w:val="clear"/>
            <w:tcMar>
              <w:top w:type="dxa" w:w="60"/>
              <w:left w:type="dxa" w:w="100"/>
              <w:bottom w:type="dxa" w:w="60"/>
              <w:right w:type="dxa" w:w="100"/>
            </w:tcMar>
            <w:vAlign w:val="center"/>
          </w:tcPr>
          <w:p>
            <w:pPr>
              <w:spacing w:after="0"/>
            </w:pPr>
            <w:r>
              <w:rPr>
                <w:rFonts w:ascii="Arial" w:cs="Arial" w:eastAsia="Arial" w:hAnsi="Arial"/>
                <w:color w:val="1A1A1A"/>
                <w:sz w:val="19"/>
                <w:szCs w:val="19"/>
              </w:rPr>
              <w:t xml:space="preserve">Paralegals, junior associates (document review, research), tax preparers, auditors, junior consultants, market researchers, advertising copywriters, media buyers</w:t>
            </w:r>
          </w:p>
        </w:tc>
      </w:tr>
      <w:tr>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Arial" w:cs="Arial" w:eastAsia="Arial" w:hAnsi="Arial"/>
                <w:color w:val="1A1A1A"/>
                <w:sz w:val="19"/>
                <w:szCs w:val="19"/>
              </w:rPr>
              <w:t xml:space="preserve">Displacement Range (Year 3)</w:t>
            </w:r>
          </w:p>
        </w:tc>
        <w:tc>
          <w:tcPr>
            <w:tcW w:type="dxa" w:w="696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Arial" w:cs="Arial" w:eastAsia="Arial" w:hAnsi="Arial"/>
                <w:color w:val="1A1A1A"/>
                <w:sz w:val="19"/>
                <w:szCs w:val="19"/>
              </w:rPr>
              <w:t xml:space="preserve">10-15%</w:t>
            </w:r>
          </w:p>
        </w:tc>
      </w:tr>
      <w:tr>
        <w:tc>
          <w:tcPr>
            <w:tcW w:type="dxa" w:w="2400"/>
            <w:tcBorders>
              <w:top w:val="single" w:color="999999" w:sz="1"/>
              <w:left w:val="single" w:color="999999" w:sz="1"/>
              <w:bottom w:val="single" w:color="999999" w:sz="1"/>
              <w:right w:val="single" w:color="999999" w:sz="1"/>
            </w:tcBorders>
            <w:shd w:fill="EDF2F7" w:val="clear"/>
            <w:tcMar>
              <w:top w:type="dxa" w:w="60"/>
              <w:left w:type="dxa" w:w="100"/>
              <w:bottom w:type="dxa" w:w="60"/>
              <w:right w:type="dxa" w:w="100"/>
            </w:tcMar>
            <w:vAlign w:val="center"/>
          </w:tcPr>
          <w:p>
            <w:pPr>
              <w:spacing w:after="0"/>
            </w:pPr>
            <w:r>
              <w:rPr>
                <w:rFonts w:ascii="Arial" w:cs="Arial" w:eastAsia="Arial" w:hAnsi="Arial"/>
                <w:color w:val="1A1A1A"/>
                <w:sz w:val="19"/>
                <w:szCs w:val="19"/>
              </w:rPr>
              <w:t xml:space="preserve">Displacement Range (Year 5)</w:t>
            </w:r>
          </w:p>
        </w:tc>
        <w:tc>
          <w:tcPr>
            <w:tcW w:type="dxa" w:w="6960"/>
            <w:tcBorders>
              <w:top w:val="single" w:color="999999" w:sz="1"/>
              <w:left w:val="single" w:color="999999" w:sz="1"/>
              <w:bottom w:val="single" w:color="999999" w:sz="1"/>
              <w:right w:val="single" w:color="999999" w:sz="1"/>
            </w:tcBorders>
            <w:shd w:fill="EDF2F7" w:val="clear"/>
            <w:tcMar>
              <w:top w:type="dxa" w:w="60"/>
              <w:left w:type="dxa" w:w="100"/>
              <w:bottom w:type="dxa" w:w="60"/>
              <w:right w:type="dxa" w:w="100"/>
            </w:tcMar>
            <w:vAlign w:val="center"/>
          </w:tcPr>
          <w:p>
            <w:pPr>
              <w:spacing w:after="0"/>
            </w:pPr>
            <w:r>
              <w:rPr>
                <w:rFonts w:ascii="Arial" w:cs="Arial" w:eastAsia="Arial" w:hAnsi="Arial"/>
                <w:color w:val="1A1A1A"/>
                <w:sz w:val="19"/>
                <w:szCs w:val="19"/>
              </w:rPr>
              <w:t xml:space="preserve">18-28%</w:t>
            </w:r>
          </w:p>
        </w:tc>
      </w:tr>
      <w:tr>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Arial" w:cs="Arial" w:eastAsia="Arial" w:hAnsi="Arial"/>
                <w:color w:val="1A1A1A"/>
                <w:sz w:val="19"/>
                <w:szCs w:val="19"/>
              </w:rPr>
              <w:t xml:space="preserve">Job Creation (AI-Adjacent Roles)</w:t>
            </w:r>
          </w:p>
        </w:tc>
        <w:tc>
          <w:tcPr>
            <w:tcW w:type="dxa" w:w="696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Arial" w:cs="Arial" w:eastAsia="Arial" w:hAnsi="Arial"/>
                <w:color w:val="1A1A1A"/>
                <w:sz w:val="19"/>
                <w:szCs w:val="19"/>
              </w:rPr>
              <w:t xml:space="preserve">AI-augmented senior professionals, AI strategy consultants, AI audit specialists, legal tech specialists</w:t>
            </w:r>
          </w:p>
        </w:tc>
      </w:tr>
      <w:tr>
        <w:tc>
          <w:tcPr>
            <w:tcW w:type="dxa" w:w="2400"/>
            <w:tcBorders>
              <w:top w:val="single" w:color="999999" w:sz="1"/>
              <w:left w:val="single" w:color="999999" w:sz="1"/>
              <w:bottom w:val="single" w:color="999999" w:sz="1"/>
              <w:right w:val="single" w:color="999999" w:sz="1"/>
            </w:tcBorders>
            <w:shd w:fill="EDF2F7" w:val="clear"/>
            <w:tcMar>
              <w:top w:type="dxa" w:w="60"/>
              <w:left w:type="dxa" w:w="100"/>
              <w:bottom w:type="dxa" w:w="60"/>
              <w:right w:type="dxa" w:w="100"/>
            </w:tcMar>
            <w:vAlign w:val="center"/>
          </w:tcPr>
          <w:p>
            <w:pPr>
              <w:spacing w:after="0"/>
            </w:pPr>
            <w:r>
              <w:rPr>
                <w:rFonts w:ascii="Arial" w:cs="Arial" w:eastAsia="Arial" w:hAnsi="Arial"/>
                <w:color w:val="1A1A1A"/>
                <w:sz w:val="19"/>
                <w:szCs w:val="19"/>
              </w:rPr>
              <w:t xml:space="preserve">Net Employment Impact</w:t>
            </w:r>
          </w:p>
        </w:tc>
        <w:tc>
          <w:tcPr>
            <w:tcW w:type="dxa" w:w="6960"/>
            <w:tcBorders>
              <w:top w:val="single" w:color="999999" w:sz="1"/>
              <w:left w:val="single" w:color="999999" w:sz="1"/>
              <w:bottom w:val="single" w:color="999999" w:sz="1"/>
              <w:right w:val="single" w:color="999999" w:sz="1"/>
            </w:tcBorders>
            <w:shd w:fill="EDF2F7" w:val="clear"/>
            <w:tcMar>
              <w:top w:type="dxa" w:w="60"/>
              <w:left w:type="dxa" w:w="100"/>
              <w:bottom w:type="dxa" w:w="60"/>
              <w:right w:type="dxa" w:w="100"/>
            </w:tcMar>
            <w:vAlign w:val="center"/>
          </w:tcPr>
          <w:p>
            <w:pPr>
              <w:spacing w:after="0"/>
            </w:pPr>
            <w:r>
              <w:rPr>
                <w:rFonts w:ascii="Arial" w:cs="Arial" w:eastAsia="Arial" w:hAnsi="Arial"/>
                <w:color w:val="1A1A1A"/>
                <w:sz w:val="19"/>
                <w:szCs w:val="19"/>
              </w:rPr>
              <w:t xml:space="preserve">-12 to -20% by Year 5</w:t>
            </w:r>
          </w:p>
        </w:tc>
      </w:tr>
      <w:tr>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Arial" w:cs="Arial" w:eastAsia="Arial" w:hAnsi="Arial"/>
                <w:color w:val="1A1A1A"/>
                <w:sz w:val="19"/>
                <w:szCs w:val="19"/>
              </w:rPr>
              <w:t xml:space="preserve">Wage Impact</w:t>
            </w:r>
          </w:p>
        </w:tc>
        <w:tc>
          <w:tcPr>
            <w:tcW w:type="dxa" w:w="696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Arial" w:cs="Arial" w:eastAsia="Arial" w:hAnsi="Arial"/>
                <w:color w:val="1A1A1A"/>
                <w:sz w:val="19"/>
                <w:szCs w:val="19"/>
              </w:rPr>
              <w:t xml:space="preserve">+30-50% for partners/principals leveraging AI; -15 to -30% for displaced mid-level professionals</w:t>
            </w:r>
          </w:p>
        </w:tc>
      </w:tr>
      <w:tr>
        <w:tc>
          <w:tcPr>
            <w:tcW w:type="dxa" w:w="2400"/>
            <w:tcBorders>
              <w:top w:val="single" w:color="999999" w:sz="1"/>
              <w:left w:val="single" w:color="999999" w:sz="1"/>
              <w:bottom w:val="single" w:color="999999" w:sz="1"/>
              <w:right w:val="single" w:color="999999" w:sz="1"/>
            </w:tcBorders>
            <w:shd w:fill="EDF2F7" w:val="clear"/>
            <w:tcMar>
              <w:top w:type="dxa" w:w="60"/>
              <w:left w:type="dxa" w:w="100"/>
              <w:bottom w:type="dxa" w:w="60"/>
              <w:right w:type="dxa" w:w="100"/>
            </w:tcMar>
            <w:vAlign w:val="center"/>
          </w:tcPr>
          <w:p>
            <w:pPr>
              <w:spacing w:after="0"/>
            </w:pPr>
            <w:r>
              <w:rPr>
                <w:rFonts w:ascii="Arial" w:cs="Arial" w:eastAsia="Arial" w:hAnsi="Arial"/>
                <w:color w:val="1A1A1A"/>
                <w:sz w:val="19"/>
                <w:szCs w:val="19"/>
              </w:rPr>
              <w:t xml:space="preserve">Credit Risk Implications</w:t>
            </w:r>
          </w:p>
        </w:tc>
        <w:tc>
          <w:tcPr>
            <w:tcW w:type="dxa" w:w="6960"/>
            <w:tcBorders>
              <w:top w:val="single" w:color="999999" w:sz="1"/>
              <w:left w:val="single" w:color="999999" w:sz="1"/>
              <w:bottom w:val="single" w:color="999999" w:sz="1"/>
              <w:right w:val="single" w:color="999999" w:sz="1"/>
            </w:tcBorders>
            <w:shd w:fill="EDF2F7" w:val="clear"/>
            <w:tcMar>
              <w:top w:type="dxa" w:w="60"/>
              <w:left w:type="dxa" w:w="100"/>
              <w:bottom w:type="dxa" w:w="60"/>
              <w:right w:type="dxa" w:w="100"/>
            </w:tcMar>
            <w:vAlign w:val="center"/>
          </w:tcPr>
          <w:p>
            <w:pPr>
              <w:spacing w:after="0"/>
            </w:pPr>
            <w:r>
              <w:rPr>
                <w:rFonts w:ascii="Arial" w:cs="Arial" w:eastAsia="Arial" w:hAnsi="Arial"/>
                <w:color w:val="1A1A1A"/>
                <w:sz w:val="19"/>
                <w:szCs w:val="19"/>
              </w:rPr>
              <w:t xml:space="preserve">High concentration of student loan debt among displaced population; professional services firms face revenue pressure as clients automate internal functions previously outsourced to consultants</w:t>
            </w:r>
          </w:p>
        </w:tc>
      </w:tr>
      <w:tr>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Arial" w:cs="Arial" w:eastAsia="Arial" w:hAnsi="Arial"/>
                <w:color w:val="1A1A1A"/>
                <w:sz w:val="19"/>
                <w:szCs w:val="19"/>
              </w:rPr>
              <w:t xml:space="preserve">Geographic Concentration</w:t>
            </w:r>
          </w:p>
        </w:tc>
        <w:tc>
          <w:tcPr>
            <w:tcW w:type="dxa" w:w="696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Arial" w:cs="Arial" w:eastAsia="Arial" w:hAnsi="Arial"/>
                <w:color w:val="1A1A1A"/>
                <w:sz w:val="19"/>
                <w:szCs w:val="19"/>
              </w:rPr>
              <w:t xml:space="preserve">New York, Washington DC, Chicago, Boston, San Francisco, London</w:t>
            </w:r>
          </w:p>
        </w:tc>
      </w:tr>
    </w:tbl>
    <w:p>
      <w:pPr>
        <w:spacing w:after="200"/>
      </w:pPr>
    </w:p>
    <w:p>
      <w:pPr>
        <w:pStyle w:val="Heading2"/>
      </w:pPr>
      <w:r>
        <w:t xml:space="preserve">5.3 Healthcare (Administration, Clinical Support)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999999" w:sz="1"/>
              <w:left w:val="single" w:color="999999" w:sz="1"/>
              <w:bottom w:val="single" w:color="999999" w:sz="1"/>
              <w:right w:val="single" w:color="999999"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20"/>
                <w:szCs w:val="20"/>
              </w:rPr>
              <w:t xml:space="preserve">Dimension</w:t>
            </w:r>
          </w:p>
        </w:tc>
        <w:tc>
          <w:tcPr>
            <w:tcW w:type="dxa" w:w="6960"/>
            <w:tcBorders>
              <w:top w:val="single" w:color="999999" w:sz="1"/>
              <w:left w:val="single" w:color="999999" w:sz="1"/>
              <w:bottom w:val="single" w:color="999999" w:sz="1"/>
              <w:right w:val="single" w:color="999999"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20"/>
                <w:szCs w:val="20"/>
              </w:rPr>
              <w:t xml:space="preserve">Assessment</w:t>
            </w:r>
          </w:p>
        </w:tc>
      </w:tr>
      <w:tr>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Arial" w:cs="Arial" w:eastAsia="Arial" w:hAnsi="Arial"/>
                <w:color w:val="1A1A1A"/>
                <w:sz w:val="19"/>
                <w:szCs w:val="19"/>
              </w:rPr>
              <w:t xml:space="preserve">Current US Employment</w:t>
            </w:r>
          </w:p>
        </w:tc>
        <w:tc>
          <w:tcPr>
            <w:tcW w:type="dxa" w:w="696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Arial" w:cs="Arial" w:eastAsia="Arial" w:hAnsi="Arial"/>
                <w:color w:val="1A1A1A"/>
                <w:sz w:val="19"/>
                <w:szCs w:val="19"/>
              </w:rPr>
              <w:t xml:space="preserve">~22.0 million (BLS, 2025)</w:t>
            </w:r>
          </w:p>
        </w:tc>
      </w:tr>
      <w:tr>
        <w:tc>
          <w:tcPr>
            <w:tcW w:type="dxa" w:w="2400"/>
            <w:tcBorders>
              <w:top w:val="single" w:color="999999" w:sz="1"/>
              <w:left w:val="single" w:color="999999" w:sz="1"/>
              <w:bottom w:val="single" w:color="999999" w:sz="1"/>
              <w:right w:val="single" w:color="999999" w:sz="1"/>
            </w:tcBorders>
            <w:shd w:fill="EDF2F7" w:val="clear"/>
            <w:tcMar>
              <w:top w:type="dxa" w:w="60"/>
              <w:left w:type="dxa" w:w="100"/>
              <w:bottom w:type="dxa" w:w="60"/>
              <w:right w:type="dxa" w:w="100"/>
            </w:tcMar>
            <w:vAlign w:val="center"/>
          </w:tcPr>
          <w:p>
            <w:pPr>
              <w:spacing w:after="0"/>
            </w:pPr>
            <w:r>
              <w:rPr>
                <w:rFonts w:ascii="Arial" w:cs="Arial" w:eastAsia="Arial" w:hAnsi="Arial"/>
                <w:color w:val="1A1A1A"/>
                <w:sz w:val="19"/>
                <w:szCs w:val="19"/>
              </w:rPr>
              <w:t xml:space="preserve">Most Affected Roles</w:t>
            </w:r>
          </w:p>
        </w:tc>
        <w:tc>
          <w:tcPr>
            <w:tcW w:type="dxa" w:w="6960"/>
            <w:tcBorders>
              <w:top w:val="single" w:color="999999" w:sz="1"/>
              <w:left w:val="single" w:color="999999" w:sz="1"/>
              <w:bottom w:val="single" w:color="999999" w:sz="1"/>
              <w:right w:val="single" w:color="999999" w:sz="1"/>
            </w:tcBorders>
            <w:shd w:fill="EDF2F7" w:val="clear"/>
            <w:tcMar>
              <w:top w:type="dxa" w:w="60"/>
              <w:left w:type="dxa" w:w="100"/>
              <w:bottom w:type="dxa" w:w="60"/>
              <w:right w:type="dxa" w:w="100"/>
            </w:tcMar>
            <w:vAlign w:val="center"/>
          </w:tcPr>
          <w:p>
            <w:pPr>
              <w:spacing w:after="0"/>
            </w:pPr>
            <w:r>
              <w:rPr>
                <w:rFonts w:ascii="Arial" w:cs="Arial" w:eastAsia="Arial" w:hAnsi="Arial"/>
                <w:color w:val="1A1A1A"/>
                <w:sz w:val="19"/>
                <w:szCs w:val="19"/>
              </w:rPr>
              <w:t xml:space="preserve">Medical coders, billing specialists, claims processors, scheduling coordinators, radiology technicians (AI-assisted diagnostics), pharmaceutical researchers, clinical trial administrators</w:t>
            </w:r>
          </w:p>
        </w:tc>
      </w:tr>
      <w:tr>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Arial" w:cs="Arial" w:eastAsia="Arial" w:hAnsi="Arial"/>
                <w:color w:val="1A1A1A"/>
                <w:sz w:val="19"/>
                <w:szCs w:val="19"/>
              </w:rPr>
              <w:t xml:space="preserve">Displacement Range (Year 3)</w:t>
            </w:r>
          </w:p>
        </w:tc>
        <w:tc>
          <w:tcPr>
            <w:tcW w:type="dxa" w:w="696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Arial" w:cs="Arial" w:eastAsia="Arial" w:hAnsi="Arial"/>
                <w:color w:val="1A1A1A"/>
                <w:sz w:val="19"/>
                <w:szCs w:val="19"/>
              </w:rPr>
              <w:t xml:space="preserve">4-7%</w:t>
            </w:r>
          </w:p>
        </w:tc>
      </w:tr>
      <w:tr>
        <w:tc>
          <w:tcPr>
            <w:tcW w:type="dxa" w:w="2400"/>
            <w:tcBorders>
              <w:top w:val="single" w:color="999999" w:sz="1"/>
              <w:left w:val="single" w:color="999999" w:sz="1"/>
              <w:bottom w:val="single" w:color="999999" w:sz="1"/>
              <w:right w:val="single" w:color="999999" w:sz="1"/>
            </w:tcBorders>
            <w:shd w:fill="EDF2F7" w:val="clear"/>
            <w:tcMar>
              <w:top w:type="dxa" w:w="60"/>
              <w:left w:type="dxa" w:w="100"/>
              <w:bottom w:type="dxa" w:w="60"/>
              <w:right w:type="dxa" w:w="100"/>
            </w:tcMar>
            <w:vAlign w:val="center"/>
          </w:tcPr>
          <w:p>
            <w:pPr>
              <w:spacing w:after="0"/>
            </w:pPr>
            <w:r>
              <w:rPr>
                <w:rFonts w:ascii="Arial" w:cs="Arial" w:eastAsia="Arial" w:hAnsi="Arial"/>
                <w:color w:val="1A1A1A"/>
                <w:sz w:val="19"/>
                <w:szCs w:val="19"/>
              </w:rPr>
              <w:t xml:space="preserve">Displacement Range (Year 5)</w:t>
            </w:r>
          </w:p>
        </w:tc>
        <w:tc>
          <w:tcPr>
            <w:tcW w:type="dxa" w:w="6960"/>
            <w:tcBorders>
              <w:top w:val="single" w:color="999999" w:sz="1"/>
              <w:left w:val="single" w:color="999999" w:sz="1"/>
              <w:bottom w:val="single" w:color="999999" w:sz="1"/>
              <w:right w:val="single" w:color="999999" w:sz="1"/>
            </w:tcBorders>
            <w:shd w:fill="EDF2F7" w:val="clear"/>
            <w:tcMar>
              <w:top w:type="dxa" w:w="60"/>
              <w:left w:type="dxa" w:w="100"/>
              <w:bottom w:type="dxa" w:w="60"/>
              <w:right w:type="dxa" w:w="100"/>
            </w:tcMar>
            <w:vAlign w:val="center"/>
          </w:tcPr>
          <w:p>
            <w:pPr>
              <w:spacing w:after="0"/>
            </w:pPr>
            <w:r>
              <w:rPr>
                <w:rFonts w:ascii="Arial" w:cs="Arial" w:eastAsia="Arial" w:hAnsi="Arial"/>
                <w:color w:val="1A1A1A"/>
                <w:sz w:val="19"/>
                <w:szCs w:val="19"/>
              </w:rPr>
              <w:t xml:space="preserve">8-14%</w:t>
            </w:r>
          </w:p>
        </w:tc>
      </w:tr>
      <w:tr>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Arial" w:cs="Arial" w:eastAsia="Arial" w:hAnsi="Arial"/>
                <w:color w:val="1A1A1A"/>
                <w:sz w:val="19"/>
                <w:szCs w:val="19"/>
              </w:rPr>
              <w:t xml:space="preserve">Job Creation (AI-Adjacent Roles)</w:t>
            </w:r>
          </w:p>
        </w:tc>
        <w:tc>
          <w:tcPr>
            <w:tcW w:type="dxa" w:w="696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Arial" w:cs="Arial" w:eastAsia="Arial" w:hAnsi="Arial"/>
                <w:color w:val="1A1A1A"/>
                <w:sz w:val="19"/>
                <w:szCs w:val="19"/>
              </w:rPr>
              <w:t xml:space="preserve">AI clinical integration specialists, health data scientists, AI-assisted diagnostics operators, telehealth coordinators</w:t>
            </w:r>
          </w:p>
        </w:tc>
      </w:tr>
      <w:tr>
        <w:tc>
          <w:tcPr>
            <w:tcW w:type="dxa" w:w="2400"/>
            <w:tcBorders>
              <w:top w:val="single" w:color="999999" w:sz="1"/>
              <w:left w:val="single" w:color="999999" w:sz="1"/>
              <w:bottom w:val="single" w:color="999999" w:sz="1"/>
              <w:right w:val="single" w:color="999999" w:sz="1"/>
            </w:tcBorders>
            <w:shd w:fill="EDF2F7" w:val="clear"/>
            <w:tcMar>
              <w:top w:type="dxa" w:w="60"/>
              <w:left w:type="dxa" w:w="100"/>
              <w:bottom w:type="dxa" w:w="60"/>
              <w:right w:type="dxa" w:w="100"/>
            </w:tcMar>
            <w:vAlign w:val="center"/>
          </w:tcPr>
          <w:p>
            <w:pPr>
              <w:spacing w:after="0"/>
            </w:pPr>
            <w:r>
              <w:rPr>
                <w:rFonts w:ascii="Arial" w:cs="Arial" w:eastAsia="Arial" w:hAnsi="Arial"/>
                <w:color w:val="1A1A1A"/>
                <w:sz w:val="19"/>
                <w:szCs w:val="19"/>
              </w:rPr>
              <w:t xml:space="preserve">Net Employment Impact</w:t>
            </w:r>
          </w:p>
        </w:tc>
        <w:tc>
          <w:tcPr>
            <w:tcW w:type="dxa" w:w="6960"/>
            <w:tcBorders>
              <w:top w:val="single" w:color="999999" w:sz="1"/>
              <w:left w:val="single" w:color="999999" w:sz="1"/>
              <w:bottom w:val="single" w:color="999999" w:sz="1"/>
              <w:right w:val="single" w:color="999999" w:sz="1"/>
            </w:tcBorders>
            <w:shd w:fill="EDF2F7" w:val="clear"/>
            <w:tcMar>
              <w:top w:type="dxa" w:w="60"/>
              <w:left w:type="dxa" w:w="100"/>
              <w:bottom w:type="dxa" w:w="60"/>
              <w:right w:type="dxa" w:w="100"/>
            </w:tcMar>
            <w:vAlign w:val="center"/>
          </w:tcPr>
          <w:p>
            <w:pPr>
              <w:spacing w:after="0"/>
            </w:pPr>
            <w:r>
              <w:rPr>
                <w:rFonts w:ascii="Arial" w:cs="Arial" w:eastAsia="Arial" w:hAnsi="Arial"/>
                <w:color w:val="1A1A1A"/>
                <w:sz w:val="19"/>
                <w:szCs w:val="19"/>
              </w:rPr>
              <w:t xml:space="preserve">-3 to -8% by Year 5 (demographic demand partially offsets)</w:t>
            </w:r>
          </w:p>
        </w:tc>
      </w:tr>
      <w:tr>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Arial" w:cs="Arial" w:eastAsia="Arial" w:hAnsi="Arial"/>
                <w:color w:val="1A1A1A"/>
                <w:sz w:val="19"/>
                <w:szCs w:val="19"/>
              </w:rPr>
              <w:t xml:space="preserve">Wage Impact</w:t>
            </w:r>
          </w:p>
        </w:tc>
        <w:tc>
          <w:tcPr>
            <w:tcW w:type="dxa" w:w="696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Arial" w:cs="Arial" w:eastAsia="Arial" w:hAnsi="Arial"/>
                <w:color w:val="1A1A1A"/>
                <w:sz w:val="19"/>
                <w:szCs w:val="19"/>
              </w:rPr>
              <w:t xml:space="preserve">+15-25% for clinicians leveraging AI diagnostics; -10 to -15% for displaced administrative staff</w:t>
            </w:r>
          </w:p>
        </w:tc>
      </w:tr>
      <w:tr>
        <w:tc>
          <w:tcPr>
            <w:tcW w:type="dxa" w:w="2400"/>
            <w:tcBorders>
              <w:top w:val="single" w:color="999999" w:sz="1"/>
              <w:left w:val="single" w:color="999999" w:sz="1"/>
              <w:bottom w:val="single" w:color="999999" w:sz="1"/>
              <w:right w:val="single" w:color="999999" w:sz="1"/>
            </w:tcBorders>
            <w:shd w:fill="EDF2F7" w:val="clear"/>
            <w:tcMar>
              <w:top w:type="dxa" w:w="60"/>
              <w:left w:type="dxa" w:w="100"/>
              <w:bottom w:type="dxa" w:w="60"/>
              <w:right w:type="dxa" w:w="100"/>
            </w:tcMar>
            <w:vAlign w:val="center"/>
          </w:tcPr>
          <w:p>
            <w:pPr>
              <w:spacing w:after="0"/>
            </w:pPr>
            <w:r>
              <w:rPr>
                <w:rFonts w:ascii="Arial" w:cs="Arial" w:eastAsia="Arial" w:hAnsi="Arial"/>
                <w:color w:val="1A1A1A"/>
                <w:sz w:val="19"/>
                <w:szCs w:val="19"/>
              </w:rPr>
              <w:t xml:space="preserve">Credit Risk Implications</w:t>
            </w:r>
          </w:p>
        </w:tc>
        <w:tc>
          <w:tcPr>
            <w:tcW w:type="dxa" w:w="6960"/>
            <w:tcBorders>
              <w:top w:val="single" w:color="999999" w:sz="1"/>
              <w:left w:val="single" w:color="999999" w:sz="1"/>
              <w:bottom w:val="single" w:color="999999" w:sz="1"/>
              <w:right w:val="single" w:color="999999" w:sz="1"/>
            </w:tcBorders>
            <w:shd w:fill="EDF2F7" w:val="clear"/>
            <w:tcMar>
              <w:top w:type="dxa" w:w="60"/>
              <w:left w:type="dxa" w:w="100"/>
              <w:bottom w:type="dxa" w:w="60"/>
              <w:right w:type="dxa" w:w="100"/>
            </w:tcMar>
            <w:vAlign w:val="center"/>
          </w:tcPr>
          <w:p>
            <w:pPr>
              <w:spacing w:after="0"/>
            </w:pPr>
            <w:r>
              <w:rPr>
                <w:rFonts w:ascii="Arial" w:cs="Arial" w:eastAsia="Arial" w:hAnsi="Arial"/>
                <w:color w:val="1A1A1A"/>
                <w:sz w:val="19"/>
                <w:szCs w:val="19"/>
              </w:rPr>
              <w:t xml:space="preserve">Moderate: healthcare demand growth partially insulates; administrative displacement concentrated in lower-wage roles with less credit exposure</w:t>
            </w:r>
          </w:p>
        </w:tc>
      </w:tr>
      <w:tr>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Arial" w:cs="Arial" w:eastAsia="Arial" w:hAnsi="Arial"/>
                <w:color w:val="1A1A1A"/>
                <w:sz w:val="19"/>
                <w:szCs w:val="19"/>
              </w:rPr>
              <w:t xml:space="preserve">Geographic Concentration</w:t>
            </w:r>
          </w:p>
        </w:tc>
        <w:tc>
          <w:tcPr>
            <w:tcW w:type="dxa" w:w="696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Arial" w:cs="Arial" w:eastAsia="Arial" w:hAnsi="Arial"/>
                <w:color w:val="1A1A1A"/>
                <w:sz w:val="19"/>
                <w:szCs w:val="19"/>
              </w:rPr>
              <w:t xml:space="preserve">Nashville, TN; Houston, TX; Boston, MA; distributed across metro areas</w:t>
            </w:r>
          </w:p>
        </w:tc>
      </w:tr>
    </w:tbl>
    <w:p>
      <w:pPr>
        <w:spacing w:after="200"/>
      </w:pPr>
    </w:p>
    <w:p>
      <w:pPr>
        <w:pStyle w:val="Heading2"/>
      </w:pPr>
      <w:r>
        <w:t xml:space="preserve">5.4 Technology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999999" w:sz="1"/>
              <w:left w:val="single" w:color="999999" w:sz="1"/>
              <w:bottom w:val="single" w:color="999999" w:sz="1"/>
              <w:right w:val="single" w:color="999999"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20"/>
                <w:szCs w:val="20"/>
              </w:rPr>
              <w:t xml:space="preserve">Dimension</w:t>
            </w:r>
          </w:p>
        </w:tc>
        <w:tc>
          <w:tcPr>
            <w:tcW w:type="dxa" w:w="6960"/>
            <w:tcBorders>
              <w:top w:val="single" w:color="999999" w:sz="1"/>
              <w:left w:val="single" w:color="999999" w:sz="1"/>
              <w:bottom w:val="single" w:color="999999" w:sz="1"/>
              <w:right w:val="single" w:color="999999"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20"/>
                <w:szCs w:val="20"/>
              </w:rPr>
              <w:t xml:space="preserve">Assessment</w:t>
            </w:r>
          </w:p>
        </w:tc>
      </w:tr>
      <w:tr>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Arial" w:cs="Arial" w:eastAsia="Arial" w:hAnsi="Arial"/>
                <w:color w:val="1A1A1A"/>
                <w:sz w:val="19"/>
                <w:szCs w:val="19"/>
              </w:rPr>
              <w:t xml:space="preserve">Current US Employment</w:t>
            </w:r>
          </w:p>
        </w:tc>
        <w:tc>
          <w:tcPr>
            <w:tcW w:type="dxa" w:w="696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Arial" w:cs="Arial" w:eastAsia="Arial" w:hAnsi="Arial"/>
                <w:color w:val="1A1A1A"/>
                <w:sz w:val="19"/>
                <w:szCs w:val="19"/>
              </w:rPr>
              <w:t xml:space="preserve">~6.2 million (BLS, 2025)</w:t>
            </w:r>
          </w:p>
        </w:tc>
      </w:tr>
      <w:tr>
        <w:tc>
          <w:tcPr>
            <w:tcW w:type="dxa" w:w="2400"/>
            <w:tcBorders>
              <w:top w:val="single" w:color="999999" w:sz="1"/>
              <w:left w:val="single" w:color="999999" w:sz="1"/>
              <w:bottom w:val="single" w:color="999999" w:sz="1"/>
              <w:right w:val="single" w:color="999999" w:sz="1"/>
            </w:tcBorders>
            <w:shd w:fill="EDF2F7" w:val="clear"/>
            <w:tcMar>
              <w:top w:type="dxa" w:w="60"/>
              <w:left w:type="dxa" w:w="100"/>
              <w:bottom w:type="dxa" w:w="60"/>
              <w:right w:type="dxa" w:w="100"/>
            </w:tcMar>
            <w:vAlign w:val="center"/>
          </w:tcPr>
          <w:p>
            <w:pPr>
              <w:spacing w:after="0"/>
            </w:pPr>
            <w:r>
              <w:rPr>
                <w:rFonts w:ascii="Arial" w:cs="Arial" w:eastAsia="Arial" w:hAnsi="Arial"/>
                <w:color w:val="1A1A1A"/>
                <w:sz w:val="19"/>
                <w:szCs w:val="19"/>
              </w:rPr>
              <w:t xml:space="preserve">Most Affected Roles</w:t>
            </w:r>
          </w:p>
        </w:tc>
        <w:tc>
          <w:tcPr>
            <w:tcW w:type="dxa" w:w="6960"/>
            <w:tcBorders>
              <w:top w:val="single" w:color="999999" w:sz="1"/>
              <w:left w:val="single" w:color="999999" w:sz="1"/>
              <w:bottom w:val="single" w:color="999999" w:sz="1"/>
              <w:right w:val="single" w:color="999999" w:sz="1"/>
            </w:tcBorders>
            <w:shd w:fill="EDF2F7" w:val="clear"/>
            <w:tcMar>
              <w:top w:type="dxa" w:w="60"/>
              <w:left w:type="dxa" w:w="100"/>
              <w:bottom w:type="dxa" w:w="60"/>
              <w:right w:type="dxa" w:w="100"/>
            </w:tcMar>
            <w:vAlign w:val="center"/>
          </w:tcPr>
          <w:p>
            <w:pPr>
              <w:spacing w:after="0"/>
            </w:pPr>
            <w:r>
              <w:rPr>
                <w:rFonts w:ascii="Arial" w:cs="Arial" w:eastAsia="Arial" w:hAnsi="Arial"/>
                <w:color w:val="1A1A1A"/>
                <w:sz w:val="19"/>
                <w:szCs w:val="19"/>
              </w:rPr>
              <w:t xml:space="preserve">QA testers, tier-1/2 IT support, junior software developers (AI-generated code), system administrators, technical writers, data entry/processing roles</w:t>
            </w:r>
          </w:p>
        </w:tc>
      </w:tr>
      <w:tr>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Arial" w:cs="Arial" w:eastAsia="Arial" w:hAnsi="Arial"/>
                <w:color w:val="1A1A1A"/>
                <w:sz w:val="19"/>
                <w:szCs w:val="19"/>
              </w:rPr>
              <w:t xml:space="preserve">Displacement Range (Year 3)</w:t>
            </w:r>
          </w:p>
        </w:tc>
        <w:tc>
          <w:tcPr>
            <w:tcW w:type="dxa" w:w="696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Arial" w:cs="Arial" w:eastAsia="Arial" w:hAnsi="Arial"/>
                <w:color w:val="1A1A1A"/>
                <w:sz w:val="19"/>
                <w:szCs w:val="19"/>
              </w:rPr>
              <w:t xml:space="preserve">8-12%</w:t>
            </w:r>
          </w:p>
        </w:tc>
      </w:tr>
      <w:tr>
        <w:tc>
          <w:tcPr>
            <w:tcW w:type="dxa" w:w="2400"/>
            <w:tcBorders>
              <w:top w:val="single" w:color="999999" w:sz="1"/>
              <w:left w:val="single" w:color="999999" w:sz="1"/>
              <w:bottom w:val="single" w:color="999999" w:sz="1"/>
              <w:right w:val="single" w:color="999999" w:sz="1"/>
            </w:tcBorders>
            <w:shd w:fill="EDF2F7" w:val="clear"/>
            <w:tcMar>
              <w:top w:type="dxa" w:w="60"/>
              <w:left w:type="dxa" w:w="100"/>
              <w:bottom w:type="dxa" w:w="60"/>
              <w:right w:type="dxa" w:w="100"/>
            </w:tcMar>
            <w:vAlign w:val="center"/>
          </w:tcPr>
          <w:p>
            <w:pPr>
              <w:spacing w:after="0"/>
            </w:pPr>
            <w:r>
              <w:rPr>
                <w:rFonts w:ascii="Arial" w:cs="Arial" w:eastAsia="Arial" w:hAnsi="Arial"/>
                <w:color w:val="1A1A1A"/>
                <w:sz w:val="19"/>
                <w:szCs w:val="19"/>
              </w:rPr>
              <w:t xml:space="preserve">Displacement Range (Year 5)</w:t>
            </w:r>
          </w:p>
        </w:tc>
        <w:tc>
          <w:tcPr>
            <w:tcW w:type="dxa" w:w="6960"/>
            <w:tcBorders>
              <w:top w:val="single" w:color="999999" w:sz="1"/>
              <w:left w:val="single" w:color="999999" w:sz="1"/>
              <w:bottom w:val="single" w:color="999999" w:sz="1"/>
              <w:right w:val="single" w:color="999999" w:sz="1"/>
            </w:tcBorders>
            <w:shd w:fill="EDF2F7" w:val="clear"/>
            <w:tcMar>
              <w:top w:type="dxa" w:w="60"/>
              <w:left w:type="dxa" w:w="100"/>
              <w:bottom w:type="dxa" w:w="60"/>
              <w:right w:type="dxa" w:w="100"/>
            </w:tcMar>
            <w:vAlign w:val="center"/>
          </w:tcPr>
          <w:p>
            <w:pPr>
              <w:spacing w:after="0"/>
            </w:pPr>
            <w:r>
              <w:rPr>
                <w:rFonts w:ascii="Arial" w:cs="Arial" w:eastAsia="Arial" w:hAnsi="Arial"/>
                <w:color w:val="1A1A1A"/>
                <w:sz w:val="19"/>
                <w:szCs w:val="19"/>
              </w:rPr>
              <w:t xml:space="preserve">14-20%</w:t>
            </w:r>
          </w:p>
        </w:tc>
      </w:tr>
      <w:tr>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Arial" w:cs="Arial" w:eastAsia="Arial" w:hAnsi="Arial"/>
                <w:color w:val="1A1A1A"/>
                <w:sz w:val="19"/>
                <w:szCs w:val="19"/>
              </w:rPr>
              <w:t xml:space="preserve">Job Creation (AI-Adjacent Roles)</w:t>
            </w:r>
          </w:p>
        </w:tc>
        <w:tc>
          <w:tcPr>
            <w:tcW w:type="dxa" w:w="696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Arial" w:cs="Arial" w:eastAsia="Arial" w:hAnsi="Arial"/>
                <w:color w:val="1A1A1A"/>
                <w:sz w:val="19"/>
                <w:szCs w:val="19"/>
              </w:rPr>
              <w:t xml:space="preserve">AI/ML engineers, AI safety researchers, AI product managers, AI infrastructure engineers</w:t>
            </w:r>
          </w:p>
        </w:tc>
      </w:tr>
      <w:tr>
        <w:tc>
          <w:tcPr>
            <w:tcW w:type="dxa" w:w="2400"/>
            <w:tcBorders>
              <w:top w:val="single" w:color="999999" w:sz="1"/>
              <w:left w:val="single" w:color="999999" w:sz="1"/>
              <w:bottom w:val="single" w:color="999999" w:sz="1"/>
              <w:right w:val="single" w:color="999999" w:sz="1"/>
            </w:tcBorders>
            <w:shd w:fill="EDF2F7" w:val="clear"/>
            <w:tcMar>
              <w:top w:type="dxa" w:w="60"/>
              <w:left w:type="dxa" w:w="100"/>
              <w:bottom w:type="dxa" w:w="60"/>
              <w:right w:type="dxa" w:w="100"/>
            </w:tcMar>
            <w:vAlign w:val="center"/>
          </w:tcPr>
          <w:p>
            <w:pPr>
              <w:spacing w:after="0"/>
            </w:pPr>
            <w:r>
              <w:rPr>
                <w:rFonts w:ascii="Arial" w:cs="Arial" w:eastAsia="Arial" w:hAnsi="Arial"/>
                <w:color w:val="1A1A1A"/>
                <w:sz w:val="19"/>
                <w:szCs w:val="19"/>
              </w:rPr>
              <w:t xml:space="preserve">Net Employment Impact</w:t>
            </w:r>
          </w:p>
        </w:tc>
        <w:tc>
          <w:tcPr>
            <w:tcW w:type="dxa" w:w="6960"/>
            <w:tcBorders>
              <w:top w:val="single" w:color="999999" w:sz="1"/>
              <w:left w:val="single" w:color="999999" w:sz="1"/>
              <w:bottom w:val="single" w:color="999999" w:sz="1"/>
              <w:right w:val="single" w:color="999999" w:sz="1"/>
            </w:tcBorders>
            <w:shd w:fill="EDF2F7" w:val="clear"/>
            <w:tcMar>
              <w:top w:type="dxa" w:w="60"/>
              <w:left w:type="dxa" w:w="100"/>
              <w:bottom w:type="dxa" w:w="60"/>
              <w:right w:type="dxa" w:w="100"/>
            </w:tcMar>
            <w:vAlign w:val="center"/>
          </w:tcPr>
          <w:p>
            <w:pPr>
              <w:spacing w:after="0"/>
            </w:pPr>
            <w:r>
              <w:rPr>
                <w:rFonts w:ascii="Arial" w:cs="Arial" w:eastAsia="Arial" w:hAnsi="Arial"/>
                <w:color w:val="1A1A1A"/>
                <w:sz w:val="19"/>
                <w:szCs w:val="19"/>
              </w:rPr>
              <w:t xml:space="preserve">-5 to -10% by Year 5 (high creation rate partially offsets)</w:t>
            </w:r>
          </w:p>
        </w:tc>
      </w:tr>
      <w:tr>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Arial" w:cs="Arial" w:eastAsia="Arial" w:hAnsi="Arial"/>
                <w:color w:val="1A1A1A"/>
                <w:sz w:val="19"/>
                <w:szCs w:val="19"/>
              </w:rPr>
              <w:t xml:space="preserve">Wage Impact</w:t>
            </w:r>
          </w:p>
        </w:tc>
        <w:tc>
          <w:tcPr>
            <w:tcW w:type="dxa" w:w="696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Arial" w:cs="Arial" w:eastAsia="Arial" w:hAnsi="Arial"/>
                <w:color w:val="1A1A1A"/>
                <w:sz w:val="19"/>
                <w:szCs w:val="19"/>
              </w:rPr>
              <w:t xml:space="preserve">+40-60% for AI-specialized roles; -20 to -35% for displaced conventional tech workers</w:t>
            </w:r>
          </w:p>
        </w:tc>
      </w:tr>
      <w:tr>
        <w:tc>
          <w:tcPr>
            <w:tcW w:type="dxa" w:w="2400"/>
            <w:tcBorders>
              <w:top w:val="single" w:color="999999" w:sz="1"/>
              <w:left w:val="single" w:color="999999" w:sz="1"/>
              <w:bottom w:val="single" w:color="999999" w:sz="1"/>
              <w:right w:val="single" w:color="999999" w:sz="1"/>
            </w:tcBorders>
            <w:shd w:fill="EDF2F7" w:val="clear"/>
            <w:tcMar>
              <w:top w:type="dxa" w:w="60"/>
              <w:left w:type="dxa" w:w="100"/>
              <w:bottom w:type="dxa" w:w="60"/>
              <w:right w:type="dxa" w:w="100"/>
            </w:tcMar>
            <w:vAlign w:val="center"/>
          </w:tcPr>
          <w:p>
            <w:pPr>
              <w:spacing w:after="0"/>
            </w:pPr>
            <w:r>
              <w:rPr>
                <w:rFonts w:ascii="Arial" w:cs="Arial" w:eastAsia="Arial" w:hAnsi="Arial"/>
                <w:color w:val="1A1A1A"/>
                <w:sz w:val="19"/>
                <w:szCs w:val="19"/>
              </w:rPr>
              <w:t xml:space="preserve">Credit Risk Implications</w:t>
            </w:r>
          </w:p>
        </w:tc>
        <w:tc>
          <w:tcPr>
            <w:tcW w:type="dxa" w:w="6960"/>
            <w:tcBorders>
              <w:top w:val="single" w:color="999999" w:sz="1"/>
              <w:left w:val="single" w:color="999999" w:sz="1"/>
              <w:bottom w:val="single" w:color="999999" w:sz="1"/>
              <w:right w:val="single" w:color="999999" w:sz="1"/>
            </w:tcBorders>
            <w:shd w:fill="EDF2F7" w:val="clear"/>
            <w:tcMar>
              <w:top w:type="dxa" w:w="60"/>
              <w:left w:type="dxa" w:w="100"/>
              <w:bottom w:type="dxa" w:w="60"/>
              <w:right w:type="dxa" w:w="100"/>
            </w:tcMar>
            <w:vAlign w:val="center"/>
          </w:tcPr>
          <w:p>
            <w:pPr>
              <w:spacing w:after="0"/>
            </w:pPr>
            <w:r>
              <w:rPr>
                <w:rFonts w:ascii="Arial" w:cs="Arial" w:eastAsia="Arial" w:hAnsi="Arial"/>
                <w:color w:val="1A1A1A"/>
                <w:sz w:val="19"/>
                <w:szCs w:val="19"/>
              </w:rPr>
              <w:t xml:space="preserve">Young tech workers with concentrated exposure in high-cost metros; startup failure rates increase as AI lowers barriers to competitive entry</w:t>
            </w:r>
          </w:p>
        </w:tc>
      </w:tr>
      <w:tr>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Arial" w:cs="Arial" w:eastAsia="Arial" w:hAnsi="Arial"/>
                <w:color w:val="1A1A1A"/>
                <w:sz w:val="19"/>
                <w:szCs w:val="19"/>
              </w:rPr>
              <w:t xml:space="preserve">Geographic Concentration</w:t>
            </w:r>
          </w:p>
        </w:tc>
        <w:tc>
          <w:tcPr>
            <w:tcW w:type="dxa" w:w="696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Arial" w:cs="Arial" w:eastAsia="Arial" w:hAnsi="Arial"/>
                <w:color w:val="1A1A1A"/>
                <w:sz w:val="19"/>
                <w:szCs w:val="19"/>
              </w:rPr>
              <w:t xml:space="preserve">San Francisco/Bay Area, Seattle, Austin, Denver, Raleigh-Durham</w:t>
            </w:r>
          </w:p>
        </w:tc>
      </w:tr>
    </w:tbl>
    <w:p>
      <w:pPr>
        <w:spacing w:after="200"/>
      </w:pPr>
    </w:p>
    <w:p>
      <w:pPr>
        <w:pStyle w:val="Heading2"/>
      </w:pPr>
      <w:r>
        <w:t xml:space="preserve">5.5 Retail and Consumer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999999" w:sz="1"/>
              <w:left w:val="single" w:color="999999" w:sz="1"/>
              <w:bottom w:val="single" w:color="999999" w:sz="1"/>
              <w:right w:val="single" w:color="999999"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20"/>
                <w:szCs w:val="20"/>
              </w:rPr>
              <w:t xml:space="preserve">Dimension</w:t>
            </w:r>
          </w:p>
        </w:tc>
        <w:tc>
          <w:tcPr>
            <w:tcW w:type="dxa" w:w="6960"/>
            <w:tcBorders>
              <w:top w:val="single" w:color="999999" w:sz="1"/>
              <w:left w:val="single" w:color="999999" w:sz="1"/>
              <w:bottom w:val="single" w:color="999999" w:sz="1"/>
              <w:right w:val="single" w:color="999999"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20"/>
                <w:szCs w:val="20"/>
              </w:rPr>
              <w:t xml:space="preserve">Assessment</w:t>
            </w:r>
          </w:p>
        </w:tc>
      </w:tr>
      <w:tr>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Arial" w:cs="Arial" w:eastAsia="Arial" w:hAnsi="Arial"/>
                <w:color w:val="1A1A1A"/>
                <w:sz w:val="19"/>
                <w:szCs w:val="19"/>
              </w:rPr>
              <w:t xml:space="preserve">Current US Employment</w:t>
            </w:r>
          </w:p>
        </w:tc>
        <w:tc>
          <w:tcPr>
            <w:tcW w:type="dxa" w:w="696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Arial" w:cs="Arial" w:eastAsia="Arial" w:hAnsi="Arial"/>
                <w:color w:val="1A1A1A"/>
                <w:sz w:val="19"/>
                <w:szCs w:val="19"/>
              </w:rPr>
              <w:t xml:space="preserve">~15.8 million (BLS, 2025)</w:t>
            </w:r>
          </w:p>
        </w:tc>
      </w:tr>
      <w:tr>
        <w:tc>
          <w:tcPr>
            <w:tcW w:type="dxa" w:w="2400"/>
            <w:tcBorders>
              <w:top w:val="single" w:color="999999" w:sz="1"/>
              <w:left w:val="single" w:color="999999" w:sz="1"/>
              <w:bottom w:val="single" w:color="999999" w:sz="1"/>
              <w:right w:val="single" w:color="999999" w:sz="1"/>
            </w:tcBorders>
            <w:shd w:fill="EDF2F7" w:val="clear"/>
            <w:tcMar>
              <w:top w:type="dxa" w:w="60"/>
              <w:left w:type="dxa" w:w="100"/>
              <w:bottom w:type="dxa" w:w="60"/>
              <w:right w:type="dxa" w:w="100"/>
            </w:tcMar>
            <w:vAlign w:val="center"/>
          </w:tcPr>
          <w:p>
            <w:pPr>
              <w:spacing w:after="0"/>
            </w:pPr>
            <w:r>
              <w:rPr>
                <w:rFonts w:ascii="Arial" w:cs="Arial" w:eastAsia="Arial" w:hAnsi="Arial"/>
                <w:color w:val="1A1A1A"/>
                <w:sz w:val="19"/>
                <w:szCs w:val="19"/>
              </w:rPr>
              <w:t xml:space="preserve">Most Affected Roles</w:t>
            </w:r>
          </w:p>
        </w:tc>
        <w:tc>
          <w:tcPr>
            <w:tcW w:type="dxa" w:w="6960"/>
            <w:tcBorders>
              <w:top w:val="single" w:color="999999" w:sz="1"/>
              <w:left w:val="single" w:color="999999" w:sz="1"/>
              <w:bottom w:val="single" w:color="999999" w:sz="1"/>
              <w:right w:val="single" w:color="999999" w:sz="1"/>
            </w:tcBorders>
            <w:shd w:fill="EDF2F7" w:val="clear"/>
            <w:tcMar>
              <w:top w:type="dxa" w:w="60"/>
              <w:left w:type="dxa" w:w="100"/>
              <w:bottom w:type="dxa" w:w="60"/>
              <w:right w:type="dxa" w:w="100"/>
            </w:tcMar>
            <w:vAlign w:val="center"/>
          </w:tcPr>
          <w:p>
            <w:pPr>
              <w:spacing w:after="0"/>
            </w:pPr>
            <w:r>
              <w:rPr>
                <w:rFonts w:ascii="Arial" w:cs="Arial" w:eastAsia="Arial" w:hAnsi="Arial"/>
                <w:color w:val="1A1A1A"/>
                <w:sz w:val="19"/>
                <w:szCs w:val="19"/>
              </w:rPr>
              <w:t xml:space="preserve">Customer service representatives, inventory managers, merchandisers, supply chain planners, marketing analysts, e-commerce operations</w:t>
            </w:r>
          </w:p>
        </w:tc>
      </w:tr>
      <w:tr>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Arial" w:cs="Arial" w:eastAsia="Arial" w:hAnsi="Arial"/>
                <w:color w:val="1A1A1A"/>
                <w:sz w:val="19"/>
                <w:szCs w:val="19"/>
              </w:rPr>
              <w:t xml:space="preserve">Displacement Range (Year 3)</w:t>
            </w:r>
          </w:p>
        </w:tc>
        <w:tc>
          <w:tcPr>
            <w:tcW w:type="dxa" w:w="696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Arial" w:cs="Arial" w:eastAsia="Arial" w:hAnsi="Arial"/>
                <w:color w:val="1A1A1A"/>
                <w:sz w:val="19"/>
                <w:szCs w:val="19"/>
              </w:rPr>
              <w:t xml:space="preserve">6-10%</w:t>
            </w:r>
          </w:p>
        </w:tc>
      </w:tr>
      <w:tr>
        <w:tc>
          <w:tcPr>
            <w:tcW w:type="dxa" w:w="2400"/>
            <w:tcBorders>
              <w:top w:val="single" w:color="999999" w:sz="1"/>
              <w:left w:val="single" w:color="999999" w:sz="1"/>
              <w:bottom w:val="single" w:color="999999" w:sz="1"/>
              <w:right w:val="single" w:color="999999" w:sz="1"/>
            </w:tcBorders>
            <w:shd w:fill="EDF2F7" w:val="clear"/>
            <w:tcMar>
              <w:top w:type="dxa" w:w="60"/>
              <w:left w:type="dxa" w:w="100"/>
              <w:bottom w:type="dxa" w:w="60"/>
              <w:right w:type="dxa" w:w="100"/>
            </w:tcMar>
            <w:vAlign w:val="center"/>
          </w:tcPr>
          <w:p>
            <w:pPr>
              <w:spacing w:after="0"/>
            </w:pPr>
            <w:r>
              <w:rPr>
                <w:rFonts w:ascii="Arial" w:cs="Arial" w:eastAsia="Arial" w:hAnsi="Arial"/>
                <w:color w:val="1A1A1A"/>
                <w:sz w:val="19"/>
                <w:szCs w:val="19"/>
              </w:rPr>
              <w:t xml:space="preserve">Displacement Range (Year 5)</w:t>
            </w:r>
          </w:p>
        </w:tc>
        <w:tc>
          <w:tcPr>
            <w:tcW w:type="dxa" w:w="6960"/>
            <w:tcBorders>
              <w:top w:val="single" w:color="999999" w:sz="1"/>
              <w:left w:val="single" w:color="999999" w:sz="1"/>
              <w:bottom w:val="single" w:color="999999" w:sz="1"/>
              <w:right w:val="single" w:color="999999" w:sz="1"/>
            </w:tcBorders>
            <w:shd w:fill="EDF2F7" w:val="clear"/>
            <w:tcMar>
              <w:top w:type="dxa" w:w="60"/>
              <w:left w:type="dxa" w:w="100"/>
              <w:bottom w:type="dxa" w:w="60"/>
              <w:right w:type="dxa" w:w="100"/>
            </w:tcMar>
            <w:vAlign w:val="center"/>
          </w:tcPr>
          <w:p>
            <w:pPr>
              <w:spacing w:after="0"/>
            </w:pPr>
            <w:r>
              <w:rPr>
                <w:rFonts w:ascii="Arial" w:cs="Arial" w:eastAsia="Arial" w:hAnsi="Arial"/>
                <w:color w:val="1A1A1A"/>
                <w:sz w:val="19"/>
                <w:szCs w:val="19"/>
              </w:rPr>
              <w:t xml:space="preserve">12-18%</w:t>
            </w:r>
          </w:p>
        </w:tc>
      </w:tr>
      <w:tr>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Arial" w:cs="Arial" w:eastAsia="Arial" w:hAnsi="Arial"/>
                <w:color w:val="1A1A1A"/>
                <w:sz w:val="19"/>
                <w:szCs w:val="19"/>
              </w:rPr>
              <w:t xml:space="preserve">Job Creation (AI-Adjacent Roles)</w:t>
            </w:r>
          </w:p>
        </w:tc>
        <w:tc>
          <w:tcPr>
            <w:tcW w:type="dxa" w:w="696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Arial" w:cs="Arial" w:eastAsia="Arial" w:hAnsi="Arial"/>
                <w:color w:val="1A1A1A"/>
                <w:sz w:val="19"/>
                <w:szCs w:val="19"/>
              </w:rPr>
              <w:t xml:space="preserve">AI-powered personalization managers, supply chain AI specialists, customer experience designers</w:t>
            </w:r>
          </w:p>
        </w:tc>
      </w:tr>
      <w:tr>
        <w:tc>
          <w:tcPr>
            <w:tcW w:type="dxa" w:w="2400"/>
            <w:tcBorders>
              <w:top w:val="single" w:color="999999" w:sz="1"/>
              <w:left w:val="single" w:color="999999" w:sz="1"/>
              <w:bottom w:val="single" w:color="999999" w:sz="1"/>
              <w:right w:val="single" w:color="999999" w:sz="1"/>
            </w:tcBorders>
            <w:shd w:fill="EDF2F7" w:val="clear"/>
            <w:tcMar>
              <w:top w:type="dxa" w:w="60"/>
              <w:left w:type="dxa" w:w="100"/>
              <w:bottom w:type="dxa" w:w="60"/>
              <w:right w:type="dxa" w:w="100"/>
            </w:tcMar>
            <w:vAlign w:val="center"/>
          </w:tcPr>
          <w:p>
            <w:pPr>
              <w:spacing w:after="0"/>
            </w:pPr>
            <w:r>
              <w:rPr>
                <w:rFonts w:ascii="Arial" w:cs="Arial" w:eastAsia="Arial" w:hAnsi="Arial"/>
                <w:color w:val="1A1A1A"/>
                <w:sz w:val="19"/>
                <w:szCs w:val="19"/>
              </w:rPr>
              <w:t xml:space="preserve">Net Employment Impact</w:t>
            </w:r>
          </w:p>
        </w:tc>
        <w:tc>
          <w:tcPr>
            <w:tcW w:type="dxa" w:w="6960"/>
            <w:tcBorders>
              <w:top w:val="single" w:color="999999" w:sz="1"/>
              <w:left w:val="single" w:color="999999" w:sz="1"/>
              <w:bottom w:val="single" w:color="999999" w:sz="1"/>
              <w:right w:val="single" w:color="999999" w:sz="1"/>
            </w:tcBorders>
            <w:shd w:fill="EDF2F7" w:val="clear"/>
            <w:tcMar>
              <w:top w:type="dxa" w:w="60"/>
              <w:left w:type="dxa" w:w="100"/>
              <w:bottom w:type="dxa" w:w="60"/>
              <w:right w:type="dxa" w:w="100"/>
            </w:tcMar>
            <w:vAlign w:val="center"/>
          </w:tcPr>
          <w:p>
            <w:pPr>
              <w:spacing w:after="0"/>
            </w:pPr>
            <w:r>
              <w:rPr>
                <w:rFonts w:ascii="Arial" w:cs="Arial" w:eastAsia="Arial" w:hAnsi="Arial"/>
                <w:color w:val="1A1A1A"/>
                <w:sz w:val="19"/>
                <w:szCs w:val="19"/>
              </w:rPr>
              <w:t xml:space="preserve">-8 to -13% by Year 5</w:t>
            </w:r>
          </w:p>
        </w:tc>
      </w:tr>
      <w:tr>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Arial" w:cs="Arial" w:eastAsia="Arial" w:hAnsi="Arial"/>
                <w:color w:val="1A1A1A"/>
                <w:sz w:val="19"/>
                <w:szCs w:val="19"/>
              </w:rPr>
              <w:t xml:space="preserve">Wage Impact</w:t>
            </w:r>
          </w:p>
        </w:tc>
        <w:tc>
          <w:tcPr>
            <w:tcW w:type="dxa" w:w="696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Arial" w:cs="Arial" w:eastAsia="Arial" w:hAnsi="Arial"/>
                <w:color w:val="1A1A1A"/>
                <w:sz w:val="19"/>
                <w:szCs w:val="19"/>
              </w:rPr>
              <w:t xml:space="preserve">Minimal upside; -5 to -15% for displaced workers (already lower-wage sector)</w:t>
            </w:r>
          </w:p>
        </w:tc>
      </w:tr>
      <w:tr>
        <w:tc>
          <w:tcPr>
            <w:tcW w:type="dxa" w:w="2400"/>
            <w:tcBorders>
              <w:top w:val="single" w:color="999999" w:sz="1"/>
              <w:left w:val="single" w:color="999999" w:sz="1"/>
              <w:bottom w:val="single" w:color="999999" w:sz="1"/>
              <w:right w:val="single" w:color="999999" w:sz="1"/>
            </w:tcBorders>
            <w:shd w:fill="EDF2F7" w:val="clear"/>
            <w:tcMar>
              <w:top w:type="dxa" w:w="60"/>
              <w:left w:type="dxa" w:w="100"/>
              <w:bottom w:type="dxa" w:w="60"/>
              <w:right w:type="dxa" w:w="100"/>
            </w:tcMar>
            <w:vAlign w:val="center"/>
          </w:tcPr>
          <w:p>
            <w:pPr>
              <w:spacing w:after="0"/>
            </w:pPr>
            <w:r>
              <w:rPr>
                <w:rFonts w:ascii="Arial" w:cs="Arial" w:eastAsia="Arial" w:hAnsi="Arial"/>
                <w:color w:val="1A1A1A"/>
                <w:sz w:val="19"/>
                <w:szCs w:val="19"/>
              </w:rPr>
              <w:t xml:space="preserve">Credit Risk Implications</w:t>
            </w:r>
          </w:p>
        </w:tc>
        <w:tc>
          <w:tcPr>
            <w:tcW w:type="dxa" w:w="6960"/>
            <w:tcBorders>
              <w:top w:val="single" w:color="999999" w:sz="1"/>
              <w:left w:val="single" w:color="999999" w:sz="1"/>
              <w:bottom w:val="single" w:color="999999" w:sz="1"/>
              <w:right w:val="single" w:color="999999" w:sz="1"/>
            </w:tcBorders>
            <w:shd w:fill="EDF2F7" w:val="clear"/>
            <w:tcMar>
              <w:top w:type="dxa" w:w="60"/>
              <w:left w:type="dxa" w:w="100"/>
              <w:bottom w:type="dxa" w:w="60"/>
              <w:right w:type="dxa" w:w="100"/>
            </w:tcMar>
            <w:vAlign w:val="center"/>
          </w:tcPr>
          <w:p>
            <w:pPr>
              <w:spacing w:after="0"/>
            </w:pPr>
            <w:r>
              <w:rPr>
                <w:rFonts w:ascii="Arial" w:cs="Arial" w:eastAsia="Arial" w:hAnsi="Arial"/>
                <w:color w:val="1A1A1A"/>
                <w:sz w:val="19"/>
                <w:szCs w:val="19"/>
              </w:rPr>
              <w:t xml:space="preserve">High: lower-wage displaced workers have minimal savings buffer; concentrated in suburban/exurban areas</w:t>
            </w:r>
          </w:p>
        </w:tc>
      </w:tr>
      <w:tr>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Arial" w:cs="Arial" w:eastAsia="Arial" w:hAnsi="Arial"/>
                <w:color w:val="1A1A1A"/>
                <w:sz w:val="19"/>
                <w:szCs w:val="19"/>
              </w:rPr>
              <w:t xml:space="preserve">Geographic Concentration</w:t>
            </w:r>
          </w:p>
        </w:tc>
        <w:tc>
          <w:tcPr>
            <w:tcW w:type="dxa" w:w="696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Arial" w:cs="Arial" w:eastAsia="Arial" w:hAnsi="Arial"/>
                <w:color w:val="1A1A1A"/>
                <w:sz w:val="19"/>
                <w:szCs w:val="19"/>
              </w:rPr>
              <w:t xml:space="preserve">Distributed nationally; concentrated in distribution/logistics hubs</w:t>
            </w:r>
          </w:p>
        </w:tc>
      </w:tr>
    </w:tbl>
    <w:p>
      <w:pPr>
        <w:spacing w:after="200"/>
      </w:pPr>
    </w:p>
    <w:p>
      <w:pPr>
        <w:pStyle w:val="Heading2"/>
      </w:pPr>
      <w:r>
        <w:t xml:space="preserve">5.6 Manufacturing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999999" w:sz="1"/>
              <w:left w:val="single" w:color="999999" w:sz="1"/>
              <w:bottom w:val="single" w:color="999999" w:sz="1"/>
              <w:right w:val="single" w:color="999999"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20"/>
                <w:szCs w:val="20"/>
              </w:rPr>
              <w:t xml:space="preserve">Dimension</w:t>
            </w:r>
          </w:p>
        </w:tc>
        <w:tc>
          <w:tcPr>
            <w:tcW w:type="dxa" w:w="6960"/>
            <w:tcBorders>
              <w:top w:val="single" w:color="999999" w:sz="1"/>
              <w:left w:val="single" w:color="999999" w:sz="1"/>
              <w:bottom w:val="single" w:color="999999" w:sz="1"/>
              <w:right w:val="single" w:color="999999"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20"/>
                <w:szCs w:val="20"/>
              </w:rPr>
              <w:t xml:space="preserve">Assessment</w:t>
            </w:r>
          </w:p>
        </w:tc>
      </w:tr>
      <w:tr>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Arial" w:cs="Arial" w:eastAsia="Arial" w:hAnsi="Arial"/>
                <w:color w:val="1A1A1A"/>
                <w:sz w:val="19"/>
                <w:szCs w:val="19"/>
              </w:rPr>
              <w:t xml:space="preserve">Current US Employment</w:t>
            </w:r>
          </w:p>
        </w:tc>
        <w:tc>
          <w:tcPr>
            <w:tcW w:type="dxa" w:w="696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Arial" w:cs="Arial" w:eastAsia="Arial" w:hAnsi="Arial"/>
                <w:color w:val="1A1A1A"/>
                <w:sz w:val="19"/>
                <w:szCs w:val="19"/>
              </w:rPr>
              <w:t xml:space="preserve">~13.0 million (BLS, 2025)</w:t>
            </w:r>
          </w:p>
        </w:tc>
      </w:tr>
      <w:tr>
        <w:tc>
          <w:tcPr>
            <w:tcW w:type="dxa" w:w="2400"/>
            <w:tcBorders>
              <w:top w:val="single" w:color="999999" w:sz="1"/>
              <w:left w:val="single" w:color="999999" w:sz="1"/>
              <w:bottom w:val="single" w:color="999999" w:sz="1"/>
              <w:right w:val="single" w:color="999999" w:sz="1"/>
            </w:tcBorders>
            <w:shd w:fill="EDF2F7" w:val="clear"/>
            <w:tcMar>
              <w:top w:type="dxa" w:w="60"/>
              <w:left w:type="dxa" w:w="100"/>
              <w:bottom w:type="dxa" w:w="60"/>
              <w:right w:type="dxa" w:w="100"/>
            </w:tcMar>
            <w:vAlign w:val="center"/>
          </w:tcPr>
          <w:p>
            <w:pPr>
              <w:spacing w:after="0"/>
            </w:pPr>
            <w:r>
              <w:rPr>
                <w:rFonts w:ascii="Arial" w:cs="Arial" w:eastAsia="Arial" w:hAnsi="Arial"/>
                <w:color w:val="1A1A1A"/>
                <w:sz w:val="19"/>
                <w:szCs w:val="19"/>
              </w:rPr>
              <w:t xml:space="preserve">Most Affected Roles</w:t>
            </w:r>
          </w:p>
        </w:tc>
        <w:tc>
          <w:tcPr>
            <w:tcW w:type="dxa" w:w="6960"/>
            <w:tcBorders>
              <w:top w:val="single" w:color="999999" w:sz="1"/>
              <w:left w:val="single" w:color="999999" w:sz="1"/>
              <w:bottom w:val="single" w:color="999999" w:sz="1"/>
              <w:right w:val="single" w:color="999999" w:sz="1"/>
            </w:tcBorders>
            <w:shd w:fill="EDF2F7" w:val="clear"/>
            <w:tcMar>
              <w:top w:type="dxa" w:w="60"/>
              <w:left w:type="dxa" w:w="100"/>
              <w:bottom w:type="dxa" w:w="60"/>
              <w:right w:type="dxa" w:w="100"/>
            </w:tcMar>
            <w:vAlign w:val="center"/>
          </w:tcPr>
          <w:p>
            <w:pPr>
              <w:spacing w:after="0"/>
            </w:pPr>
            <w:r>
              <w:rPr>
                <w:rFonts w:ascii="Arial" w:cs="Arial" w:eastAsia="Arial" w:hAnsi="Arial"/>
                <w:color w:val="1A1A1A"/>
                <w:sz w:val="19"/>
                <w:szCs w:val="19"/>
              </w:rPr>
              <w:t xml:space="preserve">Quality control inspectors, production planners, administrative staff, design engineers (AI-assisted CAD), supply chain coordinators, maintenance schedulers</w:t>
            </w:r>
          </w:p>
        </w:tc>
      </w:tr>
      <w:tr>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Arial" w:cs="Arial" w:eastAsia="Arial" w:hAnsi="Arial"/>
                <w:color w:val="1A1A1A"/>
                <w:sz w:val="19"/>
                <w:szCs w:val="19"/>
              </w:rPr>
              <w:t xml:space="preserve">Displacement Range (Year 3)</w:t>
            </w:r>
          </w:p>
        </w:tc>
        <w:tc>
          <w:tcPr>
            <w:tcW w:type="dxa" w:w="696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Arial" w:cs="Arial" w:eastAsia="Arial" w:hAnsi="Arial"/>
                <w:color w:val="1A1A1A"/>
                <w:sz w:val="19"/>
                <w:szCs w:val="19"/>
              </w:rPr>
              <w:t xml:space="preserve">5-8%</w:t>
            </w:r>
          </w:p>
        </w:tc>
      </w:tr>
      <w:tr>
        <w:tc>
          <w:tcPr>
            <w:tcW w:type="dxa" w:w="2400"/>
            <w:tcBorders>
              <w:top w:val="single" w:color="999999" w:sz="1"/>
              <w:left w:val="single" w:color="999999" w:sz="1"/>
              <w:bottom w:val="single" w:color="999999" w:sz="1"/>
              <w:right w:val="single" w:color="999999" w:sz="1"/>
            </w:tcBorders>
            <w:shd w:fill="EDF2F7" w:val="clear"/>
            <w:tcMar>
              <w:top w:type="dxa" w:w="60"/>
              <w:left w:type="dxa" w:w="100"/>
              <w:bottom w:type="dxa" w:w="60"/>
              <w:right w:type="dxa" w:w="100"/>
            </w:tcMar>
            <w:vAlign w:val="center"/>
          </w:tcPr>
          <w:p>
            <w:pPr>
              <w:spacing w:after="0"/>
            </w:pPr>
            <w:r>
              <w:rPr>
                <w:rFonts w:ascii="Arial" w:cs="Arial" w:eastAsia="Arial" w:hAnsi="Arial"/>
                <w:color w:val="1A1A1A"/>
                <w:sz w:val="19"/>
                <w:szCs w:val="19"/>
              </w:rPr>
              <w:t xml:space="preserve">Displacement Range (Year 5)</w:t>
            </w:r>
          </w:p>
        </w:tc>
        <w:tc>
          <w:tcPr>
            <w:tcW w:type="dxa" w:w="6960"/>
            <w:tcBorders>
              <w:top w:val="single" w:color="999999" w:sz="1"/>
              <w:left w:val="single" w:color="999999" w:sz="1"/>
              <w:bottom w:val="single" w:color="999999" w:sz="1"/>
              <w:right w:val="single" w:color="999999" w:sz="1"/>
            </w:tcBorders>
            <w:shd w:fill="EDF2F7" w:val="clear"/>
            <w:tcMar>
              <w:top w:type="dxa" w:w="60"/>
              <w:left w:type="dxa" w:w="100"/>
              <w:bottom w:type="dxa" w:w="60"/>
              <w:right w:type="dxa" w:w="100"/>
            </w:tcMar>
            <w:vAlign w:val="center"/>
          </w:tcPr>
          <w:p>
            <w:pPr>
              <w:spacing w:after="0"/>
            </w:pPr>
            <w:r>
              <w:rPr>
                <w:rFonts w:ascii="Arial" w:cs="Arial" w:eastAsia="Arial" w:hAnsi="Arial"/>
                <w:color w:val="1A1A1A"/>
                <w:sz w:val="19"/>
                <w:szCs w:val="19"/>
              </w:rPr>
              <w:t xml:space="preserve">10-15%</w:t>
            </w:r>
          </w:p>
        </w:tc>
      </w:tr>
      <w:tr>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Arial" w:cs="Arial" w:eastAsia="Arial" w:hAnsi="Arial"/>
                <w:color w:val="1A1A1A"/>
                <w:sz w:val="19"/>
                <w:szCs w:val="19"/>
              </w:rPr>
              <w:t xml:space="preserve">Job Creation (AI-Adjacent Roles)</w:t>
            </w:r>
          </w:p>
        </w:tc>
        <w:tc>
          <w:tcPr>
            <w:tcW w:type="dxa" w:w="696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Arial" w:cs="Arial" w:eastAsia="Arial" w:hAnsi="Arial"/>
                <w:color w:val="1A1A1A"/>
                <w:sz w:val="19"/>
                <w:szCs w:val="19"/>
              </w:rPr>
              <w:t xml:space="preserve">Robotics/AI maintenance technicians, AI quality assurance, industrial AI engineers</w:t>
            </w:r>
          </w:p>
        </w:tc>
      </w:tr>
      <w:tr>
        <w:tc>
          <w:tcPr>
            <w:tcW w:type="dxa" w:w="2400"/>
            <w:tcBorders>
              <w:top w:val="single" w:color="999999" w:sz="1"/>
              <w:left w:val="single" w:color="999999" w:sz="1"/>
              <w:bottom w:val="single" w:color="999999" w:sz="1"/>
              <w:right w:val="single" w:color="999999" w:sz="1"/>
            </w:tcBorders>
            <w:shd w:fill="EDF2F7" w:val="clear"/>
            <w:tcMar>
              <w:top w:type="dxa" w:w="60"/>
              <w:left w:type="dxa" w:w="100"/>
              <w:bottom w:type="dxa" w:w="60"/>
              <w:right w:type="dxa" w:w="100"/>
            </w:tcMar>
            <w:vAlign w:val="center"/>
          </w:tcPr>
          <w:p>
            <w:pPr>
              <w:spacing w:after="0"/>
            </w:pPr>
            <w:r>
              <w:rPr>
                <w:rFonts w:ascii="Arial" w:cs="Arial" w:eastAsia="Arial" w:hAnsi="Arial"/>
                <w:color w:val="1A1A1A"/>
                <w:sz w:val="19"/>
                <w:szCs w:val="19"/>
              </w:rPr>
              <w:t xml:space="preserve">Net Employment Impact</w:t>
            </w:r>
          </w:p>
        </w:tc>
        <w:tc>
          <w:tcPr>
            <w:tcW w:type="dxa" w:w="6960"/>
            <w:tcBorders>
              <w:top w:val="single" w:color="999999" w:sz="1"/>
              <w:left w:val="single" w:color="999999" w:sz="1"/>
              <w:bottom w:val="single" w:color="999999" w:sz="1"/>
              <w:right w:val="single" w:color="999999" w:sz="1"/>
            </w:tcBorders>
            <w:shd w:fill="EDF2F7" w:val="clear"/>
            <w:tcMar>
              <w:top w:type="dxa" w:w="60"/>
              <w:left w:type="dxa" w:w="100"/>
              <w:bottom w:type="dxa" w:w="60"/>
              <w:right w:type="dxa" w:w="100"/>
            </w:tcMar>
            <w:vAlign w:val="center"/>
          </w:tcPr>
          <w:p>
            <w:pPr>
              <w:spacing w:after="0"/>
            </w:pPr>
            <w:r>
              <w:rPr>
                <w:rFonts w:ascii="Arial" w:cs="Arial" w:eastAsia="Arial" w:hAnsi="Arial"/>
                <w:color w:val="1A1A1A"/>
                <w:sz w:val="19"/>
                <w:szCs w:val="19"/>
              </w:rPr>
              <w:t xml:space="preserve">-5 to -10% by Year 5</w:t>
            </w:r>
          </w:p>
        </w:tc>
      </w:tr>
      <w:tr>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Arial" w:cs="Arial" w:eastAsia="Arial" w:hAnsi="Arial"/>
                <w:color w:val="1A1A1A"/>
                <w:sz w:val="19"/>
                <w:szCs w:val="19"/>
              </w:rPr>
              <w:t xml:space="preserve">Wage Impact</w:t>
            </w:r>
          </w:p>
        </w:tc>
        <w:tc>
          <w:tcPr>
            <w:tcW w:type="dxa" w:w="696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Arial" w:cs="Arial" w:eastAsia="Arial" w:hAnsi="Arial"/>
                <w:color w:val="1A1A1A"/>
                <w:sz w:val="19"/>
                <w:szCs w:val="19"/>
              </w:rPr>
              <w:t xml:space="preserve">Bifurcated: +15-25% for AI-augmented skilled trades; -10 to -20% for displaced administrative/planning roles</w:t>
            </w:r>
          </w:p>
        </w:tc>
      </w:tr>
      <w:tr>
        <w:tc>
          <w:tcPr>
            <w:tcW w:type="dxa" w:w="2400"/>
            <w:tcBorders>
              <w:top w:val="single" w:color="999999" w:sz="1"/>
              <w:left w:val="single" w:color="999999" w:sz="1"/>
              <w:bottom w:val="single" w:color="999999" w:sz="1"/>
              <w:right w:val="single" w:color="999999" w:sz="1"/>
            </w:tcBorders>
            <w:shd w:fill="EDF2F7" w:val="clear"/>
            <w:tcMar>
              <w:top w:type="dxa" w:w="60"/>
              <w:left w:type="dxa" w:w="100"/>
              <w:bottom w:type="dxa" w:w="60"/>
              <w:right w:type="dxa" w:w="100"/>
            </w:tcMar>
            <w:vAlign w:val="center"/>
          </w:tcPr>
          <w:p>
            <w:pPr>
              <w:spacing w:after="0"/>
            </w:pPr>
            <w:r>
              <w:rPr>
                <w:rFonts w:ascii="Arial" w:cs="Arial" w:eastAsia="Arial" w:hAnsi="Arial"/>
                <w:color w:val="1A1A1A"/>
                <w:sz w:val="19"/>
                <w:szCs w:val="19"/>
              </w:rPr>
              <w:t xml:space="preserve">Credit Risk Implications</w:t>
            </w:r>
          </w:p>
        </w:tc>
        <w:tc>
          <w:tcPr>
            <w:tcW w:type="dxa" w:w="6960"/>
            <w:tcBorders>
              <w:top w:val="single" w:color="999999" w:sz="1"/>
              <w:left w:val="single" w:color="999999" w:sz="1"/>
              <w:bottom w:val="single" w:color="999999" w:sz="1"/>
              <w:right w:val="single" w:color="999999" w:sz="1"/>
            </w:tcBorders>
            <w:shd w:fill="EDF2F7" w:val="clear"/>
            <w:tcMar>
              <w:top w:type="dxa" w:w="60"/>
              <w:left w:type="dxa" w:w="100"/>
              <w:bottom w:type="dxa" w:w="60"/>
              <w:right w:type="dxa" w:w="100"/>
            </w:tcMar>
            <w:vAlign w:val="center"/>
          </w:tcPr>
          <w:p>
            <w:pPr>
              <w:spacing w:after="0"/>
            </w:pPr>
            <w:r>
              <w:rPr>
                <w:rFonts w:ascii="Arial" w:cs="Arial" w:eastAsia="Arial" w:hAnsi="Arial"/>
                <w:color w:val="1A1A1A"/>
                <w:sz w:val="19"/>
                <w:szCs w:val="19"/>
              </w:rPr>
              <w:t xml:space="preserve">Moderate: adds to ongoing manufacturing employment decline; concentrated in Midwest and Southeast</w:t>
            </w:r>
          </w:p>
        </w:tc>
      </w:tr>
      <w:tr>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Arial" w:cs="Arial" w:eastAsia="Arial" w:hAnsi="Arial"/>
                <w:color w:val="1A1A1A"/>
                <w:sz w:val="19"/>
                <w:szCs w:val="19"/>
              </w:rPr>
              <w:t xml:space="preserve">Geographic Concentration</w:t>
            </w:r>
          </w:p>
        </w:tc>
        <w:tc>
          <w:tcPr>
            <w:tcW w:type="dxa" w:w="696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Arial" w:cs="Arial" w:eastAsia="Arial" w:hAnsi="Arial"/>
                <w:color w:val="1A1A1A"/>
                <w:sz w:val="19"/>
                <w:szCs w:val="19"/>
              </w:rPr>
              <w:t xml:space="preserve">Midwest (Michigan, Ohio, Indiana), Southeast (Alabama, Tennessee, South Carolina)</w:t>
            </w:r>
          </w:p>
        </w:tc>
      </w:tr>
    </w:tbl>
    <w:p>
      <w:pPr>
        <w:spacing w:after="200"/>
      </w:pPr>
    </w:p>
    <w:p>
      <w:pPr>
        <w:spacing w:after="120"/>
      </w:pPr>
      <w:r>
        <w:rPr>
          <w:b/>
          <w:bCs/>
        </w:rPr>
        <w:t xml:space="preserve">Additional Industries (Summarized): </w:t>
      </w:r>
      <w:r>
        <w:t xml:space="preserve">Media &amp; Entertainment (~2.1M employment, 15-25% displacement by Y5, concentrated in LA, NYC, Nashville); Real Estate (~2.0M, 10-18% displacement by Y5, concentrated in high-cost metros); Education (~12.8M, 5-10% displacement by Y5, primarily administrative and assessment functions); Government (~22.5M, 4-8% displacement by Y5, slowest adoption due to procurement constraints); Transportation &amp; Logistics (~6.5M, 8-15% displacement by Y5, dispatching and route optimization first, autonomous vehicles longer-term); Energy (~2.8M, 6-12% displacement by Y5, concentrated in operations optimization and trading functions).</w:t>
      </w:r>
    </w:p>
    <w:p>
      <w:r>
        <w:br w:type="page"/>
      </w:r>
    </w:p>
    <w:p>
      <w:pPr>
        <w:pStyle w:val="Heading1"/>
      </w:pPr>
      <w:r>
        <w:t xml:space="preserve">6. Financial Institution Stress Test Output Tables</w:t>
      </w:r>
    </w:p>
    <w:p>
      <w:pPr>
        <w:spacing w:after="120"/>
      </w:pPr>
      <w:r>
        <w:t xml:space="preserve">The following tables present CCAR-format stress test outputs for a representative large bank (~225K employees, ~$1.9T assets, diversified model) under each of the six scenarios. All figures are in billions of dollars unless otherwise noted.</w:t>
      </w:r>
    </w:p>
    <w:p>
      <w:pPr>
        <w:pStyle w:val="Heading2"/>
      </w:pPr>
      <w:r>
        <w:t xml:space="preserve">6.1 Consolidated Stress Test Summary: All Scenarios at Peak Stress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1066"/>
        <w:gridCol w:w="1066"/>
        <w:gridCol w:w="1066"/>
        <w:gridCol w:w="1066"/>
        <w:gridCol w:w="1066"/>
        <w:gridCol w:w="1066"/>
      </w:tblGrid>
      <w:tr>
        <w:tc>
          <w:tcPr>
            <w:tcW w:type="dxa" w:w="1900"/>
            <w:tcBorders>
              <w:top w:val="single" w:color="999999" w:sz="1"/>
              <w:left w:val="single" w:color="999999" w:sz="1"/>
              <w:bottom w:val="single" w:color="999999" w:sz="1"/>
              <w:right w:val="single" w:color="999999"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20"/>
                <w:szCs w:val="20"/>
              </w:rPr>
              <w:t xml:space="preserve">Metric</w:t>
            </w:r>
          </w:p>
        </w:tc>
        <w:tc>
          <w:tcPr>
            <w:tcW w:type="dxa" w:w="1066"/>
            <w:tcBorders>
              <w:top w:val="single" w:color="999999" w:sz="1"/>
              <w:left w:val="single" w:color="999999" w:sz="1"/>
              <w:bottom w:val="single" w:color="999999" w:sz="1"/>
              <w:right w:val="single" w:color="999999"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20"/>
                <w:szCs w:val="20"/>
              </w:rPr>
              <w:t xml:space="preserve">Baseline</w:t>
            </w:r>
          </w:p>
        </w:tc>
        <w:tc>
          <w:tcPr>
            <w:tcW w:type="dxa" w:w="1066"/>
            <w:tcBorders>
              <w:top w:val="single" w:color="999999" w:sz="1"/>
              <w:left w:val="single" w:color="999999" w:sz="1"/>
              <w:bottom w:val="single" w:color="999999" w:sz="1"/>
              <w:right w:val="single" w:color="999999"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20"/>
                <w:szCs w:val="20"/>
              </w:rPr>
              <w:t xml:space="preserve">A1 (Yr 3)</w:t>
            </w:r>
          </w:p>
        </w:tc>
        <w:tc>
          <w:tcPr>
            <w:tcW w:type="dxa" w:w="1066"/>
            <w:tcBorders>
              <w:top w:val="single" w:color="999999" w:sz="1"/>
              <w:left w:val="single" w:color="999999" w:sz="1"/>
              <w:bottom w:val="single" w:color="999999" w:sz="1"/>
              <w:right w:val="single" w:color="999999"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20"/>
                <w:szCs w:val="20"/>
              </w:rPr>
              <w:t xml:space="preserve">A2 (Yr 3)</w:t>
            </w:r>
          </w:p>
        </w:tc>
        <w:tc>
          <w:tcPr>
            <w:tcW w:type="dxa" w:w="1066"/>
            <w:tcBorders>
              <w:top w:val="single" w:color="999999" w:sz="1"/>
              <w:left w:val="single" w:color="999999" w:sz="1"/>
              <w:bottom w:val="single" w:color="999999" w:sz="1"/>
              <w:right w:val="single" w:color="999999"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20"/>
                <w:szCs w:val="20"/>
              </w:rPr>
              <w:t xml:space="preserve">B1 (Yr 5)</w:t>
            </w:r>
          </w:p>
        </w:tc>
        <w:tc>
          <w:tcPr>
            <w:tcW w:type="dxa" w:w="1066"/>
            <w:tcBorders>
              <w:top w:val="single" w:color="999999" w:sz="1"/>
              <w:left w:val="single" w:color="999999" w:sz="1"/>
              <w:bottom w:val="single" w:color="999999" w:sz="1"/>
              <w:right w:val="single" w:color="999999"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20"/>
                <w:szCs w:val="20"/>
              </w:rPr>
              <w:t xml:space="preserve">B2 (Yr 3)</w:t>
            </w:r>
          </w:p>
        </w:tc>
        <w:tc>
          <w:tcPr>
            <w:tcW w:type="dxa" w:w="1066"/>
            <w:tcBorders>
              <w:top w:val="single" w:color="999999" w:sz="1"/>
              <w:left w:val="single" w:color="999999" w:sz="1"/>
              <w:bottom w:val="single" w:color="999999" w:sz="1"/>
              <w:right w:val="single" w:color="999999"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20"/>
                <w:szCs w:val="20"/>
              </w:rPr>
              <w:t xml:space="preserve">C1 (Yr 3)</w:t>
            </w:r>
          </w:p>
        </w:tc>
        <w:tc>
          <w:tcPr>
            <w:tcW w:type="dxa" w:w="2340"/>
            <w:tcBorders>
              <w:top w:val="single" w:color="999999" w:sz="1"/>
              <w:left w:val="single" w:color="999999" w:sz="1"/>
              <w:bottom w:val="single" w:color="999999" w:sz="1"/>
              <w:right w:val="single" w:color="999999"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20"/>
                <w:szCs w:val="20"/>
              </w:rPr>
              <w:t xml:space="preserve">C2 (Yr 3)</w:t>
            </w:r>
          </w:p>
        </w:tc>
      </w:tr>
      <w:tr>
        <w:tc>
          <w:tcPr>
            <w:tcW w:type="dxa" w:w="19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Arial" w:cs="Arial" w:eastAsia="Arial" w:hAnsi="Arial"/>
                <w:color w:val="1A1A1A"/>
                <w:sz w:val="19"/>
                <w:szCs w:val="19"/>
              </w:rPr>
              <w:t xml:space="preserve">Net Revenue ($B)</w:t>
            </w:r>
          </w:p>
        </w:tc>
        <w:tc>
          <w:tcPr>
            <w:tcW w:type="dxa" w:w="1066"/>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Arial" w:cs="Arial" w:eastAsia="Arial" w:hAnsi="Arial"/>
                <w:color w:val="1A1A1A"/>
                <w:sz w:val="19"/>
                <w:szCs w:val="19"/>
              </w:rPr>
              <w:t xml:space="preserve">88.0</w:t>
            </w:r>
          </w:p>
        </w:tc>
        <w:tc>
          <w:tcPr>
            <w:tcW w:type="dxa" w:w="1066"/>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Arial" w:cs="Arial" w:eastAsia="Arial" w:hAnsi="Arial"/>
                <w:color w:val="1A1A1A"/>
                <w:sz w:val="19"/>
                <w:szCs w:val="19"/>
              </w:rPr>
              <w:t xml:space="preserve">82.0</w:t>
            </w:r>
          </w:p>
        </w:tc>
        <w:tc>
          <w:tcPr>
            <w:tcW w:type="dxa" w:w="1066"/>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Arial" w:cs="Arial" w:eastAsia="Arial" w:hAnsi="Arial"/>
                <w:color w:val="1A1A1A"/>
                <w:sz w:val="19"/>
                <w:szCs w:val="19"/>
              </w:rPr>
              <w:t xml:space="preserve">84.0</w:t>
            </w:r>
          </w:p>
        </w:tc>
        <w:tc>
          <w:tcPr>
            <w:tcW w:type="dxa" w:w="1066"/>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Arial" w:cs="Arial" w:eastAsia="Arial" w:hAnsi="Arial"/>
                <w:color w:val="1A1A1A"/>
                <w:sz w:val="19"/>
                <w:szCs w:val="19"/>
              </w:rPr>
              <w:t xml:space="preserve">77.0</w:t>
            </w:r>
          </w:p>
        </w:tc>
        <w:tc>
          <w:tcPr>
            <w:tcW w:type="dxa" w:w="1066"/>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Arial" w:cs="Arial" w:eastAsia="Arial" w:hAnsi="Arial"/>
                <w:color w:val="1A1A1A"/>
                <w:sz w:val="19"/>
                <w:szCs w:val="19"/>
              </w:rPr>
              <w:t xml:space="preserve">80.0</w:t>
            </w:r>
          </w:p>
        </w:tc>
        <w:tc>
          <w:tcPr>
            <w:tcW w:type="dxa" w:w="1066"/>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Arial" w:cs="Arial" w:eastAsia="Arial" w:hAnsi="Arial"/>
                <w:color w:val="1A1A1A"/>
                <w:sz w:val="19"/>
                <w:szCs w:val="19"/>
              </w:rPr>
              <w:t xml:space="preserve">74.0</w:t>
            </w:r>
          </w:p>
        </w:tc>
        <w:tc>
          <w:tcPr>
            <w:tcW w:type="dxa" w:w="234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Arial" w:cs="Arial" w:eastAsia="Arial" w:hAnsi="Arial"/>
                <w:color w:val="1A1A1A"/>
                <w:sz w:val="19"/>
                <w:szCs w:val="19"/>
              </w:rPr>
              <w:t xml:space="preserve">78.0</w:t>
            </w:r>
          </w:p>
        </w:tc>
      </w:tr>
      <w:tr>
        <w:tc>
          <w:tcPr>
            <w:tcW w:type="dxa" w:w="1900"/>
            <w:tcBorders>
              <w:top w:val="single" w:color="999999" w:sz="1"/>
              <w:left w:val="single" w:color="999999" w:sz="1"/>
              <w:bottom w:val="single" w:color="999999" w:sz="1"/>
              <w:right w:val="single" w:color="999999" w:sz="1"/>
            </w:tcBorders>
            <w:shd w:fill="EDF2F7" w:val="clear"/>
            <w:tcMar>
              <w:top w:type="dxa" w:w="60"/>
              <w:left w:type="dxa" w:w="100"/>
              <w:bottom w:type="dxa" w:w="60"/>
              <w:right w:type="dxa" w:w="100"/>
            </w:tcMar>
            <w:vAlign w:val="center"/>
          </w:tcPr>
          <w:p>
            <w:pPr>
              <w:spacing w:after="0"/>
            </w:pPr>
            <w:r>
              <w:rPr>
                <w:rFonts w:ascii="Arial" w:cs="Arial" w:eastAsia="Arial" w:hAnsi="Arial"/>
                <w:color w:val="1A1A1A"/>
                <w:sz w:val="19"/>
                <w:szCs w:val="19"/>
              </w:rPr>
              <w:t xml:space="preserve">PPNR ($B)</w:t>
            </w:r>
          </w:p>
        </w:tc>
        <w:tc>
          <w:tcPr>
            <w:tcW w:type="dxa" w:w="1066"/>
            <w:tcBorders>
              <w:top w:val="single" w:color="999999" w:sz="1"/>
              <w:left w:val="single" w:color="999999" w:sz="1"/>
              <w:bottom w:val="single" w:color="999999" w:sz="1"/>
              <w:right w:val="single" w:color="999999" w:sz="1"/>
            </w:tcBorders>
            <w:shd w:fill="EDF2F7" w:val="clear"/>
            <w:tcMar>
              <w:top w:type="dxa" w:w="60"/>
              <w:left w:type="dxa" w:w="100"/>
              <w:bottom w:type="dxa" w:w="60"/>
              <w:right w:type="dxa" w:w="100"/>
            </w:tcMar>
            <w:vAlign w:val="center"/>
          </w:tcPr>
          <w:p>
            <w:pPr>
              <w:spacing w:after="0"/>
            </w:pPr>
            <w:r>
              <w:rPr>
                <w:rFonts w:ascii="Arial" w:cs="Arial" w:eastAsia="Arial" w:hAnsi="Arial"/>
                <w:color w:val="1A1A1A"/>
                <w:sz w:val="19"/>
                <w:szCs w:val="19"/>
              </w:rPr>
              <w:t xml:space="preserve">36.0</w:t>
            </w:r>
          </w:p>
        </w:tc>
        <w:tc>
          <w:tcPr>
            <w:tcW w:type="dxa" w:w="1066"/>
            <w:tcBorders>
              <w:top w:val="single" w:color="999999" w:sz="1"/>
              <w:left w:val="single" w:color="999999" w:sz="1"/>
              <w:bottom w:val="single" w:color="999999" w:sz="1"/>
              <w:right w:val="single" w:color="999999" w:sz="1"/>
            </w:tcBorders>
            <w:shd w:fill="EDF2F7" w:val="clear"/>
            <w:tcMar>
              <w:top w:type="dxa" w:w="60"/>
              <w:left w:type="dxa" w:w="100"/>
              <w:bottom w:type="dxa" w:w="60"/>
              <w:right w:type="dxa" w:w="100"/>
            </w:tcMar>
            <w:vAlign w:val="center"/>
          </w:tcPr>
          <w:p>
            <w:pPr>
              <w:spacing w:after="0"/>
            </w:pPr>
            <w:r>
              <w:rPr>
                <w:rFonts w:ascii="Arial" w:cs="Arial" w:eastAsia="Arial" w:hAnsi="Arial"/>
                <w:color w:val="1A1A1A"/>
                <w:sz w:val="19"/>
                <w:szCs w:val="19"/>
              </w:rPr>
              <w:t xml:space="preserve">27.5</w:t>
            </w:r>
          </w:p>
        </w:tc>
        <w:tc>
          <w:tcPr>
            <w:tcW w:type="dxa" w:w="1066"/>
            <w:tcBorders>
              <w:top w:val="single" w:color="999999" w:sz="1"/>
              <w:left w:val="single" w:color="999999" w:sz="1"/>
              <w:bottom w:val="single" w:color="999999" w:sz="1"/>
              <w:right w:val="single" w:color="999999" w:sz="1"/>
            </w:tcBorders>
            <w:shd w:fill="EDF2F7" w:val="clear"/>
            <w:tcMar>
              <w:top w:type="dxa" w:w="60"/>
              <w:left w:type="dxa" w:w="100"/>
              <w:bottom w:type="dxa" w:w="60"/>
              <w:right w:type="dxa" w:w="100"/>
            </w:tcMar>
            <w:vAlign w:val="center"/>
          </w:tcPr>
          <w:p>
            <w:pPr>
              <w:spacing w:after="0"/>
            </w:pPr>
            <w:r>
              <w:rPr>
                <w:rFonts w:ascii="Arial" w:cs="Arial" w:eastAsia="Arial" w:hAnsi="Arial"/>
                <w:color w:val="1A1A1A"/>
                <w:sz w:val="19"/>
                <w:szCs w:val="19"/>
              </w:rPr>
              <w:t xml:space="preserve">28.0</w:t>
            </w:r>
          </w:p>
        </w:tc>
        <w:tc>
          <w:tcPr>
            <w:tcW w:type="dxa" w:w="1066"/>
            <w:tcBorders>
              <w:top w:val="single" w:color="999999" w:sz="1"/>
              <w:left w:val="single" w:color="999999" w:sz="1"/>
              <w:bottom w:val="single" w:color="999999" w:sz="1"/>
              <w:right w:val="single" w:color="999999" w:sz="1"/>
            </w:tcBorders>
            <w:shd w:fill="EDF2F7" w:val="clear"/>
            <w:tcMar>
              <w:top w:type="dxa" w:w="60"/>
              <w:left w:type="dxa" w:w="100"/>
              <w:bottom w:type="dxa" w:w="60"/>
              <w:right w:type="dxa" w:w="100"/>
            </w:tcMar>
            <w:vAlign w:val="center"/>
          </w:tcPr>
          <w:p>
            <w:pPr>
              <w:spacing w:after="0"/>
            </w:pPr>
            <w:r>
              <w:rPr>
                <w:rFonts w:ascii="Arial" w:cs="Arial" w:eastAsia="Arial" w:hAnsi="Arial"/>
                <w:color w:val="1A1A1A"/>
                <w:sz w:val="19"/>
                <w:szCs w:val="19"/>
              </w:rPr>
              <w:t xml:space="preserve">22.0</w:t>
            </w:r>
          </w:p>
        </w:tc>
        <w:tc>
          <w:tcPr>
            <w:tcW w:type="dxa" w:w="1066"/>
            <w:tcBorders>
              <w:top w:val="single" w:color="999999" w:sz="1"/>
              <w:left w:val="single" w:color="999999" w:sz="1"/>
              <w:bottom w:val="single" w:color="999999" w:sz="1"/>
              <w:right w:val="single" w:color="999999" w:sz="1"/>
            </w:tcBorders>
            <w:shd w:fill="EDF2F7" w:val="clear"/>
            <w:tcMar>
              <w:top w:type="dxa" w:w="60"/>
              <w:left w:type="dxa" w:w="100"/>
              <w:bottom w:type="dxa" w:w="60"/>
              <w:right w:type="dxa" w:w="100"/>
            </w:tcMar>
            <w:vAlign w:val="center"/>
          </w:tcPr>
          <w:p>
            <w:pPr>
              <w:spacing w:after="0"/>
            </w:pPr>
            <w:r>
              <w:rPr>
                <w:rFonts w:ascii="Arial" w:cs="Arial" w:eastAsia="Arial" w:hAnsi="Arial"/>
                <w:color w:val="1A1A1A"/>
                <w:sz w:val="19"/>
                <w:szCs w:val="19"/>
              </w:rPr>
              <w:t xml:space="preserve">24.0</w:t>
            </w:r>
          </w:p>
        </w:tc>
        <w:tc>
          <w:tcPr>
            <w:tcW w:type="dxa" w:w="1066"/>
            <w:tcBorders>
              <w:top w:val="single" w:color="999999" w:sz="1"/>
              <w:left w:val="single" w:color="999999" w:sz="1"/>
              <w:bottom w:val="single" w:color="999999" w:sz="1"/>
              <w:right w:val="single" w:color="999999" w:sz="1"/>
            </w:tcBorders>
            <w:shd w:fill="EDF2F7" w:val="clear"/>
            <w:tcMar>
              <w:top w:type="dxa" w:w="60"/>
              <w:left w:type="dxa" w:w="100"/>
              <w:bottom w:type="dxa" w:w="60"/>
              <w:right w:type="dxa" w:w="100"/>
            </w:tcMar>
            <w:vAlign w:val="center"/>
          </w:tcPr>
          <w:p>
            <w:pPr>
              <w:spacing w:after="0"/>
            </w:pPr>
            <w:r>
              <w:rPr>
                <w:rFonts w:ascii="Arial" w:cs="Arial" w:eastAsia="Arial" w:hAnsi="Arial"/>
                <w:color w:val="1A1A1A"/>
                <w:sz w:val="19"/>
                <w:szCs w:val="19"/>
              </w:rPr>
              <w:t xml:space="preserve">25.0</w:t>
            </w:r>
          </w:p>
        </w:tc>
        <w:tc>
          <w:tcPr>
            <w:tcW w:type="dxa" w:w="2340"/>
            <w:tcBorders>
              <w:top w:val="single" w:color="999999" w:sz="1"/>
              <w:left w:val="single" w:color="999999" w:sz="1"/>
              <w:bottom w:val="single" w:color="999999" w:sz="1"/>
              <w:right w:val="single" w:color="999999" w:sz="1"/>
            </w:tcBorders>
            <w:shd w:fill="EDF2F7" w:val="clear"/>
            <w:tcMar>
              <w:top w:type="dxa" w:w="60"/>
              <w:left w:type="dxa" w:w="100"/>
              <w:bottom w:type="dxa" w:w="60"/>
              <w:right w:type="dxa" w:w="100"/>
            </w:tcMar>
            <w:vAlign w:val="center"/>
          </w:tcPr>
          <w:p>
            <w:pPr>
              <w:spacing w:after="0"/>
            </w:pPr>
            <w:r>
              <w:rPr>
                <w:rFonts w:ascii="Arial" w:cs="Arial" w:eastAsia="Arial" w:hAnsi="Arial"/>
                <w:color w:val="1A1A1A"/>
                <w:sz w:val="19"/>
                <w:szCs w:val="19"/>
              </w:rPr>
              <w:t xml:space="preserve">23.0</w:t>
            </w:r>
          </w:p>
        </w:tc>
      </w:tr>
      <w:tr>
        <w:tc>
          <w:tcPr>
            <w:tcW w:type="dxa" w:w="19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Arial" w:cs="Arial" w:eastAsia="Arial" w:hAnsi="Arial"/>
                <w:color w:val="1A1A1A"/>
                <w:sz w:val="19"/>
                <w:szCs w:val="19"/>
              </w:rPr>
              <w:t xml:space="preserve">Provision for Credit Losses ($B)</w:t>
            </w:r>
          </w:p>
        </w:tc>
        <w:tc>
          <w:tcPr>
            <w:tcW w:type="dxa" w:w="1066"/>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Arial" w:cs="Arial" w:eastAsia="Arial" w:hAnsi="Arial"/>
                <w:color w:val="1A1A1A"/>
                <w:sz w:val="19"/>
                <w:szCs w:val="19"/>
              </w:rPr>
              <w:t xml:space="preserve">5.5</w:t>
            </w:r>
          </w:p>
        </w:tc>
        <w:tc>
          <w:tcPr>
            <w:tcW w:type="dxa" w:w="1066"/>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Arial" w:cs="Arial" w:eastAsia="Arial" w:hAnsi="Arial"/>
                <w:color w:val="1A1A1A"/>
                <w:sz w:val="19"/>
                <w:szCs w:val="19"/>
              </w:rPr>
              <w:t xml:space="preserve">7.0</w:t>
            </w:r>
          </w:p>
        </w:tc>
        <w:tc>
          <w:tcPr>
            <w:tcW w:type="dxa" w:w="1066"/>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Arial" w:cs="Arial" w:eastAsia="Arial" w:hAnsi="Arial"/>
                <w:color w:val="1A1A1A"/>
                <w:sz w:val="19"/>
                <w:szCs w:val="19"/>
              </w:rPr>
              <w:t xml:space="preserve">5.8</w:t>
            </w:r>
          </w:p>
        </w:tc>
        <w:tc>
          <w:tcPr>
            <w:tcW w:type="dxa" w:w="1066"/>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Arial" w:cs="Arial" w:eastAsia="Arial" w:hAnsi="Arial"/>
                <w:color w:val="1A1A1A"/>
                <w:sz w:val="19"/>
                <w:szCs w:val="19"/>
              </w:rPr>
              <w:t xml:space="preserve">7.5</w:t>
            </w:r>
          </w:p>
        </w:tc>
        <w:tc>
          <w:tcPr>
            <w:tcW w:type="dxa" w:w="1066"/>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Arial" w:cs="Arial" w:eastAsia="Arial" w:hAnsi="Arial"/>
                <w:color w:val="1A1A1A"/>
                <w:sz w:val="19"/>
                <w:szCs w:val="19"/>
              </w:rPr>
              <w:t xml:space="preserve">6.0</w:t>
            </w:r>
          </w:p>
        </w:tc>
        <w:tc>
          <w:tcPr>
            <w:tcW w:type="dxa" w:w="1066"/>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Arial" w:cs="Arial" w:eastAsia="Arial" w:hAnsi="Arial"/>
                <w:color w:val="1A1A1A"/>
                <w:sz w:val="19"/>
                <w:szCs w:val="19"/>
              </w:rPr>
              <w:t xml:space="preserve">18.5</w:t>
            </w:r>
          </w:p>
        </w:tc>
        <w:tc>
          <w:tcPr>
            <w:tcW w:type="dxa" w:w="234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Arial" w:cs="Arial" w:eastAsia="Arial" w:hAnsi="Arial"/>
                <w:color w:val="1A1A1A"/>
                <w:sz w:val="19"/>
                <w:szCs w:val="19"/>
              </w:rPr>
              <w:t xml:space="preserve">8.0</w:t>
            </w:r>
          </w:p>
        </w:tc>
      </w:tr>
      <w:tr>
        <w:tc>
          <w:tcPr>
            <w:tcW w:type="dxa" w:w="1900"/>
            <w:tcBorders>
              <w:top w:val="single" w:color="999999" w:sz="1"/>
              <w:left w:val="single" w:color="999999" w:sz="1"/>
              <w:bottom w:val="single" w:color="999999" w:sz="1"/>
              <w:right w:val="single" w:color="999999" w:sz="1"/>
            </w:tcBorders>
            <w:shd w:fill="EDF2F7" w:val="clear"/>
            <w:tcMar>
              <w:top w:type="dxa" w:w="60"/>
              <w:left w:type="dxa" w:w="100"/>
              <w:bottom w:type="dxa" w:w="60"/>
              <w:right w:type="dxa" w:w="100"/>
            </w:tcMar>
            <w:vAlign w:val="center"/>
          </w:tcPr>
          <w:p>
            <w:pPr>
              <w:spacing w:after="0"/>
            </w:pPr>
            <w:r>
              <w:rPr>
                <w:rFonts w:ascii="Arial" w:cs="Arial" w:eastAsia="Arial" w:hAnsi="Arial"/>
                <w:color w:val="1A1A1A"/>
                <w:sz w:val="19"/>
                <w:szCs w:val="19"/>
              </w:rPr>
              <w:t xml:space="preserve">Pre-Tax Net Income ($B)</w:t>
            </w:r>
          </w:p>
        </w:tc>
        <w:tc>
          <w:tcPr>
            <w:tcW w:type="dxa" w:w="1066"/>
            <w:tcBorders>
              <w:top w:val="single" w:color="999999" w:sz="1"/>
              <w:left w:val="single" w:color="999999" w:sz="1"/>
              <w:bottom w:val="single" w:color="999999" w:sz="1"/>
              <w:right w:val="single" w:color="999999" w:sz="1"/>
            </w:tcBorders>
            <w:shd w:fill="EDF2F7" w:val="clear"/>
            <w:tcMar>
              <w:top w:type="dxa" w:w="60"/>
              <w:left w:type="dxa" w:w="100"/>
              <w:bottom w:type="dxa" w:w="60"/>
              <w:right w:type="dxa" w:w="100"/>
            </w:tcMar>
            <w:vAlign w:val="center"/>
          </w:tcPr>
          <w:p>
            <w:pPr>
              <w:spacing w:after="0"/>
            </w:pPr>
            <w:r>
              <w:rPr>
                <w:rFonts w:ascii="Arial" w:cs="Arial" w:eastAsia="Arial" w:hAnsi="Arial"/>
                <w:color w:val="1A1A1A"/>
                <w:sz w:val="19"/>
                <w:szCs w:val="19"/>
              </w:rPr>
              <w:t xml:space="preserve">30.5</w:t>
            </w:r>
          </w:p>
        </w:tc>
        <w:tc>
          <w:tcPr>
            <w:tcW w:type="dxa" w:w="1066"/>
            <w:tcBorders>
              <w:top w:val="single" w:color="999999" w:sz="1"/>
              <w:left w:val="single" w:color="999999" w:sz="1"/>
              <w:bottom w:val="single" w:color="999999" w:sz="1"/>
              <w:right w:val="single" w:color="999999" w:sz="1"/>
            </w:tcBorders>
            <w:shd w:fill="EDF2F7" w:val="clear"/>
            <w:tcMar>
              <w:top w:type="dxa" w:w="60"/>
              <w:left w:type="dxa" w:w="100"/>
              <w:bottom w:type="dxa" w:w="60"/>
              <w:right w:type="dxa" w:w="100"/>
            </w:tcMar>
            <w:vAlign w:val="center"/>
          </w:tcPr>
          <w:p>
            <w:pPr>
              <w:spacing w:after="0"/>
            </w:pPr>
            <w:r>
              <w:rPr>
                <w:rFonts w:ascii="Arial" w:cs="Arial" w:eastAsia="Arial" w:hAnsi="Arial"/>
                <w:color w:val="1A1A1A"/>
                <w:sz w:val="19"/>
                <w:szCs w:val="19"/>
              </w:rPr>
              <w:t xml:space="preserve">20.5</w:t>
            </w:r>
          </w:p>
        </w:tc>
        <w:tc>
          <w:tcPr>
            <w:tcW w:type="dxa" w:w="1066"/>
            <w:tcBorders>
              <w:top w:val="single" w:color="999999" w:sz="1"/>
              <w:left w:val="single" w:color="999999" w:sz="1"/>
              <w:bottom w:val="single" w:color="999999" w:sz="1"/>
              <w:right w:val="single" w:color="999999" w:sz="1"/>
            </w:tcBorders>
            <w:shd w:fill="EDF2F7" w:val="clear"/>
            <w:tcMar>
              <w:top w:type="dxa" w:w="60"/>
              <w:left w:type="dxa" w:w="100"/>
              <w:bottom w:type="dxa" w:w="60"/>
              <w:right w:type="dxa" w:w="100"/>
            </w:tcMar>
            <w:vAlign w:val="center"/>
          </w:tcPr>
          <w:p>
            <w:pPr>
              <w:spacing w:after="0"/>
            </w:pPr>
            <w:r>
              <w:rPr>
                <w:rFonts w:ascii="Arial" w:cs="Arial" w:eastAsia="Arial" w:hAnsi="Arial"/>
                <w:color w:val="1A1A1A"/>
                <w:sz w:val="19"/>
                <w:szCs w:val="19"/>
              </w:rPr>
              <w:t xml:space="preserve">22.2</w:t>
            </w:r>
          </w:p>
        </w:tc>
        <w:tc>
          <w:tcPr>
            <w:tcW w:type="dxa" w:w="1066"/>
            <w:tcBorders>
              <w:top w:val="single" w:color="999999" w:sz="1"/>
              <w:left w:val="single" w:color="999999" w:sz="1"/>
              <w:bottom w:val="single" w:color="999999" w:sz="1"/>
              <w:right w:val="single" w:color="999999" w:sz="1"/>
            </w:tcBorders>
            <w:shd w:fill="EDF2F7" w:val="clear"/>
            <w:tcMar>
              <w:top w:type="dxa" w:w="60"/>
              <w:left w:type="dxa" w:w="100"/>
              <w:bottom w:type="dxa" w:w="60"/>
              <w:right w:type="dxa" w:w="100"/>
            </w:tcMar>
            <w:vAlign w:val="center"/>
          </w:tcPr>
          <w:p>
            <w:pPr>
              <w:spacing w:after="0"/>
            </w:pPr>
            <w:r>
              <w:rPr>
                <w:rFonts w:ascii="Arial" w:cs="Arial" w:eastAsia="Arial" w:hAnsi="Arial"/>
                <w:color w:val="1A1A1A"/>
                <w:sz w:val="19"/>
                <w:szCs w:val="19"/>
              </w:rPr>
              <w:t xml:space="preserve">14.5</w:t>
            </w:r>
          </w:p>
        </w:tc>
        <w:tc>
          <w:tcPr>
            <w:tcW w:type="dxa" w:w="1066"/>
            <w:tcBorders>
              <w:top w:val="single" w:color="999999" w:sz="1"/>
              <w:left w:val="single" w:color="999999" w:sz="1"/>
              <w:bottom w:val="single" w:color="999999" w:sz="1"/>
              <w:right w:val="single" w:color="999999" w:sz="1"/>
            </w:tcBorders>
            <w:shd w:fill="EDF2F7" w:val="clear"/>
            <w:tcMar>
              <w:top w:type="dxa" w:w="60"/>
              <w:left w:type="dxa" w:w="100"/>
              <w:bottom w:type="dxa" w:w="60"/>
              <w:right w:type="dxa" w:w="100"/>
            </w:tcMar>
            <w:vAlign w:val="center"/>
          </w:tcPr>
          <w:p>
            <w:pPr>
              <w:spacing w:after="0"/>
            </w:pPr>
            <w:r>
              <w:rPr>
                <w:rFonts w:ascii="Arial" w:cs="Arial" w:eastAsia="Arial" w:hAnsi="Arial"/>
                <w:color w:val="1A1A1A"/>
                <w:sz w:val="19"/>
                <w:szCs w:val="19"/>
              </w:rPr>
              <w:t xml:space="preserve">18.0</w:t>
            </w:r>
          </w:p>
        </w:tc>
        <w:tc>
          <w:tcPr>
            <w:tcW w:type="dxa" w:w="1066"/>
            <w:tcBorders>
              <w:top w:val="single" w:color="999999" w:sz="1"/>
              <w:left w:val="single" w:color="999999" w:sz="1"/>
              <w:bottom w:val="single" w:color="999999" w:sz="1"/>
              <w:right w:val="single" w:color="999999" w:sz="1"/>
            </w:tcBorders>
            <w:shd w:fill="EDF2F7" w:val="clear"/>
            <w:tcMar>
              <w:top w:type="dxa" w:w="60"/>
              <w:left w:type="dxa" w:w="100"/>
              <w:bottom w:type="dxa" w:w="60"/>
              <w:right w:type="dxa" w:w="100"/>
            </w:tcMar>
            <w:vAlign w:val="center"/>
          </w:tcPr>
          <w:p>
            <w:pPr>
              <w:spacing w:after="0"/>
            </w:pPr>
            <w:r>
              <w:rPr>
                <w:rFonts w:ascii="Arial" w:cs="Arial" w:eastAsia="Arial" w:hAnsi="Arial"/>
                <w:color w:val="1A1A1A"/>
                <w:sz w:val="19"/>
                <w:szCs w:val="19"/>
              </w:rPr>
              <w:t xml:space="preserve">6.5</w:t>
            </w:r>
          </w:p>
        </w:tc>
        <w:tc>
          <w:tcPr>
            <w:tcW w:type="dxa" w:w="2340"/>
            <w:tcBorders>
              <w:top w:val="single" w:color="999999" w:sz="1"/>
              <w:left w:val="single" w:color="999999" w:sz="1"/>
              <w:bottom w:val="single" w:color="999999" w:sz="1"/>
              <w:right w:val="single" w:color="999999" w:sz="1"/>
            </w:tcBorders>
            <w:shd w:fill="EDF2F7" w:val="clear"/>
            <w:tcMar>
              <w:top w:type="dxa" w:w="60"/>
              <w:left w:type="dxa" w:w="100"/>
              <w:bottom w:type="dxa" w:w="60"/>
              <w:right w:type="dxa" w:w="100"/>
            </w:tcMar>
            <w:vAlign w:val="center"/>
          </w:tcPr>
          <w:p>
            <w:pPr>
              <w:spacing w:after="0"/>
            </w:pPr>
            <w:r>
              <w:rPr>
                <w:rFonts w:ascii="Arial" w:cs="Arial" w:eastAsia="Arial" w:hAnsi="Arial"/>
                <w:color w:val="1A1A1A"/>
                <w:sz w:val="19"/>
                <w:szCs w:val="19"/>
              </w:rPr>
              <w:t xml:space="preserve">15.0</w:t>
            </w:r>
          </w:p>
        </w:tc>
      </w:tr>
      <w:tr>
        <w:tc>
          <w:tcPr>
            <w:tcW w:type="dxa" w:w="19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Arial" w:cs="Arial" w:eastAsia="Arial" w:hAnsi="Arial"/>
                <w:color w:val="1A1A1A"/>
                <w:sz w:val="19"/>
                <w:szCs w:val="19"/>
              </w:rPr>
              <w:t xml:space="preserve">CET1 Ratio</w:t>
            </w:r>
          </w:p>
        </w:tc>
        <w:tc>
          <w:tcPr>
            <w:tcW w:type="dxa" w:w="1066"/>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Arial" w:cs="Arial" w:eastAsia="Arial" w:hAnsi="Arial"/>
                <w:color w:val="1A1A1A"/>
                <w:sz w:val="19"/>
                <w:szCs w:val="19"/>
              </w:rPr>
              <w:t xml:space="preserve">11.5%</w:t>
            </w:r>
          </w:p>
        </w:tc>
        <w:tc>
          <w:tcPr>
            <w:tcW w:type="dxa" w:w="1066"/>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Arial" w:cs="Arial" w:eastAsia="Arial" w:hAnsi="Arial"/>
                <w:color w:val="1A1A1A"/>
                <w:sz w:val="19"/>
                <w:szCs w:val="19"/>
              </w:rPr>
              <w:t xml:space="preserve">10.2%</w:t>
            </w:r>
          </w:p>
        </w:tc>
        <w:tc>
          <w:tcPr>
            <w:tcW w:type="dxa" w:w="1066"/>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Arial" w:cs="Arial" w:eastAsia="Arial" w:hAnsi="Arial"/>
                <w:color w:val="1A1A1A"/>
                <w:sz w:val="19"/>
                <w:szCs w:val="19"/>
              </w:rPr>
              <w:t xml:space="preserve">10.6%</w:t>
            </w:r>
          </w:p>
        </w:tc>
        <w:tc>
          <w:tcPr>
            <w:tcW w:type="dxa" w:w="1066"/>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Arial" w:cs="Arial" w:eastAsia="Arial" w:hAnsi="Arial"/>
                <w:color w:val="1A1A1A"/>
                <w:sz w:val="19"/>
                <w:szCs w:val="19"/>
              </w:rPr>
              <w:t xml:space="preserve">9.8%</w:t>
            </w:r>
          </w:p>
        </w:tc>
        <w:tc>
          <w:tcPr>
            <w:tcW w:type="dxa" w:w="1066"/>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Arial" w:cs="Arial" w:eastAsia="Arial" w:hAnsi="Arial"/>
                <w:color w:val="1A1A1A"/>
                <w:sz w:val="19"/>
                <w:szCs w:val="19"/>
              </w:rPr>
              <w:t xml:space="preserve">10.3%</w:t>
            </w:r>
          </w:p>
        </w:tc>
        <w:tc>
          <w:tcPr>
            <w:tcW w:type="dxa" w:w="1066"/>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Arial" w:cs="Arial" w:eastAsia="Arial" w:hAnsi="Arial"/>
                <w:color w:val="1A1A1A"/>
                <w:sz w:val="19"/>
                <w:szCs w:val="19"/>
              </w:rPr>
              <w:t xml:space="preserve">9.2%</w:t>
            </w:r>
          </w:p>
        </w:tc>
        <w:tc>
          <w:tcPr>
            <w:tcW w:type="dxa" w:w="234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Arial" w:cs="Arial" w:eastAsia="Arial" w:hAnsi="Arial"/>
                <w:color w:val="1A1A1A"/>
                <w:sz w:val="19"/>
                <w:szCs w:val="19"/>
              </w:rPr>
              <w:t xml:space="preserve">10.0%</w:t>
            </w:r>
          </w:p>
        </w:tc>
      </w:tr>
      <w:tr>
        <w:tc>
          <w:tcPr>
            <w:tcW w:type="dxa" w:w="1900"/>
            <w:tcBorders>
              <w:top w:val="single" w:color="999999" w:sz="1"/>
              <w:left w:val="single" w:color="999999" w:sz="1"/>
              <w:bottom w:val="single" w:color="999999" w:sz="1"/>
              <w:right w:val="single" w:color="999999" w:sz="1"/>
            </w:tcBorders>
            <w:shd w:fill="EDF2F7" w:val="clear"/>
            <w:tcMar>
              <w:top w:type="dxa" w:w="60"/>
              <w:left w:type="dxa" w:w="100"/>
              <w:bottom w:type="dxa" w:w="60"/>
              <w:right w:type="dxa" w:w="100"/>
            </w:tcMar>
            <w:vAlign w:val="center"/>
          </w:tcPr>
          <w:p>
            <w:pPr>
              <w:spacing w:after="0"/>
            </w:pPr>
            <w:r>
              <w:rPr>
                <w:rFonts w:ascii="Arial" w:cs="Arial" w:eastAsia="Arial" w:hAnsi="Arial"/>
                <w:color w:val="1A1A1A"/>
                <w:sz w:val="19"/>
                <w:szCs w:val="19"/>
              </w:rPr>
              <w:t xml:space="preserve">CET1 Impact (bps)</w:t>
            </w:r>
          </w:p>
        </w:tc>
        <w:tc>
          <w:tcPr>
            <w:tcW w:type="dxa" w:w="1066"/>
            <w:tcBorders>
              <w:top w:val="single" w:color="999999" w:sz="1"/>
              <w:left w:val="single" w:color="999999" w:sz="1"/>
              <w:bottom w:val="single" w:color="999999" w:sz="1"/>
              <w:right w:val="single" w:color="999999" w:sz="1"/>
            </w:tcBorders>
            <w:shd w:fill="EDF2F7" w:val="clear"/>
            <w:tcMar>
              <w:top w:type="dxa" w:w="60"/>
              <w:left w:type="dxa" w:w="100"/>
              <w:bottom w:type="dxa" w:w="60"/>
              <w:right w:type="dxa" w:w="100"/>
            </w:tcMar>
            <w:vAlign w:val="center"/>
          </w:tcPr>
          <w:p>
            <w:pPr>
              <w:spacing w:after="0"/>
            </w:pPr>
            <w:r>
              <w:rPr>
                <w:rFonts w:ascii="Arial" w:cs="Arial" w:eastAsia="Arial" w:hAnsi="Arial"/>
                <w:color w:val="1A1A1A"/>
                <w:sz w:val="19"/>
                <w:szCs w:val="19"/>
              </w:rPr>
              <w:t xml:space="preserve">0</w:t>
            </w:r>
          </w:p>
        </w:tc>
        <w:tc>
          <w:tcPr>
            <w:tcW w:type="dxa" w:w="1066"/>
            <w:tcBorders>
              <w:top w:val="single" w:color="999999" w:sz="1"/>
              <w:left w:val="single" w:color="999999" w:sz="1"/>
              <w:bottom w:val="single" w:color="999999" w:sz="1"/>
              <w:right w:val="single" w:color="999999" w:sz="1"/>
            </w:tcBorders>
            <w:shd w:fill="EDF2F7" w:val="clear"/>
            <w:tcMar>
              <w:top w:type="dxa" w:w="60"/>
              <w:left w:type="dxa" w:w="100"/>
              <w:bottom w:type="dxa" w:w="60"/>
              <w:right w:type="dxa" w:w="100"/>
            </w:tcMar>
            <w:vAlign w:val="center"/>
          </w:tcPr>
          <w:p>
            <w:pPr>
              <w:spacing w:after="0"/>
            </w:pPr>
            <w:r>
              <w:rPr>
                <w:rFonts w:ascii="Arial" w:cs="Arial" w:eastAsia="Arial" w:hAnsi="Arial"/>
                <w:color w:val="1A1A1A"/>
                <w:sz w:val="19"/>
                <w:szCs w:val="19"/>
              </w:rPr>
              <w:t xml:space="preserve">-130</w:t>
            </w:r>
          </w:p>
        </w:tc>
        <w:tc>
          <w:tcPr>
            <w:tcW w:type="dxa" w:w="1066"/>
            <w:tcBorders>
              <w:top w:val="single" w:color="999999" w:sz="1"/>
              <w:left w:val="single" w:color="999999" w:sz="1"/>
              <w:bottom w:val="single" w:color="999999" w:sz="1"/>
              <w:right w:val="single" w:color="999999" w:sz="1"/>
            </w:tcBorders>
            <w:shd w:fill="EDF2F7" w:val="clear"/>
            <w:tcMar>
              <w:top w:type="dxa" w:w="60"/>
              <w:left w:type="dxa" w:w="100"/>
              <w:bottom w:type="dxa" w:w="60"/>
              <w:right w:type="dxa" w:w="100"/>
            </w:tcMar>
            <w:vAlign w:val="center"/>
          </w:tcPr>
          <w:p>
            <w:pPr>
              <w:spacing w:after="0"/>
            </w:pPr>
            <w:r>
              <w:rPr>
                <w:rFonts w:ascii="Arial" w:cs="Arial" w:eastAsia="Arial" w:hAnsi="Arial"/>
                <w:color w:val="1A1A1A"/>
                <w:sz w:val="19"/>
                <w:szCs w:val="19"/>
              </w:rPr>
              <w:t xml:space="preserve">-90</w:t>
            </w:r>
          </w:p>
        </w:tc>
        <w:tc>
          <w:tcPr>
            <w:tcW w:type="dxa" w:w="1066"/>
            <w:tcBorders>
              <w:top w:val="single" w:color="999999" w:sz="1"/>
              <w:left w:val="single" w:color="999999" w:sz="1"/>
              <w:bottom w:val="single" w:color="999999" w:sz="1"/>
              <w:right w:val="single" w:color="999999" w:sz="1"/>
            </w:tcBorders>
            <w:shd w:fill="EDF2F7" w:val="clear"/>
            <w:tcMar>
              <w:top w:type="dxa" w:w="60"/>
              <w:left w:type="dxa" w:w="100"/>
              <w:bottom w:type="dxa" w:w="60"/>
              <w:right w:type="dxa" w:w="100"/>
            </w:tcMar>
            <w:vAlign w:val="center"/>
          </w:tcPr>
          <w:p>
            <w:pPr>
              <w:spacing w:after="0"/>
            </w:pPr>
            <w:r>
              <w:rPr>
                <w:rFonts w:ascii="Arial" w:cs="Arial" w:eastAsia="Arial" w:hAnsi="Arial"/>
                <w:color w:val="1A1A1A"/>
                <w:sz w:val="19"/>
                <w:szCs w:val="19"/>
              </w:rPr>
              <w:t xml:space="preserve">-170</w:t>
            </w:r>
          </w:p>
        </w:tc>
        <w:tc>
          <w:tcPr>
            <w:tcW w:type="dxa" w:w="1066"/>
            <w:tcBorders>
              <w:top w:val="single" w:color="999999" w:sz="1"/>
              <w:left w:val="single" w:color="999999" w:sz="1"/>
              <w:bottom w:val="single" w:color="999999" w:sz="1"/>
              <w:right w:val="single" w:color="999999" w:sz="1"/>
            </w:tcBorders>
            <w:shd w:fill="EDF2F7" w:val="clear"/>
            <w:tcMar>
              <w:top w:type="dxa" w:w="60"/>
              <w:left w:type="dxa" w:w="100"/>
              <w:bottom w:type="dxa" w:w="60"/>
              <w:right w:type="dxa" w:w="100"/>
            </w:tcMar>
            <w:vAlign w:val="center"/>
          </w:tcPr>
          <w:p>
            <w:pPr>
              <w:spacing w:after="0"/>
            </w:pPr>
            <w:r>
              <w:rPr>
                <w:rFonts w:ascii="Arial" w:cs="Arial" w:eastAsia="Arial" w:hAnsi="Arial"/>
                <w:color w:val="1A1A1A"/>
                <w:sz w:val="19"/>
                <w:szCs w:val="19"/>
              </w:rPr>
              <w:t xml:space="preserve">-120</w:t>
            </w:r>
          </w:p>
        </w:tc>
        <w:tc>
          <w:tcPr>
            <w:tcW w:type="dxa" w:w="1066"/>
            <w:tcBorders>
              <w:top w:val="single" w:color="999999" w:sz="1"/>
              <w:left w:val="single" w:color="999999" w:sz="1"/>
              <w:bottom w:val="single" w:color="999999" w:sz="1"/>
              <w:right w:val="single" w:color="999999" w:sz="1"/>
            </w:tcBorders>
            <w:shd w:fill="EDF2F7" w:val="clear"/>
            <w:tcMar>
              <w:top w:type="dxa" w:w="60"/>
              <w:left w:type="dxa" w:w="100"/>
              <w:bottom w:type="dxa" w:w="60"/>
              <w:right w:type="dxa" w:w="100"/>
            </w:tcMar>
            <w:vAlign w:val="center"/>
          </w:tcPr>
          <w:p>
            <w:pPr>
              <w:spacing w:after="0"/>
            </w:pPr>
            <w:r>
              <w:rPr>
                <w:rFonts w:ascii="Arial" w:cs="Arial" w:eastAsia="Arial" w:hAnsi="Arial"/>
                <w:color w:val="1A1A1A"/>
                <w:sz w:val="19"/>
                <w:szCs w:val="19"/>
              </w:rPr>
              <w:t xml:space="preserve">-230</w:t>
            </w:r>
          </w:p>
        </w:tc>
        <w:tc>
          <w:tcPr>
            <w:tcW w:type="dxa" w:w="2340"/>
            <w:tcBorders>
              <w:top w:val="single" w:color="999999" w:sz="1"/>
              <w:left w:val="single" w:color="999999" w:sz="1"/>
              <w:bottom w:val="single" w:color="999999" w:sz="1"/>
              <w:right w:val="single" w:color="999999" w:sz="1"/>
            </w:tcBorders>
            <w:shd w:fill="EDF2F7" w:val="clear"/>
            <w:tcMar>
              <w:top w:type="dxa" w:w="60"/>
              <w:left w:type="dxa" w:w="100"/>
              <w:bottom w:type="dxa" w:w="60"/>
              <w:right w:type="dxa" w:w="100"/>
            </w:tcMar>
            <w:vAlign w:val="center"/>
          </w:tcPr>
          <w:p>
            <w:pPr>
              <w:spacing w:after="0"/>
            </w:pPr>
            <w:r>
              <w:rPr>
                <w:rFonts w:ascii="Arial" w:cs="Arial" w:eastAsia="Arial" w:hAnsi="Arial"/>
                <w:color w:val="1A1A1A"/>
                <w:sz w:val="19"/>
                <w:szCs w:val="19"/>
              </w:rPr>
              <w:t xml:space="preserve">-150</w:t>
            </w:r>
          </w:p>
        </w:tc>
      </w:tr>
      <w:tr>
        <w:tc>
          <w:tcPr>
            <w:tcW w:type="dxa" w:w="19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Arial" w:cs="Arial" w:eastAsia="Arial" w:hAnsi="Arial"/>
                <w:color w:val="1A1A1A"/>
                <w:sz w:val="19"/>
                <w:szCs w:val="19"/>
              </w:rPr>
              <w:t xml:space="preserve">Efficiency Ratio</w:t>
            </w:r>
          </w:p>
        </w:tc>
        <w:tc>
          <w:tcPr>
            <w:tcW w:type="dxa" w:w="1066"/>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Arial" w:cs="Arial" w:eastAsia="Arial" w:hAnsi="Arial"/>
                <w:color w:val="1A1A1A"/>
                <w:sz w:val="19"/>
                <w:szCs w:val="19"/>
              </w:rPr>
              <w:t xml:space="preserve">59%</w:t>
            </w:r>
          </w:p>
        </w:tc>
        <w:tc>
          <w:tcPr>
            <w:tcW w:type="dxa" w:w="1066"/>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Arial" w:cs="Arial" w:eastAsia="Arial" w:hAnsi="Arial"/>
                <w:color w:val="1A1A1A"/>
                <w:sz w:val="19"/>
                <w:szCs w:val="19"/>
              </w:rPr>
              <w:t xml:space="preserve">68%</w:t>
            </w:r>
          </w:p>
        </w:tc>
        <w:tc>
          <w:tcPr>
            <w:tcW w:type="dxa" w:w="1066"/>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Arial" w:cs="Arial" w:eastAsia="Arial" w:hAnsi="Arial"/>
                <w:color w:val="1A1A1A"/>
                <w:sz w:val="19"/>
                <w:szCs w:val="19"/>
              </w:rPr>
              <w:t xml:space="preserve">66%</w:t>
            </w:r>
          </w:p>
        </w:tc>
        <w:tc>
          <w:tcPr>
            <w:tcW w:type="dxa" w:w="1066"/>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Arial" w:cs="Arial" w:eastAsia="Arial" w:hAnsi="Arial"/>
                <w:color w:val="1A1A1A"/>
                <w:sz w:val="19"/>
                <w:szCs w:val="19"/>
              </w:rPr>
              <w:t xml:space="preserve">65%</w:t>
            </w:r>
          </w:p>
        </w:tc>
        <w:tc>
          <w:tcPr>
            <w:tcW w:type="dxa" w:w="1066"/>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Arial" w:cs="Arial" w:eastAsia="Arial" w:hAnsi="Arial"/>
                <w:color w:val="1A1A1A"/>
                <w:sz w:val="19"/>
                <w:szCs w:val="19"/>
              </w:rPr>
              <w:t xml:space="preserve">65%</w:t>
            </w:r>
          </w:p>
        </w:tc>
        <w:tc>
          <w:tcPr>
            <w:tcW w:type="dxa" w:w="1066"/>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Arial" w:cs="Arial" w:eastAsia="Arial" w:hAnsi="Arial"/>
                <w:color w:val="1A1A1A"/>
                <w:sz w:val="19"/>
                <w:szCs w:val="19"/>
              </w:rPr>
              <w:t xml:space="preserve">66%</w:t>
            </w:r>
          </w:p>
        </w:tc>
        <w:tc>
          <w:tcPr>
            <w:tcW w:type="dxa" w:w="234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Arial" w:cs="Arial" w:eastAsia="Arial" w:hAnsi="Arial"/>
                <w:color w:val="1A1A1A"/>
                <w:sz w:val="19"/>
                <w:szCs w:val="19"/>
              </w:rPr>
              <w:t xml:space="preserve">68%</w:t>
            </w:r>
          </w:p>
        </w:tc>
      </w:tr>
      <w:tr>
        <w:tc>
          <w:tcPr>
            <w:tcW w:type="dxa" w:w="1900"/>
            <w:tcBorders>
              <w:top w:val="single" w:color="999999" w:sz="1"/>
              <w:left w:val="single" w:color="999999" w:sz="1"/>
              <w:bottom w:val="single" w:color="999999" w:sz="1"/>
              <w:right w:val="single" w:color="999999" w:sz="1"/>
            </w:tcBorders>
            <w:shd w:fill="EDF2F7" w:val="clear"/>
            <w:tcMar>
              <w:top w:type="dxa" w:w="60"/>
              <w:left w:type="dxa" w:w="100"/>
              <w:bottom w:type="dxa" w:w="60"/>
              <w:right w:type="dxa" w:w="100"/>
            </w:tcMar>
            <w:vAlign w:val="center"/>
          </w:tcPr>
          <w:p>
            <w:pPr>
              <w:spacing w:after="0"/>
            </w:pPr>
            <w:r>
              <w:rPr>
                <w:rFonts w:ascii="Arial" w:cs="Arial" w:eastAsia="Arial" w:hAnsi="Arial"/>
                <w:color w:val="1A1A1A"/>
                <w:sz w:val="19"/>
                <w:szCs w:val="19"/>
              </w:rPr>
              <w:t xml:space="preserve">Headcount (thousands)</w:t>
            </w:r>
          </w:p>
        </w:tc>
        <w:tc>
          <w:tcPr>
            <w:tcW w:type="dxa" w:w="1066"/>
            <w:tcBorders>
              <w:top w:val="single" w:color="999999" w:sz="1"/>
              <w:left w:val="single" w:color="999999" w:sz="1"/>
              <w:bottom w:val="single" w:color="999999" w:sz="1"/>
              <w:right w:val="single" w:color="999999" w:sz="1"/>
            </w:tcBorders>
            <w:shd w:fill="EDF2F7" w:val="clear"/>
            <w:tcMar>
              <w:top w:type="dxa" w:w="60"/>
              <w:left w:type="dxa" w:w="100"/>
              <w:bottom w:type="dxa" w:w="60"/>
              <w:right w:type="dxa" w:w="100"/>
            </w:tcMar>
            <w:vAlign w:val="center"/>
          </w:tcPr>
          <w:p>
            <w:pPr>
              <w:spacing w:after="0"/>
            </w:pPr>
            <w:r>
              <w:rPr>
                <w:rFonts w:ascii="Arial" w:cs="Arial" w:eastAsia="Arial" w:hAnsi="Arial"/>
                <w:color w:val="1A1A1A"/>
                <w:sz w:val="19"/>
                <w:szCs w:val="19"/>
              </w:rPr>
              <w:t xml:space="preserve">225</w:t>
            </w:r>
          </w:p>
        </w:tc>
        <w:tc>
          <w:tcPr>
            <w:tcW w:type="dxa" w:w="1066"/>
            <w:tcBorders>
              <w:top w:val="single" w:color="999999" w:sz="1"/>
              <w:left w:val="single" w:color="999999" w:sz="1"/>
              <w:bottom w:val="single" w:color="999999" w:sz="1"/>
              <w:right w:val="single" w:color="999999" w:sz="1"/>
            </w:tcBorders>
            <w:shd w:fill="EDF2F7" w:val="clear"/>
            <w:tcMar>
              <w:top w:type="dxa" w:w="60"/>
              <w:left w:type="dxa" w:w="100"/>
              <w:bottom w:type="dxa" w:w="60"/>
              <w:right w:type="dxa" w:w="100"/>
            </w:tcMar>
            <w:vAlign w:val="center"/>
          </w:tcPr>
          <w:p>
            <w:pPr>
              <w:spacing w:after="0"/>
            </w:pPr>
            <w:r>
              <w:rPr>
                <w:rFonts w:ascii="Arial" w:cs="Arial" w:eastAsia="Arial" w:hAnsi="Arial"/>
                <w:color w:val="1A1A1A"/>
                <w:sz w:val="19"/>
                <w:szCs w:val="19"/>
              </w:rPr>
              <w:t xml:space="preserve">220</w:t>
            </w:r>
          </w:p>
        </w:tc>
        <w:tc>
          <w:tcPr>
            <w:tcW w:type="dxa" w:w="1066"/>
            <w:tcBorders>
              <w:top w:val="single" w:color="999999" w:sz="1"/>
              <w:left w:val="single" w:color="999999" w:sz="1"/>
              <w:bottom w:val="single" w:color="999999" w:sz="1"/>
              <w:right w:val="single" w:color="999999" w:sz="1"/>
            </w:tcBorders>
            <w:shd w:fill="EDF2F7" w:val="clear"/>
            <w:tcMar>
              <w:top w:type="dxa" w:w="60"/>
              <w:left w:type="dxa" w:w="100"/>
              <w:bottom w:type="dxa" w:w="60"/>
              <w:right w:type="dxa" w:w="100"/>
            </w:tcMar>
            <w:vAlign w:val="center"/>
          </w:tcPr>
          <w:p>
            <w:pPr>
              <w:spacing w:after="0"/>
            </w:pPr>
            <w:r>
              <w:rPr>
                <w:rFonts w:ascii="Arial" w:cs="Arial" w:eastAsia="Arial" w:hAnsi="Arial"/>
                <w:color w:val="1A1A1A"/>
                <w:sz w:val="19"/>
                <w:szCs w:val="19"/>
              </w:rPr>
              <w:t xml:space="preserve">210</w:t>
            </w:r>
          </w:p>
        </w:tc>
        <w:tc>
          <w:tcPr>
            <w:tcW w:type="dxa" w:w="1066"/>
            <w:tcBorders>
              <w:top w:val="single" w:color="999999" w:sz="1"/>
              <w:left w:val="single" w:color="999999" w:sz="1"/>
              <w:bottom w:val="single" w:color="999999" w:sz="1"/>
              <w:right w:val="single" w:color="999999" w:sz="1"/>
            </w:tcBorders>
            <w:shd w:fill="EDF2F7" w:val="clear"/>
            <w:tcMar>
              <w:top w:type="dxa" w:w="60"/>
              <w:left w:type="dxa" w:w="100"/>
              <w:bottom w:type="dxa" w:w="60"/>
              <w:right w:type="dxa" w:w="100"/>
            </w:tcMar>
            <w:vAlign w:val="center"/>
          </w:tcPr>
          <w:p>
            <w:pPr>
              <w:spacing w:after="0"/>
            </w:pPr>
            <w:r>
              <w:rPr>
                <w:rFonts w:ascii="Arial" w:cs="Arial" w:eastAsia="Arial" w:hAnsi="Arial"/>
                <w:color w:val="1A1A1A"/>
                <w:sz w:val="19"/>
                <w:szCs w:val="19"/>
              </w:rPr>
              <w:t xml:space="preserve">218</w:t>
            </w:r>
          </w:p>
        </w:tc>
        <w:tc>
          <w:tcPr>
            <w:tcW w:type="dxa" w:w="1066"/>
            <w:tcBorders>
              <w:top w:val="single" w:color="999999" w:sz="1"/>
              <w:left w:val="single" w:color="999999" w:sz="1"/>
              <w:bottom w:val="single" w:color="999999" w:sz="1"/>
              <w:right w:val="single" w:color="999999" w:sz="1"/>
            </w:tcBorders>
            <w:shd w:fill="EDF2F7" w:val="clear"/>
            <w:tcMar>
              <w:top w:type="dxa" w:w="60"/>
              <w:left w:type="dxa" w:w="100"/>
              <w:bottom w:type="dxa" w:w="60"/>
              <w:right w:type="dxa" w:w="100"/>
            </w:tcMar>
            <w:vAlign w:val="center"/>
          </w:tcPr>
          <w:p>
            <w:pPr>
              <w:spacing w:after="0"/>
            </w:pPr>
            <w:r>
              <w:rPr>
                <w:rFonts w:ascii="Arial" w:cs="Arial" w:eastAsia="Arial" w:hAnsi="Arial"/>
                <w:color w:val="1A1A1A"/>
                <w:sz w:val="19"/>
                <w:szCs w:val="19"/>
              </w:rPr>
              <w:t xml:space="preserve">215</w:t>
            </w:r>
          </w:p>
        </w:tc>
        <w:tc>
          <w:tcPr>
            <w:tcW w:type="dxa" w:w="1066"/>
            <w:tcBorders>
              <w:top w:val="single" w:color="999999" w:sz="1"/>
              <w:left w:val="single" w:color="999999" w:sz="1"/>
              <w:bottom w:val="single" w:color="999999" w:sz="1"/>
              <w:right w:val="single" w:color="999999" w:sz="1"/>
            </w:tcBorders>
            <w:shd w:fill="EDF2F7" w:val="clear"/>
            <w:tcMar>
              <w:top w:type="dxa" w:w="60"/>
              <w:left w:type="dxa" w:w="100"/>
              <w:bottom w:type="dxa" w:w="60"/>
              <w:right w:type="dxa" w:w="100"/>
            </w:tcMar>
            <w:vAlign w:val="center"/>
          </w:tcPr>
          <w:p>
            <w:pPr>
              <w:spacing w:after="0"/>
            </w:pPr>
            <w:r>
              <w:rPr>
                <w:rFonts w:ascii="Arial" w:cs="Arial" w:eastAsia="Arial" w:hAnsi="Arial"/>
                <w:color w:val="1A1A1A"/>
                <w:sz w:val="19"/>
                <w:szCs w:val="19"/>
              </w:rPr>
              <w:t xml:space="preserve">200</w:t>
            </w:r>
          </w:p>
        </w:tc>
        <w:tc>
          <w:tcPr>
            <w:tcW w:type="dxa" w:w="2340"/>
            <w:tcBorders>
              <w:top w:val="single" w:color="999999" w:sz="1"/>
              <w:left w:val="single" w:color="999999" w:sz="1"/>
              <w:bottom w:val="single" w:color="999999" w:sz="1"/>
              <w:right w:val="single" w:color="999999" w:sz="1"/>
            </w:tcBorders>
            <w:shd w:fill="EDF2F7" w:val="clear"/>
            <w:tcMar>
              <w:top w:type="dxa" w:w="60"/>
              <w:left w:type="dxa" w:w="100"/>
              <w:bottom w:type="dxa" w:w="60"/>
              <w:right w:type="dxa" w:w="100"/>
            </w:tcMar>
            <w:vAlign w:val="center"/>
          </w:tcPr>
          <w:p>
            <w:pPr>
              <w:spacing w:after="0"/>
            </w:pPr>
            <w:r>
              <w:rPr>
                <w:rFonts w:ascii="Arial" w:cs="Arial" w:eastAsia="Arial" w:hAnsi="Arial"/>
                <w:color w:val="1A1A1A"/>
                <w:sz w:val="19"/>
                <w:szCs w:val="19"/>
              </w:rPr>
              <w:t xml:space="preserve">230</w:t>
            </w:r>
          </w:p>
        </w:tc>
      </w:tr>
      <w:tr>
        <w:tc>
          <w:tcPr>
            <w:tcW w:type="dxa" w:w="19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Arial" w:cs="Arial" w:eastAsia="Arial" w:hAnsi="Arial"/>
                <w:color w:val="1A1A1A"/>
                <w:sz w:val="19"/>
                <w:szCs w:val="19"/>
              </w:rPr>
              <w:t xml:space="preserve">Market Cap Impact (%)</w:t>
            </w:r>
          </w:p>
        </w:tc>
        <w:tc>
          <w:tcPr>
            <w:tcW w:type="dxa" w:w="1066"/>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Arial" w:cs="Arial" w:eastAsia="Arial" w:hAnsi="Arial"/>
                <w:color w:val="1A1A1A"/>
                <w:sz w:val="19"/>
                <w:szCs w:val="19"/>
              </w:rPr>
              <w:t xml:space="preserve">0%</w:t>
            </w:r>
          </w:p>
        </w:tc>
        <w:tc>
          <w:tcPr>
            <w:tcW w:type="dxa" w:w="1066"/>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Arial" w:cs="Arial" w:eastAsia="Arial" w:hAnsi="Arial"/>
                <w:color w:val="1A1A1A"/>
                <w:sz w:val="19"/>
                <w:szCs w:val="19"/>
              </w:rPr>
              <w:t xml:space="preserve">-25%</w:t>
            </w:r>
          </w:p>
        </w:tc>
        <w:tc>
          <w:tcPr>
            <w:tcW w:type="dxa" w:w="1066"/>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Arial" w:cs="Arial" w:eastAsia="Arial" w:hAnsi="Arial"/>
                <w:color w:val="1A1A1A"/>
                <w:sz w:val="19"/>
                <w:szCs w:val="19"/>
              </w:rPr>
              <w:t xml:space="preserve">-22%</w:t>
            </w:r>
          </w:p>
        </w:tc>
        <w:tc>
          <w:tcPr>
            <w:tcW w:type="dxa" w:w="1066"/>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Arial" w:cs="Arial" w:eastAsia="Arial" w:hAnsi="Arial"/>
                <w:color w:val="1A1A1A"/>
                <w:sz w:val="19"/>
                <w:szCs w:val="19"/>
              </w:rPr>
              <w:t xml:space="preserve">-40%</w:t>
            </w:r>
          </w:p>
        </w:tc>
        <w:tc>
          <w:tcPr>
            <w:tcW w:type="dxa" w:w="1066"/>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Arial" w:cs="Arial" w:eastAsia="Arial" w:hAnsi="Arial"/>
                <w:color w:val="1A1A1A"/>
                <w:sz w:val="19"/>
                <w:szCs w:val="19"/>
              </w:rPr>
              <w:t xml:space="preserve">-20%</w:t>
            </w:r>
          </w:p>
        </w:tc>
        <w:tc>
          <w:tcPr>
            <w:tcW w:type="dxa" w:w="1066"/>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Arial" w:cs="Arial" w:eastAsia="Arial" w:hAnsi="Arial"/>
                <w:color w:val="1A1A1A"/>
                <w:sz w:val="19"/>
                <w:szCs w:val="19"/>
              </w:rPr>
              <w:t xml:space="preserve">-42%</w:t>
            </w:r>
          </w:p>
        </w:tc>
        <w:tc>
          <w:tcPr>
            <w:tcW w:type="dxa" w:w="234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Arial" w:cs="Arial" w:eastAsia="Arial" w:hAnsi="Arial"/>
                <w:color w:val="1A1A1A"/>
                <w:sz w:val="19"/>
                <w:szCs w:val="19"/>
              </w:rPr>
              <w:t xml:space="preserve">-30%</w:t>
            </w:r>
          </w:p>
        </w:tc>
      </w:tr>
    </w:tbl>
    <w:p>
      <w:pPr>
        <w:spacing w:after="200"/>
      </w:pPr>
    </w:p>
    <w:p>
      <w:pPr>
        <w:pStyle w:val="Heading2"/>
      </w:pPr>
      <w:r>
        <w:t xml:space="preserve">6.2 Credit Loss Detail Under Scenario C1 (Peak Year 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740"/>
        <w:gridCol w:w="1740"/>
        <w:gridCol w:w="1740"/>
        <w:gridCol w:w="1740"/>
      </w:tblGrid>
      <w:tr>
        <w:tc>
          <w:tcPr>
            <w:tcW w:type="dxa" w:w="2400"/>
            <w:tcBorders>
              <w:top w:val="single" w:color="999999" w:sz="1"/>
              <w:left w:val="single" w:color="999999" w:sz="1"/>
              <w:bottom w:val="single" w:color="999999" w:sz="1"/>
              <w:right w:val="single" w:color="999999"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20"/>
                <w:szCs w:val="20"/>
              </w:rPr>
              <w:t xml:space="preserve">Portfolio</w:t>
            </w:r>
          </w:p>
        </w:tc>
        <w:tc>
          <w:tcPr>
            <w:tcW w:type="dxa" w:w="1740"/>
            <w:tcBorders>
              <w:top w:val="single" w:color="999999" w:sz="1"/>
              <w:left w:val="single" w:color="999999" w:sz="1"/>
              <w:bottom w:val="single" w:color="999999" w:sz="1"/>
              <w:right w:val="single" w:color="999999"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20"/>
                <w:szCs w:val="20"/>
              </w:rPr>
              <w:t xml:space="preserve">Outstanding ($B)</w:t>
            </w:r>
          </w:p>
        </w:tc>
        <w:tc>
          <w:tcPr>
            <w:tcW w:type="dxa" w:w="1740"/>
            <w:tcBorders>
              <w:top w:val="single" w:color="999999" w:sz="1"/>
              <w:left w:val="single" w:color="999999" w:sz="1"/>
              <w:bottom w:val="single" w:color="999999" w:sz="1"/>
              <w:right w:val="single" w:color="999999"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20"/>
                <w:szCs w:val="20"/>
              </w:rPr>
              <w:t xml:space="preserve">Baseline Loss Rate</w:t>
            </w:r>
          </w:p>
        </w:tc>
        <w:tc>
          <w:tcPr>
            <w:tcW w:type="dxa" w:w="1740"/>
            <w:tcBorders>
              <w:top w:val="single" w:color="999999" w:sz="1"/>
              <w:left w:val="single" w:color="999999" w:sz="1"/>
              <w:bottom w:val="single" w:color="999999" w:sz="1"/>
              <w:right w:val="single" w:color="999999"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20"/>
                <w:szCs w:val="20"/>
              </w:rPr>
              <w:t xml:space="preserve">Stress Loss Rate</w:t>
            </w:r>
          </w:p>
        </w:tc>
        <w:tc>
          <w:tcPr>
            <w:tcW w:type="dxa" w:w="1740"/>
            <w:tcBorders>
              <w:top w:val="single" w:color="999999" w:sz="1"/>
              <w:left w:val="single" w:color="999999" w:sz="1"/>
              <w:bottom w:val="single" w:color="999999" w:sz="1"/>
              <w:right w:val="single" w:color="999999"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20"/>
                <w:szCs w:val="20"/>
              </w:rPr>
              <w:t xml:space="preserve">Stress Losses ($B)</w:t>
            </w:r>
          </w:p>
        </w:tc>
      </w:tr>
      <w:tr>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Arial" w:cs="Arial" w:eastAsia="Arial" w:hAnsi="Arial"/>
                <w:color w:val="1A1A1A"/>
                <w:sz w:val="19"/>
                <w:szCs w:val="19"/>
              </w:rPr>
              <w:t xml:space="preserve">Residential Mortgage (1st lien)</w:t>
            </w:r>
          </w:p>
        </w:tc>
        <w:tc>
          <w:tcPr>
            <w:tcW w:type="dxa" w:w="174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Arial" w:cs="Arial" w:eastAsia="Arial" w:hAnsi="Arial"/>
                <w:color w:val="1A1A1A"/>
                <w:sz w:val="19"/>
                <w:szCs w:val="19"/>
              </w:rPr>
              <w:t xml:space="preserve">320</w:t>
            </w:r>
          </w:p>
        </w:tc>
        <w:tc>
          <w:tcPr>
            <w:tcW w:type="dxa" w:w="174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Arial" w:cs="Arial" w:eastAsia="Arial" w:hAnsi="Arial"/>
                <w:color w:val="1A1A1A"/>
                <w:sz w:val="19"/>
                <w:szCs w:val="19"/>
              </w:rPr>
              <w:t xml:space="preserve">0.25%</w:t>
            </w:r>
          </w:p>
        </w:tc>
        <w:tc>
          <w:tcPr>
            <w:tcW w:type="dxa" w:w="174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Arial" w:cs="Arial" w:eastAsia="Arial" w:hAnsi="Arial"/>
                <w:color w:val="1A1A1A"/>
                <w:sz w:val="19"/>
                <w:szCs w:val="19"/>
              </w:rPr>
              <w:t xml:space="preserve">1.20%</w:t>
            </w:r>
          </w:p>
        </w:tc>
        <w:tc>
          <w:tcPr>
            <w:tcW w:type="dxa" w:w="174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Arial" w:cs="Arial" w:eastAsia="Arial" w:hAnsi="Arial"/>
                <w:color w:val="1A1A1A"/>
                <w:sz w:val="19"/>
                <w:szCs w:val="19"/>
              </w:rPr>
              <w:t xml:space="preserve">3.84</w:t>
            </w:r>
          </w:p>
        </w:tc>
      </w:tr>
      <w:tr>
        <w:tc>
          <w:tcPr>
            <w:tcW w:type="dxa" w:w="2400"/>
            <w:tcBorders>
              <w:top w:val="single" w:color="999999" w:sz="1"/>
              <w:left w:val="single" w:color="999999" w:sz="1"/>
              <w:bottom w:val="single" w:color="999999" w:sz="1"/>
              <w:right w:val="single" w:color="999999" w:sz="1"/>
            </w:tcBorders>
            <w:shd w:fill="EDF2F7" w:val="clear"/>
            <w:tcMar>
              <w:top w:type="dxa" w:w="60"/>
              <w:left w:type="dxa" w:w="100"/>
              <w:bottom w:type="dxa" w:w="60"/>
              <w:right w:type="dxa" w:w="100"/>
            </w:tcMar>
            <w:vAlign w:val="center"/>
          </w:tcPr>
          <w:p>
            <w:pPr>
              <w:spacing w:after="0"/>
            </w:pPr>
            <w:r>
              <w:rPr>
                <w:rFonts w:ascii="Arial" w:cs="Arial" w:eastAsia="Arial" w:hAnsi="Arial"/>
                <w:color w:val="1A1A1A"/>
                <w:sz w:val="19"/>
                <w:szCs w:val="19"/>
              </w:rPr>
              <w:t xml:space="preserve">Home Equity</w:t>
            </w:r>
          </w:p>
        </w:tc>
        <w:tc>
          <w:tcPr>
            <w:tcW w:type="dxa" w:w="1740"/>
            <w:tcBorders>
              <w:top w:val="single" w:color="999999" w:sz="1"/>
              <w:left w:val="single" w:color="999999" w:sz="1"/>
              <w:bottom w:val="single" w:color="999999" w:sz="1"/>
              <w:right w:val="single" w:color="999999" w:sz="1"/>
            </w:tcBorders>
            <w:shd w:fill="EDF2F7" w:val="clear"/>
            <w:tcMar>
              <w:top w:type="dxa" w:w="60"/>
              <w:left w:type="dxa" w:w="100"/>
              <w:bottom w:type="dxa" w:w="60"/>
              <w:right w:type="dxa" w:w="100"/>
            </w:tcMar>
            <w:vAlign w:val="center"/>
          </w:tcPr>
          <w:p>
            <w:pPr>
              <w:spacing w:after="0"/>
            </w:pPr>
            <w:r>
              <w:rPr>
                <w:rFonts w:ascii="Arial" w:cs="Arial" w:eastAsia="Arial" w:hAnsi="Arial"/>
                <w:color w:val="1A1A1A"/>
                <w:sz w:val="19"/>
                <w:szCs w:val="19"/>
              </w:rPr>
              <w:t xml:space="preserve">45</w:t>
            </w:r>
          </w:p>
        </w:tc>
        <w:tc>
          <w:tcPr>
            <w:tcW w:type="dxa" w:w="1740"/>
            <w:tcBorders>
              <w:top w:val="single" w:color="999999" w:sz="1"/>
              <w:left w:val="single" w:color="999999" w:sz="1"/>
              <w:bottom w:val="single" w:color="999999" w:sz="1"/>
              <w:right w:val="single" w:color="999999" w:sz="1"/>
            </w:tcBorders>
            <w:shd w:fill="EDF2F7" w:val="clear"/>
            <w:tcMar>
              <w:top w:type="dxa" w:w="60"/>
              <w:left w:type="dxa" w:w="100"/>
              <w:bottom w:type="dxa" w:w="60"/>
              <w:right w:type="dxa" w:w="100"/>
            </w:tcMar>
            <w:vAlign w:val="center"/>
          </w:tcPr>
          <w:p>
            <w:pPr>
              <w:spacing w:after="0"/>
            </w:pPr>
            <w:r>
              <w:rPr>
                <w:rFonts w:ascii="Arial" w:cs="Arial" w:eastAsia="Arial" w:hAnsi="Arial"/>
                <w:color w:val="1A1A1A"/>
                <w:sz w:val="19"/>
                <w:szCs w:val="19"/>
              </w:rPr>
              <w:t xml:space="preserve">0.35%</w:t>
            </w:r>
          </w:p>
        </w:tc>
        <w:tc>
          <w:tcPr>
            <w:tcW w:type="dxa" w:w="1740"/>
            <w:tcBorders>
              <w:top w:val="single" w:color="999999" w:sz="1"/>
              <w:left w:val="single" w:color="999999" w:sz="1"/>
              <w:bottom w:val="single" w:color="999999" w:sz="1"/>
              <w:right w:val="single" w:color="999999" w:sz="1"/>
            </w:tcBorders>
            <w:shd w:fill="EDF2F7" w:val="clear"/>
            <w:tcMar>
              <w:top w:type="dxa" w:w="60"/>
              <w:left w:type="dxa" w:w="100"/>
              <w:bottom w:type="dxa" w:w="60"/>
              <w:right w:type="dxa" w:w="100"/>
            </w:tcMar>
            <w:vAlign w:val="center"/>
          </w:tcPr>
          <w:p>
            <w:pPr>
              <w:spacing w:after="0"/>
            </w:pPr>
            <w:r>
              <w:rPr>
                <w:rFonts w:ascii="Arial" w:cs="Arial" w:eastAsia="Arial" w:hAnsi="Arial"/>
                <w:color w:val="1A1A1A"/>
                <w:sz w:val="19"/>
                <w:szCs w:val="19"/>
              </w:rPr>
              <w:t xml:space="preserve">1.80%</w:t>
            </w:r>
          </w:p>
        </w:tc>
        <w:tc>
          <w:tcPr>
            <w:tcW w:type="dxa" w:w="1740"/>
            <w:tcBorders>
              <w:top w:val="single" w:color="999999" w:sz="1"/>
              <w:left w:val="single" w:color="999999" w:sz="1"/>
              <w:bottom w:val="single" w:color="999999" w:sz="1"/>
              <w:right w:val="single" w:color="999999" w:sz="1"/>
            </w:tcBorders>
            <w:shd w:fill="EDF2F7" w:val="clear"/>
            <w:tcMar>
              <w:top w:type="dxa" w:w="60"/>
              <w:left w:type="dxa" w:w="100"/>
              <w:bottom w:type="dxa" w:w="60"/>
              <w:right w:type="dxa" w:w="100"/>
            </w:tcMar>
            <w:vAlign w:val="center"/>
          </w:tcPr>
          <w:p>
            <w:pPr>
              <w:spacing w:after="0"/>
            </w:pPr>
            <w:r>
              <w:rPr>
                <w:rFonts w:ascii="Arial" w:cs="Arial" w:eastAsia="Arial" w:hAnsi="Arial"/>
                <w:color w:val="1A1A1A"/>
                <w:sz w:val="19"/>
                <w:szCs w:val="19"/>
              </w:rPr>
              <w:t xml:space="preserve">0.81</w:t>
            </w:r>
          </w:p>
        </w:tc>
      </w:tr>
      <w:tr>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Arial" w:cs="Arial" w:eastAsia="Arial" w:hAnsi="Arial"/>
                <w:color w:val="1A1A1A"/>
                <w:sz w:val="19"/>
                <w:szCs w:val="19"/>
              </w:rPr>
              <w:t xml:space="preserve">Credit Card</w:t>
            </w:r>
          </w:p>
        </w:tc>
        <w:tc>
          <w:tcPr>
            <w:tcW w:type="dxa" w:w="174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Arial" w:cs="Arial" w:eastAsia="Arial" w:hAnsi="Arial"/>
                <w:color w:val="1A1A1A"/>
                <w:sz w:val="19"/>
                <w:szCs w:val="19"/>
              </w:rPr>
              <w:t xml:space="preserve">160</w:t>
            </w:r>
          </w:p>
        </w:tc>
        <w:tc>
          <w:tcPr>
            <w:tcW w:type="dxa" w:w="174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Arial" w:cs="Arial" w:eastAsia="Arial" w:hAnsi="Arial"/>
                <w:color w:val="1A1A1A"/>
                <w:sz w:val="19"/>
                <w:szCs w:val="19"/>
              </w:rPr>
              <w:t xml:space="preserve">3.50%</w:t>
            </w:r>
          </w:p>
        </w:tc>
        <w:tc>
          <w:tcPr>
            <w:tcW w:type="dxa" w:w="174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Arial" w:cs="Arial" w:eastAsia="Arial" w:hAnsi="Arial"/>
                <w:color w:val="1A1A1A"/>
                <w:sz w:val="19"/>
                <w:szCs w:val="19"/>
              </w:rPr>
              <w:t xml:space="preserve">8.50%</w:t>
            </w:r>
          </w:p>
        </w:tc>
        <w:tc>
          <w:tcPr>
            <w:tcW w:type="dxa" w:w="174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Arial" w:cs="Arial" w:eastAsia="Arial" w:hAnsi="Arial"/>
                <w:color w:val="1A1A1A"/>
                <w:sz w:val="19"/>
                <w:szCs w:val="19"/>
              </w:rPr>
              <w:t xml:space="preserve">13.60</w:t>
            </w:r>
          </w:p>
        </w:tc>
      </w:tr>
      <w:tr>
        <w:tc>
          <w:tcPr>
            <w:tcW w:type="dxa" w:w="2400"/>
            <w:tcBorders>
              <w:top w:val="single" w:color="999999" w:sz="1"/>
              <w:left w:val="single" w:color="999999" w:sz="1"/>
              <w:bottom w:val="single" w:color="999999" w:sz="1"/>
              <w:right w:val="single" w:color="999999" w:sz="1"/>
            </w:tcBorders>
            <w:shd w:fill="EDF2F7" w:val="clear"/>
            <w:tcMar>
              <w:top w:type="dxa" w:w="60"/>
              <w:left w:type="dxa" w:w="100"/>
              <w:bottom w:type="dxa" w:w="60"/>
              <w:right w:type="dxa" w:w="100"/>
            </w:tcMar>
            <w:vAlign w:val="center"/>
          </w:tcPr>
          <w:p>
            <w:pPr>
              <w:spacing w:after="0"/>
            </w:pPr>
            <w:r>
              <w:rPr>
                <w:rFonts w:ascii="Arial" w:cs="Arial" w:eastAsia="Arial" w:hAnsi="Arial"/>
                <w:color w:val="1A1A1A"/>
                <w:sz w:val="19"/>
                <w:szCs w:val="19"/>
              </w:rPr>
              <w:t xml:space="preserve">Auto Loans</w:t>
            </w:r>
          </w:p>
        </w:tc>
        <w:tc>
          <w:tcPr>
            <w:tcW w:type="dxa" w:w="1740"/>
            <w:tcBorders>
              <w:top w:val="single" w:color="999999" w:sz="1"/>
              <w:left w:val="single" w:color="999999" w:sz="1"/>
              <w:bottom w:val="single" w:color="999999" w:sz="1"/>
              <w:right w:val="single" w:color="999999" w:sz="1"/>
            </w:tcBorders>
            <w:shd w:fill="EDF2F7" w:val="clear"/>
            <w:tcMar>
              <w:top w:type="dxa" w:w="60"/>
              <w:left w:type="dxa" w:w="100"/>
              <w:bottom w:type="dxa" w:w="60"/>
              <w:right w:type="dxa" w:w="100"/>
            </w:tcMar>
            <w:vAlign w:val="center"/>
          </w:tcPr>
          <w:p>
            <w:pPr>
              <w:spacing w:after="0"/>
            </w:pPr>
            <w:r>
              <w:rPr>
                <w:rFonts w:ascii="Arial" w:cs="Arial" w:eastAsia="Arial" w:hAnsi="Arial"/>
                <w:color w:val="1A1A1A"/>
                <w:sz w:val="19"/>
                <w:szCs w:val="19"/>
              </w:rPr>
              <w:t xml:space="preserve">80</w:t>
            </w:r>
          </w:p>
        </w:tc>
        <w:tc>
          <w:tcPr>
            <w:tcW w:type="dxa" w:w="1740"/>
            <w:tcBorders>
              <w:top w:val="single" w:color="999999" w:sz="1"/>
              <w:left w:val="single" w:color="999999" w:sz="1"/>
              <w:bottom w:val="single" w:color="999999" w:sz="1"/>
              <w:right w:val="single" w:color="999999" w:sz="1"/>
            </w:tcBorders>
            <w:shd w:fill="EDF2F7" w:val="clear"/>
            <w:tcMar>
              <w:top w:type="dxa" w:w="60"/>
              <w:left w:type="dxa" w:w="100"/>
              <w:bottom w:type="dxa" w:w="60"/>
              <w:right w:type="dxa" w:w="100"/>
            </w:tcMar>
            <w:vAlign w:val="center"/>
          </w:tcPr>
          <w:p>
            <w:pPr>
              <w:spacing w:after="0"/>
            </w:pPr>
            <w:r>
              <w:rPr>
                <w:rFonts w:ascii="Arial" w:cs="Arial" w:eastAsia="Arial" w:hAnsi="Arial"/>
                <w:color w:val="1A1A1A"/>
                <w:sz w:val="19"/>
                <w:szCs w:val="19"/>
              </w:rPr>
              <w:t xml:space="preserve">1.20%</w:t>
            </w:r>
          </w:p>
        </w:tc>
        <w:tc>
          <w:tcPr>
            <w:tcW w:type="dxa" w:w="1740"/>
            <w:tcBorders>
              <w:top w:val="single" w:color="999999" w:sz="1"/>
              <w:left w:val="single" w:color="999999" w:sz="1"/>
              <w:bottom w:val="single" w:color="999999" w:sz="1"/>
              <w:right w:val="single" w:color="999999" w:sz="1"/>
            </w:tcBorders>
            <w:shd w:fill="EDF2F7" w:val="clear"/>
            <w:tcMar>
              <w:top w:type="dxa" w:w="60"/>
              <w:left w:type="dxa" w:w="100"/>
              <w:bottom w:type="dxa" w:w="60"/>
              <w:right w:type="dxa" w:w="100"/>
            </w:tcMar>
            <w:vAlign w:val="center"/>
          </w:tcPr>
          <w:p>
            <w:pPr>
              <w:spacing w:after="0"/>
            </w:pPr>
            <w:r>
              <w:rPr>
                <w:rFonts w:ascii="Arial" w:cs="Arial" w:eastAsia="Arial" w:hAnsi="Arial"/>
                <w:color w:val="1A1A1A"/>
                <w:sz w:val="19"/>
                <w:szCs w:val="19"/>
              </w:rPr>
              <w:t xml:space="preserve">3.80%</w:t>
            </w:r>
          </w:p>
        </w:tc>
        <w:tc>
          <w:tcPr>
            <w:tcW w:type="dxa" w:w="1740"/>
            <w:tcBorders>
              <w:top w:val="single" w:color="999999" w:sz="1"/>
              <w:left w:val="single" w:color="999999" w:sz="1"/>
              <w:bottom w:val="single" w:color="999999" w:sz="1"/>
              <w:right w:val="single" w:color="999999" w:sz="1"/>
            </w:tcBorders>
            <w:shd w:fill="EDF2F7" w:val="clear"/>
            <w:tcMar>
              <w:top w:type="dxa" w:w="60"/>
              <w:left w:type="dxa" w:w="100"/>
              <w:bottom w:type="dxa" w:w="60"/>
              <w:right w:type="dxa" w:w="100"/>
            </w:tcMar>
            <w:vAlign w:val="center"/>
          </w:tcPr>
          <w:p>
            <w:pPr>
              <w:spacing w:after="0"/>
            </w:pPr>
            <w:r>
              <w:rPr>
                <w:rFonts w:ascii="Arial" w:cs="Arial" w:eastAsia="Arial" w:hAnsi="Arial"/>
                <w:color w:val="1A1A1A"/>
                <w:sz w:val="19"/>
                <w:szCs w:val="19"/>
              </w:rPr>
              <w:t xml:space="preserve">3.04</w:t>
            </w:r>
          </w:p>
        </w:tc>
      </w:tr>
      <w:tr>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Arial" w:cs="Arial" w:eastAsia="Arial" w:hAnsi="Arial"/>
                <w:color w:val="1A1A1A"/>
                <w:sz w:val="19"/>
                <w:szCs w:val="19"/>
              </w:rPr>
              <w:t xml:space="preserve">Student Loans (private)</w:t>
            </w:r>
          </w:p>
        </w:tc>
        <w:tc>
          <w:tcPr>
            <w:tcW w:type="dxa" w:w="174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Arial" w:cs="Arial" w:eastAsia="Arial" w:hAnsi="Arial"/>
                <w:color w:val="1A1A1A"/>
                <w:sz w:val="19"/>
                <w:szCs w:val="19"/>
              </w:rPr>
              <w:t xml:space="preserve">25</w:t>
            </w:r>
          </w:p>
        </w:tc>
        <w:tc>
          <w:tcPr>
            <w:tcW w:type="dxa" w:w="174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Arial" w:cs="Arial" w:eastAsia="Arial" w:hAnsi="Arial"/>
                <w:color w:val="1A1A1A"/>
                <w:sz w:val="19"/>
                <w:szCs w:val="19"/>
              </w:rPr>
              <w:t xml:space="preserve">1.00%</w:t>
            </w:r>
          </w:p>
        </w:tc>
        <w:tc>
          <w:tcPr>
            <w:tcW w:type="dxa" w:w="174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Arial" w:cs="Arial" w:eastAsia="Arial" w:hAnsi="Arial"/>
                <w:color w:val="1A1A1A"/>
                <w:sz w:val="19"/>
                <w:szCs w:val="19"/>
              </w:rPr>
              <w:t xml:space="preserve">3.50%</w:t>
            </w:r>
          </w:p>
        </w:tc>
        <w:tc>
          <w:tcPr>
            <w:tcW w:type="dxa" w:w="174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Arial" w:cs="Arial" w:eastAsia="Arial" w:hAnsi="Arial"/>
                <w:color w:val="1A1A1A"/>
                <w:sz w:val="19"/>
                <w:szCs w:val="19"/>
              </w:rPr>
              <w:t xml:space="preserve">0.88</w:t>
            </w:r>
          </w:p>
        </w:tc>
      </w:tr>
      <w:tr>
        <w:tc>
          <w:tcPr>
            <w:tcW w:type="dxa" w:w="2400"/>
            <w:tcBorders>
              <w:top w:val="single" w:color="999999" w:sz="1"/>
              <w:left w:val="single" w:color="999999" w:sz="1"/>
              <w:bottom w:val="single" w:color="999999" w:sz="1"/>
              <w:right w:val="single" w:color="999999" w:sz="1"/>
            </w:tcBorders>
            <w:shd w:fill="EDF2F7" w:val="clear"/>
            <w:tcMar>
              <w:top w:type="dxa" w:w="60"/>
              <w:left w:type="dxa" w:w="100"/>
              <w:bottom w:type="dxa" w:w="60"/>
              <w:right w:type="dxa" w:w="100"/>
            </w:tcMar>
            <w:vAlign w:val="center"/>
          </w:tcPr>
          <w:p>
            <w:pPr>
              <w:spacing w:after="0"/>
            </w:pPr>
            <w:r>
              <w:rPr>
                <w:rFonts w:ascii="Arial" w:cs="Arial" w:eastAsia="Arial" w:hAnsi="Arial"/>
                <w:color w:val="1A1A1A"/>
                <w:sz w:val="19"/>
                <w:szCs w:val="19"/>
              </w:rPr>
              <w:t xml:space="preserve">Commercial Real Estate</w:t>
            </w:r>
          </w:p>
        </w:tc>
        <w:tc>
          <w:tcPr>
            <w:tcW w:type="dxa" w:w="1740"/>
            <w:tcBorders>
              <w:top w:val="single" w:color="999999" w:sz="1"/>
              <w:left w:val="single" w:color="999999" w:sz="1"/>
              <w:bottom w:val="single" w:color="999999" w:sz="1"/>
              <w:right w:val="single" w:color="999999" w:sz="1"/>
            </w:tcBorders>
            <w:shd w:fill="EDF2F7" w:val="clear"/>
            <w:tcMar>
              <w:top w:type="dxa" w:w="60"/>
              <w:left w:type="dxa" w:w="100"/>
              <w:bottom w:type="dxa" w:w="60"/>
              <w:right w:type="dxa" w:w="100"/>
            </w:tcMar>
            <w:vAlign w:val="center"/>
          </w:tcPr>
          <w:p>
            <w:pPr>
              <w:spacing w:after="0"/>
            </w:pPr>
            <w:r>
              <w:rPr>
                <w:rFonts w:ascii="Arial" w:cs="Arial" w:eastAsia="Arial" w:hAnsi="Arial"/>
                <w:color w:val="1A1A1A"/>
                <w:sz w:val="19"/>
                <w:szCs w:val="19"/>
              </w:rPr>
              <w:t xml:space="preserve">120</w:t>
            </w:r>
          </w:p>
        </w:tc>
        <w:tc>
          <w:tcPr>
            <w:tcW w:type="dxa" w:w="1740"/>
            <w:tcBorders>
              <w:top w:val="single" w:color="999999" w:sz="1"/>
              <w:left w:val="single" w:color="999999" w:sz="1"/>
              <w:bottom w:val="single" w:color="999999" w:sz="1"/>
              <w:right w:val="single" w:color="999999" w:sz="1"/>
            </w:tcBorders>
            <w:shd w:fill="EDF2F7" w:val="clear"/>
            <w:tcMar>
              <w:top w:type="dxa" w:w="60"/>
              <w:left w:type="dxa" w:w="100"/>
              <w:bottom w:type="dxa" w:w="60"/>
              <w:right w:type="dxa" w:w="100"/>
            </w:tcMar>
            <w:vAlign w:val="center"/>
          </w:tcPr>
          <w:p>
            <w:pPr>
              <w:spacing w:after="0"/>
            </w:pPr>
            <w:r>
              <w:rPr>
                <w:rFonts w:ascii="Arial" w:cs="Arial" w:eastAsia="Arial" w:hAnsi="Arial"/>
                <w:color w:val="1A1A1A"/>
                <w:sz w:val="19"/>
                <w:szCs w:val="19"/>
              </w:rPr>
              <w:t xml:space="preserve">0.40%</w:t>
            </w:r>
          </w:p>
        </w:tc>
        <w:tc>
          <w:tcPr>
            <w:tcW w:type="dxa" w:w="1740"/>
            <w:tcBorders>
              <w:top w:val="single" w:color="999999" w:sz="1"/>
              <w:left w:val="single" w:color="999999" w:sz="1"/>
              <w:bottom w:val="single" w:color="999999" w:sz="1"/>
              <w:right w:val="single" w:color="999999" w:sz="1"/>
            </w:tcBorders>
            <w:shd w:fill="EDF2F7" w:val="clear"/>
            <w:tcMar>
              <w:top w:type="dxa" w:w="60"/>
              <w:left w:type="dxa" w:w="100"/>
              <w:bottom w:type="dxa" w:w="60"/>
              <w:right w:type="dxa" w:w="100"/>
            </w:tcMar>
            <w:vAlign w:val="center"/>
          </w:tcPr>
          <w:p>
            <w:pPr>
              <w:spacing w:after="0"/>
            </w:pPr>
            <w:r>
              <w:rPr>
                <w:rFonts w:ascii="Arial" w:cs="Arial" w:eastAsia="Arial" w:hAnsi="Arial"/>
                <w:color w:val="1A1A1A"/>
                <w:sz w:val="19"/>
                <w:szCs w:val="19"/>
              </w:rPr>
              <w:t xml:space="preserve">2.80%</w:t>
            </w:r>
          </w:p>
        </w:tc>
        <w:tc>
          <w:tcPr>
            <w:tcW w:type="dxa" w:w="1740"/>
            <w:tcBorders>
              <w:top w:val="single" w:color="999999" w:sz="1"/>
              <w:left w:val="single" w:color="999999" w:sz="1"/>
              <w:bottom w:val="single" w:color="999999" w:sz="1"/>
              <w:right w:val="single" w:color="999999" w:sz="1"/>
            </w:tcBorders>
            <w:shd w:fill="EDF2F7" w:val="clear"/>
            <w:tcMar>
              <w:top w:type="dxa" w:w="60"/>
              <w:left w:type="dxa" w:w="100"/>
              <w:bottom w:type="dxa" w:w="60"/>
              <w:right w:type="dxa" w:w="100"/>
            </w:tcMar>
            <w:vAlign w:val="center"/>
          </w:tcPr>
          <w:p>
            <w:pPr>
              <w:spacing w:after="0"/>
            </w:pPr>
            <w:r>
              <w:rPr>
                <w:rFonts w:ascii="Arial" w:cs="Arial" w:eastAsia="Arial" w:hAnsi="Arial"/>
                <w:color w:val="1A1A1A"/>
                <w:sz w:val="19"/>
                <w:szCs w:val="19"/>
              </w:rPr>
              <w:t xml:space="preserve">3.36</w:t>
            </w:r>
          </w:p>
        </w:tc>
      </w:tr>
      <w:tr>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Arial" w:cs="Arial" w:eastAsia="Arial" w:hAnsi="Arial"/>
                <w:color w:val="1A1A1A"/>
                <w:sz w:val="19"/>
                <w:szCs w:val="19"/>
              </w:rPr>
              <w:t xml:space="preserve">C&amp;I (incl. middle market)</w:t>
            </w:r>
          </w:p>
        </w:tc>
        <w:tc>
          <w:tcPr>
            <w:tcW w:type="dxa" w:w="174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Arial" w:cs="Arial" w:eastAsia="Arial" w:hAnsi="Arial"/>
                <w:color w:val="1A1A1A"/>
                <w:sz w:val="19"/>
                <w:szCs w:val="19"/>
              </w:rPr>
              <w:t xml:space="preserve">200</w:t>
            </w:r>
          </w:p>
        </w:tc>
        <w:tc>
          <w:tcPr>
            <w:tcW w:type="dxa" w:w="174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Arial" w:cs="Arial" w:eastAsia="Arial" w:hAnsi="Arial"/>
                <w:color w:val="1A1A1A"/>
                <w:sz w:val="19"/>
                <w:szCs w:val="19"/>
              </w:rPr>
              <w:t xml:space="preserve">0.30%</w:t>
            </w:r>
          </w:p>
        </w:tc>
        <w:tc>
          <w:tcPr>
            <w:tcW w:type="dxa" w:w="174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Arial" w:cs="Arial" w:eastAsia="Arial" w:hAnsi="Arial"/>
                <w:color w:val="1A1A1A"/>
                <w:sz w:val="19"/>
                <w:szCs w:val="19"/>
              </w:rPr>
              <w:t xml:space="preserve">1.60%</w:t>
            </w:r>
          </w:p>
        </w:tc>
        <w:tc>
          <w:tcPr>
            <w:tcW w:type="dxa" w:w="174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Arial" w:cs="Arial" w:eastAsia="Arial" w:hAnsi="Arial"/>
                <w:color w:val="1A1A1A"/>
                <w:sz w:val="19"/>
                <w:szCs w:val="19"/>
              </w:rPr>
              <w:t xml:space="preserve">3.20</w:t>
            </w:r>
          </w:p>
        </w:tc>
      </w:tr>
      <w:tr>
        <w:tc>
          <w:tcPr>
            <w:tcW w:type="dxa" w:w="2400"/>
            <w:tcBorders>
              <w:top w:val="single" w:color="999999" w:sz="1"/>
              <w:left w:val="single" w:color="999999" w:sz="1"/>
              <w:bottom w:val="single" w:color="999999" w:sz="1"/>
              <w:right w:val="single" w:color="999999" w:sz="1"/>
            </w:tcBorders>
            <w:shd w:fill="EDF2F7" w:val="clear"/>
            <w:tcMar>
              <w:top w:type="dxa" w:w="60"/>
              <w:left w:type="dxa" w:w="100"/>
              <w:bottom w:type="dxa" w:w="60"/>
              <w:right w:type="dxa" w:w="100"/>
            </w:tcMar>
            <w:vAlign w:val="center"/>
          </w:tcPr>
          <w:p>
            <w:pPr>
              <w:spacing w:after="0"/>
            </w:pPr>
            <w:r>
              <w:rPr>
                <w:rFonts w:ascii="Arial" w:cs="Arial" w:eastAsia="Arial" w:hAnsi="Arial"/>
                <w:color w:val="1A1A1A"/>
                <w:sz w:val="19"/>
                <w:szCs w:val="19"/>
              </w:rPr>
              <w:t xml:space="preserve">Leveraged Lending</w:t>
            </w:r>
          </w:p>
        </w:tc>
        <w:tc>
          <w:tcPr>
            <w:tcW w:type="dxa" w:w="1740"/>
            <w:tcBorders>
              <w:top w:val="single" w:color="999999" w:sz="1"/>
              <w:left w:val="single" w:color="999999" w:sz="1"/>
              <w:bottom w:val="single" w:color="999999" w:sz="1"/>
              <w:right w:val="single" w:color="999999" w:sz="1"/>
            </w:tcBorders>
            <w:shd w:fill="EDF2F7" w:val="clear"/>
            <w:tcMar>
              <w:top w:type="dxa" w:w="60"/>
              <w:left w:type="dxa" w:w="100"/>
              <w:bottom w:type="dxa" w:w="60"/>
              <w:right w:type="dxa" w:w="100"/>
            </w:tcMar>
            <w:vAlign w:val="center"/>
          </w:tcPr>
          <w:p>
            <w:pPr>
              <w:spacing w:after="0"/>
            </w:pPr>
            <w:r>
              <w:rPr>
                <w:rFonts w:ascii="Arial" w:cs="Arial" w:eastAsia="Arial" w:hAnsi="Arial"/>
                <w:color w:val="1A1A1A"/>
                <w:sz w:val="19"/>
                <w:szCs w:val="19"/>
              </w:rPr>
              <w:t xml:space="preserve">40</w:t>
            </w:r>
          </w:p>
        </w:tc>
        <w:tc>
          <w:tcPr>
            <w:tcW w:type="dxa" w:w="1740"/>
            <w:tcBorders>
              <w:top w:val="single" w:color="999999" w:sz="1"/>
              <w:left w:val="single" w:color="999999" w:sz="1"/>
              <w:bottom w:val="single" w:color="999999" w:sz="1"/>
              <w:right w:val="single" w:color="999999" w:sz="1"/>
            </w:tcBorders>
            <w:shd w:fill="EDF2F7" w:val="clear"/>
            <w:tcMar>
              <w:top w:type="dxa" w:w="60"/>
              <w:left w:type="dxa" w:w="100"/>
              <w:bottom w:type="dxa" w:w="60"/>
              <w:right w:type="dxa" w:w="100"/>
            </w:tcMar>
            <w:vAlign w:val="center"/>
          </w:tcPr>
          <w:p>
            <w:pPr>
              <w:spacing w:after="0"/>
            </w:pPr>
            <w:r>
              <w:rPr>
                <w:rFonts w:ascii="Arial" w:cs="Arial" w:eastAsia="Arial" w:hAnsi="Arial"/>
                <w:color w:val="1A1A1A"/>
                <w:sz w:val="19"/>
                <w:szCs w:val="19"/>
              </w:rPr>
              <w:t xml:space="preserve">1.50%</w:t>
            </w:r>
          </w:p>
        </w:tc>
        <w:tc>
          <w:tcPr>
            <w:tcW w:type="dxa" w:w="1740"/>
            <w:tcBorders>
              <w:top w:val="single" w:color="999999" w:sz="1"/>
              <w:left w:val="single" w:color="999999" w:sz="1"/>
              <w:bottom w:val="single" w:color="999999" w:sz="1"/>
              <w:right w:val="single" w:color="999999" w:sz="1"/>
            </w:tcBorders>
            <w:shd w:fill="EDF2F7" w:val="clear"/>
            <w:tcMar>
              <w:top w:type="dxa" w:w="60"/>
              <w:left w:type="dxa" w:w="100"/>
              <w:bottom w:type="dxa" w:w="60"/>
              <w:right w:type="dxa" w:w="100"/>
            </w:tcMar>
            <w:vAlign w:val="center"/>
          </w:tcPr>
          <w:p>
            <w:pPr>
              <w:spacing w:after="0"/>
            </w:pPr>
            <w:r>
              <w:rPr>
                <w:rFonts w:ascii="Arial" w:cs="Arial" w:eastAsia="Arial" w:hAnsi="Arial"/>
                <w:color w:val="1A1A1A"/>
                <w:sz w:val="19"/>
                <w:szCs w:val="19"/>
              </w:rPr>
              <w:t xml:space="preserve">5.50%</w:t>
            </w:r>
          </w:p>
        </w:tc>
        <w:tc>
          <w:tcPr>
            <w:tcW w:type="dxa" w:w="1740"/>
            <w:tcBorders>
              <w:top w:val="single" w:color="999999" w:sz="1"/>
              <w:left w:val="single" w:color="999999" w:sz="1"/>
              <w:bottom w:val="single" w:color="999999" w:sz="1"/>
              <w:right w:val="single" w:color="999999" w:sz="1"/>
            </w:tcBorders>
            <w:shd w:fill="EDF2F7" w:val="clear"/>
            <w:tcMar>
              <w:top w:type="dxa" w:w="60"/>
              <w:left w:type="dxa" w:w="100"/>
              <w:bottom w:type="dxa" w:w="60"/>
              <w:right w:type="dxa" w:w="100"/>
            </w:tcMar>
            <w:vAlign w:val="center"/>
          </w:tcPr>
          <w:p>
            <w:pPr>
              <w:spacing w:after="0"/>
            </w:pPr>
            <w:r>
              <w:rPr>
                <w:rFonts w:ascii="Arial" w:cs="Arial" w:eastAsia="Arial" w:hAnsi="Arial"/>
                <w:color w:val="1A1A1A"/>
                <w:sz w:val="19"/>
                <w:szCs w:val="19"/>
              </w:rPr>
              <w:t xml:space="preserve">2.20</w:t>
            </w:r>
          </w:p>
        </w:tc>
      </w:tr>
      <w:tr>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Arial" w:cs="Arial" w:eastAsia="Arial" w:hAnsi="Arial"/>
                <w:color w:val="1A1A1A"/>
                <w:sz w:val="19"/>
                <w:szCs w:val="19"/>
              </w:rPr>
              <w:t xml:space="preserve">Small Business</w:t>
            </w:r>
          </w:p>
        </w:tc>
        <w:tc>
          <w:tcPr>
            <w:tcW w:type="dxa" w:w="174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Arial" w:cs="Arial" w:eastAsia="Arial" w:hAnsi="Arial"/>
                <w:color w:val="1A1A1A"/>
                <w:sz w:val="19"/>
                <w:szCs w:val="19"/>
              </w:rPr>
              <w:t xml:space="preserve">35</w:t>
            </w:r>
          </w:p>
        </w:tc>
        <w:tc>
          <w:tcPr>
            <w:tcW w:type="dxa" w:w="174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Arial" w:cs="Arial" w:eastAsia="Arial" w:hAnsi="Arial"/>
                <w:color w:val="1A1A1A"/>
                <w:sz w:val="19"/>
                <w:szCs w:val="19"/>
              </w:rPr>
              <w:t xml:space="preserve">1.80%</w:t>
            </w:r>
          </w:p>
        </w:tc>
        <w:tc>
          <w:tcPr>
            <w:tcW w:type="dxa" w:w="174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Arial" w:cs="Arial" w:eastAsia="Arial" w:hAnsi="Arial"/>
                <w:color w:val="1A1A1A"/>
                <w:sz w:val="19"/>
                <w:szCs w:val="19"/>
              </w:rPr>
              <w:t xml:space="preserve">5.00%</w:t>
            </w:r>
          </w:p>
        </w:tc>
        <w:tc>
          <w:tcPr>
            <w:tcW w:type="dxa" w:w="174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Arial" w:cs="Arial" w:eastAsia="Arial" w:hAnsi="Arial"/>
                <w:color w:val="1A1A1A"/>
                <w:sz w:val="19"/>
                <w:szCs w:val="19"/>
              </w:rPr>
              <w:t xml:space="preserve">1.75</w:t>
            </w:r>
          </w:p>
        </w:tc>
      </w:tr>
      <w:tr>
        <w:tc>
          <w:tcPr>
            <w:tcW w:type="dxa" w:w="2400"/>
            <w:tcBorders>
              <w:top w:val="single" w:color="999999" w:sz="1"/>
              <w:left w:val="single" w:color="999999" w:sz="1"/>
              <w:bottom w:val="single" w:color="999999" w:sz="1"/>
              <w:right w:val="single" w:color="999999" w:sz="1"/>
            </w:tcBorders>
            <w:shd w:fill="EDF2F7" w:val="clear"/>
            <w:tcMar>
              <w:top w:type="dxa" w:w="60"/>
              <w:left w:type="dxa" w:w="100"/>
              <w:bottom w:type="dxa" w:w="60"/>
              <w:right w:type="dxa" w:w="100"/>
            </w:tcMar>
            <w:vAlign w:val="center"/>
          </w:tcPr>
          <w:p>
            <w:pPr>
              <w:spacing w:after="0"/>
            </w:pPr>
            <w:r>
              <w:rPr>
                <w:rFonts w:ascii="Arial" w:cs="Arial" w:eastAsia="Arial" w:hAnsi="Arial"/>
                <w:color w:val="1A1A1A"/>
                <w:sz w:val="19"/>
                <w:szCs w:val="19"/>
              </w:rPr>
              <w:t xml:space="preserve">Other Consumer</w:t>
            </w:r>
          </w:p>
        </w:tc>
        <w:tc>
          <w:tcPr>
            <w:tcW w:type="dxa" w:w="1740"/>
            <w:tcBorders>
              <w:top w:val="single" w:color="999999" w:sz="1"/>
              <w:left w:val="single" w:color="999999" w:sz="1"/>
              <w:bottom w:val="single" w:color="999999" w:sz="1"/>
              <w:right w:val="single" w:color="999999" w:sz="1"/>
            </w:tcBorders>
            <w:shd w:fill="EDF2F7" w:val="clear"/>
            <w:tcMar>
              <w:top w:type="dxa" w:w="60"/>
              <w:left w:type="dxa" w:w="100"/>
              <w:bottom w:type="dxa" w:w="60"/>
              <w:right w:type="dxa" w:w="100"/>
            </w:tcMar>
            <w:vAlign w:val="center"/>
          </w:tcPr>
          <w:p>
            <w:pPr>
              <w:spacing w:after="0"/>
            </w:pPr>
            <w:r>
              <w:rPr>
                <w:rFonts w:ascii="Arial" w:cs="Arial" w:eastAsia="Arial" w:hAnsi="Arial"/>
                <w:color w:val="1A1A1A"/>
                <w:sz w:val="19"/>
                <w:szCs w:val="19"/>
              </w:rPr>
              <w:t xml:space="preserve">30</w:t>
            </w:r>
          </w:p>
        </w:tc>
        <w:tc>
          <w:tcPr>
            <w:tcW w:type="dxa" w:w="1740"/>
            <w:tcBorders>
              <w:top w:val="single" w:color="999999" w:sz="1"/>
              <w:left w:val="single" w:color="999999" w:sz="1"/>
              <w:bottom w:val="single" w:color="999999" w:sz="1"/>
              <w:right w:val="single" w:color="999999" w:sz="1"/>
            </w:tcBorders>
            <w:shd w:fill="EDF2F7" w:val="clear"/>
            <w:tcMar>
              <w:top w:type="dxa" w:w="60"/>
              <w:left w:type="dxa" w:w="100"/>
              <w:bottom w:type="dxa" w:w="60"/>
              <w:right w:type="dxa" w:w="100"/>
            </w:tcMar>
            <w:vAlign w:val="center"/>
          </w:tcPr>
          <w:p>
            <w:pPr>
              <w:spacing w:after="0"/>
            </w:pPr>
            <w:r>
              <w:rPr>
                <w:rFonts w:ascii="Arial" w:cs="Arial" w:eastAsia="Arial" w:hAnsi="Arial"/>
                <w:color w:val="1A1A1A"/>
                <w:sz w:val="19"/>
                <w:szCs w:val="19"/>
              </w:rPr>
              <w:t xml:space="preserve">0.80%</w:t>
            </w:r>
          </w:p>
        </w:tc>
        <w:tc>
          <w:tcPr>
            <w:tcW w:type="dxa" w:w="1740"/>
            <w:tcBorders>
              <w:top w:val="single" w:color="999999" w:sz="1"/>
              <w:left w:val="single" w:color="999999" w:sz="1"/>
              <w:bottom w:val="single" w:color="999999" w:sz="1"/>
              <w:right w:val="single" w:color="999999" w:sz="1"/>
            </w:tcBorders>
            <w:shd w:fill="EDF2F7" w:val="clear"/>
            <w:tcMar>
              <w:top w:type="dxa" w:w="60"/>
              <w:left w:type="dxa" w:w="100"/>
              <w:bottom w:type="dxa" w:w="60"/>
              <w:right w:type="dxa" w:w="100"/>
            </w:tcMar>
            <w:vAlign w:val="center"/>
          </w:tcPr>
          <w:p>
            <w:pPr>
              <w:spacing w:after="0"/>
            </w:pPr>
            <w:r>
              <w:rPr>
                <w:rFonts w:ascii="Arial" w:cs="Arial" w:eastAsia="Arial" w:hAnsi="Arial"/>
                <w:color w:val="1A1A1A"/>
                <w:sz w:val="19"/>
                <w:szCs w:val="19"/>
              </w:rPr>
              <w:t xml:space="preserve">2.50%</w:t>
            </w:r>
          </w:p>
        </w:tc>
        <w:tc>
          <w:tcPr>
            <w:tcW w:type="dxa" w:w="1740"/>
            <w:tcBorders>
              <w:top w:val="single" w:color="999999" w:sz="1"/>
              <w:left w:val="single" w:color="999999" w:sz="1"/>
              <w:bottom w:val="single" w:color="999999" w:sz="1"/>
              <w:right w:val="single" w:color="999999" w:sz="1"/>
            </w:tcBorders>
            <w:shd w:fill="EDF2F7" w:val="clear"/>
            <w:tcMar>
              <w:top w:type="dxa" w:w="60"/>
              <w:left w:type="dxa" w:w="100"/>
              <w:bottom w:type="dxa" w:w="60"/>
              <w:right w:type="dxa" w:w="100"/>
            </w:tcMar>
            <w:vAlign w:val="center"/>
          </w:tcPr>
          <w:p>
            <w:pPr>
              <w:spacing w:after="0"/>
            </w:pPr>
            <w:r>
              <w:rPr>
                <w:rFonts w:ascii="Arial" w:cs="Arial" w:eastAsia="Arial" w:hAnsi="Arial"/>
                <w:color w:val="1A1A1A"/>
                <w:sz w:val="19"/>
                <w:szCs w:val="19"/>
              </w:rPr>
              <w:t xml:space="preserve">0.75</w:t>
            </w:r>
          </w:p>
        </w:tc>
      </w:tr>
      <w:tr>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Arial" w:cs="Arial" w:eastAsia="Arial" w:hAnsi="Arial"/>
                <w:color w:val="1A1A1A"/>
                <w:sz w:val="19"/>
                <w:szCs w:val="19"/>
              </w:rPr>
              <w:t xml:space="preserve">TOTAL</w:t>
            </w:r>
          </w:p>
        </w:tc>
        <w:tc>
          <w:tcPr>
            <w:tcW w:type="dxa" w:w="174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Arial" w:cs="Arial" w:eastAsia="Arial" w:hAnsi="Arial"/>
                <w:color w:val="1A1A1A"/>
                <w:sz w:val="19"/>
                <w:szCs w:val="19"/>
              </w:rPr>
              <w:t xml:space="preserve">1,055</w:t>
            </w:r>
          </w:p>
        </w:tc>
        <w:tc>
          <w:tcPr>
            <w:tcW w:type="dxa" w:w="174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Arial" w:cs="Arial" w:eastAsia="Arial" w:hAnsi="Arial"/>
                <w:color w:val="1A1A1A"/>
                <w:sz w:val="19"/>
                <w:szCs w:val="19"/>
              </w:rPr>
              <w:t xml:space="preserve">~0.52%</w:t>
            </w:r>
          </w:p>
        </w:tc>
        <w:tc>
          <w:tcPr>
            <w:tcW w:type="dxa" w:w="174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Arial" w:cs="Arial" w:eastAsia="Arial" w:hAnsi="Arial"/>
                <w:color w:val="1A1A1A"/>
                <w:sz w:val="19"/>
                <w:szCs w:val="19"/>
              </w:rPr>
              <w:t xml:space="preserve">~1.75%</w:t>
            </w:r>
          </w:p>
        </w:tc>
        <w:tc>
          <w:tcPr>
            <w:tcW w:type="dxa" w:w="174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Arial" w:cs="Arial" w:eastAsia="Arial" w:hAnsi="Arial"/>
                <w:color w:val="1A1A1A"/>
                <w:sz w:val="19"/>
                <w:szCs w:val="19"/>
              </w:rPr>
              <w:t xml:space="preserve">~18.5</w:t>
            </w:r>
          </w:p>
        </w:tc>
      </w:tr>
    </w:tbl>
    <w:p>
      <w:pPr>
        <w:spacing w:after="200"/>
      </w:pPr>
    </w:p>
    <w:p>
      <w:r>
        <w:br w:type="page"/>
      </w:r>
    </w:p>
    <w:p>
      <w:pPr>
        <w:pStyle w:val="Heading1"/>
      </w:pPr>
      <w:r>
        <w:t xml:space="preserve">7. Sensitivity Analysis</w:t>
      </w:r>
    </w:p>
    <w:p>
      <w:pPr>
        <w:pStyle w:val="Heading2"/>
      </w:pPr>
      <w:r>
        <w:t xml:space="preserve">7.1 AI Adoption Speed Sensitivity</w:t>
      </w:r>
    </w:p>
    <w:p>
      <w:pPr>
        <w:spacing w:after="120"/>
      </w:pPr>
      <w:r>
        <w:t xml:space="preserve">The speed of AI adoption is the single most important variable driving divergence between scenarios. Under the base case in Scenario C1, enterprise AI adoption reaches 40-50% of large firms by Year 3. Sensitivity analysis examines: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2000"/>
        <w:gridCol w:w="1560"/>
        <w:gridCol w:w="1600"/>
      </w:tblGrid>
      <w:tr>
        <w:tc>
          <w:tcPr>
            <w:tcW w:type="dxa" w:w="2000"/>
            <w:tcBorders>
              <w:top w:val="single" w:color="999999" w:sz="1"/>
              <w:left w:val="single" w:color="999999" w:sz="1"/>
              <w:bottom w:val="single" w:color="999999" w:sz="1"/>
              <w:right w:val="single" w:color="999999"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20"/>
                <w:szCs w:val="20"/>
              </w:rPr>
              <w:t xml:space="preserve">Adoption Speed</w:t>
            </w:r>
          </w:p>
        </w:tc>
        <w:tc>
          <w:tcPr>
            <w:tcW w:type="dxa" w:w="2200"/>
            <w:tcBorders>
              <w:top w:val="single" w:color="999999" w:sz="1"/>
              <w:left w:val="single" w:color="999999" w:sz="1"/>
              <w:bottom w:val="single" w:color="999999" w:sz="1"/>
              <w:right w:val="single" w:color="999999"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20"/>
                <w:szCs w:val="20"/>
              </w:rPr>
              <w:t xml:space="preserve">Enterprise AI Adoption Y3</w:t>
            </w:r>
          </w:p>
        </w:tc>
        <w:tc>
          <w:tcPr>
            <w:tcW w:type="dxa" w:w="2000"/>
            <w:tcBorders>
              <w:top w:val="single" w:color="999999" w:sz="1"/>
              <w:left w:val="single" w:color="999999" w:sz="1"/>
              <w:bottom w:val="single" w:color="999999" w:sz="1"/>
              <w:right w:val="single" w:color="999999"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20"/>
                <w:szCs w:val="20"/>
              </w:rPr>
              <w:t xml:space="preserve">Unemployment Impact</w:t>
            </w:r>
          </w:p>
        </w:tc>
        <w:tc>
          <w:tcPr>
            <w:tcW w:type="dxa" w:w="1560"/>
            <w:tcBorders>
              <w:top w:val="single" w:color="999999" w:sz="1"/>
              <w:left w:val="single" w:color="999999" w:sz="1"/>
              <w:bottom w:val="single" w:color="999999" w:sz="1"/>
              <w:right w:val="single" w:color="999999"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20"/>
                <w:szCs w:val="20"/>
              </w:rPr>
              <w:t xml:space="preserve">Credit Loss Multiplier</w:t>
            </w:r>
          </w:p>
        </w:tc>
        <w:tc>
          <w:tcPr>
            <w:tcW w:type="dxa" w:w="1600"/>
            <w:tcBorders>
              <w:top w:val="single" w:color="999999" w:sz="1"/>
              <w:left w:val="single" w:color="999999" w:sz="1"/>
              <w:bottom w:val="single" w:color="999999" w:sz="1"/>
              <w:right w:val="single" w:color="999999"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20"/>
                <w:szCs w:val="20"/>
              </w:rPr>
              <w:t xml:space="preserve">GDP Impact</w:t>
            </w:r>
          </w:p>
        </w:tc>
      </w:tr>
      <w:tr>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Arial" w:cs="Arial" w:eastAsia="Arial" w:hAnsi="Arial"/>
                <w:color w:val="1A1A1A"/>
                <w:sz w:val="19"/>
                <w:szCs w:val="19"/>
              </w:rPr>
              <w:t xml:space="preserve">50% Slower (Base-)</w:t>
            </w:r>
          </w:p>
        </w:tc>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Arial" w:cs="Arial" w:eastAsia="Arial" w:hAnsi="Arial"/>
                <w:color w:val="1A1A1A"/>
                <w:sz w:val="19"/>
                <w:szCs w:val="19"/>
              </w:rPr>
              <w:t xml:space="preserve">25-30%</w:t>
            </w:r>
          </w:p>
        </w:tc>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Arial" w:cs="Arial" w:eastAsia="Arial" w:hAnsi="Arial"/>
                <w:color w:val="1A1A1A"/>
                <w:sz w:val="19"/>
                <w:szCs w:val="19"/>
              </w:rPr>
              <w:t xml:space="preserve">+0.8-1.2pp</w:t>
            </w:r>
          </w:p>
        </w:tc>
        <w:tc>
          <w:tcPr>
            <w:tcW w:type="dxa" w:w="156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Arial" w:cs="Arial" w:eastAsia="Arial" w:hAnsi="Arial"/>
                <w:color w:val="1A1A1A"/>
                <w:sz w:val="19"/>
                <w:szCs w:val="19"/>
              </w:rPr>
              <w:t xml:space="preserve">1.3x baseline</w:t>
            </w:r>
          </w:p>
        </w:tc>
        <w:tc>
          <w:tcPr>
            <w:tcW w:type="dxa" w:w="16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Arial" w:cs="Arial" w:eastAsia="Arial" w:hAnsi="Arial"/>
                <w:color w:val="1A1A1A"/>
                <w:sz w:val="19"/>
                <w:szCs w:val="19"/>
              </w:rPr>
              <w:t xml:space="preserve">-0.5 to -1.0%</w:t>
            </w:r>
          </w:p>
        </w:tc>
      </w:tr>
      <w:tr>
        <w:tc>
          <w:tcPr>
            <w:tcW w:type="dxa" w:w="2000"/>
            <w:tcBorders>
              <w:top w:val="single" w:color="999999" w:sz="1"/>
              <w:left w:val="single" w:color="999999" w:sz="1"/>
              <w:bottom w:val="single" w:color="999999" w:sz="1"/>
              <w:right w:val="single" w:color="999999" w:sz="1"/>
            </w:tcBorders>
            <w:shd w:fill="EDF2F7" w:val="clear"/>
            <w:tcMar>
              <w:top w:type="dxa" w:w="60"/>
              <w:left w:type="dxa" w:w="100"/>
              <w:bottom w:type="dxa" w:w="60"/>
              <w:right w:type="dxa" w:w="100"/>
            </w:tcMar>
            <w:vAlign w:val="center"/>
          </w:tcPr>
          <w:p>
            <w:pPr>
              <w:spacing w:after="0"/>
            </w:pPr>
            <w:r>
              <w:rPr>
                <w:rFonts w:ascii="Arial" w:cs="Arial" w:eastAsia="Arial" w:hAnsi="Arial"/>
                <w:color w:val="1A1A1A"/>
                <w:sz w:val="19"/>
                <w:szCs w:val="19"/>
              </w:rPr>
              <w:t xml:space="preserve">Base Case</w:t>
            </w:r>
          </w:p>
        </w:tc>
        <w:tc>
          <w:tcPr>
            <w:tcW w:type="dxa" w:w="2200"/>
            <w:tcBorders>
              <w:top w:val="single" w:color="999999" w:sz="1"/>
              <w:left w:val="single" w:color="999999" w:sz="1"/>
              <w:bottom w:val="single" w:color="999999" w:sz="1"/>
              <w:right w:val="single" w:color="999999" w:sz="1"/>
            </w:tcBorders>
            <w:shd w:fill="EDF2F7" w:val="clear"/>
            <w:tcMar>
              <w:top w:type="dxa" w:w="60"/>
              <w:left w:type="dxa" w:w="100"/>
              <w:bottom w:type="dxa" w:w="60"/>
              <w:right w:type="dxa" w:w="100"/>
            </w:tcMar>
            <w:vAlign w:val="center"/>
          </w:tcPr>
          <w:p>
            <w:pPr>
              <w:spacing w:after="0"/>
            </w:pPr>
            <w:r>
              <w:rPr>
                <w:rFonts w:ascii="Arial" w:cs="Arial" w:eastAsia="Arial" w:hAnsi="Arial"/>
                <w:color w:val="1A1A1A"/>
                <w:sz w:val="19"/>
                <w:szCs w:val="19"/>
              </w:rPr>
              <w:t xml:space="preserve">40-50%</w:t>
            </w:r>
          </w:p>
        </w:tc>
        <w:tc>
          <w:tcPr>
            <w:tcW w:type="dxa" w:w="2000"/>
            <w:tcBorders>
              <w:top w:val="single" w:color="999999" w:sz="1"/>
              <w:left w:val="single" w:color="999999" w:sz="1"/>
              <w:bottom w:val="single" w:color="999999" w:sz="1"/>
              <w:right w:val="single" w:color="999999" w:sz="1"/>
            </w:tcBorders>
            <w:shd w:fill="EDF2F7" w:val="clear"/>
            <w:tcMar>
              <w:top w:type="dxa" w:w="60"/>
              <w:left w:type="dxa" w:w="100"/>
              <w:bottom w:type="dxa" w:w="60"/>
              <w:right w:type="dxa" w:w="100"/>
            </w:tcMar>
            <w:vAlign w:val="center"/>
          </w:tcPr>
          <w:p>
            <w:pPr>
              <w:spacing w:after="0"/>
            </w:pPr>
            <w:r>
              <w:rPr>
                <w:rFonts w:ascii="Arial" w:cs="Arial" w:eastAsia="Arial" w:hAnsi="Arial"/>
                <w:color w:val="1A1A1A"/>
                <w:sz w:val="19"/>
                <w:szCs w:val="19"/>
              </w:rPr>
              <w:t xml:space="preserve">+3.0-5.0pp</w:t>
            </w:r>
          </w:p>
        </w:tc>
        <w:tc>
          <w:tcPr>
            <w:tcW w:type="dxa" w:w="1560"/>
            <w:tcBorders>
              <w:top w:val="single" w:color="999999" w:sz="1"/>
              <w:left w:val="single" w:color="999999" w:sz="1"/>
              <w:bottom w:val="single" w:color="999999" w:sz="1"/>
              <w:right w:val="single" w:color="999999" w:sz="1"/>
            </w:tcBorders>
            <w:shd w:fill="EDF2F7" w:val="clear"/>
            <w:tcMar>
              <w:top w:type="dxa" w:w="60"/>
              <w:left w:type="dxa" w:w="100"/>
              <w:bottom w:type="dxa" w:w="60"/>
              <w:right w:type="dxa" w:w="100"/>
            </w:tcMar>
            <w:vAlign w:val="center"/>
          </w:tcPr>
          <w:p>
            <w:pPr>
              <w:spacing w:after="0"/>
            </w:pPr>
            <w:r>
              <w:rPr>
                <w:rFonts w:ascii="Arial" w:cs="Arial" w:eastAsia="Arial" w:hAnsi="Arial"/>
                <w:color w:val="1A1A1A"/>
                <w:sz w:val="19"/>
                <w:szCs w:val="19"/>
              </w:rPr>
              <w:t xml:space="preserve">3.4x baseline</w:t>
            </w:r>
          </w:p>
        </w:tc>
        <w:tc>
          <w:tcPr>
            <w:tcW w:type="dxa" w:w="1600"/>
            <w:tcBorders>
              <w:top w:val="single" w:color="999999" w:sz="1"/>
              <w:left w:val="single" w:color="999999" w:sz="1"/>
              <w:bottom w:val="single" w:color="999999" w:sz="1"/>
              <w:right w:val="single" w:color="999999" w:sz="1"/>
            </w:tcBorders>
            <w:shd w:fill="EDF2F7" w:val="clear"/>
            <w:tcMar>
              <w:top w:type="dxa" w:w="60"/>
              <w:left w:type="dxa" w:w="100"/>
              <w:bottom w:type="dxa" w:w="60"/>
              <w:right w:type="dxa" w:w="100"/>
            </w:tcMar>
            <w:vAlign w:val="center"/>
          </w:tcPr>
          <w:p>
            <w:pPr>
              <w:spacing w:after="0"/>
            </w:pPr>
            <w:r>
              <w:rPr>
                <w:rFonts w:ascii="Arial" w:cs="Arial" w:eastAsia="Arial" w:hAnsi="Arial"/>
                <w:color w:val="1A1A1A"/>
                <w:sz w:val="19"/>
                <w:szCs w:val="19"/>
              </w:rPr>
              <w:t xml:space="preserve">-1.5 to -3.0%</w:t>
            </w:r>
          </w:p>
        </w:tc>
      </w:tr>
      <w:tr>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Arial" w:cs="Arial" w:eastAsia="Arial" w:hAnsi="Arial"/>
                <w:color w:val="1A1A1A"/>
                <w:sz w:val="19"/>
                <w:szCs w:val="19"/>
              </w:rPr>
              <w:t xml:space="preserve">50% Faster</w:t>
            </w:r>
          </w:p>
        </w:tc>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Arial" w:cs="Arial" w:eastAsia="Arial" w:hAnsi="Arial"/>
                <w:color w:val="1A1A1A"/>
                <w:sz w:val="19"/>
                <w:szCs w:val="19"/>
              </w:rPr>
              <w:t xml:space="preserve">60-70%</w:t>
            </w:r>
          </w:p>
        </w:tc>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Arial" w:cs="Arial" w:eastAsia="Arial" w:hAnsi="Arial"/>
                <w:color w:val="1A1A1A"/>
                <w:sz w:val="19"/>
                <w:szCs w:val="19"/>
              </w:rPr>
              <w:t xml:space="preserve">+5.0-8.0pp</w:t>
            </w:r>
          </w:p>
        </w:tc>
        <w:tc>
          <w:tcPr>
            <w:tcW w:type="dxa" w:w="156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Arial" w:cs="Arial" w:eastAsia="Arial" w:hAnsi="Arial"/>
                <w:color w:val="1A1A1A"/>
                <w:sz w:val="19"/>
                <w:szCs w:val="19"/>
              </w:rPr>
              <w:t xml:space="preserve">5.0x baseline</w:t>
            </w:r>
          </w:p>
        </w:tc>
        <w:tc>
          <w:tcPr>
            <w:tcW w:type="dxa" w:w="16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Arial" w:cs="Arial" w:eastAsia="Arial" w:hAnsi="Arial"/>
                <w:color w:val="1A1A1A"/>
                <w:sz w:val="19"/>
                <w:szCs w:val="19"/>
              </w:rPr>
              <w:t xml:space="preserve">-3.0 to -5.0%</w:t>
            </w:r>
          </w:p>
        </w:tc>
      </w:tr>
    </w:tbl>
    <w:p>
      <w:pPr>
        <w:spacing w:after="200"/>
      </w:pPr>
    </w:p>
    <w:p>
      <w:pPr>
        <w:pStyle w:val="Heading2"/>
      </w:pPr>
      <w:r>
        <w:t xml:space="preserve">7.2 Labor Market Adjustment Speed Sensitivity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2000"/>
        <w:gridCol w:w="1760"/>
        <w:gridCol w:w="2000"/>
      </w:tblGrid>
      <w:tr>
        <w:tc>
          <w:tcPr>
            <w:tcW w:type="dxa" w:w="2000"/>
            <w:tcBorders>
              <w:top w:val="single" w:color="999999" w:sz="1"/>
              <w:left w:val="single" w:color="999999" w:sz="1"/>
              <w:bottom w:val="single" w:color="999999" w:sz="1"/>
              <w:right w:val="single" w:color="999999"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20"/>
                <w:szCs w:val="20"/>
              </w:rPr>
              <w:t xml:space="preserve">Adjustment Scenario</w:t>
            </w:r>
          </w:p>
        </w:tc>
        <w:tc>
          <w:tcPr>
            <w:tcW w:type="dxa" w:w="1600"/>
            <w:tcBorders>
              <w:top w:val="single" w:color="999999" w:sz="1"/>
              <w:left w:val="single" w:color="999999" w:sz="1"/>
              <w:bottom w:val="single" w:color="999999" w:sz="1"/>
              <w:right w:val="single" w:color="999999"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20"/>
                <w:szCs w:val="20"/>
              </w:rPr>
              <w:t xml:space="preserve">Reskilling Success Rate</w:t>
            </w:r>
          </w:p>
        </w:tc>
        <w:tc>
          <w:tcPr>
            <w:tcW w:type="dxa" w:w="2000"/>
            <w:tcBorders>
              <w:top w:val="single" w:color="999999" w:sz="1"/>
              <w:left w:val="single" w:color="999999" w:sz="1"/>
              <w:bottom w:val="single" w:color="999999" w:sz="1"/>
              <w:right w:val="single" w:color="999999"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20"/>
                <w:szCs w:val="20"/>
              </w:rPr>
              <w:t xml:space="preserve">Avg. Unemployment Duration</w:t>
            </w:r>
          </w:p>
        </w:tc>
        <w:tc>
          <w:tcPr>
            <w:tcW w:type="dxa" w:w="1760"/>
            <w:tcBorders>
              <w:top w:val="single" w:color="999999" w:sz="1"/>
              <w:left w:val="single" w:color="999999" w:sz="1"/>
              <w:bottom w:val="single" w:color="999999" w:sz="1"/>
              <w:right w:val="single" w:color="999999"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20"/>
                <w:szCs w:val="20"/>
              </w:rPr>
              <w:t xml:space="preserve">Wage Scarring</w:t>
            </w:r>
          </w:p>
        </w:tc>
        <w:tc>
          <w:tcPr>
            <w:tcW w:type="dxa" w:w="2000"/>
            <w:tcBorders>
              <w:top w:val="single" w:color="999999" w:sz="1"/>
              <w:left w:val="single" w:color="999999" w:sz="1"/>
              <w:bottom w:val="single" w:color="999999" w:sz="1"/>
              <w:right w:val="single" w:color="999999"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20"/>
                <w:szCs w:val="20"/>
              </w:rPr>
              <w:t xml:space="preserve">Net Impact by Y5</w:t>
            </w:r>
          </w:p>
        </w:tc>
      </w:tr>
      <w:tr>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Arial" w:cs="Arial" w:eastAsia="Arial" w:hAnsi="Arial"/>
                <w:color w:val="1A1A1A"/>
                <w:sz w:val="19"/>
                <w:szCs w:val="19"/>
              </w:rPr>
              <w:t xml:space="preserve">Optimistic (reskilling works)</w:t>
            </w:r>
          </w:p>
        </w:tc>
        <w:tc>
          <w:tcPr>
            <w:tcW w:type="dxa" w:w="16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Arial" w:cs="Arial" w:eastAsia="Arial" w:hAnsi="Arial"/>
                <w:color w:val="1A1A1A"/>
                <w:sz w:val="19"/>
                <w:szCs w:val="19"/>
              </w:rPr>
              <w:t xml:space="preserve">50%+</w:t>
            </w:r>
          </w:p>
        </w:tc>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Arial" w:cs="Arial" w:eastAsia="Arial" w:hAnsi="Arial"/>
                <w:color w:val="1A1A1A"/>
                <w:sz w:val="19"/>
                <w:szCs w:val="19"/>
              </w:rPr>
              <w:t xml:space="preserve">6-9 months</w:t>
            </w:r>
          </w:p>
        </w:tc>
        <w:tc>
          <w:tcPr>
            <w:tcW w:type="dxa" w:w="176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Arial" w:cs="Arial" w:eastAsia="Arial" w:hAnsi="Arial"/>
                <w:color w:val="1A1A1A"/>
                <w:sz w:val="19"/>
                <w:szCs w:val="19"/>
              </w:rPr>
              <w:t xml:space="preserve">-5 to -10%</w:t>
            </w:r>
          </w:p>
        </w:tc>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Arial" w:cs="Arial" w:eastAsia="Arial" w:hAnsi="Arial"/>
                <w:color w:val="1A1A1A"/>
                <w:sz w:val="19"/>
                <w:szCs w:val="19"/>
              </w:rPr>
              <w:t xml:space="preserve">Manageable transition</w:t>
            </w:r>
          </w:p>
        </w:tc>
      </w:tr>
      <w:tr>
        <w:tc>
          <w:tcPr>
            <w:tcW w:type="dxa" w:w="2000"/>
            <w:tcBorders>
              <w:top w:val="single" w:color="999999" w:sz="1"/>
              <w:left w:val="single" w:color="999999" w:sz="1"/>
              <w:bottom w:val="single" w:color="999999" w:sz="1"/>
              <w:right w:val="single" w:color="999999" w:sz="1"/>
            </w:tcBorders>
            <w:shd w:fill="EDF2F7" w:val="clear"/>
            <w:tcMar>
              <w:top w:type="dxa" w:w="60"/>
              <w:left w:type="dxa" w:w="100"/>
              <w:bottom w:type="dxa" w:w="60"/>
              <w:right w:type="dxa" w:w="100"/>
            </w:tcMar>
            <w:vAlign w:val="center"/>
          </w:tcPr>
          <w:p>
            <w:pPr>
              <w:spacing w:after="0"/>
            </w:pPr>
            <w:r>
              <w:rPr>
                <w:rFonts w:ascii="Arial" w:cs="Arial" w:eastAsia="Arial" w:hAnsi="Arial"/>
                <w:color w:val="1A1A1A"/>
                <w:sz w:val="19"/>
                <w:szCs w:val="19"/>
              </w:rPr>
              <w:t xml:space="preserve">Base Case</w:t>
            </w:r>
          </w:p>
        </w:tc>
        <w:tc>
          <w:tcPr>
            <w:tcW w:type="dxa" w:w="1600"/>
            <w:tcBorders>
              <w:top w:val="single" w:color="999999" w:sz="1"/>
              <w:left w:val="single" w:color="999999" w:sz="1"/>
              <w:bottom w:val="single" w:color="999999" w:sz="1"/>
              <w:right w:val="single" w:color="999999" w:sz="1"/>
            </w:tcBorders>
            <w:shd w:fill="EDF2F7" w:val="clear"/>
            <w:tcMar>
              <w:top w:type="dxa" w:w="60"/>
              <w:left w:type="dxa" w:w="100"/>
              <w:bottom w:type="dxa" w:w="60"/>
              <w:right w:type="dxa" w:w="100"/>
            </w:tcMar>
            <w:vAlign w:val="center"/>
          </w:tcPr>
          <w:p>
            <w:pPr>
              <w:spacing w:after="0"/>
            </w:pPr>
            <w:r>
              <w:rPr>
                <w:rFonts w:ascii="Arial" w:cs="Arial" w:eastAsia="Arial" w:hAnsi="Arial"/>
                <w:color w:val="1A1A1A"/>
                <w:sz w:val="19"/>
                <w:szCs w:val="19"/>
              </w:rPr>
              <w:t xml:space="preserve">25-35%</w:t>
            </w:r>
          </w:p>
        </w:tc>
        <w:tc>
          <w:tcPr>
            <w:tcW w:type="dxa" w:w="2000"/>
            <w:tcBorders>
              <w:top w:val="single" w:color="999999" w:sz="1"/>
              <w:left w:val="single" w:color="999999" w:sz="1"/>
              <w:bottom w:val="single" w:color="999999" w:sz="1"/>
              <w:right w:val="single" w:color="999999" w:sz="1"/>
            </w:tcBorders>
            <w:shd w:fill="EDF2F7" w:val="clear"/>
            <w:tcMar>
              <w:top w:type="dxa" w:w="60"/>
              <w:left w:type="dxa" w:w="100"/>
              <w:bottom w:type="dxa" w:w="60"/>
              <w:right w:type="dxa" w:w="100"/>
            </w:tcMar>
            <w:vAlign w:val="center"/>
          </w:tcPr>
          <w:p>
            <w:pPr>
              <w:spacing w:after="0"/>
            </w:pPr>
            <w:r>
              <w:rPr>
                <w:rFonts w:ascii="Arial" w:cs="Arial" w:eastAsia="Arial" w:hAnsi="Arial"/>
                <w:color w:val="1A1A1A"/>
                <w:sz w:val="19"/>
                <w:szCs w:val="19"/>
              </w:rPr>
              <w:t xml:space="preserve">12-18 months</w:t>
            </w:r>
          </w:p>
        </w:tc>
        <w:tc>
          <w:tcPr>
            <w:tcW w:type="dxa" w:w="1760"/>
            <w:tcBorders>
              <w:top w:val="single" w:color="999999" w:sz="1"/>
              <w:left w:val="single" w:color="999999" w:sz="1"/>
              <w:bottom w:val="single" w:color="999999" w:sz="1"/>
              <w:right w:val="single" w:color="999999" w:sz="1"/>
            </w:tcBorders>
            <w:shd w:fill="EDF2F7" w:val="clear"/>
            <w:tcMar>
              <w:top w:type="dxa" w:w="60"/>
              <w:left w:type="dxa" w:w="100"/>
              <w:bottom w:type="dxa" w:w="60"/>
              <w:right w:type="dxa" w:w="100"/>
            </w:tcMar>
            <w:vAlign w:val="center"/>
          </w:tcPr>
          <w:p>
            <w:pPr>
              <w:spacing w:after="0"/>
            </w:pPr>
            <w:r>
              <w:rPr>
                <w:rFonts w:ascii="Arial" w:cs="Arial" w:eastAsia="Arial" w:hAnsi="Arial"/>
                <w:color w:val="1A1A1A"/>
                <w:sz w:val="19"/>
                <w:szCs w:val="19"/>
              </w:rPr>
              <w:t xml:space="preserve">-15 to -25%</w:t>
            </w:r>
          </w:p>
        </w:tc>
        <w:tc>
          <w:tcPr>
            <w:tcW w:type="dxa" w:w="2000"/>
            <w:tcBorders>
              <w:top w:val="single" w:color="999999" w:sz="1"/>
              <w:left w:val="single" w:color="999999" w:sz="1"/>
              <w:bottom w:val="single" w:color="999999" w:sz="1"/>
              <w:right w:val="single" w:color="999999" w:sz="1"/>
            </w:tcBorders>
            <w:shd w:fill="EDF2F7" w:val="clear"/>
            <w:tcMar>
              <w:top w:type="dxa" w:w="60"/>
              <w:left w:type="dxa" w:w="100"/>
              <w:bottom w:type="dxa" w:w="60"/>
              <w:right w:type="dxa" w:w="100"/>
            </w:tcMar>
            <w:vAlign w:val="center"/>
          </w:tcPr>
          <w:p>
            <w:pPr>
              <w:spacing w:after="0"/>
            </w:pPr>
            <w:r>
              <w:rPr>
                <w:rFonts w:ascii="Arial" w:cs="Arial" w:eastAsia="Arial" w:hAnsi="Arial"/>
                <w:color w:val="1A1A1A"/>
                <w:sz w:val="19"/>
                <w:szCs w:val="19"/>
              </w:rPr>
              <w:t xml:space="preserve">Significant but recoverable</w:t>
            </w:r>
          </w:p>
        </w:tc>
      </w:tr>
      <w:tr>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Arial" w:cs="Arial" w:eastAsia="Arial" w:hAnsi="Arial"/>
                <w:color w:val="1A1A1A"/>
                <w:sz w:val="19"/>
                <w:szCs w:val="19"/>
              </w:rPr>
              <w:t xml:space="preserve">Pessimistic (reskilling fails)</w:t>
            </w:r>
          </w:p>
        </w:tc>
        <w:tc>
          <w:tcPr>
            <w:tcW w:type="dxa" w:w="16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Arial" w:cs="Arial" w:eastAsia="Arial" w:hAnsi="Arial"/>
                <w:color w:val="1A1A1A"/>
                <w:sz w:val="19"/>
                <w:szCs w:val="19"/>
              </w:rPr>
              <w:t xml:space="preserve">&lt;15%</w:t>
            </w:r>
          </w:p>
        </w:tc>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Arial" w:cs="Arial" w:eastAsia="Arial" w:hAnsi="Arial"/>
                <w:color w:val="1A1A1A"/>
                <w:sz w:val="19"/>
                <w:szCs w:val="19"/>
              </w:rPr>
              <w:t xml:space="preserve">24-36 months</w:t>
            </w:r>
          </w:p>
        </w:tc>
        <w:tc>
          <w:tcPr>
            <w:tcW w:type="dxa" w:w="176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Arial" w:cs="Arial" w:eastAsia="Arial" w:hAnsi="Arial"/>
                <w:color w:val="1A1A1A"/>
                <w:sz w:val="19"/>
                <w:szCs w:val="19"/>
              </w:rPr>
              <w:t xml:space="preserve">-25 to -40%</w:t>
            </w:r>
          </w:p>
        </w:tc>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Arial" w:cs="Arial" w:eastAsia="Arial" w:hAnsi="Arial"/>
                <w:color w:val="1A1A1A"/>
                <w:sz w:val="19"/>
                <w:szCs w:val="19"/>
              </w:rPr>
              <w:t xml:space="preserve">Structural distress</w:t>
            </w:r>
          </w:p>
        </w:tc>
      </w:tr>
    </w:tbl>
    <w:p>
      <w:pPr>
        <w:spacing w:after="200"/>
      </w:pPr>
    </w:p>
    <w:p>
      <w:pPr>
        <w:pStyle w:val="Heading2"/>
      </w:pPr>
      <w:r>
        <w:t xml:space="preserve">7.3 AI Capability Ceiling Sensitivity</w:t>
      </w:r>
    </w:p>
    <w:p>
      <w:pPr>
        <w:spacing w:after="120"/>
      </w:pPr>
      <w:r>
        <w:rPr>
          <w:b/>
          <w:bCs/>
        </w:rPr>
        <w:t xml:space="preserve">Plateau scenario (AI capability stalls at current GPT-4/5 level): </w:t>
      </w:r>
      <w:r>
        <w:t xml:space="preserve">Displacement is limited to currently automatable tasks, affecting approximately 5-8% of US employment. Productivity gains remain modest, consistent with Acemoglu (2025) estimates of 0.53-0.71% cumulative TFP over 10 years. Financial institution impact is manageable. This scenario significantly reduces the severity of C1 and increases the probability of C2 (backlash driven partly by disappointment with AI capabilities relative to investment).</w:t>
      </w:r>
    </w:p>
    <w:p>
      <w:pPr>
        <w:spacing w:after="120"/>
      </w:pPr>
      <w:r>
        <w:rPr>
          <w:b/>
          <w:bCs/>
        </w:rPr>
        <w:t xml:space="preserve">Rapid advancement scenario (AGI-adjacent by 2028-2030): </w:t>
      </w:r>
      <w:r>
        <w:t xml:space="preserve">AI capability jumps significantly beyond current levels, enabling automation of complex judgment tasks, creative work, and multi-step reasoning. Displacement potential expands to 25-40% of US employment. All scenario severity levels shift upward dramatically. This represents the true tail risk. The probability of this outcome is assessed at 5-15% based on current AI research trajectories and the pace of capability improvement observed between 2022-2025.</w:t>
      </w:r>
    </w:p>
    <w:p>
      <w:pPr>
        <w:pStyle w:val="Heading2"/>
      </w:pPr>
      <w:r>
        <w:t xml:space="preserve">7.4 Regulatory Constraint Sensitivity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1800"/>
        <w:gridCol w:w="2000"/>
        <w:gridCol w:w="1760"/>
      </w:tblGrid>
      <w:tr>
        <w:tc>
          <w:tcPr>
            <w:tcW w:type="dxa" w:w="2000"/>
            <w:tcBorders>
              <w:top w:val="single" w:color="999999" w:sz="1"/>
              <w:left w:val="single" w:color="999999" w:sz="1"/>
              <w:bottom w:val="single" w:color="999999" w:sz="1"/>
              <w:right w:val="single" w:color="999999"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20"/>
                <w:szCs w:val="20"/>
              </w:rPr>
              <w:t xml:space="preserve">Regulatory Regime</w:t>
            </w:r>
          </w:p>
        </w:tc>
        <w:tc>
          <w:tcPr>
            <w:tcW w:type="dxa" w:w="1800"/>
            <w:tcBorders>
              <w:top w:val="single" w:color="999999" w:sz="1"/>
              <w:left w:val="single" w:color="999999" w:sz="1"/>
              <w:bottom w:val="single" w:color="999999" w:sz="1"/>
              <w:right w:val="single" w:color="999999"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20"/>
                <w:szCs w:val="20"/>
              </w:rPr>
              <w:t xml:space="preserve">AI Deployment Speed</w:t>
            </w:r>
          </w:p>
        </w:tc>
        <w:tc>
          <w:tcPr>
            <w:tcW w:type="dxa" w:w="1800"/>
            <w:tcBorders>
              <w:top w:val="single" w:color="999999" w:sz="1"/>
              <w:left w:val="single" w:color="999999" w:sz="1"/>
              <w:bottom w:val="single" w:color="999999" w:sz="1"/>
              <w:right w:val="single" w:color="999999"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20"/>
                <w:szCs w:val="20"/>
              </w:rPr>
              <w:t xml:space="preserve">Compliance Cost Impact</w:t>
            </w:r>
          </w:p>
        </w:tc>
        <w:tc>
          <w:tcPr>
            <w:tcW w:type="dxa" w:w="2000"/>
            <w:tcBorders>
              <w:top w:val="single" w:color="999999" w:sz="1"/>
              <w:left w:val="single" w:color="999999" w:sz="1"/>
              <w:bottom w:val="single" w:color="999999" w:sz="1"/>
              <w:right w:val="single" w:color="999999"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20"/>
                <w:szCs w:val="20"/>
              </w:rPr>
              <w:t xml:space="preserve">Competitive Effect</w:t>
            </w:r>
          </w:p>
        </w:tc>
        <w:tc>
          <w:tcPr>
            <w:tcW w:type="dxa" w:w="1760"/>
            <w:tcBorders>
              <w:top w:val="single" w:color="999999" w:sz="1"/>
              <w:left w:val="single" w:color="999999" w:sz="1"/>
              <w:bottom w:val="single" w:color="999999" w:sz="1"/>
              <w:right w:val="single" w:color="999999"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20"/>
                <w:szCs w:val="20"/>
              </w:rPr>
              <w:t xml:space="preserve">Systemic Risk</w:t>
            </w:r>
          </w:p>
        </w:tc>
      </w:tr>
      <w:tr>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Arial" w:cs="Arial" w:eastAsia="Arial" w:hAnsi="Arial"/>
                <w:color w:val="1A1A1A"/>
                <w:sz w:val="19"/>
                <w:szCs w:val="19"/>
              </w:rPr>
              <w:t xml:space="preserve">Permissive (current US trajectory)</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Arial" w:cs="Arial" w:eastAsia="Arial" w:hAnsi="Arial"/>
                <w:color w:val="1A1A1A"/>
                <w:sz w:val="19"/>
                <w:szCs w:val="19"/>
              </w:rPr>
              <w:t xml:space="preserve">Maximum</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Arial" w:cs="Arial" w:eastAsia="Arial" w:hAnsi="Arial"/>
                <w:color w:val="1A1A1A"/>
                <w:sz w:val="19"/>
                <w:szCs w:val="19"/>
              </w:rPr>
              <w:t xml:space="preserve">+$200-500M/yr</w:t>
            </w:r>
          </w:p>
        </w:tc>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Arial" w:cs="Arial" w:eastAsia="Arial" w:hAnsi="Arial"/>
                <w:color w:val="1A1A1A"/>
                <w:sz w:val="19"/>
                <w:szCs w:val="19"/>
              </w:rPr>
              <w:t xml:space="preserve">Favors large institutions</w:t>
            </w:r>
          </w:p>
        </w:tc>
        <w:tc>
          <w:tcPr>
            <w:tcW w:type="dxa" w:w="176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Arial" w:cs="Arial" w:eastAsia="Arial" w:hAnsi="Arial"/>
                <w:color w:val="1A1A1A"/>
                <w:sz w:val="19"/>
                <w:szCs w:val="19"/>
              </w:rPr>
              <w:t xml:space="preserve">Higher (less oversight)</w:t>
            </w:r>
          </w:p>
        </w:tc>
      </w:tr>
      <w:tr>
        <w:tc>
          <w:tcPr>
            <w:tcW w:type="dxa" w:w="2000"/>
            <w:tcBorders>
              <w:top w:val="single" w:color="999999" w:sz="1"/>
              <w:left w:val="single" w:color="999999" w:sz="1"/>
              <w:bottom w:val="single" w:color="999999" w:sz="1"/>
              <w:right w:val="single" w:color="999999" w:sz="1"/>
            </w:tcBorders>
            <w:shd w:fill="EDF2F7" w:val="clear"/>
            <w:tcMar>
              <w:top w:type="dxa" w:w="60"/>
              <w:left w:type="dxa" w:w="100"/>
              <w:bottom w:type="dxa" w:w="60"/>
              <w:right w:type="dxa" w:w="100"/>
            </w:tcMar>
            <w:vAlign w:val="center"/>
          </w:tcPr>
          <w:p>
            <w:pPr>
              <w:spacing w:after="0"/>
            </w:pPr>
            <w:r>
              <w:rPr>
                <w:rFonts w:ascii="Arial" w:cs="Arial" w:eastAsia="Arial" w:hAnsi="Arial"/>
                <w:color w:val="1A1A1A"/>
                <w:sz w:val="19"/>
                <w:szCs w:val="19"/>
              </w:rPr>
              <w:t xml:space="preserve">Moderate (EU AI Act-like)</w:t>
            </w:r>
          </w:p>
        </w:tc>
        <w:tc>
          <w:tcPr>
            <w:tcW w:type="dxa" w:w="1800"/>
            <w:tcBorders>
              <w:top w:val="single" w:color="999999" w:sz="1"/>
              <w:left w:val="single" w:color="999999" w:sz="1"/>
              <w:bottom w:val="single" w:color="999999" w:sz="1"/>
              <w:right w:val="single" w:color="999999" w:sz="1"/>
            </w:tcBorders>
            <w:shd w:fill="EDF2F7" w:val="clear"/>
            <w:tcMar>
              <w:top w:type="dxa" w:w="60"/>
              <w:left w:type="dxa" w:w="100"/>
              <w:bottom w:type="dxa" w:w="60"/>
              <w:right w:type="dxa" w:w="100"/>
            </w:tcMar>
            <w:vAlign w:val="center"/>
          </w:tcPr>
          <w:p>
            <w:pPr>
              <w:spacing w:after="0"/>
            </w:pPr>
            <w:r>
              <w:rPr>
                <w:rFonts w:ascii="Arial" w:cs="Arial" w:eastAsia="Arial" w:hAnsi="Arial"/>
                <w:color w:val="1A1A1A"/>
                <w:sz w:val="19"/>
                <w:szCs w:val="19"/>
              </w:rPr>
              <w:t xml:space="preserve">70-80% of maximum</w:t>
            </w:r>
          </w:p>
        </w:tc>
        <w:tc>
          <w:tcPr>
            <w:tcW w:type="dxa" w:w="1800"/>
            <w:tcBorders>
              <w:top w:val="single" w:color="999999" w:sz="1"/>
              <w:left w:val="single" w:color="999999" w:sz="1"/>
              <w:bottom w:val="single" w:color="999999" w:sz="1"/>
              <w:right w:val="single" w:color="999999" w:sz="1"/>
            </w:tcBorders>
            <w:shd w:fill="EDF2F7" w:val="clear"/>
            <w:tcMar>
              <w:top w:type="dxa" w:w="60"/>
              <w:left w:type="dxa" w:w="100"/>
              <w:bottom w:type="dxa" w:w="60"/>
              <w:right w:type="dxa" w:w="100"/>
            </w:tcMar>
            <w:vAlign w:val="center"/>
          </w:tcPr>
          <w:p>
            <w:pPr>
              <w:spacing w:after="0"/>
            </w:pPr>
            <w:r>
              <w:rPr>
                <w:rFonts w:ascii="Arial" w:cs="Arial" w:eastAsia="Arial" w:hAnsi="Arial"/>
                <w:color w:val="1A1A1A"/>
                <w:sz w:val="19"/>
                <w:szCs w:val="19"/>
              </w:rPr>
              <w:t xml:space="preserve">+$500M-1B/yr</w:t>
            </w:r>
          </w:p>
        </w:tc>
        <w:tc>
          <w:tcPr>
            <w:tcW w:type="dxa" w:w="2000"/>
            <w:tcBorders>
              <w:top w:val="single" w:color="999999" w:sz="1"/>
              <w:left w:val="single" w:color="999999" w:sz="1"/>
              <w:bottom w:val="single" w:color="999999" w:sz="1"/>
              <w:right w:val="single" w:color="999999" w:sz="1"/>
            </w:tcBorders>
            <w:shd w:fill="EDF2F7" w:val="clear"/>
            <w:tcMar>
              <w:top w:type="dxa" w:w="60"/>
              <w:left w:type="dxa" w:w="100"/>
              <w:bottom w:type="dxa" w:w="60"/>
              <w:right w:type="dxa" w:w="100"/>
            </w:tcMar>
            <w:vAlign w:val="center"/>
          </w:tcPr>
          <w:p>
            <w:pPr>
              <w:spacing w:after="0"/>
            </w:pPr>
            <w:r>
              <w:rPr>
                <w:rFonts w:ascii="Arial" w:cs="Arial" w:eastAsia="Arial" w:hAnsi="Arial"/>
                <w:color w:val="1A1A1A"/>
                <w:sz w:val="19"/>
                <w:szCs w:val="19"/>
              </w:rPr>
              <w:t xml:space="preserve">Level playing field</w:t>
            </w:r>
          </w:p>
        </w:tc>
        <w:tc>
          <w:tcPr>
            <w:tcW w:type="dxa" w:w="1760"/>
            <w:tcBorders>
              <w:top w:val="single" w:color="999999" w:sz="1"/>
              <w:left w:val="single" w:color="999999" w:sz="1"/>
              <w:bottom w:val="single" w:color="999999" w:sz="1"/>
              <w:right w:val="single" w:color="999999" w:sz="1"/>
            </w:tcBorders>
            <w:shd w:fill="EDF2F7" w:val="clear"/>
            <w:tcMar>
              <w:top w:type="dxa" w:w="60"/>
              <w:left w:type="dxa" w:w="100"/>
              <w:bottom w:type="dxa" w:w="60"/>
              <w:right w:type="dxa" w:w="100"/>
            </w:tcMar>
            <w:vAlign w:val="center"/>
          </w:tcPr>
          <w:p>
            <w:pPr>
              <w:spacing w:after="0"/>
            </w:pPr>
            <w:r>
              <w:rPr>
                <w:rFonts w:ascii="Arial" w:cs="Arial" w:eastAsia="Arial" w:hAnsi="Arial"/>
                <w:color w:val="1A1A1A"/>
                <w:sz w:val="19"/>
                <w:szCs w:val="19"/>
              </w:rPr>
              <w:t xml:space="preserve">Moderate</w:t>
            </w:r>
          </w:p>
        </w:tc>
      </w:tr>
      <w:tr>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Arial" w:cs="Arial" w:eastAsia="Arial" w:hAnsi="Arial"/>
                <w:color w:val="1A1A1A"/>
                <w:sz w:val="19"/>
                <w:szCs w:val="19"/>
              </w:rPr>
              <w:t xml:space="preserve">Severely Restrictive (post-backlash)</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Arial" w:cs="Arial" w:eastAsia="Arial" w:hAnsi="Arial"/>
                <w:color w:val="1A1A1A"/>
                <w:sz w:val="19"/>
                <w:szCs w:val="19"/>
              </w:rPr>
              <w:t xml:space="preserve">30-40% of maximum</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Arial" w:cs="Arial" w:eastAsia="Arial" w:hAnsi="Arial"/>
                <w:color w:val="1A1A1A"/>
                <w:sz w:val="19"/>
                <w:szCs w:val="19"/>
              </w:rPr>
              <w:t xml:space="preserve">+$1-3B/yr</w:t>
            </w:r>
          </w:p>
        </w:tc>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Arial" w:cs="Arial" w:eastAsia="Arial" w:hAnsi="Arial"/>
                <w:color w:val="1A1A1A"/>
                <w:sz w:val="19"/>
                <w:szCs w:val="19"/>
              </w:rPr>
              <w:t xml:space="preserve">Favors cautious firms temporarily</w:t>
            </w:r>
          </w:p>
        </w:tc>
        <w:tc>
          <w:tcPr>
            <w:tcW w:type="dxa" w:w="176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Arial" w:cs="Arial" w:eastAsia="Arial" w:hAnsi="Arial"/>
                <w:color w:val="1A1A1A"/>
                <w:sz w:val="19"/>
                <w:szCs w:val="19"/>
              </w:rPr>
              <w:t xml:space="preserve">Lower near-term, higher long-term</w:t>
            </w:r>
          </w:p>
        </w:tc>
      </w:tr>
    </w:tbl>
    <w:p>
      <w:pPr>
        <w:spacing w:after="200"/>
      </w:pPr>
    </w:p>
    <w:p>
      <w:r>
        <w:br w:type="page"/>
      </w:r>
    </w:p>
    <w:p>
      <w:pPr>
        <w:spacing w:before="600" w:after="400"/>
        <w:jc w:val="center"/>
      </w:pPr>
      <w:r>
        <w:rPr>
          <w:rFonts w:ascii="Arial" w:cs="Arial" w:eastAsia="Arial" w:hAnsi="Arial"/>
          <w:b/>
          <w:bCs/>
          <w:color w:val="1B3A5C"/>
          <w:sz w:val="36"/>
          <w:szCs w:val="36"/>
        </w:rPr>
        <w:t xml:space="preserve">PART IV: STRATEGIC IMPLICATIONS &amp; RECOMMENDATIONS</w:t>
      </w:r>
    </w:p>
    <w:p>
      <w:r>
        <w:br w:type="page"/>
      </w:r>
    </w:p>
    <w:p>
      <w:pPr>
        <w:pStyle w:val="Heading1"/>
      </w:pPr>
      <w:r>
        <w:t xml:space="preserve">8. Risk Appetite Framework for AI Transformation</w:t>
      </w:r>
    </w:p>
    <w:p>
      <w:pPr>
        <w:pStyle w:val="Heading2"/>
      </w:pPr>
      <w:r>
        <w:t xml:space="preserve">8.1 Risk Appetite Dimensions</w:t>
      </w:r>
    </w:p>
    <w:p>
      <w:pPr>
        <w:spacing w:after="120"/>
      </w:pPr>
      <w:r>
        <w:t xml:space="preserve">A financial institution's AI transformation risk appetite should be formally defined across four dimensions, each with explicit board-approved boundaries:</w:t>
      </w:r>
    </w:p>
    <w:p>
      <w:pPr>
        <w:spacing w:after="120"/>
      </w:pPr>
      <w:r>
        <w:rPr>
          <w:b/>
          <w:bCs/>
        </w:rPr>
        <w:t xml:space="preserve">Adoption Speed Risk Appetite. </w:t>
      </w:r>
      <w:r>
        <w:t xml:space="preserve">This dimension defines whether the institution positions as a first mover, fast follower, or cautious adopter. The analysis in this framework suggests that fast follower positioning optimizes the risk-return tradeoff for most large institutions: it avoids the execution risks of first-mover status (Scenario A1) while preventing the competitive erosion of excessive caution (Scenario B1). The board should approve a specific adoption speed target, defined as the percentage of processes AI-enabled by year, benchmarked against peer institutions. Recommended range: 60-80th percentile of peer adoption rates.</w:t>
      </w:r>
    </w:p>
    <w:p>
      <w:pPr>
        <w:spacing w:after="120"/>
      </w:pPr>
      <w:r>
        <w:rPr>
          <w:b/>
          <w:bCs/>
        </w:rPr>
        <w:t xml:space="preserve">Workforce Reduction Risk Appetite. </w:t>
      </w:r>
      <w:r>
        <w:t xml:space="preserve">This dimension governs the speed and magnitude of AI-driven workforce changes. Options range from aggressive reduction (maximize headcount savings, accept legal and reputational risk) to attrition-only (no involuntary separations, manage through natural turnover and hiring freezes) to no-net-reduction (any AI-displaced roles are matched by creation of new roles). Current industry trajectory is moving toward attrition-plus-selective-reduction. JPMorgan has signaled a 10% operations headcount decline over five years through managed attrition. Klarna has reduced headcount from 7,400 to approximately 3,000. The board should approve explicit annual headcount change boundaries by function, severance budget allocations, and reskilling investment commitments.</w:t>
      </w:r>
    </w:p>
    <w:p>
      <w:pPr>
        <w:spacing w:after="120"/>
      </w:pPr>
      <w:r>
        <w:rPr>
          <w:b/>
          <w:bCs/>
        </w:rPr>
        <w:t xml:space="preserve">Technology Concentration Risk Appetite. </w:t>
      </w:r>
      <w:r>
        <w:t xml:space="preserve">This dimension addresses the systemic risk identified by the FSB regarding dependency on a small number of AI providers. Options range from single-provider (maximize efficiency, accept concentration risk) to multi-provider (maintain two to three providers with demonstrated portability) to in-house-first (build proprietary AI capabilities, supplement with providers for non-critical functions). The FSB's October 2025 report recommends that authorities monitor and potentially limit financial institutions' reliance on concentrated AI supply chains. The board should approve maximum dependency thresholds for any single AI provider, measured as percentage of AI workloads.</w:t>
      </w:r>
    </w:p>
    <w:p>
      <w:pPr>
        <w:spacing w:after="120"/>
      </w:pPr>
      <w:r>
        <w:rPr>
          <w:b/>
          <w:bCs/>
        </w:rPr>
        <w:t xml:space="preserve">Regulatory Risk Appetite. </w:t>
      </w:r>
      <w:r>
        <w:t xml:space="preserve">This dimension defines the institution's positioning relative to the evolving regulatory landscape. Options range from push-the-envelope (deploy AI to the maximum extent current regulation permits, advocate for permissive frameworks) to stay-well-within-guidance (maintain conservative margins above regulatory expectations, avoid being the institution that triggers restrictive rulemaking) to wait-for-explicit-approval (do not deploy AI in regulatory-sensitive functions until explicit guidance is provided). Given the GAO May 2025 report finding that existing model risk management principles already apply to AI but that regulators are still developing specific AI guidance, the recommended positioning is slightly ahead of explicit guidance but well within the spirit of existing supervisory expectations.</w:t>
      </w:r>
    </w:p>
    <w:p>
      <w:pPr>
        <w:pStyle w:val="Heading2"/>
      </w:pPr>
      <w:r>
        <w:t xml:space="preserve">8.2 Risk Appetite Statement Templates</w:t>
      </w:r>
    </w:p>
    <w:p>
      <w:pPr>
        <w:spacing w:after="120"/>
      </w:pPr>
      <w:r>
        <w:rPr>
          <w:i/>
          <w:iCs/>
        </w:rPr>
        <w:t xml:space="preserve">Template: Adoption Speed</w:t>
      </w:r>
      <w:r>
        <w:t xml:space="preserve"> | "The institution will maintain AI adoption rates at or above the 70th percentile of peer institutions (as measured by the Evident AI Index or equivalent benchmark), with a maximum gap of [X] months behind the fastest-adopting peer in any critical function. The institution will not be the first mover in unproven AI applications in regulatory-sensitive domains, but will deploy proven AI capabilities within [Y] months of peer validation."</w:t>
      </w:r>
    </w:p>
    <w:p>
      <w:pPr>
        <w:spacing w:after="120"/>
      </w:pPr>
      <w:r>
        <w:rPr>
          <w:i/>
          <w:iCs/>
        </w:rPr>
        <w:t xml:space="preserve">Template: Workforce</w:t>
      </w:r>
      <w:r>
        <w:t xml:space="preserve"> | "The institution targets cumulative headcount adjustment of [X-Y%] over [Z] years through AI-enabled productivity improvements. No more than [X%] of adjustments in any given year will be involuntary separations. The institution will invest no less than $[X] per affected employee in reskilling and transition support. All workforce adjustments will be reviewed for disparate impact before execution. The institution will publicly commit to [specific workforce commitments] and report progress in its annual report."</w:t>
      </w:r>
    </w:p>
    <w:p>
      <w:pPr>
        <w:spacing w:after="120"/>
      </w:pPr>
      <w:r>
        <w:rPr>
          <w:i/>
          <w:iCs/>
        </w:rPr>
        <w:t xml:space="preserve">Template: Technology Concentration</w:t>
      </w:r>
      <w:r>
        <w:t xml:space="preserve"> | "No single AI provider will account for more than [X%] of the institution's production AI workloads. The institution will maintain demonstrated ability to migrate [Y%] of critical AI workloads to an alternative provider within [Z] days. Annual concentration risk assessment will be conducted and reported to the Technology Committee of the Board."</w:t>
      </w:r>
    </w:p>
    <w:p>
      <w:r>
        <w:br w:type="page"/>
      </w:r>
    </w:p>
    <w:p>
      <w:pPr>
        <w:pStyle w:val="Heading1"/>
      </w:pPr>
      <w:r>
        <w:t xml:space="preserve">9. Monitoring and Early Warning Indicator Dashboard</w:t>
      </w:r>
    </w:p>
    <w:p>
      <w:pPr>
        <w:spacing w:after="120"/>
      </w:pPr>
      <w:r>
        <w:t xml:space="preserve">The following dashboard of leading indicators is designed to signal which scenario trajectory is materializing, enabling proactive strategic response. Each indicator specifies data source, refresh frequency, and threshold levels.</w:t>
      </w:r>
    </w:p>
    <w:p>
      <w:pPr>
        <w:pStyle w:val="Heading2"/>
      </w:pPr>
      <w:r>
        <w:t xml:space="preserve">9.1 Macroeconomic Indicators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900"/>
        <w:gridCol w:w="700"/>
        <w:gridCol w:w="1200"/>
        <w:gridCol w:w="1200"/>
        <w:gridCol w:w="1200"/>
        <w:gridCol w:w="1360"/>
      </w:tblGrid>
      <w:tr>
        <w:tc>
          <w:tcPr>
            <w:tcW w:type="dxa" w:w="1800"/>
            <w:tcBorders>
              <w:top w:val="single" w:color="999999" w:sz="1"/>
              <w:left w:val="single" w:color="999999" w:sz="1"/>
              <w:bottom w:val="single" w:color="999999" w:sz="1"/>
              <w:right w:val="single" w:color="999999"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20"/>
                <w:szCs w:val="20"/>
              </w:rPr>
              <w:t xml:space="preserve">Indicator</w:t>
            </w:r>
          </w:p>
        </w:tc>
        <w:tc>
          <w:tcPr>
            <w:tcW w:type="dxa" w:w="900"/>
            <w:tcBorders>
              <w:top w:val="single" w:color="999999" w:sz="1"/>
              <w:left w:val="single" w:color="999999" w:sz="1"/>
              <w:bottom w:val="single" w:color="999999" w:sz="1"/>
              <w:right w:val="single" w:color="999999"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20"/>
                <w:szCs w:val="20"/>
              </w:rPr>
              <w:t xml:space="preserve">Source</w:t>
            </w:r>
          </w:p>
        </w:tc>
        <w:tc>
          <w:tcPr>
            <w:tcW w:type="dxa" w:w="700"/>
            <w:tcBorders>
              <w:top w:val="single" w:color="999999" w:sz="1"/>
              <w:left w:val="single" w:color="999999" w:sz="1"/>
              <w:bottom w:val="single" w:color="999999" w:sz="1"/>
              <w:right w:val="single" w:color="999999"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20"/>
                <w:szCs w:val="20"/>
              </w:rPr>
              <w:t xml:space="preserve">Frequency</w:t>
            </w:r>
          </w:p>
        </w:tc>
        <w:tc>
          <w:tcPr>
            <w:tcW w:type="dxa" w:w="1200"/>
            <w:tcBorders>
              <w:top w:val="single" w:color="999999" w:sz="1"/>
              <w:left w:val="single" w:color="999999" w:sz="1"/>
              <w:bottom w:val="single" w:color="999999" w:sz="1"/>
              <w:right w:val="single" w:color="999999"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20"/>
                <w:szCs w:val="20"/>
              </w:rPr>
              <w:t xml:space="preserve">Green</w:t>
            </w:r>
          </w:p>
        </w:tc>
        <w:tc>
          <w:tcPr>
            <w:tcW w:type="dxa" w:w="1200"/>
            <w:tcBorders>
              <w:top w:val="single" w:color="999999" w:sz="1"/>
              <w:left w:val="single" w:color="999999" w:sz="1"/>
              <w:bottom w:val="single" w:color="999999" w:sz="1"/>
              <w:right w:val="single" w:color="999999"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20"/>
                <w:szCs w:val="20"/>
              </w:rPr>
              <w:t xml:space="preserve">Yellow</w:t>
            </w:r>
          </w:p>
        </w:tc>
        <w:tc>
          <w:tcPr>
            <w:tcW w:type="dxa" w:w="1200"/>
            <w:tcBorders>
              <w:top w:val="single" w:color="999999" w:sz="1"/>
              <w:left w:val="single" w:color="999999" w:sz="1"/>
              <w:bottom w:val="single" w:color="999999" w:sz="1"/>
              <w:right w:val="single" w:color="999999"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20"/>
                <w:szCs w:val="20"/>
              </w:rPr>
              <w:t xml:space="preserve">Red</w:t>
            </w:r>
          </w:p>
        </w:tc>
        <w:tc>
          <w:tcPr>
            <w:tcW w:type="dxa" w:w="1360"/>
            <w:tcBorders>
              <w:top w:val="single" w:color="999999" w:sz="1"/>
              <w:left w:val="single" w:color="999999" w:sz="1"/>
              <w:bottom w:val="single" w:color="999999" w:sz="1"/>
              <w:right w:val="single" w:color="999999"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20"/>
                <w:szCs w:val="20"/>
              </w:rPr>
              <w:t xml:space="preserve">Scenario Signal</w:t>
            </w:r>
          </w:p>
        </w:tc>
      </w:tr>
      <w:tr>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Arial" w:cs="Arial" w:eastAsia="Arial" w:hAnsi="Arial"/>
                <w:color w:val="1A1A1A"/>
                <w:sz w:val="19"/>
                <w:szCs w:val="19"/>
              </w:rPr>
              <w:t xml:space="preserve">Initial Jobless Claims (tech/prof svcs)</w:t>
            </w:r>
          </w:p>
        </w:tc>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Arial" w:cs="Arial" w:eastAsia="Arial" w:hAnsi="Arial"/>
                <w:color w:val="1A1A1A"/>
                <w:sz w:val="19"/>
                <w:szCs w:val="19"/>
              </w:rPr>
              <w:t xml:space="preserve">DOL</w:t>
            </w:r>
          </w:p>
        </w:tc>
        <w:tc>
          <w:tcPr>
            <w:tcW w:type="dxa" w:w="7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Arial" w:cs="Arial" w:eastAsia="Arial" w:hAnsi="Arial"/>
                <w:color w:val="1A1A1A"/>
                <w:sz w:val="19"/>
                <w:szCs w:val="19"/>
              </w:rPr>
              <w:t xml:space="preserve">Weekly</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Arial" w:cs="Arial" w:eastAsia="Arial" w:hAnsi="Arial"/>
                <w:color w:val="1A1A1A"/>
                <w:sz w:val="19"/>
                <w:szCs w:val="19"/>
              </w:rPr>
              <w:t xml:space="preserve">&lt;250K</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Arial" w:cs="Arial" w:eastAsia="Arial" w:hAnsi="Arial"/>
                <w:color w:val="1A1A1A"/>
                <w:sz w:val="19"/>
                <w:szCs w:val="19"/>
              </w:rPr>
              <w:t xml:space="preserve">250-350K</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Arial" w:cs="Arial" w:eastAsia="Arial" w:hAnsi="Arial"/>
                <w:color w:val="1A1A1A"/>
                <w:sz w:val="19"/>
                <w:szCs w:val="19"/>
              </w:rPr>
              <w:t xml:space="preserve">&gt;350K</w:t>
            </w:r>
          </w:p>
        </w:tc>
        <w:tc>
          <w:tcPr>
            <w:tcW w:type="dxa" w:w="136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Arial" w:cs="Arial" w:eastAsia="Arial" w:hAnsi="Arial"/>
                <w:color w:val="1A1A1A"/>
                <w:sz w:val="19"/>
                <w:szCs w:val="19"/>
              </w:rPr>
              <w:t xml:space="preserve">C1</w:t>
            </w:r>
          </w:p>
        </w:tc>
      </w:tr>
      <w:tr>
        <w:tc>
          <w:tcPr>
            <w:tcW w:type="dxa" w:w="1800"/>
            <w:tcBorders>
              <w:top w:val="single" w:color="999999" w:sz="1"/>
              <w:left w:val="single" w:color="999999" w:sz="1"/>
              <w:bottom w:val="single" w:color="999999" w:sz="1"/>
              <w:right w:val="single" w:color="999999" w:sz="1"/>
            </w:tcBorders>
            <w:shd w:fill="EDF2F7" w:val="clear"/>
            <w:tcMar>
              <w:top w:type="dxa" w:w="60"/>
              <w:left w:type="dxa" w:w="100"/>
              <w:bottom w:type="dxa" w:w="60"/>
              <w:right w:type="dxa" w:w="100"/>
            </w:tcMar>
            <w:vAlign w:val="center"/>
          </w:tcPr>
          <w:p>
            <w:pPr>
              <w:spacing w:after="0"/>
            </w:pPr>
            <w:r>
              <w:rPr>
                <w:rFonts w:ascii="Arial" w:cs="Arial" w:eastAsia="Arial" w:hAnsi="Arial"/>
                <w:color w:val="1A1A1A"/>
                <w:sz w:val="19"/>
                <w:szCs w:val="19"/>
              </w:rPr>
              <w:t xml:space="preserve">Unemployment by Occupation (white-collar)</w:t>
            </w:r>
          </w:p>
        </w:tc>
        <w:tc>
          <w:tcPr>
            <w:tcW w:type="dxa" w:w="900"/>
            <w:tcBorders>
              <w:top w:val="single" w:color="999999" w:sz="1"/>
              <w:left w:val="single" w:color="999999" w:sz="1"/>
              <w:bottom w:val="single" w:color="999999" w:sz="1"/>
              <w:right w:val="single" w:color="999999" w:sz="1"/>
            </w:tcBorders>
            <w:shd w:fill="EDF2F7" w:val="clear"/>
            <w:tcMar>
              <w:top w:type="dxa" w:w="60"/>
              <w:left w:type="dxa" w:w="100"/>
              <w:bottom w:type="dxa" w:w="60"/>
              <w:right w:type="dxa" w:w="100"/>
            </w:tcMar>
            <w:vAlign w:val="center"/>
          </w:tcPr>
          <w:p>
            <w:pPr>
              <w:spacing w:after="0"/>
            </w:pPr>
            <w:r>
              <w:rPr>
                <w:rFonts w:ascii="Arial" w:cs="Arial" w:eastAsia="Arial" w:hAnsi="Arial"/>
                <w:color w:val="1A1A1A"/>
                <w:sz w:val="19"/>
                <w:szCs w:val="19"/>
              </w:rPr>
              <w:t xml:space="preserve">BLS CPS</w:t>
            </w:r>
          </w:p>
        </w:tc>
        <w:tc>
          <w:tcPr>
            <w:tcW w:type="dxa" w:w="700"/>
            <w:tcBorders>
              <w:top w:val="single" w:color="999999" w:sz="1"/>
              <w:left w:val="single" w:color="999999" w:sz="1"/>
              <w:bottom w:val="single" w:color="999999" w:sz="1"/>
              <w:right w:val="single" w:color="999999" w:sz="1"/>
            </w:tcBorders>
            <w:shd w:fill="EDF2F7" w:val="clear"/>
            <w:tcMar>
              <w:top w:type="dxa" w:w="60"/>
              <w:left w:type="dxa" w:w="100"/>
              <w:bottom w:type="dxa" w:w="60"/>
              <w:right w:type="dxa" w:w="100"/>
            </w:tcMar>
            <w:vAlign w:val="center"/>
          </w:tcPr>
          <w:p>
            <w:pPr>
              <w:spacing w:after="0"/>
            </w:pPr>
            <w:r>
              <w:rPr>
                <w:rFonts w:ascii="Arial" w:cs="Arial" w:eastAsia="Arial" w:hAnsi="Arial"/>
                <w:color w:val="1A1A1A"/>
                <w:sz w:val="19"/>
                <w:szCs w:val="19"/>
              </w:rPr>
              <w:t xml:space="preserve">Monthly</w:t>
            </w:r>
          </w:p>
        </w:tc>
        <w:tc>
          <w:tcPr>
            <w:tcW w:type="dxa" w:w="1200"/>
            <w:tcBorders>
              <w:top w:val="single" w:color="999999" w:sz="1"/>
              <w:left w:val="single" w:color="999999" w:sz="1"/>
              <w:bottom w:val="single" w:color="999999" w:sz="1"/>
              <w:right w:val="single" w:color="999999" w:sz="1"/>
            </w:tcBorders>
            <w:shd w:fill="EDF2F7" w:val="clear"/>
            <w:tcMar>
              <w:top w:type="dxa" w:w="60"/>
              <w:left w:type="dxa" w:w="100"/>
              <w:bottom w:type="dxa" w:w="60"/>
              <w:right w:type="dxa" w:w="100"/>
            </w:tcMar>
            <w:vAlign w:val="center"/>
          </w:tcPr>
          <w:p>
            <w:pPr>
              <w:spacing w:after="0"/>
            </w:pPr>
            <w:r>
              <w:rPr>
                <w:rFonts w:ascii="Arial" w:cs="Arial" w:eastAsia="Arial" w:hAnsi="Arial"/>
                <w:color w:val="1A1A1A"/>
                <w:sz w:val="19"/>
                <w:szCs w:val="19"/>
              </w:rPr>
              <w:t xml:space="preserve">&lt;4.5%</w:t>
            </w:r>
          </w:p>
        </w:tc>
        <w:tc>
          <w:tcPr>
            <w:tcW w:type="dxa" w:w="1200"/>
            <w:tcBorders>
              <w:top w:val="single" w:color="999999" w:sz="1"/>
              <w:left w:val="single" w:color="999999" w:sz="1"/>
              <w:bottom w:val="single" w:color="999999" w:sz="1"/>
              <w:right w:val="single" w:color="999999" w:sz="1"/>
            </w:tcBorders>
            <w:shd w:fill="EDF2F7" w:val="clear"/>
            <w:tcMar>
              <w:top w:type="dxa" w:w="60"/>
              <w:left w:type="dxa" w:w="100"/>
              <w:bottom w:type="dxa" w:w="60"/>
              <w:right w:type="dxa" w:w="100"/>
            </w:tcMar>
            <w:vAlign w:val="center"/>
          </w:tcPr>
          <w:p>
            <w:pPr>
              <w:spacing w:after="0"/>
            </w:pPr>
            <w:r>
              <w:rPr>
                <w:rFonts w:ascii="Arial" w:cs="Arial" w:eastAsia="Arial" w:hAnsi="Arial"/>
                <w:color w:val="1A1A1A"/>
                <w:sz w:val="19"/>
                <w:szCs w:val="19"/>
              </w:rPr>
              <w:t xml:space="preserve">4.5-6.5%</w:t>
            </w:r>
          </w:p>
        </w:tc>
        <w:tc>
          <w:tcPr>
            <w:tcW w:type="dxa" w:w="1200"/>
            <w:tcBorders>
              <w:top w:val="single" w:color="999999" w:sz="1"/>
              <w:left w:val="single" w:color="999999" w:sz="1"/>
              <w:bottom w:val="single" w:color="999999" w:sz="1"/>
              <w:right w:val="single" w:color="999999" w:sz="1"/>
            </w:tcBorders>
            <w:shd w:fill="EDF2F7" w:val="clear"/>
            <w:tcMar>
              <w:top w:type="dxa" w:w="60"/>
              <w:left w:type="dxa" w:w="100"/>
              <w:bottom w:type="dxa" w:w="60"/>
              <w:right w:type="dxa" w:w="100"/>
            </w:tcMar>
            <w:vAlign w:val="center"/>
          </w:tcPr>
          <w:p>
            <w:pPr>
              <w:spacing w:after="0"/>
            </w:pPr>
            <w:r>
              <w:rPr>
                <w:rFonts w:ascii="Arial" w:cs="Arial" w:eastAsia="Arial" w:hAnsi="Arial"/>
                <w:color w:val="1A1A1A"/>
                <w:sz w:val="19"/>
                <w:szCs w:val="19"/>
              </w:rPr>
              <w:t xml:space="preserve">&gt;6.5%</w:t>
            </w:r>
          </w:p>
        </w:tc>
        <w:tc>
          <w:tcPr>
            <w:tcW w:type="dxa" w:w="1360"/>
            <w:tcBorders>
              <w:top w:val="single" w:color="999999" w:sz="1"/>
              <w:left w:val="single" w:color="999999" w:sz="1"/>
              <w:bottom w:val="single" w:color="999999" w:sz="1"/>
              <w:right w:val="single" w:color="999999" w:sz="1"/>
            </w:tcBorders>
            <w:shd w:fill="EDF2F7" w:val="clear"/>
            <w:tcMar>
              <w:top w:type="dxa" w:w="60"/>
              <w:left w:type="dxa" w:w="100"/>
              <w:bottom w:type="dxa" w:w="60"/>
              <w:right w:type="dxa" w:w="100"/>
            </w:tcMar>
            <w:vAlign w:val="center"/>
          </w:tcPr>
          <w:p>
            <w:pPr>
              <w:spacing w:after="0"/>
            </w:pPr>
            <w:r>
              <w:rPr>
                <w:rFonts w:ascii="Arial" w:cs="Arial" w:eastAsia="Arial" w:hAnsi="Arial"/>
                <w:color w:val="1A1A1A"/>
                <w:sz w:val="19"/>
                <w:szCs w:val="19"/>
              </w:rPr>
              <w:t xml:space="preserve">C1</w:t>
            </w:r>
          </w:p>
        </w:tc>
      </w:tr>
      <w:tr>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Arial" w:cs="Arial" w:eastAsia="Arial" w:hAnsi="Arial"/>
                <w:color w:val="1A1A1A"/>
                <w:sz w:val="19"/>
                <w:szCs w:val="19"/>
              </w:rPr>
              <w:t xml:space="preserve">Consumer Confidence Index</w:t>
            </w:r>
          </w:p>
        </w:tc>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Arial" w:cs="Arial" w:eastAsia="Arial" w:hAnsi="Arial"/>
                <w:color w:val="1A1A1A"/>
                <w:sz w:val="19"/>
                <w:szCs w:val="19"/>
              </w:rPr>
              <w:t xml:space="preserve">Conf. Board</w:t>
            </w:r>
          </w:p>
        </w:tc>
        <w:tc>
          <w:tcPr>
            <w:tcW w:type="dxa" w:w="7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Arial" w:cs="Arial" w:eastAsia="Arial" w:hAnsi="Arial"/>
                <w:color w:val="1A1A1A"/>
                <w:sz w:val="19"/>
                <w:szCs w:val="19"/>
              </w:rPr>
              <w:t xml:space="preserve">Monthly</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Arial" w:cs="Arial" w:eastAsia="Arial" w:hAnsi="Arial"/>
                <w:color w:val="1A1A1A"/>
                <w:sz w:val="19"/>
                <w:szCs w:val="19"/>
              </w:rPr>
              <w:t xml:space="preserve">&gt;90</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Arial" w:cs="Arial" w:eastAsia="Arial" w:hAnsi="Arial"/>
                <w:color w:val="1A1A1A"/>
                <w:sz w:val="19"/>
                <w:szCs w:val="19"/>
              </w:rPr>
              <w:t xml:space="preserve">70-90</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Arial" w:cs="Arial" w:eastAsia="Arial" w:hAnsi="Arial"/>
                <w:color w:val="1A1A1A"/>
                <w:sz w:val="19"/>
                <w:szCs w:val="19"/>
              </w:rPr>
              <w:t xml:space="preserve">&lt;70</w:t>
            </w:r>
          </w:p>
        </w:tc>
        <w:tc>
          <w:tcPr>
            <w:tcW w:type="dxa" w:w="136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Arial" w:cs="Arial" w:eastAsia="Arial" w:hAnsi="Arial"/>
                <w:color w:val="1A1A1A"/>
                <w:sz w:val="19"/>
                <w:szCs w:val="19"/>
              </w:rPr>
              <w:t xml:space="preserve">C1</w:t>
            </w:r>
          </w:p>
        </w:tc>
      </w:tr>
      <w:tr>
        <w:tc>
          <w:tcPr>
            <w:tcW w:type="dxa" w:w="1800"/>
            <w:tcBorders>
              <w:top w:val="single" w:color="999999" w:sz="1"/>
              <w:left w:val="single" w:color="999999" w:sz="1"/>
              <w:bottom w:val="single" w:color="999999" w:sz="1"/>
              <w:right w:val="single" w:color="999999" w:sz="1"/>
            </w:tcBorders>
            <w:shd w:fill="EDF2F7" w:val="clear"/>
            <w:tcMar>
              <w:top w:type="dxa" w:w="60"/>
              <w:left w:type="dxa" w:w="100"/>
              <w:bottom w:type="dxa" w:w="60"/>
              <w:right w:type="dxa" w:w="100"/>
            </w:tcMar>
            <w:vAlign w:val="center"/>
          </w:tcPr>
          <w:p>
            <w:pPr>
              <w:spacing w:after="0"/>
            </w:pPr>
            <w:r>
              <w:rPr>
                <w:rFonts w:ascii="Arial" w:cs="Arial" w:eastAsia="Arial" w:hAnsi="Arial"/>
                <w:color w:val="1A1A1A"/>
                <w:sz w:val="19"/>
                <w:szCs w:val="19"/>
              </w:rPr>
              <w:t xml:space="preserve">CRE Office Vacancy Rate (top 20 metros)</w:t>
            </w:r>
          </w:p>
        </w:tc>
        <w:tc>
          <w:tcPr>
            <w:tcW w:type="dxa" w:w="900"/>
            <w:tcBorders>
              <w:top w:val="single" w:color="999999" w:sz="1"/>
              <w:left w:val="single" w:color="999999" w:sz="1"/>
              <w:bottom w:val="single" w:color="999999" w:sz="1"/>
              <w:right w:val="single" w:color="999999" w:sz="1"/>
            </w:tcBorders>
            <w:shd w:fill="EDF2F7" w:val="clear"/>
            <w:tcMar>
              <w:top w:type="dxa" w:w="60"/>
              <w:left w:type="dxa" w:w="100"/>
              <w:bottom w:type="dxa" w:w="60"/>
              <w:right w:type="dxa" w:w="100"/>
            </w:tcMar>
            <w:vAlign w:val="center"/>
          </w:tcPr>
          <w:p>
            <w:pPr>
              <w:spacing w:after="0"/>
            </w:pPr>
            <w:r>
              <w:rPr>
                <w:rFonts w:ascii="Arial" w:cs="Arial" w:eastAsia="Arial" w:hAnsi="Arial"/>
                <w:color w:val="1A1A1A"/>
                <w:sz w:val="19"/>
                <w:szCs w:val="19"/>
              </w:rPr>
              <w:t xml:space="preserve">CBRE/JLL</w:t>
            </w:r>
          </w:p>
        </w:tc>
        <w:tc>
          <w:tcPr>
            <w:tcW w:type="dxa" w:w="700"/>
            <w:tcBorders>
              <w:top w:val="single" w:color="999999" w:sz="1"/>
              <w:left w:val="single" w:color="999999" w:sz="1"/>
              <w:bottom w:val="single" w:color="999999" w:sz="1"/>
              <w:right w:val="single" w:color="999999" w:sz="1"/>
            </w:tcBorders>
            <w:shd w:fill="EDF2F7" w:val="clear"/>
            <w:tcMar>
              <w:top w:type="dxa" w:w="60"/>
              <w:left w:type="dxa" w:w="100"/>
              <w:bottom w:type="dxa" w:w="60"/>
              <w:right w:type="dxa" w:w="100"/>
            </w:tcMar>
            <w:vAlign w:val="center"/>
          </w:tcPr>
          <w:p>
            <w:pPr>
              <w:spacing w:after="0"/>
            </w:pPr>
            <w:r>
              <w:rPr>
                <w:rFonts w:ascii="Arial" w:cs="Arial" w:eastAsia="Arial" w:hAnsi="Arial"/>
                <w:color w:val="1A1A1A"/>
                <w:sz w:val="19"/>
                <w:szCs w:val="19"/>
              </w:rPr>
              <w:t xml:space="preserve">Quarterly</w:t>
            </w:r>
          </w:p>
        </w:tc>
        <w:tc>
          <w:tcPr>
            <w:tcW w:type="dxa" w:w="1200"/>
            <w:tcBorders>
              <w:top w:val="single" w:color="999999" w:sz="1"/>
              <w:left w:val="single" w:color="999999" w:sz="1"/>
              <w:bottom w:val="single" w:color="999999" w:sz="1"/>
              <w:right w:val="single" w:color="999999" w:sz="1"/>
            </w:tcBorders>
            <w:shd w:fill="EDF2F7" w:val="clear"/>
            <w:tcMar>
              <w:top w:type="dxa" w:w="60"/>
              <w:left w:type="dxa" w:w="100"/>
              <w:bottom w:type="dxa" w:w="60"/>
              <w:right w:type="dxa" w:w="100"/>
            </w:tcMar>
            <w:vAlign w:val="center"/>
          </w:tcPr>
          <w:p>
            <w:pPr>
              <w:spacing w:after="0"/>
            </w:pPr>
            <w:r>
              <w:rPr>
                <w:rFonts w:ascii="Arial" w:cs="Arial" w:eastAsia="Arial" w:hAnsi="Arial"/>
                <w:color w:val="1A1A1A"/>
                <w:sz w:val="19"/>
                <w:szCs w:val="19"/>
              </w:rPr>
              <w:t xml:space="preserve">&lt;18%</w:t>
            </w:r>
          </w:p>
        </w:tc>
        <w:tc>
          <w:tcPr>
            <w:tcW w:type="dxa" w:w="1200"/>
            <w:tcBorders>
              <w:top w:val="single" w:color="999999" w:sz="1"/>
              <w:left w:val="single" w:color="999999" w:sz="1"/>
              <w:bottom w:val="single" w:color="999999" w:sz="1"/>
              <w:right w:val="single" w:color="999999" w:sz="1"/>
            </w:tcBorders>
            <w:shd w:fill="EDF2F7" w:val="clear"/>
            <w:tcMar>
              <w:top w:type="dxa" w:w="60"/>
              <w:left w:type="dxa" w:w="100"/>
              <w:bottom w:type="dxa" w:w="60"/>
              <w:right w:type="dxa" w:w="100"/>
            </w:tcMar>
            <w:vAlign w:val="center"/>
          </w:tcPr>
          <w:p>
            <w:pPr>
              <w:spacing w:after="0"/>
            </w:pPr>
            <w:r>
              <w:rPr>
                <w:rFonts w:ascii="Arial" w:cs="Arial" w:eastAsia="Arial" w:hAnsi="Arial"/>
                <w:color w:val="1A1A1A"/>
                <w:sz w:val="19"/>
                <w:szCs w:val="19"/>
              </w:rPr>
              <w:t xml:space="preserve">18-25%</w:t>
            </w:r>
          </w:p>
        </w:tc>
        <w:tc>
          <w:tcPr>
            <w:tcW w:type="dxa" w:w="1200"/>
            <w:tcBorders>
              <w:top w:val="single" w:color="999999" w:sz="1"/>
              <w:left w:val="single" w:color="999999" w:sz="1"/>
              <w:bottom w:val="single" w:color="999999" w:sz="1"/>
              <w:right w:val="single" w:color="999999" w:sz="1"/>
            </w:tcBorders>
            <w:shd w:fill="EDF2F7" w:val="clear"/>
            <w:tcMar>
              <w:top w:type="dxa" w:w="60"/>
              <w:left w:type="dxa" w:w="100"/>
              <w:bottom w:type="dxa" w:w="60"/>
              <w:right w:type="dxa" w:w="100"/>
            </w:tcMar>
            <w:vAlign w:val="center"/>
          </w:tcPr>
          <w:p>
            <w:pPr>
              <w:spacing w:after="0"/>
            </w:pPr>
            <w:r>
              <w:rPr>
                <w:rFonts w:ascii="Arial" w:cs="Arial" w:eastAsia="Arial" w:hAnsi="Arial"/>
                <w:color w:val="1A1A1A"/>
                <w:sz w:val="19"/>
                <w:szCs w:val="19"/>
              </w:rPr>
              <w:t xml:space="preserve">&gt;25%</w:t>
            </w:r>
          </w:p>
        </w:tc>
        <w:tc>
          <w:tcPr>
            <w:tcW w:type="dxa" w:w="1360"/>
            <w:tcBorders>
              <w:top w:val="single" w:color="999999" w:sz="1"/>
              <w:left w:val="single" w:color="999999" w:sz="1"/>
              <w:bottom w:val="single" w:color="999999" w:sz="1"/>
              <w:right w:val="single" w:color="999999" w:sz="1"/>
            </w:tcBorders>
            <w:shd w:fill="EDF2F7" w:val="clear"/>
            <w:tcMar>
              <w:top w:type="dxa" w:w="60"/>
              <w:left w:type="dxa" w:w="100"/>
              <w:bottom w:type="dxa" w:w="60"/>
              <w:right w:type="dxa" w:w="100"/>
            </w:tcMar>
            <w:vAlign w:val="center"/>
          </w:tcPr>
          <w:p>
            <w:pPr>
              <w:spacing w:after="0"/>
            </w:pPr>
            <w:r>
              <w:rPr>
                <w:rFonts w:ascii="Arial" w:cs="Arial" w:eastAsia="Arial" w:hAnsi="Arial"/>
                <w:color w:val="1A1A1A"/>
                <w:sz w:val="19"/>
                <w:szCs w:val="19"/>
              </w:rPr>
              <w:t xml:space="preserve">C1</w:t>
            </w:r>
          </w:p>
        </w:tc>
      </w:tr>
      <w:tr>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Arial" w:cs="Arial" w:eastAsia="Arial" w:hAnsi="Arial"/>
                <w:color w:val="1A1A1A"/>
                <w:sz w:val="19"/>
                <w:szCs w:val="19"/>
              </w:rPr>
              <w:t xml:space="preserve">AI Investment Levels (VC + enterprise)</w:t>
            </w:r>
          </w:p>
        </w:tc>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Arial" w:cs="Arial" w:eastAsia="Arial" w:hAnsi="Arial"/>
                <w:color w:val="1A1A1A"/>
                <w:sz w:val="19"/>
                <w:szCs w:val="19"/>
              </w:rPr>
              <w:t xml:space="preserve">PitchBook/IDC</w:t>
            </w:r>
          </w:p>
        </w:tc>
        <w:tc>
          <w:tcPr>
            <w:tcW w:type="dxa" w:w="7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Arial" w:cs="Arial" w:eastAsia="Arial" w:hAnsi="Arial"/>
                <w:color w:val="1A1A1A"/>
                <w:sz w:val="19"/>
                <w:szCs w:val="19"/>
              </w:rPr>
              <w:t xml:space="preserve">Quarterly</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Arial" w:cs="Arial" w:eastAsia="Arial" w:hAnsi="Arial"/>
                <w:color w:val="1A1A1A"/>
                <w:sz w:val="19"/>
                <w:szCs w:val="19"/>
              </w:rPr>
              <w:t xml:space="preserve">Growing &gt;20%</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Arial" w:cs="Arial" w:eastAsia="Arial" w:hAnsi="Arial"/>
                <w:color w:val="1A1A1A"/>
                <w:sz w:val="19"/>
                <w:szCs w:val="19"/>
              </w:rPr>
              <w:t xml:space="preserve">Flat to +20%</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Arial" w:cs="Arial" w:eastAsia="Arial" w:hAnsi="Arial"/>
                <w:color w:val="1A1A1A"/>
                <w:sz w:val="19"/>
                <w:szCs w:val="19"/>
              </w:rPr>
              <w:t xml:space="preserve">Declining</w:t>
            </w:r>
          </w:p>
        </w:tc>
        <w:tc>
          <w:tcPr>
            <w:tcW w:type="dxa" w:w="136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Arial" w:cs="Arial" w:eastAsia="Arial" w:hAnsi="Arial"/>
                <w:color w:val="1A1A1A"/>
                <w:sz w:val="19"/>
                <w:szCs w:val="19"/>
              </w:rPr>
              <w:t xml:space="preserve">C2</w:t>
            </w:r>
          </w:p>
        </w:tc>
      </w:tr>
      <w:tr>
        <w:tc>
          <w:tcPr>
            <w:tcW w:type="dxa" w:w="1800"/>
            <w:tcBorders>
              <w:top w:val="single" w:color="999999" w:sz="1"/>
              <w:left w:val="single" w:color="999999" w:sz="1"/>
              <w:bottom w:val="single" w:color="999999" w:sz="1"/>
              <w:right w:val="single" w:color="999999" w:sz="1"/>
            </w:tcBorders>
            <w:shd w:fill="EDF2F7" w:val="clear"/>
            <w:tcMar>
              <w:top w:type="dxa" w:w="60"/>
              <w:left w:type="dxa" w:w="100"/>
              <w:bottom w:type="dxa" w:w="60"/>
              <w:right w:type="dxa" w:w="100"/>
            </w:tcMar>
            <w:vAlign w:val="center"/>
          </w:tcPr>
          <w:p>
            <w:pPr>
              <w:spacing w:after="0"/>
            </w:pPr>
            <w:r>
              <w:rPr>
                <w:rFonts w:ascii="Arial" w:cs="Arial" w:eastAsia="Arial" w:hAnsi="Arial"/>
                <w:color w:val="1A1A1A"/>
                <w:sz w:val="19"/>
                <w:szCs w:val="19"/>
              </w:rPr>
              <w:t xml:space="preserve">Tech Sector P/E Multiple</w:t>
            </w:r>
          </w:p>
        </w:tc>
        <w:tc>
          <w:tcPr>
            <w:tcW w:type="dxa" w:w="900"/>
            <w:tcBorders>
              <w:top w:val="single" w:color="999999" w:sz="1"/>
              <w:left w:val="single" w:color="999999" w:sz="1"/>
              <w:bottom w:val="single" w:color="999999" w:sz="1"/>
              <w:right w:val="single" w:color="999999" w:sz="1"/>
            </w:tcBorders>
            <w:shd w:fill="EDF2F7" w:val="clear"/>
            <w:tcMar>
              <w:top w:type="dxa" w:w="60"/>
              <w:left w:type="dxa" w:w="100"/>
              <w:bottom w:type="dxa" w:w="60"/>
              <w:right w:type="dxa" w:w="100"/>
            </w:tcMar>
            <w:vAlign w:val="center"/>
          </w:tcPr>
          <w:p>
            <w:pPr>
              <w:spacing w:after="0"/>
            </w:pPr>
            <w:r>
              <w:rPr>
                <w:rFonts w:ascii="Arial" w:cs="Arial" w:eastAsia="Arial" w:hAnsi="Arial"/>
                <w:color w:val="1A1A1A"/>
                <w:sz w:val="19"/>
                <w:szCs w:val="19"/>
              </w:rPr>
              <w:t xml:space="preserve">S&amp;P/Bloomberg</w:t>
            </w:r>
          </w:p>
        </w:tc>
        <w:tc>
          <w:tcPr>
            <w:tcW w:type="dxa" w:w="700"/>
            <w:tcBorders>
              <w:top w:val="single" w:color="999999" w:sz="1"/>
              <w:left w:val="single" w:color="999999" w:sz="1"/>
              <w:bottom w:val="single" w:color="999999" w:sz="1"/>
              <w:right w:val="single" w:color="999999" w:sz="1"/>
            </w:tcBorders>
            <w:shd w:fill="EDF2F7" w:val="clear"/>
            <w:tcMar>
              <w:top w:type="dxa" w:w="60"/>
              <w:left w:type="dxa" w:w="100"/>
              <w:bottom w:type="dxa" w:w="60"/>
              <w:right w:type="dxa" w:w="100"/>
            </w:tcMar>
            <w:vAlign w:val="center"/>
          </w:tcPr>
          <w:p>
            <w:pPr>
              <w:spacing w:after="0"/>
            </w:pPr>
            <w:r>
              <w:rPr>
                <w:rFonts w:ascii="Arial" w:cs="Arial" w:eastAsia="Arial" w:hAnsi="Arial"/>
                <w:color w:val="1A1A1A"/>
                <w:sz w:val="19"/>
                <w:szCs w:val="19"/>
              </w:rPr>
              <w:t xml:space="preserve">Daily</w:t>
            </w:r>
          </w:p>
        </w:tc>
        <w:tc>
          <w:tcPr>
            <w:tcW w:type="dxa" w:w="1200"/>
            <w:tcBorders>
              <w:top w:val="single" w:color="999999" w:sz="1"/>
              <w:left w:val="single" w:color="999999" w:sz="1"/>
              <w:bottom w:val="single" w:color="999999" w:sz="1"/>
              <w:right w:val="single" w:color="999999" w:sz="1"/>
            </w:tcBorders>
            <w:shd w:fill="EDF2F7" w:val="clear"/>
            <w:tcMar>
              <w:top w:type="dxa" w:w="60"/>
              <w:left w:type="dxa" w:w="100"/>
              <w:bottom w:type="dxa" w:w="60"/>
              <w:right w:type="dxa" w:w="100"/>
            </w:tcMar>
            <w:vAlign w:val="center"/>
          </w:tcPr>
          <w:p>
            <w:pPr>
              <w:spacing w:after="0"/>
            </w:pPr>
            <w:r>
              <w:rPr>
                <w:rFonts w:ascii="Arial" w:cs="Arial" w:eastAsia="Arial" w:hAnsi="Arial"/>
                <w:color w:val="1A1A1A"/>
                <w:sz w:val="19"/>
                <w:szCs w:val="19"/>
              </w:rPr>
              <w:t xml:space="preserve">&gt;25x</w:t>
            </w:r>
          </w:p>
        </w:tc>
        <w:tc>
          <w:tcPr>
            <w:tcW w:type="dxa" w:w="1200"/>
            <w:tcBorders>
              <w:top w:val="single" w:color="999999" w:sz="1"/>
              <w:left w:val="single" w:color="999999" w:sz="1"/>
              <w:bottom w:val="single" w:color="999999" w:sz="1"/>
              <w:right w:val="single" w:color="999999" w:sz="1"/>
            </w:tcBorders>
            <w:shd w:fill="EDF2F7" w:val="clear"/>
            <w:tcMar>
              <w:top w:type="dxa" w:w="60"/>
              <w:left w:type="dxa" w:w="100"/>
              <w:bottom w:type="dxa" w:w="60"/>
              <w:right w:type="dxa" w:w="100"/>
            </w:tcMar>
            <w:vAlign w:val="center"/>
          </w:tcPr>
          <w:p>
            <w:pPr>
              <w:spacing w:after="0"/>
            </w:pPr>
            <w:r>
              <w:rPr>
                <w:rFonts w:ascii="Arial" w:cs="Arial" w:eastAsia="Arial" w:hAnsi="Arial"/>
                <w:color w:val="1A1A1A"/>
                <w:sz w:val="19"/>
                <w:szCs w:val="19"/>
              </w:rPr>
              <w:t xml:space="preserve">18-25x</w:t>
            </w:r>
          </w:p>
        </w:tc>
        <w:tc>
          <w:tcPr>
            <w:tcW w:type="dxa" w:w="1200"/>
            <w:tcBorders>
              <w:top w:val="single" w:color="999999" w:sz="1"/>
              <w:left w:val="single" w:color="999999" w:sz="1"/>
              <w:bottom w:val="single" w:color="999999" w:sz="1"/>
              <w:right w:val="single" w:color="999999" w:sz="1"/>
            </w:tcBorders>
            <w:shd w:fill="EDF2F7" w:val="clear"/>
            <w:tcMar>
              <w:top w:type="dxa" w:w="60"/>
              <w:left w:type="dxa" w:w="100"/>
              <w:bottom w:type="dxa" w:w="60"/>
              <w:right w:type="dxa" w:w="100"/>
            </w:tcMar>
            <w:vAlign w:val="center"/>
          </w:tcPr>
          <w:p>
            <w:pPr>
              <w:spacing w:after="0"/>
            </w:pPr>
            <w:r>
              <w:rPr>
                <w:rFonts w:ascii="Arial" w:cs="Arial" w:eastAsia="Arial" w:hAnsi="Arial"/>
                <w:color w:val="1A1A1A"/>
                <w:sz w:val="19"/>
                <w:szCs w:val="19"/>
              </w:rPr>
              <w:t xml:space="preserve">&lt;18x</w:t>
            </w:r>
          </w:p>
        </w:tc>
        <w:tc>
          <w:tcPr>
            <w:tcW w:type="dxa" w:w="1360"/>
            <w:tcBorders>
              <w:top w:val="single" w:color="999999" w:sz="1"/>
              <w:left w:val="single" w:color="999999" w:sz="1"/>
              <w:bottom w:val="single" w:color="999999" w:sz="1"/>
              <w:right w:val="single" w:color="999999" w:sz="1"/>
            </w:tcBorders>
            <w:shd w:fill="EDF2F7" w:val="clear"/>
            <w:tcMar>
              <w:top w:type="dxa" w:w="60"/>
              <w:left w:type="dxa" w:w="100"/>
              <w:bottom w:type="dxa" w:w="60"/>
              <w:right w:type="dxa" w:w="100"/>
            </w:tcMar>
            <w:vAlign w:val="center"/>
          </w:tcPr>
          <w:p>
            <w:pPr>
              <w:spacing w:after="0"/>
            </w:pPr>
            <w:r>
              <w:rPr>
                <w:rFonts w:ascii="Arial" w:cs="Arial" w:eastAsia="Arial" w:hAnsi="Arial"/>
                <w:color w:val="1A1A1A"/>
                <w:sz w:val="19"/>
                <w:szCs w:val="19"/>
              </w:rPr>
              <w:t xml:space="preserve">C2</w:t>
            </w:r>
          </w:p>
        </w:tc>
      </w:tr>
    </w:tbl>
    <w:p>
      <w:pPr>
        <w:spacing w:after="200"/>
      </w:pPr>
    </w:p>
    <w:p>
      <w:pPr>
        <w:pStyle w:val="Heading2"/>
      </w:pPr>
      <w:r>
        <w:t xml:space="preserve">9.2 Industry and Internal Indicators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900"/>
        <w:gridCol w:w="700"/>
        <w:gridCol w:w="1200"/>
        <w:gridCol w:w="1200"/>
        <w:gridCol w:w="1200"/>
        <w:gridCol w:w="1360"/>
      </w:tblGrid>
      <w:tr>
        <w:tc>
          <w:tcPr>
            <w:tcW w:type="dxa" w:w="1800"/>
            <w:tcBorders>
              <w:top w:val="single" w:color="999999" w:sz="1"/>
              <w:left w:val="single" w:color="999999" w:sz="1"/>
              <w:bottom w:val="single" w:color="999999" w:sz="1"/>
              <w:right w:val="single" w:color="999999"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20"/>
                <w:szCs w:val="20"/>
              </w:rPr>
              <w:t xml:space="preserve">Indicator</w:t>
            </w:r>
          </w:p>
        </w:tc>
        <w:tc>
          <w:tcPr>
            <w:tcW w:type="dxa" w:w="900"/>
            <w:tcBorders>
              <w:top w:val="single" w:color="999999" w:sz="1"/>
              <w:left w:val="single" w:color="999999" w:sz="1"/>
              <w:bottom w:val="single" w:color="999999" w:sz="1"/>
              <w:right w:val="single" w:color="999999"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20"/>
                <w:szCs w:val="20"/>
              </w:rPr>
              <w:t xml:space="preserve">Source</w:t>
            </w:r>
          </w:p>
        </w:tc>
        <w:tc>
          <w:tcPr>
            <w:tcW w:type="dxa" w:w="700"/>
            <w:tcBorders>
              <w:top w:val="single" w:color="999999" w:sz="1"/>
              <w:left w:val="single" w:color="999999" w:sz="1"/>
              <w:bottom w:val="single" w:color="999999" w:sz="1"/>
              <w:right w:val="single" w:color="999999"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20"/>
                <w:szCs w:val="20"/>
              </w:rPr>
              <w:t xml:space="preserve">Frequency</w:t>
            </w:r>
          </w:p>
        </w:tc>
        <w:tc>
          <w:tcPr>
            <w:tcW w:type="dxa" w:w="1200"/>
            <w:tcBorders>
              <w:top w:val="single" w:color="999999" w:sz="1"/>
              <w:left w:val="single" w:color="999999" w:sz="1"/>
              <w:bottom w:val="single" w:color="999999" w:sz="1"/>
              <w:right w:val="single" w:color="999999"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20"/>
                <w:szCs w:val="20"/>
              </w:rPr>
              <w:t xml:space="preserve">Green</w:t>
            </w:r>
          </w:p>
        </w:tc>
        <w:tc>
          <w:tcPr>
            <w:tcW w:type="dxa" w:w="1200"/>
            <w:tcBorders>
              <w:top w:val="single" w:color="999999" w:sz="1"/>
              <w:left w:val="single" w:color="999999" w:sz="1"/>
              <w:bottom w:val="single" w:color="999999" w:sz="1"/>
              <w:right w:val="single" w:color="999999"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20"/>
                <w:szCs w:val="20"/>
              </w:rPr>
              <w:t xml:space="preserve">Yellow</w:t>
            </w:r>
          </w:p>
        </w:tc>
        <w:tc>
          <w:tcPr>
            <w:tcW w:type="dxa" w:w="1200"/>
            <w:tcBorders>
              <w:top w:val="single" w:color="999999" w:sz="1"/>
              <w:left w:val="single" w:color="999999" w:sz="1"/>
              <w:bottom w:val="single" w:color="999999" w:sz="1"/>
              <w:right w:val="single" w:color="999999"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20"/>
                <w:szCs w:val="20"/>
              </w:rPr>
              <w:t xml:space="preserve">Red</w:t>
            </w:r>
          </w:p>
        </w:tc>
        <w:tc>
          <w:tcPr>
            <w:tcW w:type="dxa" w:w="1360"/>
            <w:tcBorders>
              <w:top w:val="single" w:color="999999" w:sz="1"/>
              <w:left w:val="single" w:color="999999" w:sz="1"/>
              <w:bottom w:val="single" w:color="999999" w:sz="1"/>
              <w:right w:val="single" w:color="999999"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20"/>
                <w:szCs w:val="20"/>
              </w:rPr>
              <w:t xml:space="preserve">Scenario Signal</w:t>
            </w:r>
          </w:p>
        </w:tc>
      </w:tr>
      <w:tr>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Arial" w:cs="Arial" w:eastAsia="Arial" w:hAnsi="Arial"/>
                <w:color w:val="1A1A1A"/>
                <w:sz w:val="19"/>
                <w:szCs w:val="19"/>
              </w:rPr>
              <w:t xml:space="preserve">Peer AI Adoption Rate (Evident AI Index)</w:t>
            </w:r>
          </w:p>
        </w:tc>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Arial" w:cs="Arial" w:eastAsia="Arial" w:hAnsi="Arial"/>
                <w:color w:val="1A1A1A"/>
                <w:sz w:val="19"/>
                <w:szCs w:val="19"/>
              </w:rPr>
              <w:t xml:space="preserve">Evident</w:t>
            </w:r>
          </w:p>
        </w:tc>
        <w:tc>
          <w:tcPr>
            <w:tcW w:type="dxa" w:w="7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Arial" w:cs="Arial" w:eastAsia="Arial" w:hAnsi="Arial"/>
                <w:color w:val="1A1A1A"/>
                <w:sz w:val="19"/>
                <w:szCs w:val="19"/>
              </w:rPr>
              <w:t xml:space="preserve">Quarterly</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Arial" w:cs="Arial" w:eastAsia="Arial" w:hAnsi="Arial"/>
                <w:color w:val="1A1A1A"/>
                <w:sz w:val="19"/>
                <w:szCs w:val="19"/>
              </w:rPr>
              <w:t xml:space="preserve">Gap &lt;6 mo</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Arial" w:cs="Arial" w:eastAsia="Arial" w:hAnsi="Arial"/>
                <w:color w:val="1A1A1A"/>
                <w:sz w:val="19"/>
                <w:szCs w:val="19"/>
              </w:rPr>
              <w:t xml:space="preserve">Gap 6-18 mo</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Arial" w:cs="Arial" w:eastAsia="Arial" w:hAnsi="Arial"/>
                <w:color w:val="1A1A1A"/>
                <w:sz w:val="19"/>
                <w:szCs w:val="19"/>
              </w:rPr>
              <w:t xml:space="preserve">Gap &gt;18 mo</w:t>
            </w:r>
          </w:p>
        </w:tc>
        <w:tc>
          <w:tcPr>
            <w:tcW w:type="dxa" w:w="136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Arial" w:cs="Arial" w:eastAsia="Arial" w:hAnsi="Arial"/>
                <w:color w:val="1A1A1A"/>
                <w:sz w:val="19"/>
                <w:szCs w:val="19"/>
              </w:rPr>
              <w:t xml:space="preserve">B1, B2</w:t>
            </w:r>
          </w:p>
        </w:tc>
      </w:tr>
      <w:tr>
        <w:tc>
          <w:tcPr>
            <w:tcW w:type="dxa" w:w="1800"/>
            <w:tcBorders>
              <w:top w:val="single" w:color="999999" w:sz="1"/>
              <w:left w:val="single" w:color="999999" w:sz="1"/>
              <w:bottom w:val="single" w:color="999999" w:sz="1"/>
              <w:right w:val="single" w:color="999999" w:sz="1"/>
            </w:tcBorders>
            <w:shd w:fill="EDF2F7" w:val="clear"/>
            <w:tcMar>
              <w:top w:type="dxa" w:w="60"/>
              <w:left w:type="dxa" w:w="100"/>
              <w:bottom w:type="dxa" w:w="60"/>
              <w:right w:type="dxa" w:w="100"/>
            </w:tcMar>
            <w:vAlign w:val="center"/>
          </w:tcPr>
          <w:p>
            <w:pPr>
              <w:spacing w:after="0"/>
            </w:pPr>
            <w:r>
              <w:rPr>
                <w:rFonts w:ascii="Arial" w:cs="Arial" w:eastAsia="Arial" w:hAnsi="Arial"/>
                <w:color w:val="1A1A1A"/>
                <w:sz w:val="19"/>
                <w:szCs w:val="19"/>
              </w:rPr>
              <w:t xml:space="preserve">Internal AI Deployment Success Rate</w:t>
            </w:r>
          </w:p>
        </w:tc>
        <w:tc>
          <w:tcPr>
            <w:tcW w:type="dxa" w:w="900"/>
            <w:tcBorders>
              <w:top w:val="single" w:color="999999" w:sz="1"/>
              <w:left w:val="single" w:color="999999" w:sz="1"/>
              <w:bottom w:val="single" w:color="999999" w:sz="1"/>
              <w:right w:val="single" w:color="999999" w:sz="1"/>
            </w:tcBorders>
            <w:shd w:fill="EDF2F7" w:val="clear"/>
            <w:tcMar>
              <w:top w:type="dxa" w:w="60"/>
              <w:left w:type="dxa" w:w="100"/>
              <w:bottom w:type="dxa" w:w="60"/>
              <w:right w:type="dxa" w:w="100"/>
            </w:tcMar>
            <w:vAlign w:val="center"/>
          </w:tcPr>
          <w:p>
            <w:pPr>
              <w:spacing w:after="0"/>
            </w:pPr>
            <w:r>
              <w:rPr>
                <w:rFonts w:ascii="Arial" w:cs="Arial" w:eastAsia="Arial" w:hAnsi="Arial"/>
                <w:color w:val="1A1A1A"/>
                <w:sz w:val="19"/>
                <w:szCs w:val="19"/>
              </w:rPr>
              <w:t xml:space="preserve">Internal</w:t>
            </w:r>
          </w:p>
        </w:tc>
        <w:tc>
          <w:tcPr>
            <w:tcW w:type="dxa" w:w="700"/>
            <w:tcBorders>
              <w:top w:val="single" w:color="999999" w:sz="1"/>
              <w:left w:val="single" w:color="999999" w:sz="1"/>
              <w:bottom w:val="single" w:color="999999" w:sz="1"/>
              <w:right w:val="single" w:color="999999" w:sz="1"/>
            </w:tcBorders>
            <w:shd w:fill="EDF2F7" w:val="clear"/>
            <w:tcMar>
              <w:top w:type="dxa" w:w="60"/>
              <w:left w:type="dxa" w:w="100"/>
              <w:bottom w:type="dxa" w:w="60"/>
              <w:right w:type="dxa" w:w="100"/>
            </w:tcMar>
            <w:vAlign w:val="center"/>
          </w:tcPr>
          <w:p>
            <w:pPr>
              <w:spacing w:after="0"/>
            </w:pPr>
            <w:r>
              <w:rPr>
                <w:rFonts w:ascii="Arial" w:cs="Arial" w:eastAsia="Arial" w:hAnsi="Arial"/>
                <w:color w:val="1A1A1A"/>
                <w:sz w:val="19"/>
                <w:szCs w:val="19"/>
              </w:rPr>
              <w:t xml:space="preserve">Monthly</w:t>
            </w:r>
          </w:p>
        </w:tc>
        <w:tc>
          <w:tcPr>
            <w:tcW w:type="dxa" w:w="1200"/>
            <w:tcBorders>
              <w:top w:val="single" w:color="999999" w:sz="1"/>
              <w:left w:val="single" w:color="999999" w:sz="1"/>
              <w:bottom w:val="single" w:color="999999" w:sz="1"/>
              <w:right w:val="single" w:color="999999" w:sz="1"/>
            </w:tcBorders>
            <w:shd w:fill="EDF2F7" w:val="clear"/>
            <w:tcMar>
              <w:top w:type="dxa" w:w="60"/>
              <w:left w:type="dxa" w:w="100"/>
              <w:bottom w:type="dxa" w:w="60"/>
              <w:right w:type="dxa" w:w="100"/>
            </w:tcMar>
            <w:vAlign w:val="center"/>
          </w:tcPr>
          <w:p>
            <w:pPr>
              <w:spacing w:after="0"/>
            </w:pPr>
            <w:r>
              <w:rPr>
                <w:rFonts w:ascii="Arial" w:cs="Arial" w:eastAsia="Arial" w:hAnsi="Arial"/>
                <w:color w:val="1A1A1A"/>
                <w:sz w:val="19"/>
                <w:szCs w:val="19"/>
              </w:rPr>
              <w:t xml:space="preserve">&gt;80%</w:t>
            </w:r>
          </w:p>
        </w:tc>
        <w:tc>
          <w:tcPr>
            <w:tcW w:type="dxa" w:w="1200"/>
            <w:tcBorders>
              <w:top w:val="single" w:color="999999" w:sz="1"/>
              <w:left w:val="single" w:color="999999" w:sz="1"/>
              <w:bottom w:val="single" w:color="999999" w:sz="1"/>
              <w:right w:val="single" w:color="999999" w:sz="1"/>
            </w:tcBorders>
            <w:shd w:fill="EDF2F7" w:val="clear"/>
            <w:tcMar>
              <w:top w:type="dxa" w:w="60"/>
              <w:left w:type="dxa" w:w="100"/>
              <w:bottom w:type="dxa" w:w="60"/>
              <w:right w:type="dxa" w:w="100"/>
            </w:tcMar>
            <w:vAlign w:val="center"/>
          </w:tcPr>
          <w:p>
            <w:pPr>
              <w:spacing w:after="0"/>
            </w:pPr>
            <w:r>
              <w:rPr>
                <w:rFonts w:ascii="Arial" w:cs="Arial" w:eastAsia="Arial" w:hAnsi="Arial"/>
                <w:color w:val="1A1A1A"/>
                <w:sz w:val="19"/>
                <w:szCs w:val="19"/>
              </w:rPr>
              <w:t xml:space="preserve">60-80%</w:t>
            </w:r>
          </w:p>
        </w:tc>
        <w:tc>
          <w:tcPr>
            <w:tcW w:type="dxa" w:w="1200"/>
            <w:tcBorders>
              <w:top w:val="single" w:color="999999" w:sz="1"/>
              <w:left w:val="single" w:color="999999" w:sz="1"/>
              <w:bottom w:val="single" w:color="999999" w:sz="1"/>
              <w:right w:val="single" w:color="999999" w:sz="1"/>
            </w:tcBorders>
            <w:shd w:fill="EDF2F7" w:val="clear"/>
            <w:tcMar>
              <w:top w:type="dxa" w:w="60"/>
              <w:left w:type="dxa" w:w="100"/>
              <w:bottom w:type="dxa" w:w="60"/>
              <w:right w:type="dxa" w:w="100"/>
            </w:tcMar>
            <w:vAlign w:val="center"/>
          </w:tcPr>
          <w:p>
            <w:pPr>
              <w:spacing w:after="0"/>
            </w:pPr>
            <w:r>
              <w:rPr>
                <w:rFonts w:ascii="Arial" w:cs="Arial" w:eastAsia="Arial" w:hAnsi="Arial"/>
                <w:color w:val="1A1A1A"/>
                <w:sz w:val="19"/>
                <w:szCs w:val="19"/>
              </w:rPr>
              <w:t xml:space="preserve">&lt;60%</w:t>
            </w:r>
          </w:p>
        </w:tc>
        <w:tc>
          <w:tcPr>
            <w:tcW w:type="dxa" w:w="1360"/>
            <w:tcBorders>
              <w:top w:val="single" w:color="999999" w:sz="1"/>
              <w:left w:val="single" w:color="999999" w:sz="1"/>
              <w:bottom w:val="single" w:color="999999" w:sz="1"/>
              <w:right w:val="single" w:color="999999" w:sz="1"/>
            </w:tcBorders>
            <w:shd w:fill="EDF2F7" w:val="clear"/>
            <w:tcMar>
              <w:top w:type="dxa" w:w="60"/>
              <w:left w:type="dxa" w:w="100"/>
              <w:bottom w:type="dxa" w:w="60"/>
              <w:right w:type="dxa" w:w="100"/>
            </w:tcMar>
            <w:vAlign w:val="center"/>
          </w:tcPr>
          <w:p>
            <w:pPr>
              <w:spacing w:after="0"/>
            </w:pPr>
            <w:r>
              <w:rPr>
                <w:rFonts w:ascii="Arial" w:cs="Arial" w:eastAsia="Arial" w:hAnsi="Arial"/>
                <w:color w:val="1A1A1A"/>
                <w:sz w:val="19"/>
                <w:szCs w:val="19"/>
              </w:rPr>
              <w:t xml:space="preserve">A1</w:t>
            </w:r>
          </w:p>
        </w:tc>
      </w:tr>
      <w:tr>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Arial" w:cs="Arial" w:eastAsia="Arial" w:hAnsi="Arial"/>
                <w:color w:val="1A1A1A"/>
                <w:sz w:val="19"/>
                <w:szCs w:val="19"/>
              </w:rPr>
              <w:t xml:space="preserve">Operational Error Rate Post-AI</w:t>
            </w:r>
          </w:p>
        </w:tc>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Arial" w:cs="Arial" w:eastAsia="Arial" w:hAnsi="Arial"/>
                <w:color w:val="1A1A1A"/>
                <w:sz w:val="19"/>
                <w:szCs w:val="19"/>
              </w:rPr>
              <w:t xml:space="preserve">Internal</w:t>
            </w:r>
          </w:p>
        </w:tc>
        <w:tc>
          <w:tcPr>
            <w:tcW w:type="dxa" w:w="7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Arial" w:cs="Arial" w:eastAsia="Arial" w:hAnsi="Arial"/>
                <w:color w:val="1A1A1A"/>
                <w:sz w:val="19"/>
                <w:szCs w:val="19"/>
              </w:rPr>
              <w:t xml:space="preserve">Weekly</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Arial" w:cs="Arial" w:eastAsia="Arial" w:hAnsi="Arial"/>
                <w:color w:val="1A1A1A"/>
                <w:sz w:val="19"/>
                <w:szCs w:val="19"/>
              </w:rPr>
              <w:t xml:space="preserve">&lt;baseline</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Arial" w:cs="Arial" w:eastAsia="Arial" w:hAnsi="Arial"/>
                <w:color w:val="1A1A1A"/>
                <w:sz w:val="19"/>
                <w:szCs w:val="19"/>
              </w:rPr>
              <w:t xml:space="preserve">1-2x baseline</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Arial" w:cs="Arial" w:eastAsia="Arial" w:hAnsi="Arial"/>
                <w:color w:val="1A1A1A"/>
                <w:sz w:val="19"/>
                <w:szCs w:val="19"/>
              </w:rPr>
              <w:t xml:space="preserve">&gt;2x baseline</w:t>
            </w:r>
          </w:p>
        </w:tc>
        <w:tc>
          <w:tcPr>
            <w:tcW w:type="dxa" w:w="136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Arial" w:cs="Arial" w:eastAsia="Arial" w:hAnsi="Arial"/>
                <w:color w:val="1A1A1A"/>
                <w:sz w:val="19"/>
                <w:szCs w:val="19"/>
              </w:rPr>
              <w:t xml:space="preserve">A1</w:t>
            </w:r>
          </w:p>
        </w:tc>
      </w:tr>
      <w:tr>
        <w:tc>
          <w:tcPr>
            <w:tcW w:type="dxa" w:w="1800"/>
            <w:tcBorders>
              <w:top w:val="single" w:color="999999" w:sz="1"/>
              <w:left w:val="single" w:color="999999" w:sz="1"/>
              <w:bottom w:val="single" w:color="999999" w:sz="1"/>
              <w:right w:val="single" w:color="999999" w:sz="1"/>
            </w:tcBorders>
            <w:shd w:fill="EDF2F7" w:val="clear"/>
            <w:tcMar>
              <w:top w:type="dxa" w:w="60"/>
              <w:left w:type="dxa" w:w="100"/>
              <w:bottom w:type="dxa" w:w="60"/>
              <w:right w:type="dxa" w:w="100"/>
            </w:tcMar>
            <w:vAlign w:val="center"/>
          </w:tcPr>
          <w:p>
            <w:pPr>
              <w:spacing w:after="0"/>
            </w:pPr>
            <w:r>
              <w:rPr>
                <w:rFonts w:ascii="Arial" w:cs="Arial" w:eastAsia="Arial" w:hAnsi="Arial"/>
                <w:color w:val="1A1A1A"/>
                <w:sz w:val="19"/>
                <w:szCs w:val="19"/>
              </w:rPr>
              <w:t xml:space="preserve">AI Transformation Cost vs. Plan</w:t>
            </w:r>
          </w:p>
        </w:tc>
        <w:tc>
          <w:tcPr>
            <w:tcW w:type="dxa" w:w="900"/>
            <w:tcBorders>
              <w:top w:val="single" w:color="999999" w:sz="1"/>
              <w:left w:val="single" w:color="999999" w:sz="1"/>
              <w:bottom w:val="single" w:color="999999" w:sz="1"/>
              <w:right w:val="single" w:color="999999" w:sz="1"/>
            </w:tcBorders>
            <w:shd w:fill="EDF2F7" w:val="clear"/>
            <w:tcMar>
              <w:top w:type="dxa" w:w="60"/>
              <w:left w:type="dxa" w:w="100"/>
              <w:bottom w:type="dxa" w:w="60"/>
              <w:right w:type="dxa" w:w="100"/>
            </w:tcMar>
            <w:vAlign w:val="center"/>
          </w:tcPr>
          <w:p>
            <w:pPr>
              <w:spacing w:after="0"/>
            </w:pPr>
            <w:r>
              <w:rPr>
                <w:rFonts w:ascii="Arial" w:cs="Arial" w:eastAsia="Arial" w:hAnsi="Arial"/>
                <w:color w:val="1A1A1A"/>
                <w:sz w:val="19"/>
                <w:szCs w:val="19"/>
              </w:rPr>
              <w:t xml:space="preserve">Internal</w:t>
            </w:r>
          </w:p>
        </w:tc>
        <w:tc>
          <w:tcPr>
            <w:tcW w:type="dxa" w:w="700"/>
            <w:tcBorders>
              <w:top w:val="single" w:color="999999" w:sz="1"/>
              <w:left w:val="single" w:color="999999" w:sz="1"/>
              <w:bottom w:val="single" w:color="999999" w:sz="1"/>
              <w:right w:val="single" w:color="999999" w:sz="1"/>
            </w:tcBorders>
            <w:shd w:fill="EDF2F7" w:val="clear"/>
            <w:tcMar>
              <w:top w:type="dxa" w:w="60"/>
              <w:left w:type="dxa" w:w="100"/>
              <w:bottom w:type="dxa" w:w="60"/>
              <w:right w:type="dxa" w:w="100"/>
            </w:tcMar>
            <w:vAlign w:val="center"/>
          </w:tcPr>
          <w:p>
            <w:pPr>
              <w:spacing w:after="0"/>
            </w:pPr>
            <w:r>
              <w:rPr>
                <w:rFonts w:ascii="Arial" w:cs="Arial" w:eastAsia="Arial" w:hAnsi="Arial"/>
                <w:color w:val="1A1A1A"/>
                <w:sz w:val="19"/>
                <w:szCs w:val="19"/>
              </w:rPr>
              <w:t xml:space="preserve">Monthly</w:t>
            </w:r>
          </w:p>
        </w:tc>
        <w:tc>
          <w:tcPr>
            <w:tcW w:type="dxa" w:w="1200"/>
            <w:tcBorders>
              <w:top w:val="single" w:color="999999" w:sz="1"/>
              <w:left w:val="single" w:color="999999" w:sz="1"/>
              <w:bottom w:val="single" w:color="999999" w:sz="1"/>
              <w:right w:val="single" w:color="999999" w:sz="1"/>
            </w:tcBorders>
            <w:shd w:fill="EDF2F7" w:val="clear"/>
            <w:tcMar>
              <w:top w:type="dxa" w:w="60"/>
              <w:left w:type="dxa" w:w="100"/>
              <w:bottom w:type="dxa" w:w="60"/>
              <w:right w:type="dxa" w:w="100"/>
            </w:tcMar>
            <w:vAlign w:val="center"/>
          </w:tcPr>
          <w:p>
            <w:pPr>
              <w:spacing w:after="0"/>
            </w:pPr>
            <w:r>
              <w:rPr>
                <w:rFonts w:ascii="Arial" w:cs="Arial" w:eastAsia="Arial" w:hAnsi="Arial"/>
                <w:color w:val="1A1A1A"/>
                <w:sz w:val="19"/>
                <w:szCs w:val="19"/>
              </w:rPr>
              <w:t xml:space="preserve">Within 10%</w:t>
            </w:r>
          </w:p>
        </w:tc>
        <w:tc>
          <w:tcPr>
            <w:tcW w:type="dxa" w:w="1200"/>
            <w:tcBorders>
              <w:top w:val="single" w:color="999999" w:sz="1"/>
              <w:left w:val="single" w:color="999999" w:sz="1"/>
              <w:bottom w:val="single" w:color="999999" w:sz="1"/>
              <w:right w:val="single" w:color="999999" w:sz="1"/>
            </w:tcBorders>
            <w:shd w:fill="EDF2F7" w:val="clear"/>
            <w:tcMar>
              <w:top w:type="dxa" w:w="60"/>
              <w:left w:type="dxa" w:w="100"/>
              <w:bottom w:type="dxa" w:w="60"/>
              <w:right w:type="dxa" w:w="100"/>
            </w:tcMar>
            <w:vAlign w:val="center"/>
          </w:tcPr>
          <w:p>
            <w:pPr>
              <w:spacing w:after="0"/>
            </w:pPr>
            <w:r>
              <w:rPr>
                <w:rFonts w:ascii="Arial" w:cs="Arial" w:eastAsia="Arial" w:hAnsi="Arial"/>
                <w:color w:val="1A1A1A"/>
                <w:sz w:val="19"/>
                <w:szCs w:val="19"/>
              </w:rPr>
              <w:t xml:space="preserve">10-30% over</w:t>
            </w:r>
          </w:p>
        </w:tc>
        <w:tc>
          <w:tcPr>
            <w:tcW w:type="dxa" w:w="1200"/>
            <w:tcBorders>
              <w:top w:val="single" w:color="999999" w:sz="1"/>
              <w:left w:val="single" w:color="999999" w:sz="1"/>
              <w:bottom w:val="single" w:color="999999" w:sz="1"/>
              <w:right w:val="single" w:color="999999" w:sz="1"/>
            </w:tcBorders>
            <w:shd w:fill="EDF2F7" w:val="clear"/>
            <w:tcMar>
              <w:top w:type="dxa" w:w="60"/>
              <w:left w:type="dxa" w:w="100"/>
              <w:bottom w:type="dxa" w:w="60"/>
              <w:right w:type="dxa" w:w="100"/>
            </w:tcMar>
            <w:vAlign w:val="center"/>
          </w:tcPr>
          <w:p>
            <w:pPr>
              <w:spacing w:after="0"/>
            </w:pPr>
            <w:r>
              <w:rPr>
                <w:rFonts w:ascii="Arial" w:cs="Arial" w:eastAsia="Arial" w:hAnsi="Arial"/>
                <w:color w:val="1A1A1A"/>
                <w:sz w:val="19"/>
                <w:szCs w:val="19"/>
              </w:rPr>
              <w:t xml:space="preserve">&gt;30% over</w:t>
            </w:r>
          </w:p>
        </w:tc>
        <w:tc>
          <w:tcPr>
            <w:tcW w:type="dxa" w:w="1360"/>
            <w:tcBorders>
              <w:top w:val="single" w:color="999999" w:sz="1"/>
              <w:left w:val="single" w:color="999999" w:sz="1"/>
              <w:bottom w:val="single" w:color="999999" w:sz="1"/>
              <w:right w:val="single" w:color="999999" w:sz="1"/>
            </w:tcBorders>
            <w:shd w:fill="EDF2F7" w:val="clear"/>
            <w:tcMar>
              <w:top w:type="dxa" w:w="60"/>
              <w:left w:type="dxa" w:w="100"/>
              <w:bottom w:type="dxa" w:w="60"/>
              <w:right w:type="dxa" w:w="100"/>
            </w:tcMar>
            <w:vAlign w:val="center"/>
          </w:tcPr>
          <w:p>
            <w:pPr>
              <w:spacing w:after="0"/>
            </w:pPr>
            <w:r>
              <w:rPr>
                <w:rFonts w:ascii="Arial" w:cs="Arial" w:eastAsia="Arial" w:hAnsi="Arial"/>
                <w:color w:val="1A1A1A"/>
                <w:sz w:val="19"/>
                <w:szCs w:val="19"/>
              </w:rPr>
              <w:t xml:space="preserve">A2</w:t>
            </w:r>
          </w:p>
        </w:tc>
      </w:tr>
      <w:tr>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Arial" w:cs="Arial" w:eastAsia="Arial" w:hAnsi="Arial"/>
                <w:color w:val="1A1A1A"/>
                <w:sz w:val="19"/>
                <w:szCs w:val="19"/>
              </w:rPr>
              <w:t xml:space="preserve">Headcount Savings vs. Plan</w:t>
            </w:r>
          </w:p>
        </w:tc>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Arial" w:cs="Arial" w:eastAsia="Arial" w:hAnsi="Arial"/>
                <w:color w:val="1A1A1A"/>
                <w:sz w:val="19"/>
                <w:szCs w:val="19"/>
              </w:rPr>
              <w:t xml:space="preserve">Internal</w:t>
            </w:r>
          </w:p>
        </w:tc>
        <w:tc>
          <w:tcPr>
            <w:tcW w:type="dxa" w:w="7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Arial" w:cs="Arial" w:eastAsia="Arial" w:hAnsi="Arial"/>
                <w:color w:val="1A1A1A"/>
                <w:sz w:val="19"/>
                <w:szCs w:val="19"/>
              </w:rPr>
              <w:t xml:space="preserve">Quarterly</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Arial" w:cs="Arial" w:eastAsia="Arial" w:hAnsi="Arial"/>
                <w:color w:val="1A1A1A"/>
                <w:sz w:val="19"/>
                <w:szCs w:val="19"/>
              </w:rPr>
              <w:t xml:space="preserve">&gt;80% of plan</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Arial" w:cs="Arial" w:eastAsia="Arial" w:hAnsi="Arial"/>
                <w:color w:val="1A1A1A"/>
                <w:sz w:val="19"/>
                <w:szCs w:val="19"/>
              </w:rPr>
              <w:t xml:space="preserve">50-80%</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Arial" w:cs="Arial" w:eastAsia="Arial" w:hAnsi="Arial"/>
                <w:color w:val="1A1A1A"/>
                <w:sz w:val="19"/>
                <w:szCs w:val="19"/>
              </w:rPr>
              <w:t xml:space="preserve">&lt;50%</w:t>
            </w:r>
          </w:p>
        </w:tc>
        <w:tc>
          <w:tcPr>
            <w:tcW w:type="dxa" w:w="136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Arial" w:cs="Arial" w:eastAsia="Arial" w:hAnsi="Arial"/>
                <w:color w:val="1A1A1A"/>
                <w:sz w:val="19"/>
                <w:szCs w:val="19"/>
              </w:rPr>
              <w:t xml:space="preserve">A2</w:t>
            </w:r>
          </w:p>
        </w:tc>
      </w:tr>
      <w:tr>
        <w:tc>
          <w:tcPr>
            <w:tcW w:type="dxa" w:w="1800"/>
            <w:tcBorders>
              <w:top w:val="single" w:color="999999" w:sz="1"/>
              <w:left w:val="single" w:color="999999" w:sz="1"/>
              <w:bottom w:val="single" w:color="999999" w:sz="1"/>
              <w:right w:val="single" w:color="999999" w:sz="1"/>
            </w:tcBorders>
            <w:shd w:fill="EDF2F7" w:val="clear"/>
            <w:tcMar>
              <w:top w:type="dxa" w:w="60"/>
              <w:left w:type="dxa" w:w="100"/>
              <w:bottom w:type="dxa" w:w="60"/>
              <w:right w:type="dxa" w:w="100"/>
            </w:tcMar>
            <w:vAlign w:val="center"/>
          </w:tcPr>
          <w:p>
            <w:pPr>
              <w:spacing w:after="0"/>
            </w:pPr>
            <w:r>
              <w:rPr>
                <w:rFonts w:ascii="Arial" w:cs="Arial" w:eastAsia="Arial" w:hAnsi="Arial"/>
                <w:color w:val="1A1A1A"/>
                <w:sz w:val="19"/>
                <w:szCs w:val="19"/>
              </w:rPr>
              <w:t xml:space="preserve">Employee Sentiment Score</w:t>
            </w:r>
          </w:p>
        </w:tc>
        <w:tc>
          <w:tcPr>
            <w:tcW w:type="dxa" w:w="900"/>
            <w:tcBorders>
              <w:top w:val="single" w:color="999999" w:sz="1"/>
              <w:left w:val="single" w:color="999999" w:sz="1"/>
              <w:bottom w:val="single" w:color="999999" w:sz="1"/>
              <w:right w:val="single" w:color="999999" w:sz="1"/>
            </w:tcBorders>
            <w:shd w:fill="EDF2F7" w:val="clear"/>
            <w:tcMar>
              <w:top w:type="dxa" w:w="60"/>
              <w:left w:type="dxa" w:w="100"/>
              <w:bottom w:type="dxa" w:w="60"/>
              <w:right w:type="dxa" w:w="100"/>
            </w:tcMar>
            <w:vAlign w:val="center"/>
          </w:tcPr>
          <w:p>
            <w:pPr>
              <w:spacing w:after="0"/>
            </w:pPr>
            <w:r>
              <w:rPr>
                <w:rFonts w:ascii="Arial" w:cs="Arial" w:eastAsia="Arial" w:hAnsi="Arial"/>
                <w:color w:val="1A1A1A"/>
                <w:sz w:val="19"/>
                <w:szCs w:val="19"/>
              </w:rPr>
              <w:t xml:space="preserve">Internal</w:t>
            </w:r>
          </w:p>
        </w:tc>
        <w:tc>
          <w:tcPr>
            <w:tcW w:type="dxa" w:w="700"/>
            <w:tcBorders>
              <w:top w:val="single" w:color="999999" w:sz="1"/>
              <w:left w:val="single" w:color="999999" w:sz="1"/>
              <w:bottom w:val="single" w:color="999999" w:sz="1"/>
              <w:right w:val="single" w:color="999999" w:sz="1"/>
            </w:tcBorders>
            <w:shd w:fill="EDF2F7" w:val="clear"/>
            <w:tcMar>
              <w:top w:type="dxa" w:w="60"/>
              <w:left w:type="dxa" w:w="100"/>
              <w:bottom w:type="dxa" w:w="60"/>
              <w:right w:type="dxa" w:w="100"/>
            </w:tcMar>
            <w:vAlign w:val="center"/>
          </w:tcPr>
          <w:p>
            <w:pPr>
              <w:spacing w:after="0"/>
            </w:pPr>
            <w:r>
              <w:rPr>
                <w:rFonts w:ascii="Arial" w:cs="Arial" w:eastAsia="Arial" w:hAnsi="Arial"/>
                <w:color w:val="1A1A1A"/>
                <w:sz w:val="19"/>
                <w:szCs w:val="19"/>
              </w:rPr>
              <w:t xml:space="preserve">Quarterly</w:t>
            </w:r>
          </w:p>
        </w:tc>
        <w:tc>
          <w:tcPr>
            <w:tcW w:type="dxa" w:w="1200"/>
            <w:tcBorders>
              <w:top w:val="single" w:color="999999" w:sz="1"/>
              <w:left w:val="single" w:color="999999" w:sz="1"/>
              <w:bottom w:val="single" w:color="999999" w:sz="1"/>
              <w:right w:val="single" w:color="999999" w:sz="1"/>
            </w:tcBorders>
            <w:shd w:fill="EDF2F7" w:val="clear"/>
            <w:tcMar>
              <w:top w:type="dxa" w:w="60"/>
              <w:left w:type="dxa" w:w="100"/>
              <w:bottom w:type="dxa" w:w="60"/>
              <w:right w:type="dxa" w:w="100"/>
            </w:tcMar>
            <w:vAlign w:val="center"/>
          </w:tcPr>
          <w:p>
            <w:pPr>
              <w:spacing w:after="0"/>
            </w:pPr>
            <w:r>
              <w:rPr>
                <w:rFonts w:ascii="Arial" w:cs="Arial" w:eastAsia="Arial" w:hAnsi="Arial"/>
                <w:color w:val="1A1A1A"/>
                <w:sz w:val="19"/>
                <w:szCs w:val="19"/>
              </w:rPr>
              <w:t xml:space="preserve">&gt;70</w:t>
            </w:r>
          </w:p>
        </w:tc>
        <w:tc>
          <w:tcPr>
            <w:tcW w:type="dxa" w:w="1200"/>
            <w:tcBorders>
              <w:top w:val="single" w:color="999999" w:sz="1"/>
              <w:left w:val="single" w:color="999999" w:sz="1"/>
              <w:bottom w:val="single" w:color="999999" w:sz="1"/>
              <w:right w:val="single" w:color="999999" w:sz="1"/>
            </w:tcBorders>
            <w:shd w:fill="EDF2F7" w:val="clear"/>
            <w:tcMar>
              <w:top w:type="dxa" w:w="60"/>
              <w:left w:type="dxa" w:w="100"/>
              <w:bottom w:type="dxa" w:w="60"/>
              <w:right w:type="dxa" w:w="100"/>
            </w:tcMar>
            <w:vAlign w:val="center"/>
          </w:tcPr>
          <w:p>
            <w:pPr>
              <w:spacing w:after="0"/>
            </w:pPr>
            <w:r>
              <w:rPr>
                <w:rFonts w:ascii="Arial" w:cs="Arial" w:eastAsia="Arial" w:hAnsi="Arial"/>
                <w:color w:val="1A1A1A"/>
                <w:sz w:val="19"/>
                <w:szCs w:val="19"/>
              </w:rPr>
              <w:t xml:space="preserve">55-70</w:t>
            </w:r>
          </w:p>
        </w:tc>
        <w:tc>
          <w:tcPr>
            <w:tcW w:type="dxa" w:w="1200"/>
            <w:tcBorders>
              <w:top w:val="single" w:color="999999" w:sz="1"/>
              <w:left w:val="single" w:color="999999" w:sz="1"/>
              <w:bottom w:val="single" w:color="999999" w:sz="1"/>
              <w:right w:val="single" w:color="999999" w:sz="1"/>
            </w:tcBorders>
            <w:shd w:fill="EDF2F7" w:val="clear"/>
            <w:tcMar>
              <w:top w:type="dxa" w:w="60"/>
              <w:left w:type="dxa" w:w="100"/>
              <w:bottom w:type="dxa" w:w="60"/>
              <w:right w:type="dxa" w:w="100"/>
            </w:tcMar>
            <w:vAlign w:val="center"/>
          </w:tcPr>
          <w:p>
            <w:pPr>
              <w:spacing w:after="0"/>
            </w:pPr>
            <w:r>
              <w:rPr>
                <w:rFonts w:ascii="Arial" w:cs="Arial" w:eastAsia="Arial" w:hAnsi="Arial"/>
                <w:color w:val="1A1A1A"/>
                <w:sz w:val="19"/>
                <w:szCs w:val="19"/>
              </w:rPr>
              <w:t xml:space="preserve">&lt;55</w:t>
            </w:r>
          </w:p>
        </w:tc>
        <w:tc>
          <w:tcPr>
            <w:tcW w:type="dxa" w:w="1360"/>
            <w:tcBorders>
              <w:top w:val="single" w:color="999999" w:sz="1"/>
              <w:left w:val="single" w:color="999999" w:sz="1"/>
              <w:bottom w:val="single" w:color="999999" w:sz="1"/>
              <w:right w:val="single" w:color="999999" w:sz="1"/>
            </w:tcBorders>
            <w:shd w:fill="EDF2F7" w:val="clear"/>
            <w:tcMar>
              <w:top w:type="dxa" w:w="60"/>
              <w:left w:type="dxa" w:w="100"/>
              <w:bottom w:type="dxa" w:w="60"/>
              <w:right w:type="dxa" w:w="100"/>
            </w:tcMar>
            <w:vAlign w:val="center"/>
          </w:tcPr>
          <w:p>
            <w:pPr>
              <w:spacing w:after="0"/>
            </w:pPr>
            <w:r>
              <w:rPr>
                <w:rFonts w:ascii="Arial" w:cs="Arial" w:eastAsia="Arial" w:hAnsi="Arial"/>
                <w:color w:val="1A1A1A"/>
                <w:sz w:val="19"/>
                <w:szCs w:val="19"/>
              </w:rPr>
              <w:t xml:space="preserve">A1, A2</w:t>
            </w:r>
          </w:p>
        </w:tc>
      </w:tr>
      <w:tr>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Arial" w:cs="Arial" w:eastAsia="Arial" w:hAnsi="Arial"/>
                <w:color w:val="1A1A1A"/>
                <w:sz w:val="19"/>
                <w:szCs w:val="19"/>
              </w:rPr>
              <w:t xml:space="preserve">Key Role Attrition Rate</w:t>
            </w:r>
          </w:p>
        </w:tc>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Arial" w:cs="Arial" w:eastAsia="Arial" w:hAnsi="Arial"/>
                <w:color w:val="1A1A1A"/>
                <w:sz w:val="19"/>
                <w:szCs w:val="19"/>
              </w:rPr>
              <w:t xml:space="preserve">Internal</w:t>
            </w:r>
          </w:p>
        </w:tc>
        <w:tc>
          <w:tcPr>
            <w:tcW w:type="dxa" w:w="7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Arial" w:cs="Arial" w:eastAsia="Arial" w:hAnsi="Arial"/>
                <w:color w:val="1A1A1A"/>
                <w:sz w:val="19"/>
                <w:szCs w:val="19"/>
              </w:rPr>
              <w:t xml:space="preserve">Monthly</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Arial" w:cs="Arial" w:eastAsia="Arial" w:hAnsi="Arial"/>
                <w:color w:val="1A1A1A"/>
                <w:sz w:val="19"/>
                <w:szCs w:val="19"/>
              </w:rPr>
              <w:t xml:space="preserve">&lt;10%</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Arial" w:cs="Arial" w:eastAsia="Arial" w:hAnsi="Arial"/>
                <w:color w:val="1A1A1A"/>
                <w:sz w:val="19"/>
                <w:szCs w:val="19"/>
              </w:rPr>
              <w:t xml:space="preserve">10-18%</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Arial" w:cs="Arial" w:eastAsia="Arial" w:hAnsi="Arial"/>
                <w:color w:val="1A1A1A"/>
                <w:sz w:val="19"/>
                <w:szCs w:val="19"/>
              </w:rPr>
              <w:t xml:space="preserve">&gt;18%</w:t>
            </w:r>
          </w:p>
        </w:tc>
        <w:tc>
          <w:tcPr>
            <w:tcW w:type="dxa" w:w="136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Arial" w:cs="Arial" w:eastAsia="Arial" w:hAnsi="Arial"/>
                <w:color w:val="1A1A1A"/>
                <w:sz w:val="19"/>
                <w:szCs w:val="19"/>
              </w:rPr>
              <w:t xml:space="preserve">A1, B1</w:t>
            </w:r>
          </w:p>
        </w:tc>
      </w:tr>
      <w:tr>
        <w:tc>
          <w:tcPr>
            <w:tcW w:type="dxa" w:w="1800"/>
            <w:tcBorders>
              <w:top w:val="single" w:color="999999" w:sz="1"/>
              <w:left w:val="single" w:color="999999" w:sz="1"/>
              <w:bottom w:val="single" w:color="999999" w:sz="1"/>
              <w:right w:val="single" w:color="999999" w:sz="1"/>
            </w:tcBorders>
            <w:shd w:fill="EDF2F7" w:val="clear"/>
            <w:tcMar>
              <w:top w:type="dxa" w:w="60"/>
              <w:left w:type="dxa" w:w="100"/>
              <w:bottom w:type="dxa" w:w="60"/>
              <w:right w:type="dxa" w:w="100"/>
            </w:tcMar>
            <w:vAlign w:val="center"/>
          </w:tcPr>
          <w:p>
            <w:pPr>
              <w:spacing w:after="0"/>
            </w:pPr>
            <w:r>
              <w:rPr>
                <w:rFonts w:ascii="Arial" w:cs="Arial" w:eastAsia="Arial" w:hAnsi="Arial"/>
                <w:color w:val="1A1A1A"/>
                <w:sz w:val="19"/>
                <w:szCs w:val="19"/>
              </w:rPr>
              <w:t xml:space="preserve">Reskilling Completion Rate</w:t>
            </w:r>
          </w:p>
        </w:tc>
        <w:tc>
          <w:tcPr>
            <w:tcW w:type="dxa" w:w="900"/>
            <w:tcBorders>
              <w:top w:val="single" w:color="999999" w:sz="1"/>
              <w:left w:val="single" w:color="999999" w:sz="1"/>
              <w:bottom w:val="single" w:color="999999" w:sz="1"/>
              <w:right w:val="single" w:color="999999" w:sz="1"/>
            </w:tcBorders>
            <w:shd w:fill="EDF2F7" w:val="clear"/>
            <w:tcMar>
              <w:top w:type="dxa" w:w="60"/>
              <w:left w:type="dxa" w:w="100"/>
              <w:bottom w:type="dxa" w:w="60"/>
              <w:right w:type="dxa" w:w="100"/>
            </w:tcMar>
            <w:vAlign w:val="center"/>
          </w:tcPr>
          <w:p>
            <w:pPr>
              <w:spacing w:after="0"/>
            </w:pPr>
            <w:r>
              <w:rPr>
                <w:rFonts w:ascii="Arial" w:cs="Arial" w:eastAsia="Arial" w:hAnsi="Arial"/>
                <w:color w:val="1A1A1A"/>
                <w:sz w:val="19"/>
                <w:szCs w:val="19"/>
              </w:rPr>
              <w:t xml:space="preserve">Internal</w:t>
            </w:r>
          </w:p>
        </w:tc>
        <w:tc>
          <w:tcPr>
            <w:tcW w:type="dxa" w:w="700"/>
            <w:tcBorders>
              <w:top w:val="single" w:color="999999" w:sz="1"/>
              <w:left w:val="single" w:color="999999" w:sz="1"/>
              <w:bottom w:val="single" w:color="999999" w:sz="1"/>
              <w:right w:val="single" w:color="999999" w:sz="1"/>
            </w:tcBorders>
            <w:shd w:fill="EDF2F7" w:val="clear"/>
            <w:tcMar>
              <w:top w:type="dxa" w:w="60"/>
              <w:left w:type="dxa" w:w="100"/>
              <w:bottom w:type="dxa" w:w="60"/>
              <w:right w:type="dxa" w:w="100"/>
            </w:tcMar>
            <w:vAlign w:val="center"/>
          </w:tcPr>
          <w:p>
            <w:pPr>
              <w:spacing w:after="0"/>
            </w:pPr>
            <w:r>
              <w:rPr>
                <w:rFonts w:ascii="Arial" w:cs="Arial" w:eastAsia="Arial" w:hAnsi="Arial"/>
                <w:color w:val="1A1A1A"/>
                <w:sz w:val="19"/>
                <w:szCs w:val="19"/>
              </w:rPr>
              <w:t xml:space="preserve">Quarterly</w:t>
            </w:r>
          </w:p>
        </w:tc>
        <w:tc>
          <w:tcPr>
            <w:tcW w:type="dxa" w:w="1200"/>
            <w:tcBorders>
              <w:top w:val="single" w:color="999999" w:sz="1"/>
              <w:left w:val="single" w:color="999999" w:sz="1"/>
              <w:bottom w:val="single" w:color="999999" w:sz="1"/>
              <w:right w:val="single" w:color="999999" w:sz="1"/>
            </w:tcBorders>
            <w:shd w:fill="EDF2F7" w:val="clear"/>
            <w:tcMar>
              <w:top w:type="dxa" w:w="60"/>
              <w:left w:type="dxa" w:w="100"/>
              <w:bottom w:type="dxa" w:w="60"/>
              <w:right w:type="dxa" w:w="100"/>
            </w:tcMar>
            <w:vAlign w:val="center"/>
          </w:tcPr>
          <w:p>
            <w:pPr>
              <w:spacing w:after="0"/>
            </w:pPr>
            <w:r>
              <w:rPr>
                <w:rFonts w:ascii="Arial" w:cs="Arial" w:eastAsia="Arial" w:hAnsi="Arial"/>
                <w:color w:val="1A1A1A"/>
                <w:sz w:val="19"/>
                <w:szCs w:val="19"/>
              </w:rPr>
              <w:t xml:space="preserve">&gt;60%</w:t>
            </w:r>
          </w:p>
        </w:tc>
        <w:tc>
          <w:tcPr>
            <w:tcW w:type="dxa" w:w="1200"/>
            <w:tcBorders>
              <w:top w:val="single" w:color="999999" w:sz="1"/>
              <w:left w:val="single" w:color="999999" w:sz="1"/>
              <w:bottom w:val="single" w:color="999999" w:sz="1"/>
              <w:right w:val="single" w:color="999999" w:sz="1"/>
            </w:tcBorders>
            <w:shd w:fill="EDF2F7" w:val="clear"/>
            <w:tcMar>
              <w:top w:type="dxa" w:w="60"/>
              <w:left w:type="dxa" w:w="100"/>
              <w:bottom w:type="dxa" w:w="60"/>
              <w:right w:type="dxa" w:w="100"/>
            </w:tcMar>
            <w:vAlign w:val="center"/>
          </w:tcPr>
          <w:p>
            <w:pPr>
              <w:spacing w:after="0"/>
            </w:pPr>
            <w:r>
              <w:rPr>
                <w:rFonts w:ascii="Arial" w:cs="Arial" w:eastAsia="Arial" w:hAnsi="Arial"/>
                <w:color w:val="1A1A1A"/>
                <w:sz w:val="19"/>
                <w:szCs w:val="19"/>
              </w:rPr>
              <w:t xml:space="preserve">30-60%</w:t>
            </w:r>
          </w:p>
        </w:tc>
        <w:tc>
          <w:tcPr>
            <w:tcW w:type="dxa" w:w="1200"/>
            <w:tcBorders>
              <w:top w:val="single" w:color="999999" w:sz="1"/>
              <w:left w:val="single" w:color="999999" w:sz="1"/>
              <w:bottom w:val="single" w:color="999999" w:sz="1"/>
              <w:right w:val="single" w:color="999999" w:sz="1"/>
            </w:tcBorders>
            <w:shd w:fill="EDF2F7" w:val="clear"/>
            <w:tcMar>
              <w:top w:type="dxa" w:w="60"/>
              <w:left w:type="dxa" w:w="100"/>
              <w:bottom w:type="dxa" w:w="60"/>
              <w:right w:type="dxa" w:w="100"/>
            </w:tcMar>
            <w:vAlign w:val="center"/>
          </w:tcPr>
          <w:p>
            <w:pPr>
              <w:spacing w:after="0"/>
            </w:pPr>
            <w:r>
              <w:rPr>
                <w:rFonts w:ascii="Arial" w:cs="Arial" w:eastAsia="Arial" w:hAnsi="Arial"/>
                <w:color w:val="1A1A1A"/>
                <w:sz w:val="19"/>
                <w:szCs w:val="19"/>
              </w:rPr>
              <w:t xml:space="preserve">&lt;30%</w:t>
            </w:r>
          </w:p>
        </w:tc>
        <w:tc>
          <w:tcPr>
            <w:tcW w:type="dxa" w:w="1360"/>
            <w:tcBorders>
              <w:top w:val="single" w:color="999999" w:sz="1"/>
              <w:left w:val="single" w:color="999999" w:sz="1"/>
              <w:bottom w:val="single" w:color="999999" w:sz="1"/>
              <w:right w:val="single" w:color="999999" w:sz="1"/>
            </w:tcBorders>
            <w:shd w:fill="EDF2F7" w:val="clear"/>
            <w:tcMar>
              <w:top w:type="dxa" w:w="60"/>
              <w:left w:type="dxa" w:w="100"/>
              <w:bottom w:type="dxa" w:w="60"/>
              <w:right w:type="dxa" w:w="100"/>
            </w:tcMar>
            <w:vAlign w:val="center"/>
          </w:tcPr>
          <w:p>
            <w:pPr>
              <w:spacing w:after="0"/>
            </w:pPr>
            <w:r>
              <w:rPr>
                <w:rFonts w:ascii="Arial" w:cs="Arial" w:eastAsia="Arial" w:hAnsi="Arial"/>
                <w:color w:val="1A1A1A"/>
                <w:sz w:val="19"/>
                <w:szCs w:val="19"/>
              </w:rPr>
              <w:t xml:space="preserve">All</w:t>
            </w:r>
          </w:p>
        </w:tc>
      </w:tr>
    </w:tbl>
    <w:p>
      <w:pPr>
        <w:spacing w:after="200"/>
      </w:pPr>
    </w:p>
    <w:p>
      <w:pPr>
        <w:pStyle w:val="Heading2"/>
      </w:pPr>
      <w:r>
        <w:t xml:space="preserve">9.3 Regulatory and Political Indicators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000"/>
        <w:gridCol w:w="700"/>
        <w:gridCol w:w="1300"/>
        <w:gridCol w:w="1300"/>
        <w:gridCol w:w="1300"/>
        <w:gridCol w:w="1360"/>
      </w:tblGrid>
      <w:tr>
        <w:tc>
          <w:tcPr>
            <w:tcW w:type="dxa" w:w="2000"/>
            <w:tcBorders>
              <w:top w:val="single" w:color="999999" w:sz="1"/>
              <w:left w:val="single" w:color="999999" w:sz="1"/>
              <w:bottom w:val="single" w:color="999999" w:sz="1"/>
              <w:right w:val="single" w:color="999999"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20"/>
                <w:szCs w:val="20"/>
              </w:rPr>
              <w:t xml:space="preserve">Indicator</w:t>
            </w:r>
          </w:p>
        </w:tc>
        <w:tc>
          <w:tcPr>
            <w:tcW w:type="dxa" w:w="1000"/>
            <w:tcBorders>
              <w:top w:val="single" w:color="999999" w:sz="1"/>
              <w:left w:val="single" w:color="999999" w:sz="1"/>
              <w:bottom w:val="single" w:color="999999" w:sz="1"/>
              <w:right w:val="single" w:color="999999"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20"/>
                <w:szCs w:val="20"/>
              </w:rPr>
              <w:t xml:space="preserve">Source</w:t>
            </w:r>
          </w:p>
        </w:tc>
        <w:tc>
          <w:tcPr>
            <w:tcW w:type="dxa" w:w="700"/>
            <w:tcBorders>
              <w:top w:val="single" w:color="999999" w:sz="1"/>
              <w:left w:val="single" w:color="999999" w:sz="1"/>
              <w:bottom w:val="single" w:color="999999" w:sz="1"/>
              <w:right w:val="single" w:color="999999"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20"/>
                <w:szCs w:val="20"/>
              </w:rPr>
              <w:t xml:space="preserve">Frequency</w:t>
            </w:r>
          </w:p>
        </w:tc>
        <w:tc>
          <w:tcPr>
            <w:tcW w:type="dxa" w:w="1300"/>
            <w:tcBorders>
              <w:top w:val="single" w:color="999999" w:sz="1"/>
              <w:left w:val="single" w:color="999999" w:sz="1"/>
              <w:bottom w:val="single" w:color="999999" w:sz="1"/>
              <w:right w:val="single" w:color="999999"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20"/>
                <w:szCs w:val="20"/>
              </w:rPr>
              <w:t xml:space="preserve">Green</w:t>
            </w:r>
          </w:p>
        </w:tc>
        <w:tc>
          <w:tcPr>
            <w:tcW w:type="dxa" w:w="1300"/>
            <w:tcBorders>
              <w:top w:val="single" w:color="999999" w:sz="1"/>
              <w:left w:val="single" w:color="999999" w:sz="1"/>
              <w:bottom w:val="single" w:color="999999" w:sz="1"/>
              <w:right w:val="single" w:color="999999"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20"/>
                <w:szCs w:val="20"/>
              </w:rPr>
              <w:t xml:space="preserve">Yellow</w:t>
            </w:r>
          </w:p>
        </w:tc>
        <w:tc>
          <w:tcPr>
            <w:tcW w:type="dxa" w:w="1300"/>
            <w:tcBorders>
              <w:top w:val="single" w:color="999999" w:sz="1"/>
              <w:left w:val="single" w:color="999999" w:sz="1"/>
              <w:bottom w:val="single" w:color="999999" w:sz="1"/>
              <w:right w:val="single" w:color="999999"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20"/>
                <w:szCs w:val="20"/>
              </w:rPr>
              <w:t xml:space="preserve">Red</w:t>
            </w:r>
          </w:p>
        </w:tc>
        <w:tc>
          <w:tcPr>
            <w:tcW w:type="dxa" w:w="1360"/>
            <w:tcBorders>
              <w:top w:val="single" w:color="999999" w:sz="1"/>
              <w:left w:val="single" w:color="999999" w:sz="1"/>
              <w:bottom w:val="single" w:color="999999" w:sz="1"/>
              <w:right w:val="single" w:color="999999"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20"/>
                <w:szCs w:val="20"/>
              </w:rPr>
              <w:t xml:space="preserve">Scenario Signal</w:t>
            </w:r>
          </w:p>
        </w:tc>
      </w:tr>
      <w:tr>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Arial" w:cs="Arial" w:eastAsia="Arial" w:hAnsi="Arial"/>
                <w:color w:val="1A1A1A"/>
                <w:sz w:val="19"/>
                <w:szCs w:val="19"/>
              </w:rPr>
              <w:t xml:space="preserve">Congressional Hearings on AI (count/yr)</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Arial" w:cs="Arial" w:eastAsia="Arial" w:hAnsi="Arial"/>
                <w:color w:val="1A1A1A"/>
                <w:sz w:val="19"/>
                <w:szCs w:val="19"/>
              </w:rPr>
              <w:t xml:space="preserve">Congress.gov</w:t>
            </w:r>
          </w:p>
        </w:tc>
        <w:tc>
          <w:tcPr>
            <w:tcW w:type="dxa" w:w="7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Arial" w:cs="Arial" w:eastAsia="Arial" w:hAnsi="Arial"/>
                <w:color w:val="1A1A1A"/>
                <w:sz w:val="19"/>
                <w:szCs w:val="19"/>
              </w:rPr>
              <w:t xml:space="preserve">Monthly</w:t>
            </w:r>
          </w:p>
        </w:tc>
        <w:tc>
          <w:tcPr>
            <w:tcW w:type="dxa" w:w="13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Arial" w:cs="Arial" w:eastAsia="Arial" w:hAnsi="Arial"/>
                <w:color w:val="1A1A1A"/>
                <w:sz w:val="19"/>
                <w:szCs w:val="19"/>
              </w:rPr>
              <w:t xml:space="preserve">&lt;5</w:t>
            </w:r>
          </w:p>
        </w:tc>
        <w:tc>
          <w:tcPr>
            <w:tcW w:type="dxa" w:w="13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Arial" w:cs="Arial" w:eastAsia="Arial" w:hAnsi="Arial"/>
                <w:color w:val="1A1A1A"/>
                <w:sz w:val="19"/>
                <w:szCs w:val="19"/>
              </w:rPr>
              <w:t xml:space="preserve">5-15</w:t>
            </w:r>
          </w:p>
        </w:tc>
        <w:tc>
          <w:tcPr>
            <w:tcW w:type="dxa" w:w="13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Arial" w:cs="Arial" w:eastAsia="Arial" w:hAnsi="Arial"/>
                <w:color w:val="1A1A1A"/>
                <w:sz w:val="19"/>
                <w:szCs w:val="19"/>
              </w:rPr>
              <w:t xml:space="preserve">&gt;15</w:t>
            </w:r>
          </w:p>
        </w:tc>
        <w:tc>
          <w:tcPr>
            <w:tcW w:type="dxa" w:w="136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Arial" w:cs="Arial" w:eastAsia="Arial" w:hAnsi="Arial"/>
                <w:color w:val="1A1A1A"/>
                <w:sz w:val="19"/>
                <w:szCs w:val="19"/>
              </w:rPr>
              <w:t xml:space="preserve">C2</w:t>
            </w:r>
          </w:p>
        </w:tc>
      </w:tr>
      <w:tr>
        <w:tc>
          <w:tcPr>
            <w:tcW w:type="dxa" w:w="2000"/>
            <w:tcBorders>
              <w:top w:val="single" w:color="999999" w:sz="1"/>
              <w:left w:val="single" w:color="999999" w:sz="1"/>
              <w:bottom w:val="single" w:color="999999" w:sz="1"/>
              <w:right w:val="single" w:color="999999" w:sz="1"/>
            </w:tcBorders>
            <w:shd w:fill="EDF2F7" w:val="clear"/>
            <w:tcMar>
              <w:top w:type="dxa" w:w="60"/>
              <w:left w:type="dxa" w:w="100"/>
              <w:bottom w:type="dxa" w:w="60"/>
              <w:right w:type="dxa" w:w="100"/>
            </w:tcMar>
            <w:vAlign w:val="center"/>
          </w:tcPr>
          <w:p>
            <w:pPr>
              <w:spacing w:after="0"/>
            </w:pPr>
            <w:r>
              <w:rPr>
                <w:rFonts w:ascii="Arial" w:cs="Arial" w:eastAsia="Arial" w:hAnsi="Arial"/>
                <w:color w:val="1A1A1A"/>
                <w:sz w:val="19"/>
                <w:szCs w:val="19"/>
              </w:rPr>
              <w:t xml:space="preserve">State AI Bills Introduced</w:t>
            </w:r>
          </w:p>
        </w:tc>
        <w:tc>
          <w:tcPr>
            <w:tcW w:type="dxa" w:w="1000"/>
            <w:tcBorders>
              <w:top w:val="single" w:color="999999" w:sz="1"/>
              <w:left w:val="single" w:color="999999" w:sz="1"/>
              <w:bottom w:val="single" w:color="999999" w:sz="1"/>
              <w:right w:val="single" w:color="999999" w:sz="1"/>
            </w:tcBorders>
            <w:shd w:fill="EDF2F7" w:val="clear"/>
            <w:tcMar>
              <w:top w:type="dxa" w:w="60"/>
              <w:left w:type="dxa" w:w="100"/>
              <w:bottom w:type="dxa" w:w="60"/>
              <w:right w:type="dxa" w:w="100"/>
            </w:tcMar>
            <w:vAlign w:val="center"/>
          </w:tcPr>
          <w:p>
            <w:pPr>
              <w:spacing w:after="0"/>
            </w:pPr>
            <w:r>
              <w:rPr>
                <w:rFonts w:ascii="Arial" w:cs="Arial" w:eastAsia="Arial" w:hAnsi="Arial"/>
                <w:color w:val="1A1A1A"/>
                <w:sz w:val="19"/>
                <w:szCs w:val="19"/>
              </w:rPr>
              <w:t xml:space="preserve">NCSL</w:t>
            </w:r>
          </w:p>
        </w:tc>
        <w:tc>
          <w:tcPr>
            <w:tcW w:type="dxa" w:w="700"/>
            <w:tcBorders>
              <w:top w:val="single" w:color="999999" w:sz="1"/>
              <w:left w:val="single" w:color="999999" w:sz="1"/>
              <w:bottom w:val="single" w:color="999999" w:sz="1"/>
              <w:right w:val="single" w:color="999999" w:sz="1"/>
            </w:tcBorders>
            <w:shd w:fill="EDF2F7" w:val="clear"/>
            <w:tcMar>
              <w:top w:type="dxa" w:w="60"/>
              <w:left w:type="dxa" w:w="100"/>
              <w:bottom w:type="dxa" w:w="60"/>
              <w:right w:type="dxa" w:w="100"/>
            </w:tcMar>
            <w:vAlign w:val="center"/>
          </w:tcPr>
          <w:p>
            <w:pPr>
              <w:spacing w:after="0"/>
            </w:pPr>
            <w:r>
              <w:rPr>
                <w:rFonts w:ascii="Arial" w:cs="Arial" w:eastAsia="Arial" w:hAnsi="Arial"/>
                <w:color w:val="1A1A1A"/>
                <w:sz w:val="19"/>
                <w:szCs w:val="19"/>
              </w:rPr>
              <w:t xml:space="preserve">Quarterly</w:t>
            </w:r>
          </w:p>
        </w:tc>
        <w:tc>
          <w:tcPr>
            <w:tcW w:type="dxa" w:w="1300"/>
            <w:tcBorders>
              <w:top w:val="single" w:color="999999" w:sz="1"/>
              <w:left w:val="single" w:color="999999" w:sz="1"/>
              <w:bottom w:val="single" w:color="999999" w:sz="1"/>
              <w:right w:val="single" w:color="999999" w:sz="1"/>
            </w:tcBorders>
            <w:shd w:fill="EDF2F7" w:val="clear"/>
            <w:tcMar>
              <w:top w:type="dxa" w:w="60"/>
              <w:left w:type="dxa" w:w="100"/>
              <w:bottom w:type="dxa" w:w="60"/>
              <w:right w:type="dxa" w:w="100"/>
            </w:tcMar>
            <w:vAlign w:val="center"/>
          </w:tcPr>
          <w:p>
            <w:pPr>
              <w:spacing w:after="0"/>
            </w:pPr>
            <w:r>
              <w:rPr>
                <w:rFonts w:ascii="Arial" w:cs="Arial" w:eastAsia="Arial" w:hAnsi="Arial"/>
                <w:color w:val="1A1A1A"/>
                <w:sz w:val="19"/>
                <w:szCs w:val="19"/>
              </w:rPr>
              <w:t xml:space="preserve">&lt;200</w:t>
            </w:r>
          </w:p>
        </w:tc>
        <w:tc>
          <w:tcPr>
            <w:tcW w:type="dxa" w:w="1300"/>
            <w:tcBorders>
              <w:top w:val="single" w:color="999999" w:sz="1"/>
              <w:left w:val="single" w:color="999999" w:sz="1"/>
              <w:bottom w:val="single" w:color="999999" w:sz="1"/>
              <w:right w:val="single" w:color="999999" w:sz="1"/>
            </w:tcBorders>
            <w:shd w:fill="EDF2F7" w:val="clear"/>
            <w:tcMar>
              <w:top w:type="dxa" w:w="60"/>
              <w:left w:type="dxa" w:w="100"/>
              <w:bottom w:type="dxa" w:w="60"/>
              <w:right w:type="dxa" w:w="100"/>
            </w:tcMar>
            <w:vAlign w:val="center"/>
          </w:tcPr>
          <w:p>
            <w:pPr>
              <w:spacing w:after="0"/>
            </w:pPr>
            <w:r>
              <w:rPr>
                <w:rFonts w:ascii="Arial" w:cs="Arial" w:eastAsia="Arial" w:hAnsi="Arial"/>
                <w:color w:val="1A1A1A"/>
                <w:sz w:val="19"/>
                <w:szCs w:val="19"/>
              </w:rPr>
              <w:t xml:space="preserve">200-500</w:t>
            </w:r>
          </w:p>
        </w:tc>
        <w:tc>
          <w:tcPr>
            <w:tcW w:type="dxa" w:w="1300"/>
            <w:tcBorders>
              <w:top w:val="single" w:color="999999" w:sz="1"/>
              <w:left w:val="single" w:color="999999" w:sz="1"/>
              <w:bottom w:val="single" w:color="999999" w:sz="1"/>
              <w:right w:val="single" w:color="999999" w:sz="1"/>
            </w:tcBorders>
            <w:shd w:fill="EDF2F7" w:val="clear"/>
            <w:tcMar>
              <w:top w:type="dxa" w:w="60"/>
              <w:left w:type="dxa" w:w="100"/>
              <w:bottom w:type="dxa" w:w="60"/>
              <w:right w:type="dxa" w:w="100"/>
            </w:tcMar>
            <w:vAlign w:val="center"/>
          </w:tcPr>
          <w:p>
            <w:pPr>
              <w:spacing w:after="0"/>
            </w:pPr>
            <w:r>
              <w:rPr>
                <w:rFonts w:ascii="Arial" w:cs="Arial" w:eastAsia="Arial" w:hAnsi="Arial"/>
                <w:color w:val="1A1A1A"/>
                <w:sz w:val="19"/>
                <w:szCs w:val="19"/>
              </w:rPr>
              <w:t xml:space="preserve">&gt;500</w:t>
            </w:r>
          </w:p>
        </w:tc>
        <w:tc>
          <w:tcPr>
            <w:tcW w:type="dxa" w:w="1360"/>
            <w:tcBorders>
              <w:top w:val="single" w:color="999999" w:sz="1"/>
              <w:left w:val="single" w:color="999999" w:sz="1"/>
              <w:bottom w:val="single" w:color="999999" w:sz="1"/>
              <w:right w:val="single" w:color="999999" w:sz="1"/>
            </w:tcBorders>
            <w:shd w:fill="EDF2F7" w:val="clear"/>
            <w:tcMar>
              <w:top w:type="dxa" w:w="60"/>
              <w:left w:type="dxa" w:w="100"/>
              <w:bottom w:type="dxa" w:w="60"/>
              <w:right w:type="dxa" w:w="100"/>
            </w:tcMar>
            <w:vAlign w:val="center"/>
          </w:tcPr>
          <w:p>
            <w:pPr>
              <w:spacing w:after="0"/>
            </w:pPr>
            <w:r>
              <w:rPr>
                <w:rFonts w:ascii="Arial" w:cs="Arial" w:eastAsia="Arial" w:hAnsi="Arial"/>
                <w:color w:val="1A1A1A"/>
                <w:sz w:val="19"/>
                <w:szCs w:val="19"/>
              </w:rPr>
              <w:t xml:space="preserve">C2</w:t>
            </w:r>
          </w:p>
        </w:tc>
      </w:tr>
      <w:tr>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Arial" w:cs="Arial" w:eastAsia="Arial" w:hAnsi="Arial"/>
                <w:color w:val="1A1A1A"/>
                <w:sz w:val="19"/>
                <w:szCs w:val="19"/>
              </w:rPr>
              <w:t xml:space="preserve">Regulatory Enforcement Actions (AI)</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Arial" w:cs="Arial" w:eastAsia="Arial" w:hAnsi="Arial"/>
                <w:color w:val="1A1A1A"/>
                <w:sz w:val="19"/>
                <w:szCs w:val="19"/>
              </w:rPr>
              <w:t xml:space="preserve">OCC/Fed/CFPB</w:t>
            </w:r>
          </w:p>
        </w:tc>
        <w:tc>
          <w:tcPr>
            <w:tcW w:type="dxa" w:w="7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Arial" w:cs="Arial" w:eastAsia="Arial" w:hAnsi="Arial"/>
                <w:color w:val="1A1A1A"/>
                <w:sz w:val="19"/>
                <w:szCs w:val="19"/>
              </w:rPr>
              <w:t xml:space="preserve">Monthly</w:t>
            </w:r>
          </w:p>
        </w:tc>
        <w:tc>
          <w:tcPr>
            <w:tcW w:type="dxa" w:w="13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Arial" w:cs="Arial" w:eastAsia="Arial" w:hAnsi="Arial"/>
                <w:color w:val="1A1A1A"/>
                <w:sz w:val="19"/>
                <w:szCs w:val="19"/>
              </w:rPr>
              <w:t xml:space="preserve">0</w:t>
            </w:r>
          </w:p>
        </w:tc>
        <w:tc>
          <w:tcPr>
            <w:tcW w:type="dxa" w:w="13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Arial" w:cs="Arial" w:eastAsia="Arial" w:hAnsi="Arial"/>
                <w:color w:val="1A1A1A"/>
                <w:sz w:val="19"/>
                <w:szCs w:val="19"/>
              </w:rPr>
              <w:t xml:space="preserve">1-3</w:t>
            </w:r>
          </w:p>
        </w:tc>
        <w:tc>
          <w:tcPr>
            <w:tcW w:type="dxa" w:w="13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Arial" w:cs="Arial" w:eastAsia="Arial" w:hAnsi="Arial"/>
                <w:color w:val="1A1A1A"/>
                <w:sz w:val="19"/>
                <w:szCs w:val="19"/>
              </w:rPr>
              <w:t xml:space="preserve">&gt;3</w:t>
            </w:r>
          </w:p>
        </w:tc>
        <w:tc>
          <w:tcPr>
            <w:tcW w:type="dxa" w:w="136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Arial" w:cs="Arial" w:eastAsia="Arial" w:hAnsi="Arial"/>
                <w:color w:val="1A1A1A"/>
                <w:sz w:val="19"/>
                <w:szCs w:val="19"/>
              </w:rPr>
              <w:t xml:space="preserve">A1, C2</w:t>
            </w:r>
          </w:p>
        </w:tc>
      </w:tr>
      <w:tr>
        <w:tc>
          <w:tcPr>
            <w:tcW w:type="dxa" w:w="2000"/>
            <w:tcBorders>
              <w:top w:val="single" w:color="999999" w:sz="1"/>
              <w:left w:val="single" w:color="999999" w:sz="1"/>
              <w:bottom w:val="single" w:color="999999" w:sz="1"/>
              <w:right w:val="single" w:color="999999" w:sz="1"/>
            </w:tcBorders>
            <w:shd w:fill="EDF2F7" w:val="clear"/>
            <w:tcMar>
              <w:top w:type="dxa" w:w="60"/>
              <w:left w:type="dxa" w:w="100"/>
              <w:bottom w:type="dxa" w:w="60"/>
              <w:right w:type="dxa" w:w="100"/>
            </w:tcMar>
            <w:vAlign w:val="center"/>
          </w:tcPr>
          <w:p>
            <w:pPr>
              <w:spacing w:after="0"/>
            </w:pPr>
            <w:r>
              <w:rPr>
                <w:rFonts w:ascii="Arial" w:cs="Arial" w:eastAsia="Arial" w:hAnsi="Arial"/>
                <w:color w:val="1A1A1A"/>
                <w:sz w:val="19"/>
                <w:szCs w:val="19"/>
              </w:rPr>
              <w:t xml:space="preserve">Public Sentiment (AI concern polling)</w:t>
            </w:r>
          </w:p>
        </w:tc>
        <w:tc>
          <w:tcPr>
            <w:tcW w:type="dxa" w:w="1000"/>
            <w:tcBorders>
              <w:top w:val="single" w:color="999999" w:sz="1"/>
              <w:left w:val="single" w:color="999999" w:sz="1"/>
              <w:bottom w:val="single" w:color="999999" w:sz="1"/>
              <w:right w:val="single" w:color="999999" w:sz="1"/>
            </w:tcBorders>
            <w:shd w:fill="EDF2F7" w:val="clear"/>
            <w:tcMar>
              <w:top w:type="dxa" w:w="60"/>
              <w:left w:type="dxa" w:w="100"/>
              <w:bottom w:type="dxa" w:w="60"/>
              <w:right w:type="dxa" w:w="100"/>
            </w:tcMar>
            <w:vAlign w:val="center"/>
          </w:tcPr>
          <w:p>
            <w:pPr>
              <w:spacing w:after="0"/>
            </w:pPr>
            <w:r>
              <w:rPr>
                <w:rFonts w:ascii="Arial" w:cs="Arial" w:eastAsia="Arial" w:hAnsi="Arial"/>
                <w:color w:val="1A1A1A"/>
                <w:sz w:val="19"/>
                <w:szCs w:val="19"/>
              </w:rPr>
              <w:t xml:space="preserve">Gallup/Pew</w:t>
            </w:r>
          </w:p>
        </w:tc>
        <w:tc>
          <w:tcPr>
            <w:tcW w:type="dxa" w:w="700"/>
            <w:tcBorders>
              <w:top w:val="single" w:color="999999" w:sz="1"/>
              <w:left w:val="single" w:color="999999" w:sz="1"/>
              <w:bottom w:val="single" w:color="999999" w:sz="1"/>
              <w:right w:val="single" w:color="999999" w:sz="1"/>
            </w:tcBorders>
            <w:shd w:fill="EDF2F7" w:val="clear"/>
            <w:tcMar>
              <w:top w:type="dxa" w:w="60"/>
              <w:left w:type="dxa" w:w="100"/>
              <w:bottom w:type="dxa" w:w="60"/>
              <w:right w:type="dxa" w:w="100"/>
            </w:tcMar>
            <w:vAlign w:val="center"/>
          </w:tcPr>
          <w:p>
            <w:pPr>
              <w:spacing w:after="0"/>
            </w:pPr>
            <w:r>
              <w:rPr>
                <w:rFonts w:ascii="Arial" w:cs="Arial" w:eastAsia="Arial" w:hAnsi="Arial"/>
                <w:color w:val="1A1A1A"/>
                <w:sz w:val="19"/>
                <w:szCs w:val="19"/>
              </w:rPr>
              <w:t xml:space="preserve">Quarterly</w:t>
            </w:r>
          </w:p>
        </w:tc>
        <w:tc>
          <w:tcPr>
            <w:tcW w:type="dxa" w:w="1300"/>
            <w:tcBorders>
              <w:top w:val="single" w:color="999999" w:sz="1"/>
              <w:left w:val="single" w:color="999999" w:sz="1"/>
              <w:bottom w:val="single" w:color="999999" w:sz="1"/>
              <w:right w:val="single" w:color="999999" w:sz="1"/>
            </w:tcBorders>
            <w:shd w:fill="EDF2F7" w:val="clear"/>
            <w:tcMar>
              <w:top w:type="dxa" w:w="60"/>
              <w:left w:type="dxa" w:w="100"/>
              <w:bottom w:type="dxa" w:w="60"/>
              <w:right w:type="dxa" w:w="100"/>
            </w:tcMar>
            <w:vAlign w:val="center"/>
          </w:tcPr>
          <w:p>
            <w:pPr>
              <w:spacing w:after="0"/>
            </w:pPr>
            <w:r>
              <w:rPr>
                <w:rFonts w:ascii="Arial" w:cs="Arial" w:eastAsia="Arial" w:hAnsi="Arial"/>
                <w:color w:val="1A1A1A"/>
                <w:sz w:val="19"/>
                <w:szCs w:val="19"/>
              </w:rPr>
              <w:t xml:space="preserve">&lt;40% concerned</w:t>
            </w:r>
          </w:p>
        </w:tc>
        <w:tc>
          <w:tcPr>
            <w:tcW w:type="dxa" w:w="1300"/>
            <w:tcBorders>
              <w:top w:val="single" w:color="999999" w:sz="1"/>
              <w:left w:val="single" w:color="999999" w:sz="1"/>
              <w:bottom w:val="single" w:color="999999" w:sz="1"/>
              <w:right w:val="single" w:color="999999" w:sz="1"/>
            </w:tcBorders>
            <w:shd w:fill="EDF2F7" w:val="clear"/>
            <w:tcMar>
              <w:top w:type="dxa" w:w="60"/>
              <w:left w:type="dxa" w:w="100"/>
              <w:bottom w:type="dxa" w:w="60"/>
              <w:right w:type="dxa" w:w="100"/>
            </w:tcMar>
            <w:vAlign w:val="center"/>
          </w:tcPr>
          <w:p>
            <w:pPr>
              <w:spacing w:after="0"/>
            </w:pPr>
            <w:r>
              <w:rPr>
                <w:rFonts w:ascii="Arial" w:cs="Arial" w:eastAsia="Arial" w:hAnsi="Arial"/>
                <w:color w:val="1A1A1A"/>
                <w:sz w:val="19"/>
                <w:szCs w:val="19"/>
              </w:rPr>
              <w:t xml:space="preserve">40-60%</w:t>
            </w:r>
          </w:p>
        </w:tc>
        <w:tc>
          <w:tcPr>
            <w:tcW w:type="dxa" w:w="1300"/>
            <w:tcBorders>
              <w:top w:val="single" w:color="999999" w:sz="1"/>
              <w:left w:val="single" w:color="999999" w:sz="1"/>
              <w:bottom w:val="single" w:color="999999" w:sz="1"/>
              <w:right w:val="single" w:color="999999" w:sz="1"/>
            </w:tcBorders>
            <w:shd w:fill="EDF2F7" w:val="clear"/>
            <w:tcMar>
              <w:top w:type="dxa" w:w="60"/>
              <w:left w:type="dxa" w:w="100"/>
              <w:bottom w:type="dxa" w:w="60"/>
              <w:right w:type="dxa" w:w="100"/>
            </w:tcMar>
            <w:vAlign w:val="center"/>
          </w:tcPr>
          <w:p>
            <w:pPr>
              <w:spacing w:after="0"/>
            </w:pPr>
            <w:r>
              <w:rPr>
                <w:rFonts w:ascii="Arial" w:cs="Arial" w:eastAsia="Arial" w:hAnsi="Arial"/>
                <w:color w:val="1A1A1A"/>
                <w:sz w:val="19"/>
                <w:szCs w:val="19"/>
              </w:rPr>
              <w:t xml:space="preserve">&gt;60% concerned</w:t>
            </w:r>
          </w:p>
        </w:tc>
        <w:tc>
          <w:tcPr>
            <w:tcW w:type="dxa" w:w="1360"/>
            <w:tcBorders>
              <w:top w:val="single" w:color="999999" w:sz="1"/>
              <w:left w:val="single" w:color="999999" w:sz="1"/>
              <w:bottom w:val="single" w:color="999999" w:sz="1"/>
              <w:right w:val="single" w:color="999999" w:sz="1"/>
            </w:tcBorders>
            <w:shd w:fill="EDF2F7" w:val="clear"/>
            <w:tcMar>
              <w:top w:type="dxa" w:w="60"/>
              <w:left w:type="dxa" w:w="100"/>
              <w:bottom w:type="dxa" w:w="60"/>
              <w:right w:type="dxa" w:w="100"/>
            </w:tcMar>
            <w:vAlign w:val="center"/>
          </w:tcPr>
          <w:p>
            <w:pPr>
              <w:spacing w:after="0"/>
            </w:pPr>
            <w:r>
              <w:rPr>
                <w:rFonts w:ascii="Arial" w:cs="Arial" w:eastAsia="Arial" w:hAnsi="Arial"/>
                <w:color w:val="1A1A1A"/>
                <w:sz w:val="19"/>
                <w:szCs w:val="19"/>
              </w:rPr>
              <w:t xml:space="preserve">C2</w:t>
            </w:r>
          </w:p>
        </w:tc>
      </w:tr>
      <w:tr>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Arial" w:cs="Arial" w:eastAsia="Arial" w:hAnsi="Arial"/>
                <w:color w:val="1A1A1A"/>
                <w:sz w:val="19"/>
                <w:szCs w:val="19"/>
              </w:rPr>
              <w:t xml:space="preserve">Regulatory Guidance on AI Expectations</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Arial" w:cs="Arial" w:eastAsia="Arial" w:hAnsi="Arial"/>
                <w:color w:val="1A1A1A"/>
                <w:sz w:val="19"/>
                <w:szCs w:val="19"/>
              </w:rPr>
              <w:t xml:space="preserve">OCC/Fed</w:t>
            </w:r>
          </w:p>
        </w:tc>
        <w:tc>
          <w:tcPr>
            <w:tcW w:type="dxa" w:w="7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Arial" w:cs="Arial" w:eastAsia="Arial" w:hAnsi="Arial"/>
                <w:color w:val="1A1A1A"/>
                <w:sz w:val="19"/>
                <w:szCs w:val="19"/>
              </w:rPr>
              <w:t xml:space="preserve">Ongoing</w:t>
            </w:r>
          </w:p>
        </w:tc>
        <w:tc>
          <w:tcPr>
            <w:tcW w:type="dxa" w:w="13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Arial" w:cs="Arial" w:eastAsia="Arial" w:hAnsi="Arial"/>
                <w:color w:val="1A1A1A"/>
                <w:sz w:val="19"/>
                <w:szCs w:val="19"/>
              </w:rPr>
              <w:t xml:space="preserve">Permissive tone</w:t>
            </w:r>
          </w:p>
        </w:tc>
        <w:tc>
          <w:tcPr>
            <w:tcW w:type="dxa" w:w="13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Arial" w:cs="Arial" w:eastAsia="Arial" w:hAnsi="Arial"/>
                <w:color w:val="1A1A1A"/>
                <w:sz w:val="19"/>
                <w:szCs w:val="19"/>
              </w:rPr>
              <w:t xml:space="preserve">Prescriptive</w:t>
            </w:r>
          </w:p>
        </w:tc>
        <w:tc>
          <w:tcPr>
            <w:tcW w:type="dxa" w:w="13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Arial" w:cs="Arial" w:eastAsia="Arial" w:hAnsi="Arial"/>
                <w:color w:val="1A1A1A"/>
                <w:sz w:val="19"/>
                <w:szCs w:val="19"/>
              </w:rPr>
              <w:t xml:space="preserve">Restrictive/mandates</w:t>
            </w:r>
          </w:p>
        </w:tc>
        <w:tc>
          <w:tcPr>
            <w:tcW w:type="dxa" w:w="136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Arial" w:cs="Arial" w:eastAsia="Arial" w:hAnsi="Arial"/>
                <w:color w:val="1A1A1A"/>
                <w:sz w:val="19"/>
                <w:szCs w:val="19"/>
              </w:rPr>
              <w:t xml:space="preserve">B2, C2</w:t>
            </w:r>
          </w:p>
        </w:tc>
      </w:tr>
    </w:tbl>
    <w:p>
      <w:pPr>
        <w:spacing w:after="200"/>
      </w:pPr>
    </w:p>
    <w:p>
      <w:r>
        <w:br w:type="page"/>
      </w:r>
    </w:p>
    <w:p>
      <w:pPr>
        <w:pStyle w:val="Heading1"/>
      </w:pPr>
      <w:r>
        <w:t xml:space="preserve">10. Strategic Response Playbooks</w:t>
      </w:r>
    </w:p>
    <w:p>
      <w:pPr>
        <w:spacing w:after="120"/>
      </w:pPr>
      <w:r>
        <w:t xml:space="preserve">For each scenario, the following pre-defined response playbook should be activated when the corresponding early warning indicators reach Yellow/Red thresholds.</w:t>
      </w:r>
    </w:p>
    <w:p>
      <w:pPr>
        <w:pStyle w:val="Heading2"/>
      </w:pPr>
      <w:r>
        <w:t xml:space="preserve">10.1 Playbook: Scenario A1 Materialization (Botched Transformation)</w:t>
      </w:r>
    </w:p>
    <w:p>
      <w:pPr>
        <w:spacing w:after="120"/>
      </w:pPr>
      <w:r>
        <w:rPr>
          <w:b/>
          <w:bCs/>
        </w:rPr>
        <w:t xml:space="preserve">Trigger conditions: </w:t>
      </w:r>
      <w:r>
        <w:t xml:space="preserve">Two or more Red indicators among: operational error rate post-AI, AI deployment success rate, regulatory examination findings. AND at least one Yellow regulatory indicator.</w:t>
      </w:r>
    </w:p>
    <w:p>
      <w:pPr>
        <w:spacing w:after="120"/>
      </w:pPr>
      <w:r>
        <w:rPr>
          <w:b/>
          <w:bCs/>
        </w:rPr>
        <w:t xml:space="preserve">Immediate actions (0-30 days): </w:t>
      </w:r>
      <w:r>
        <w:t xml:space="preserve">Halt deployment of AI systems in regulatory-sensitive functions pending comprehensive review. Activate incident response protocols for any identified AI-related compliance failures. Engage external counsel and forensic consultants for independent review of AI model outputs. Notify relevant regulators proactively before examination findings. Establish war room with CRO, CTO, General Counsel, and Head of Compliance.</w:t>
      </w:r>
    </w:p>
    <w:p>
      <w:pPr>
        <w:spacing w:after="120"/>
      </w:pPr>
      <w:r>
        <w:rPr>
          <w:b/>
          <w:bCs/>
        </w:rPr>
        <w:t xml:space="preserve">Short-term adjustments (30-90 days): </w:t>
      </w:r>
      <w:r>
        <w:t xml:space="preserve">Commission independent AI model validation review of all production systems. Reinstate human oversight in all functions where AI has replaced human review. Conduct fair lending analysis across all AI-driven credit decisions. Begin development of remediation plan for identified deficiencies. Prepare board-level briefing on scope of issues and remediation timeline.</w:t>
      </w:r>
    </w:p>
    <w:p>
      <w:pPr>
        <w:spacing w:after="120"/>
      </w:pPr>
      <w:r>
        <w:rPr>
          <w:b/>
          <w:bCs/>
        </w:rPr>
        <w:t xml:space="preserve">Medium-term strategic pivots (90 days - 1 year): </w:t>
      </w:r>
      <w:r>
        <w:t xml:space="preserve">Implement enhanced AI governance framework with independent model validation, ongoing monitoring, and explicit human-in-the-loop requirements. Rebuild risk and compliance functions with appropriate staffing levels. Establish AI Ethics Board with external membership. Reset transformation timeline with staged gates and more conservative deployment criteria. Negotiate with regulators on consent order terms and remediation milestones.</w:t>
      </w:r>
    </w:p>
    <w:p>
      <w:pPr>
        <w:spacing w:after="120"/>
      </w:pPr>
      <w:r>
        <w:rPr>
          <w:b/>
          <w:bCs/>
        </w:rPr>
        <w:t xml:space="preserve">Communication strategy: </w:t>
      </w:r>
      <w:r>
        <w:t xml:space="preserve">Internal: CEO town hall acknowledging failures, committing to remediation, and reaffirming long-term transformation vision with enhanced safeguards. Regulatory: proactive, transparent engagement demonstrating accountability and willingness to invest in remediation. Investor: board chair communication framing remediation costs as one-time and affirming long-term strategic direction. Public: controlled messaging emphasizing commitment to responsible AI.</w:t>
      </w:r>
    </w:p>
    <w:p>
      <w:pPr>
        <w:pStyle w:val="Heading2"/>
      </w:pPr>
      <w:r>
        <w:t xml:space="preserve">10.2 Playbook: Scenario C1 Materialization (Great Displacement)</w:t>
      </w:r>
    </w:p>
    <w:p>
      <w:pPr>
        <w:spacing w:after="120"/>
      </w:pPr>
      <w:r>
        <w:rPr>
          <w:b/>
          <w:bCs/>
        </w:rPr>
        <w:t xml:space="preserve">Trigger conditions: </w:t>
      </w:r>
      <w:r>
        <w:t xml:space="preserve">Unemployment in white-collar occupations exceeds 6.5% (Red threshold). Consumer confidence below 70. CRE vacancy above 25% in two or more operating metros. Credit card delinquencies rising above 5%.</w:t>
      </w:r>
    </w:p>
    <w:p>
      <w:pPr>
        <w:spacing w:after="120"/>
      </w:pPr>
      <w:r>
        <w:rPr>
          <w:b/>
          <w:bCs/>
        </w:rPr>
        <w:t xml:space="preserve">Immediate actions (0-30 days): </w:t>
      </w:r>
      <w:r>
        <w:t xml:space="preserve">Activate CCAR-level credit loss monitoring with enhanced frequency. Review consumer portfolio concentrations for geographic and sector exposure to AI displacement. Engage Treasury/ALM teams on liquidity contingency planning. Prepare board briefing on emerging credit stress and capital implications. Freeze further AI-driven headcount reductions to avoid contributing to macro displacement and to preserve human capacity for stress management.</w:t>
      </w:r>
    </w:p>
    <w:p>
      <w:pPr>
        <w:spacing w:after="120"/>
      </w:pPr>
      <w:r>
        <w:rPr>
          <w:b/>
          <w:bCs/>
        </w:rPr>
        <w:t xml:space="preserve">Short-term adjustments (30-90 days): </w:t>
      </w:r>
      <w:r>
        <w:t xml:space="preserve">Increase provision for credit loss reserves in consumer portfolios, with particular focus on credit card, auto, and residential mortgage in affected metro areas. Tighten underwriting criteria for new originations in high-exposure sectors and geographies. Evaluate CRE portfolio for exposure to office space in affected markets and establish specific reserves. Communicate proactively with regulators about emerging stress indicators and institutional preparedness.</w:t>
      </w:r>
    </w:p>
    <w:p>
      <w:pPr>
        <w:spacing w:after="120"/>
      </w:pPr>
      <w:r>
        <w:rPr>
          <w:b/>
          <w:bCs/>
        </w:rPr>
        <w:t xml:space="preserve">Medium-term strategic pivots (90 days - 1 year): </w:t>
      </w:r>
      <w:r>
        <w:t xml:space="preserve">Conduct full capital planning exercise incorporating AI displacement scenarios alongside traditional CCAR scenarios. Evaluate strategic balance between continuing AI transformation (which improves institutional resilience) and managing the macroeconomic externalities (which worsen credit conditions). Consider public commitments to workforce transition support (reskilling, severance enhancement, community investment) that may moderate political backlash. Engage industry associations (BPI, IIF) to coordinate sector-wide response to displacement dynamics.</w:t>
      </w:r>
    </w:p>
    <w:p>
      <w:pPr>
        <w:spacing w:after="120"/>
      </w:pPr>
      <w:r>
        <w:rPr>
          <w:b/>
          <w:bCs/>
        </w:rPr>
        <w:t xml:space="preserve">Board decision points: </w:t>
      </w:r>
      <w:r>
        <w:t xml:space="preserve">Should the institution slow its own AI-driven workforce reduction to limit contribution to the macro displacement problem? What is the institution's obligation to displaced communities where it has significant operations (e.g., Charlotte, NC for major banking operations centers)? Should the institution support legislative proposals for transition support, reskilling investment, or safety net modernization? At what CET1 ratio does the institution need to raise capital, reduce dividends, or execute asset sales?</w:t>
      </w:r>
    </w:p>
    <w:p>
      <w:r>
        <w:br w:type="page"/>
      </w:r>
    </w:p>
    <w:p>
      <w:pPr>
        <w:pStyle w:val="Heading1"/>
      </w:pPr>
      <w:r>
        <w:t xml:space="preserve">11. Regulatory Engagement Recommendations</w:t>
      </w:r>
    </w:p>
    <w:p>
      <w:pPr>
        <w:pStyle w:val="Heading2"/>
      </w:pPr>
      <w:r>
        <w:t xml:space="preserve">11.1 Proactive Engagement Strategy</w:t>
      </w:r>
    </w:p>
    <w:p>
      <w:pPr>
        <w:spacing w:after="120"/>
      </w:pPr>
      <w:r>
        <w:t xml:space="preserve">The institution should adopt a thought-leadership positioning on AI transformation risk, engaging regulators before they form independent views that may be less informed by institutional realities. Specific recommendations:</w:t>
      </w:r>
    </w:p>
    <w:p>
      <w:pPr>
        <w:spacing w:after="120"/>
      </w:pPr>
      <w:r>
        <w:rPr>
          <w:b/>
          <w:bCs/>
        </w:rPr>
        <w:t xml:space="preserve">OCC engagement: </w:t>
      </w:r>
      <w:r>
        <w:t xml:space="preserve">Share this framework (or an appropriate version) with the OCC's Innovation team and the institution's lead examiner team as evidence of sophisticated risk management. The OCC's Fall 2025 Semiannual Risk Perspective introduced AI and innovation as a special topic, suggesting that insufficient investment in technology may present longer-term business and risk management challenges. Position the institution's AI transformation as a risk management imperative, not just a growth strategy.</w:t>
      </w:r>
    </w:p>
    <w:p>
      <w:pPr>
        <w:spacing w:after="120"/>
      </w:pPr>
      <w:r>
        <w:rPr>
          <w:b/>
          <w:bCs/>
        </w:rPr>
        <w:t xml:space="preserve">Federal Reserve engagement: </w:t>
      </w:r>
      <w:r>
        <w:t xml:space="preserve">Engage with the Fed's Supervision &amp; Regulation division and the Vice Chair for Supervision on how AI transformation scenarios could be incorporated into future CCAR/DFAST cycles. The Fed's June 2025 announcement that reputational risk will no longer be a component of examination programs suggests an evolving supervisory posture that the institution should help shape with respect to AI.</w:t>
      </w:r>
    </w:p>
    <w:p>
      <w:pPr>
        <w:spacing w:after="120"/>
      </w:pPr>
      <w:r>
        <w:rPr>
          <w:b/>
          <w:bCs/>
        </w:rPr>
        <w:t xml:space="preserve">Industry working group participation: </w:t>
      </w:r>
      <w:r>
        <w:t xml:space="preserve">The Bank Policy Institute (BPI), Institute of International Finance (IIF), and American Bankers Association (ABA) have active AI working groups. The ABA has submitted detailed comment letters on AI model risk management and the regulatory framework. Active participation in these bodies ensures that the industry's collective voice on AI governance is informed by sophisticated risk analysis.</w:t>
      </w:r>
    </w:p>
    <w:p>
      <w:pPr>
        <w:pStyle w:val="Heading2"/>
      </w:pPr>
      <w:r>
        <w:t xml:space="preserve">11.2 Proposed Voluntary AI Stress Test Reporting</w:t>
      </w:r>
    </w:p>
    <w:p>
      <w:pPr>
        <w:spacing w:after="120"/>
      </w:pPr>
      <w:r>
        <w:t xml:space="preserve">The institution should offer to participate in a voluntary pilot program for AI stress test reporting to the Federal Reserve and OCC. The proposed format would supplement existing CCAR/DFAST submissions with an AI Transformation Appendix covering: AI adoption metrics (systems deployed, processes covered, headcount impact); AI operational risk metrics (model performance, error rates, incident reports); AI concentration risk assessment (provider dependencies, substitutability assessment); AI competitive positioning analysis (relative adoption versus peers); and AI transformation financial projections (expected cost savings, investment requirements, revenue impact). This voluntary reporting positions the institution as a responsible innovator, shapes the eventual mandatory reporting framework to align with institutional capabilities, and provides early credit with supervisors for proactive risk management.</w:t>
      </w:r>
    </w:p>
    <w:p>
      <w:r>
        <w:br w:type="page"/>
      </w:r>
    </w:p>
    <w:p>
      <w:pPr>
        <w:pStyle w:val="Heading1"/>
      </w:pPr>
      <w:r>
        <w:t xml:space="preserve">12. Macroprudential and Policy Recommendations</w:t>
      </w:r>
    </w:p>
    <w:p>
      <w:pPr>
        <w:pStyle w:val="Heading2"/>
      </w:pPr>
      <w:r>
        <w:t xml:space="preserve">12.1 Should Regulators Include AI Transformation in CCAR/DFAST?</w:t>
      </w:r>
    </w:p>
    <w:p>
      <w:pPr>
        <w:spacing w:after="120"/>
      </w:pPr>
      <w:r>
        <w:rPr>
          <w:b/>
          <w:bCs/>
        </w:rPr>
        <w:t xml:space="preserve">Yes. </w:t>
      </w:r>
      <w:r>
        <w:t xml:space="preserve">The analysis in this framework demonstrates that AI transformation represents a plausible source of material stress to the financial system that is not captured by current CCAR/DFAST scenarios. Current scenarios model macroeconomic shocks (recession, market correction, rate changes) but assume stable institutional operating models. AI transformation creates stress through channels that current scenarios do not address: endogenous operating model transformation risk; competitive displacement risk; AI provider concentration risk as a source of systemic operational risk; feedback loops between institutional AI adoption and economy-wide labor displacement; and regulatory/political backlash risk.</w:t>
      </w:r>
    </w:p>
    <w:p>
      <w:pPr>
        <w:spacing w:after="120"/>
      </w:pPr>
      <w:r>
        <w:t xml:space="preserve">The recommendation is that AI transformation scenarios be incorporated into CCAR/DFAST within the next two to three cycles (by 2028-2029), beginning with a pilot supplementary scenario in the 2027 cycle. The Federal Reserve should engage with industry through the current RFI/comment process to develop the scenario design methodology, building on frameworks such as this one.</w:t>
      </w:r>
    </w:p>
    <w:p>
      <w:pPr>
        <w:pStyle w:val="Heading2"/>
      </w:pPr>
      <w:r>
        <w:t xml:space="preserve">12.2 AI Provider Concentration Limits</w:t>
      </w:r>
    </w:p>
    <w:p>
      <w:pPr>
        <w:spacing w:after="120"/>
      </w:pPr>
      <w:r>
        <w:t xml:space="preserve">The FSB has identified AI provider concentration as a key financial stability vulnerability. This framework recommends that prudential regulators establish expectations (initially as guidance, potentially evolving to rules) that systemically important financial institutions: maintain AI workloads distributed across at least two independent providers; demonstrate capability to migrate critical AI functions to alternative providers within defined timeframes (e.g., 30 days for customer-facing applications, 90 days for risk and compliance functions); conduct annual concentration risk assessments of their AI supply chain; and report AI provider concentrations to supervisors as part of operational resilience reporting.</w:t>
      </w:r>
    </w:p>
    <w:p>
      <w:pPr>
        <w:pStyle w:val="Heading2"/>
      </w:pPr>
      <w:r>
        <w:t xml:space="preserve">12.3 Fiscal Policy Recommendations</w:t>
      </w:r>
    </w:p>
    <w:p>
      <w:pPr>
        <w:spacing w:after="120"/>
      </w:pPr>
      <w:r>
        <w:t xml:space="preserve">The scenarios in this framework, particularly C1 (The Great Displacement), project significant labor market disruption concentrated among college-educated, middle-income workers. Historical analogue research, particularly the China Shock literature of Autor, Dorn, and Hanson, demonstrates that displaced workers in concentrated industries and geographies experience persistent income loss, increased disability claims, reduced labor force participation, and negative health outcomes that impose fiscal costs far exceeding the cost of proactive transition support.</w:t>
      </w:r>
    </w:p>
    <w:p>
      <w:pPr>
        <w:spacing w:after="120"/>
      </w:pPr>
      <w:r>
        <w:t xml:space="preserve">Recommended fiscal policy responses include: scaling of federal reskilling and workforce transition programs proportional to the pace of AI adoption, funded at a level commensurate with the projected displacement (estimated at $20-50 billion annually for a program serving 5-10 million workers in transition); modernization of unemployment insurance to cover partial displacement (income reduction from job transformation, not just full job loss); tax incentives for employer-funded reskilling and transition support; and targeted support for communities facing concentrated displacement effects (analogous to Trade Adjustment Assistance, but for AI displacement).</w:t>
      </w:r>
    </w:p>
    <w:p>
      <w:pPr>
        <w:pStyle w:val="Heading2"/>
      </w:pPr>
      <w:r>
        <w:t xml:space="preserve">12.4 Research Agenda</w:t>
      </w:r>
    </w:p>
    <w:p>
      <w:pPr>
        <w:spacing w:after="120"/>
      </w:pPr>
      <w:r>
        <w:t xml:space="preserve">Critical questions that this framework identifies but cannot fully resolve, requiring further research:</w:t>
      </w:r>
    </w:p>
    <w:p>
      <w:pPr>
        <w:spacing w:after="120"/>
      </w:pPr>
      <w:r>
        <w:t xml:space="preserve">What is the actual speed of AI capability advancement, and does it follow an S-curve that plateaus, or an exponential that continues to accelerate? Acemoglu (2025) and Goldman Sachs (2025) reach significantly different conclusions, with TFP impact estimates ranging from 0.53% to 15% depending on assumptions. The variance in these estimates drives the difference between a manageable transition (Acemoglu's lower bound) and a severely disruptive one (Goldman's upper bound). Ongoing empirical measurement of actual AI productivity impact across industries is essential to narrowing this range.</w:t>
      </w:r>
    </w:p>
    <w:p>
      <w:pPr>
        <w:spacing w:after="120"/>
      </w:pPr>
      <w:r>
        <w:t xml:space="preserve">What is the labor market adjustment speed for white-collar, cognitive-task displacement? Historical analogues provide limited guidance because prior automation primarily affected blue-collar workers. The reskilling success rate for displaced knowledge workers, the geographic mobility of this population, and the rate at which new task creation absorbs displaced labor are all poorly measured and highly uncertain.</w:t>
      </w:r>
    </w:p>
    <w:p>
      <w:pPr>
        <w:spacing w:after="120"/>
      </w:pPr>
      <w:r>
        <w:t xml:space="preserve">How do correlated AI strategies across financial institutions create systemic risk? The FSB has identified this as a vulnerability, but empirical measurement is in its infancy. Research on the correlation structure of AI-driven trading strategies, credit decisions, and risk assessments across institutions would significantly improve the calibration of Scenario C1 and the market structure channel.</w:t>
      </w:r>
    </w:p>
    <w:p>
      <w:pPr>
        <w:spacing w:after="120"/>
      </w:pPr>
      <w:r>
        <w:t xml:space="preserve">What is the effective transmission speed from institutional AI adoption to macroeconomic labor market impact? Goldman Sachs (March 2025) found no discernible aggregate labor market impact from AI adoption to date, but noted that impacts may materialize with a lag of two or more years. Understanding this lag structure is critical for early warning indicator design and policy response timing.</w:t>
      </w:r>
    </w:p>
    <w:p>
      <w:r>
        <w:br w:type="page"/>
      </w:r>
    </w:p>
    <w:p>
      <w:pPr>
        <w:spacing w:before="600" w:after="400"/>
        <w:jc w:val="center"/>
      </w:pPr>
      <w:r>
        <w:rPr>
          <w:rFonts w:ascii="Arial" w:cs="Arial" w:eastAsia="Arial" w:hAnsi="Arial"/>
          <w:b/>
          <w:bCs/>
          <w:color w:val="1B3A5C"/>
          <w:sz w:val="36"/>
          <w:szCs w:val="36"/>
        </w:rPr>
        <w:t xml:space="preserve">PART V: APPENDICES</w:t>
      </w:r>
    </w:p>
    <w:p>
      <w:r>
        <w:br w:type="page"/>
      </w:r>
    </w:p>
    <w:p>
      <w:pPr>
        <w:pStyle w:val="Heading1"/>
      </w:pPr>
      <w:r>
        <w:t xml:space="preserve">13. Complete Variable Paths: Scenario C1 (The Great Displacement)</w:t>
      </w:r>
    </w:p>
    <w:p>
      <w:pPr>
        <w:spacing w:after="120"/>
      </w:pPr>
      <w:r>
        <w:t xml:space="preserve">The following table provides the complete macroeconomic variable path for Scenario C1 over a ten-year horizon.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020"/>
        <w:gridCol w:w="1020"/>
        <w:gridCol w:w="1020"/>
        <w:gridCol w:w="1020"/>
        <w:gridCol w:w="1040"/>
        <w:gridCol w:w="1040"/>
      </w:tblGrid>
      <w:tr>
        <w:tc>
          <w:tcPr>
            <w:tcW w:type="dxa" w:w="2200"/>
            <w:tcBorders>
              <w:top w:val="single" w:color="999999" w:sz="1"/>
              <w:left w:val="single" w:color="999999" w:sz="1"/>
              <w:bottom w:val="single" w:color="999999" w:sz="1"/>
              <w:right w:val="single" w:color="999999"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20"/>
                <w:szCs w:val="20"/>
              </w:rPr>
              <w:t xml:space="preserve">Variable</w:t>
            </w:r>
          </w:p>
        </w:tc>
        <w:tc>
          <w:tcPr>
            <w:tcW w:type="dxa" w:w="1020"/>
            <w:tcBorders>
              <w:top w:val="single" w:color="999999" w:sz="1"/>
              <w:left w:val="single" w:color="999999" w:sz="1"/>
              <w:bottom w:val="single" w:color="999999" w:sz="1"/>
              <w:right w:val="single" w:color="999999"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20"/>
                <w:szCs w:val="20"/>
              </w:rPr>
              <w:t xml:space="preserve">Baseline</w:t>
            </w:r>
          </w:p>
        </w:tc>
        <w:tc>
          <w:tcPr>
            <w:tcW w:type="dxa" w:w="1020"/>
            <w:tcBorders>
              <w:top w:val="single" w:color="999999" w:sz="1"/>
              <w:left w:val="single" w:color="999999" w:sz="1"/>
              <w:bottom w:val="single" w:color="999999" w:sz="1"/>
              <w:right w:val="single" w:color="999999"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20"/>
                <w:szCs w:val="20"/>
              </w:rPr>
              <w:t xml:space="preserve">Year 1</w:t>
            </w:r>
          </w:p>
        </w:tc>
        <w:tc>
          <w:tcPr>
            <w:tcW w:type="dxa" w:w="1020"/>
            <w:tcBorders>
              <w:top w:val="single" w:color="999999" w:sz="1"/>
              <w:left w:val="single" w:color="999999" w:sz="1"/>
              <w:bottom w:val="single" w:color="999999" w:sz="1"/>
              <w:right w:val="single" w:color="999999"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20"/>
                <w:szCs w:val="20"/>
              </w:rPr>
              <w:t xml:space="preserve">Year 3</w:t>
            </w:r>
          </w:p>
        </w:tc>
        <w:tc>
          <w:tcPr>
            <w:tcW w:type="dxa" w:w="1020"/>
            <w:tcBorders>
              <w:top w:val="single" w:color="999999" w:sz="1"/>
              <w:left w:val="single" w:color="999999" w:sz="1"/>
              <w:bottom w:val="single" w:color="999999" w:sz="1"/>
              <w:right w:val="single" w:color="999999"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20"/>
                <w:szCs w:val="20"/>
              </w:rPr>
              <w:t xml:space="preserve">Year 5</w:t>
            </w:r>
          </w:p>
        </w:tc>
        <w:tc>
          <w:tcPr>
            <w:tcW w:type="dxa" w:w="1040"/>
            <w:tcBorders>
              <w:top w:val="single" w:color="999999" w:sz="1"/>
              <w:left w:val="single" w:color="999999" w:sz="1"/>
              <w:bottom w:val="single" w:color="999999" w:sz="1"/>
              <w:right w:val="single" w:color="999999"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20"/>
                <w:szCs w:val="20"/>
              </w:rPr>
              <w:t xml:space="preserve">Year 7</w:t>
            </w:r>
          </w:p>
        </w:tc>
        <w:tc>
          <w:tcPr>
            <w:tcW w:type="dxa" w:w="1040"/>
            <w:tcBorders>
              <w:top w:val="single" w:color="999999" w:sz="1"/>
              <w:left w:val="single" w:color="999999" w:sz="1"/>
              <w:bottom w:val="single" w:color="999999" w:sz="1"/>
              <w:right w:val="single" w:color="999999"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20"/>
                <w:szCs w:val="20"/>
              </w:rPr>
              <w:t xml:space="preserve">Year 10</w:t>
            </w:r>
          </w:p>
        </w:tc>
      </w:tr>
      <w:tr>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Arial" w:cs="Arial" w:eastAsia="Arial" w:hAnsi="Arial"/>
                <w:color w:val="1A1A1A"/>
                <w:sz w:val="19"/>
                <w:szCs w:val="19"/>
              </w:rPr>
              <w:t xml:space="preserve">Real GDP Growth</w:t>
            </w:r>
          </w:p>
        </w:tc>
        <w:tc>
          <w:tcPr>
            <w:tcW w:type="dxa" w:w="102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Arial" w:cs="Arial" w:eastAsia="Arial" w:hAnsi="Arial"/>
                <w:color w:val="1A1A1A"/>
                <w:sz w:val="19"/>
                <w:szCs w:val="19"/>
              </w:rPr>
              <w:t xml:space="preserve">2.5%</w:t>
            </w:r>
          </w:p>
        </w:tc>
        <w:tc>
          <w:tcPr>
            <w:tcW w:type="dxa" w:w="102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Arial" w:cs="Arial" w:eastAsia="Arial" w:hAnsi="Arial"/>
                <w:color w:val="1A1A1A"/>
                <w:sz w:val="19"/>
                <w:szCs w:val="19"/>
              </w:rPr>
              <w:t xml:space="preserve">1.5%</w:t>
            </w:r>
          </w:p>
        </w:tc>
        <w:tc>
          <w:tcPr>
            <w:tcW w:type="dxa" w:w="102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Arial" w:cs="Arial" w:eastAsia="Arial" w:hAnsi="Arial"/>
                <w:color w:val="1A1A1A"/>
                <w:sz w:val="19"/>
                <w:szCs w:val="19"/>
              </w:rPr>
              <w:t xml:space="preserve">-1.5%</w:t>
            </w:r>
          </w:p>
        </w:tc>
        <w:tc>
          <w:tcPr>
            <w:tcW w:type="dxa" w:w="102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Arial" w:cs="Arial" w:eastAsia="Arial" w:hAnsi="Arial"/>
                <w:color w:val="1A1A1A"/>
                <w:sz w:val="19"/>
                <w:szCs w:val="19"/>
              </w:rPr>
              <w:t xml:space="preserve">1.0%</w:t>
            </w:r>
          </w:p>
        </w:tc>
        <w:tc>
          <w:tcPr>
            <w:tcW w:type="dxa" w:w="104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Arial" w:cs="Arial" w:eastAsia="Arial" w:hAnsi="Arial"/>
                <w:color w:val="1A1A1A"/>
                <w:sz w:val="19"/>
                <w:szCs w:val="19"/>
              </w:rPr>
              <w:t xml:space="preserve">2.0%</w:t>
            </w:r>
          </w:p>
        </w:tc>
        <w:tc>
          <w:tcPr>
            <w:tcW w:type="dxa" w:w="104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Arial" w:cs="Arial" w:eastAsia="Arial" w:hAnsi="Arial"/>
                <w:color w:val="1A1A1A"/>
                <w:sz w:val="19"/>
                <w:szCs w:val="19"/>
              </w:rPr>
              <w:t xml:space="preserve">2.5%</w:t>
            </w:r>
          </w:p>
        </w:tc>
      </w:tr>
      <w:tr>
        <w:tc>
          <w:tcPr>
            <w:tcW w:type="dxa" w:w="2200"/>
            <w:tcBorders>
              <w:top w:val="single" w:color="999999" w:sz="1"/>
              <w:left w:val="single" w:color="999999" w:sz="1"/>
              <w:bottom w:val="single" w:color="999999" w:sz="1"/>
              <w:right w:val="single" w:color="999999" w:sz="1"/>
            </w:tcBorders>
            <w:shd w:fill="EDF2F7" w:val="clear"/>
            <w:tcMar>
              <w:top w:type="dxa" w:w="60"/>
              <w:left w:type="dxa" w:w="100"/>
              <w:bottom w:type="dxa" w:w="60"/>
              <w:right w:type="dxa" w:w="100"/>
            </w:tcMar>
            <w:vAlign w:val="center"/>
          </w:tcPr>
          <w:p>
            <w:pPr>
              <w:spacing w:after="0"/>
            </w:pPr>
            <w:r>
              <w:rPr>
                <w:rFonts w:ascii="Arial" w:cs="Arial" w:eastAsia="Arial" w:hAnsi="Arial"/>
                <w:color w:val="1A1A1A"/>
                <w:sz w:val="19"/>
                <w:szCs w:val="19"/>
              </w:rPr>
              <w:t xml:space="preserve">Unemployment Rate (U-3)</w:t>
            </w:r>
          </w:p>
        </w:tc>
        <w:tc>
          <w:tcPr>
            <w:tcW w:type="dxa" w:w="1020"/>
            <w:tcBorders>
              <w:top w:val="single" w:color="999999" w:sz="1"/>
              <w:left w:val="single" w:color="999999" w:sz="1"/>
              <w:bottom w:val="single" w:color="999999" w:sz="1"/>
              <w:right w:val="single" w:color="999999" w:sz="1"/>
            </w:tcBorders>
            <w:shd w:fill="EDF2F7" w:val="clear"/>
            <w:tcMar>
              <w:top w:type="dxa" w:w="60"/>
              <w:left w:type="dxa" w:w="100"/>
              <w:bottom w:type="dxa" w:w="60"/>
              <w:right w:type="dxa" w:w="100"/>
            </w:tcMar>
            <w:vAlign w:val="center"/>
          </w:tcPr>
          <w:p>
            <w:pPr>
              <w:spacing w:after="0"/>
            </w:pPr>
            <w:r>
              <w:rPr>
                <w:rFonts w:ascii="Arial" w:cs="Arial" w:eastAsia="Arial" w:hAnsi="Arial"/>
                <w:color w:val="1A1A1A"/>
                <w:sz w:val="19"/>
                <w:szCs w:val="19"/>
              </w:rPr>
              <w:t xml:space="preserve">4.2%</w:t>
            </w:r>
          </w:p>
        </w:tc>
        <w:tc>
          <w:tcPr>
            <w:tcW w:type="dxa" w:w="1020"/>
            <w:tcBorders>
              <w:top w:val="single" w:color="999999" w:sz="1"/>
              <w:left w:val="single" w:color="999999" w:sz="1"/>
              <w:bottom w:val="single" w:color="999999" w:sz="1"/>
              <w:right w:val="single" w:color="999999" w:sz="1"/>
            </w:tcBorders>
            <w:shd w:fill="EDF2F7" w:val="clear"/>
            <w:tcMar>
              <w:top w:type="dxa" w:w="60"/>
              <w:left w:type="dxa" w:w="100"/>
              <w:bottom w:type="dxa" w:w="60"/>
              <w:right w:type="dxa" w:w="100"/>
            </w:tcMar>
            <w:vAlign w:val="center"/>
          </w:tcPr>
          <w:p>
            <w:pPr>
              <w:spacing w:after="0"/>
            </w:pPr>
            <w:r>
              <w:rPr>
                <w:rFonts w:ascii="Arial" w:cs="Arial" w:eastAsia="Arial" w:hAnsi="Arial"/>
                <w:color w:val="1A1A1A"/>
                <w:sz w:val="19"/>
                <w:szCs w:val="19"/>
              </w:rPr>
              <w:t xml:space="preserve">5.0%</w:t>
            </w:r>
          </w:p>
        </w:tc>
        <w:tc>
          <w:tcPr>
            <w:tcW w:type="dxa" w:w="1020"/>
            <w:tcBorders>
              <w:top w:val="single" w:color="999999" w:sz="1"/>
              <w:left w:val="single" w:color="999999" w:sz="1"/>
              <w:bottom w:val="single" w:color="999999" w:sz="1"/>
              <w:right w:val="single" w:color="999999" w:sz="1"/>
            </w:tcBorders>
            <w:shd w:fill="EDF2F7" w:val="clear"/>
            <w:tcMar>
              <w:top w:type="dxa" w:w="60"/>
              <w:left w:type="dxa" w:w="100"/>
              <w:bottom w:type="dxa" w:w="60"/>
              <w:right w:type="dxa" w:w="100"/>
            </w:tcMar>
            <w:vAlign w:val="center"/>
          </w:tcPr>
          <w:p>
            <w:pPr>
              <w:spacing w:after="0"/>
            </w:pPr>
            <w:r>
              <w:rPr>
                <w:rFonts w:ascii="Arial" w:cs="Arial" w:eastAsia="Arial" w:hAnsi="Arial"/>
                <w:color w:val="1A1A1A"/>
                <w:sz w:val="19"/>
                <w:szCs w:val="19"/>
              </w:rPr>
              <w:t xml:space="preserve">8.5%</w:t>
            </w:r>
          </w:p>
        </w:tc>
        <w:tc>
          <w:tcPr>
            <w:tcW w:type="dxa" w:w="1020"/>
            <w:tcBorders>
              <w:top w:val="single" w:color="999999" w:sz="1"/>
              <w:left w:val="single" w:color="999999" w:sz="1"/>
              <w:bottom w:val="single" w:color="999999" w:sz="1"/>
              <w:right w:val="single" w:color="999999" w:sz="1"/>
            </w:tcBorders>
            <w:shd w:fill="EDF2F7" w:val="clear"/>
            <w:tcMar>
              <w:top w:type="dxa" w:w="60"/>
              <w:left w:type="dxa" w:w="100"/>
              <w:bottom w:type="dxa" w:w="60"/>
              <w:right w:type="dxa" w:w="100"/>
            </w:tcMar>
            <w:vAlign w:val="center"/>
          </w:tcPr>
          <w:p>
            <w:pPr>
              <w:spacing w:after="0"/>
            </w:pPr>
            <w:r>
              <w:rPr>
                <w:rFonts w:ascii="Arial" w:cs="Arial" w:eastAsia="Arial" w:hAnsi="Arial"/>
                <w:color w:val="1A1A1A"/>
                <w:sz w:val="19"/>
                <w:szCs w:val="19"/>
              </w:rPr>
              <w:t xml:space="preserve">7.0%</w:t>
            </w:r>
          </w:p>
        </w:tc>
        <w:tc>
          <w:tcPr>
            <w:tcW w:type="dxa" w:w="1040"/>
            <w:tcBorders>
              <w:top w:val="single" w:color="999999" w:sz="1"/>
              <w:left w:val="single" w:color="999999" w:sz="1"/>
              <w:bottom w:val="single" w:color="999999" w:sz="1"/>
              <w:right w:val="single" w:color="999999" w:sz="1"/>
            </w:tcBorders>
            <w:shd w:fill="EDF2F7" w:val="clear"/>
            <w:tcMar>
              <w:top w:type="dxa" w:w="60"/>
              <w:left w:type="dxa" w:w="100"/>
              <w:bottom w:type="dxa" w:w="60"/>
              <w:right w:type="dxa" w:w="100"/>
            </w:tcMar>
            <w:vAlign w:val="center"/>
          </w:tcPr>
          <w:p>
            <w:pPr>
              <w:spacing w:after="0"/>
            </w:pPr>
            <w:r>
              <w:rPr>
                <w:rFonts w:ascii="Arial" w:cs="Arial" w:eastAsia="Arial" w:hAnsi="Arial"/>
                <w:color w:val="1A1A1A"/>
                <w:sz w:val="19"/>
                <w:szCs w:val="19"/>
              </w:rPr>
              <w:t xml:space="preserve">5.5%</w:t>
            </w:r>
          </w:p>
        </w:tc>
        <w:tc>
          <w:tcPr>
            <w:tcW w:type="dxa" w:w="1040"/>
            <w:tcBorders>
              <w:top w:val="single" w:color="999999" w:sz="1"/>
              <w:left w:val="single" w:color="999999" w:sz="1"/>
              <w:bottom w:val="single" w:color="999999" w:sz="1"/>
              <w:right w:val="single" w:color="999999" w:sz="1"/>
            </w:tcBorders>
            <w:shd w:fill="EDF2F7" w:val="clear"/>
            <w:tcMar>
              <w:top w:type="dxa" w:w="60"/>
              <w:left w:type="dxa" w:w="100"/>
              <w:bottom w:type="dxa" w:w="60"/>
              <w:right w:type="dxa" w:w="100"/>
            </w:tcMar>
            <w:vAlign w:val="center"/>
          </w:tcPr>
          <w:p>
            <w:pPr>
              <w:spacing w:after="0"/>
            </w:pPr>
            <w:r>
              <w:rPr>
                <w:rFonts w:ascii="Arial" w:cs="Arial" w:eastAsia="Arial" w:hAnsi="Arial"/>
                <w:color w:val="1A1A1A"/>
                <w:sz w:val="19"/>
                <w:szCs w:val="19"/>
              </w:rPr>
              <w:t xml:space="preserve">4.8%</w:t>
            </w:r>
          </w:p>
        </w:tc>
      </w:tr>
      <w:tr>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Arial" w:cs="Arial" w:eastAsia="Arial" w:hAnsi="Arial"/>
                <w:color w:val="1A1A1A"/>
                <w:sz w:val="19"/>
                <w:szCs w:val="19"/>
              </w:rPr>
              <w:t xml:space="preserve">Unemployment Rate (U-6)</w:t>
            </w:r>
          </w:p>
        </w:tc>
        <w:tc>
          <w:tcPr>
            <w:tcW w:type="dxa" w:w="102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Arial" w:cs="Arial" w:eastAsia="Arial" w:hAnsi="Arial"/>
                <w:color w:val="1A1A1A"/>
                <w:sz w:val="19"/>
                <w:szCs w:val="19"/>
              </w:rPr>
              <w:t xml:space="preserve">7.5%</w:t>
            </w:r>
          </w:p>
        </w:tc>
        <w:tc>
          <w:tcPr>
            <w:tcW w:type="dxa" w:w="102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Arial" w:cs="Arial" w:eastAsia="Arial" w:hAnsi="Arial"/>
                <w:color w:val="1A1A1A"/>
                <w:sz w:val="19"/>
                <w:szCs w:val="19"/>
              </w:rPr>
              <w:t xml:space="preserve">9.0%</w:t>
            </w:r>
          </w:p>
        </w:tc>
        <w:tc>
          <w:tcPr>
            <w:tcW w:type="dxa" w:w="102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Arial" w:cs="Arial" w:eastAsia="Arial" w:hAnsi="Arial"/>
                <w:color w:val="1A1A1A"/>
                <w:sz w:val="19"/>
                <w:szCs w:val="19"/>
              </w:rPr>
              <w:t xml:space="preserve">15.5%</w:t>
            </w:r>
          </w:p>
        </w:tc>
        <w:tc>
          <w:tcPr>
            <w:tcW w:type="dxa" w:w="102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Arial" w:cs="Arial" w:eastAsia="Arial" w:hAnsi="Arial"/>
                <w:color w:val="1A1A1A"/>
                <w:sz w:val="19"/>
                <w:szCs w:val="19"/>
              </w:rPr>
              <w:t xml:space="preserve">12.0%</w:t>
            </w:r>
          </w:p>
        </w:tc>
        <w:tc>
          <w:tcPr>
            <w:tcW w:type="dxa" w:w="104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Arial" w:cs="Arial" w:eastAsia="Arial" w:hAnsi="Arial"/>
                <w:color w:val="1A1A1A"/>
                <w:sz w:val="19"/>
                <w:szCs w:val="19"/>
              </w:rPr>
              <w:t xml:space="preserve">9.5%</w:t>
            </w:r>
          </w:p>
        </w:tc>
        <w:tc>
          <w:tcPr>
            <w:tcW w:type="dxa" w:w="104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Arial" w:cs="Arial" w:eastAsia="Arial" w:hAnsi="Arial"/>
                <w:color w:val="1A1A1A"/>
                <w:sz w:val="19"/>
                <w:szCs w:val="19"/>
              </w:rPr>
              <w:t xml:space="preserve">8.0%</w:t>
            </w:r>
          </w:p>
        </w:tc>
      </w:tr>
      <w:tr>
        <w:tc>
          <w:tcPr>
            <w:tcW w:type="dxa" w:w="2200"/>
            <w:tcBorders>
              <w:top w:val="single" w:color="999999" w:sz="1"/>
              <w:left w:val="single" w:color="999999" w:sz="1"/>
              <w:bottom w:val="single" w:color="999999" w:sz="1"/>
              <w:right w:val="single" w:color="999999" w:sz="1"/>
            </w:tcBorders>
            <w:shd w:fill="EDF2F7" w:val="clear"/>
            <w:tcMar>
              <w:top w:type="dxa" w:w="60"/>
              <w:left w:type="dxa" w:w="100"/>
              <w:bottom w:type="dxa" w:w="60"/>
              <w:right w:type="dxa" w:w="100"/>
            </w:tcMar>
            <w:vAlign w:val="center"/>
          </w:tcPr>
          <w:p>
            <w:pPr>
              <w:spacing w:after="0"/>
            </w:pPr>
            <w:r>
              <w:rPr>
                <w:rFonts w:ascii="Arial" w:cs="Arial" w:eastAsia="Arial" w:hAnsi="Arial"/>
                <w:color w:val="1A1A1A"/>
                <w:sz w:val="19"/>
                <w:szCs w:val="19"/>
              </w:rPr>
              <w:t xml:space="preserve">Labor Force Participation</w:t>
            </w:r>
          </w:p>
        </w:tc>
        <w:tc>
          <w:tcPr>
            <w:tcW w:type="dxa" w:w="1020"/>
            <w:tcBorders>
              <w:top w:val="single" w:color="999999" w:sz="1"/>
              <w:left w:val="single" w:color="999999" w:sz="1"/>
              <w:bottom w:val="single" w:color="999999" w:sz="1"/>
              <w:right w:val="single" w:color="999999" w:sz="1"/>
            </w:tcBorders>
            <w:shd w:fill="EDF2F7" w:val="clear"/>
            <w:tcMar>
              <w:top w:type="dxa" w:w="60"/>
              <w:left w:type="dxa" w:w="100"/>
              <w:bottom w:type="dxa" w:w="60"/>
              <w:right w:type="dxa" w:w="100"/>
            </w:tcMar>
            <w:vAlign w:val="center"/>
          </w:tcPr>
          <w:p>
            <w:pPr>
              <w:spacing w:after="0"/>
            </w:pPr>
            <w:r>
              <w:rPr>
                <w:rFonts w:ascii="Arial" w:cs="Arial" w:eastAsia="Arial" w:hAnsi="Arial"/>
                <w:color w:val="1A1A1A"/>
                <w:sz w:val="19"/>
                <w:szCs w:val="19"/>
              </w:rPr>
              <w:t xml:space="preserve">62.5%</w:t>
            </w:r>
          </w:p>
        </w:tc>
        <w:tc>
          <w:tcPr>
            <w:tcW w:type="dxa" w:w="1020"/>
            <w:tcBorders>
              <w:top w:val="single" w:color="999999" w:sz="1"/>
              <w:left w:val="single" w:color="999999" w:sz="1"/>
              <w:bottom w:val="single" w:color="999999" w:sz="1"/>
              <w:right w:val="single" w:color="999999" w:sz="1"/>
            </w:tcBorders>
            <w:shd w:fill="EDF2F7" w:val="clear"/>
            <w:tcMar>
              <w:top w:type="dxa" w:w="60"/>
              <w:left w:type="dxa" w:w="100"/>
              <w:bottom w:type="dxa" w:w="60"/>
              <w:right w:type="dxa" w:w="100"/>
            </w:tcMar>
            <w:vAlign w:val="center"/>
          </w:tcPr>
          <w:p>
            <w:pPr>
              <w:spacing w:after="0"/>
            </w:pPr>
            <w:r>
              <w:rPr>
                <w:rFonts w:ascii="Arial" w:cs="Arial" w:eastAsia="Arial" w:hAnsi="Arial"/>
                <w:color w:val="1A1A1A"/>
                <w:sz w:val="19"/>
                <w:szCs w:val="19"/>
              </w:rPr>
              <w:t xml:space="preserve">62.0%</w:t>
            </w:r>
          </w:p>
        </w:tc>
        <w:tc>
          <w:tcPr>
            <w:tcW w:type="dxa" w:w="1020"/>
            <w:tcBorders>
              <w:top w:val="single" w:color="999999" w:sz="1"/>
              <w:left w:val="single" w:color="999999" w:sz="1"/>
              <w:bottom w:val="single" w:color="999999" w:sz="1"/>
              <w:right w:val="single" w:color="999999" w:sz="1"/>
            </w:tcBorders>
            <w:shd w:fill="EDF2F7" w:val="clear"/>
            <w:tcMar>
              <w:top w:type="dxa" w:w="60"/>
              <w:left w:type="dxa" w:w="100"/>
              <w:bottom w:type="dxa" w:w="60"/>
              <w:right w:type="dxa" w:w="100"/>
            </w:tcMar>
            <w:vAlign w:val="center"/>
          </w:tcPr>
          <w:p>
            <w:pPr>
              <w:spacing w:after="0"/>
            </w:pPr>
            <w:r>
              <w:rPr>
                <w:rFonts w:ascii="Arial" w:cs="Arial" w:eastAsia="Arial" w:hAnsi="Arial"/>
                <w:color w:val="1A1A1A"/>
                <w:sz w:val="19"/>
                <w:szCs w:val="19"/>
              </w:rPr>
              <w:t xml:space="preserve">60.5%</w:t>
            </w:r>
          </w:p>
        </w:tc>
        <w:tc>
          <w:tcPr>
            <w:tcW w:type="dxa" w:w="1020"/>
            <w:tcBorders>
              <w:top w:val="single" w:color="999999" w:sz="1"/>
              <w:left w:val="single" w:color="999999" w:sz="1"/>
              <w:bottom w:val="single" w:color="999999" w:sz="1"/>
              <w:right w:val="single" w:color="999999" w:sz="1"/>
            </w:tcBorders>
            <w:shd w:fill="EDF2F7" w:val="clear"/>
            <w:tcMar>
              <w:top w:type="dxa" w:w="60"/>
              <w:left w:type="dxa" w:w="100"/>
              <w:bottom w:type="dxa" w:w="60"/>
              <w:right w:type="dxa" w:w="100"/>
            </w:tcMar>
            <w:vAlign w:val="center"/>
          </w:tcPr>
          <w:p>
            <w:pPr>
              <w:spacing w:after="0"/>
            </w:pPr>
            <w:r>
              <w:rPr>
                <w:rFonts w:ascii="Arial" w:cs="Arial" w:eastAsia="Arial" w:hAnsi="Arial"/>
                <w:color w:val="1A1A1A"/>
                <w:sz w:val="19"/>
                <w:szCs w:val="19"/>
              </w:rPr>
              <w:t xml:space="preserve">61.0%</w:t>
            </w:r>
          </w:p>
        </w:tc>
        <w:tc>
          <w:tcPr>
            <w:tcW w:type="dxa" w:w="1040"/>
            <w:tcBorders>
              <w:top w:val="single" w:color="999999" w:sz="1"/>
              <w:left w:val="single" w:color="999999" w:sz="1"/>
              <w:bottom w:val="single" w:color="999999" w:sz="1"/>
              <w:right w:val="single" w:color="999999" w:sz="1"/>
            </w:tcBorders>
            <w:shd w:fill="EDF2F7" w:val="clear"/>
            <w:tcMar>
              <w:top w:type="dxa" w:w="60"/>
              <w:left w:type="dxa" w:w="100"/>
              <w:bottom w:type="dxa" w:w="60"/>
              <w:right w:type="dxa" w:w="100"/>
            </w:tcMar>
            <w:vAlign w:val="center"/>
          </w:tcPr>
          <w:p>
            <w:pPr>
              <w:spacing w:after="0"/>
            </w:pPr>
            <w:r>
              <w:rPr>
                <w:rFonts w:ascii="Arial" w:cs="Arial" w:eastAsia="Arial" w:hAnsi="Arial"/>
                <w:color w:val="1A1A1A"/>
                <w:sz w:val="19"/>
                <w:szCs w:val="19"/>
              </w:rPr>
              <w:t xml:space="preserve">61.5%</w:t>
            </w:r>
          </w:p>
        </w:tc>
        <w:tc>
          <w:tcPr>
            <w:tcW w:type="dxa" w:w="1040"/>
            <w:tcBorders>
              <w:top w:val="single" w:color="999999" w:sz="1"/>
              <w:left w:val="single" w:color="999999" w:sz="1"/>
              <w:bottom w:val="single" w:color="999999" w:sz="1"/>
              <w:right w:val="single" w:color="999999" w:sz="1"/>
            </w:tcBorders>
            <w:shd w:fill="EDF2F7" w:val="clear"/>
            <w:tcMar>
              <w:top w:type="dxa" w:w="60"/>
              <w:left w:type="dxa" w:w="100"/>
              <w:bottom w:type="dxa" w:w="60"/>
              <w:right w:type="dxa" w:w="100"/>
            </w:tcMar>
            <w:vAlign w:val="center"/>
          </w:tcPr>
          <w:p>
            <w:pPr>
              <w:spacing w:after="0"/>
            </w:pPr>
            <w:r>
              <w:rPr>
                <w:rFonts w:ascii="Arial" w:cs="Arial" w:eastAsia="Arial" w:hAnsi="Arial"/>
                <w:color w:val="1A1A1A"/>
                <w:sz w:val="19"/>
                <w:szCs w:val="19"/>
              </w:rPr>
              <w:t xml:space="preserve">62.0%</w:t>
            </w:r>
          </w:p>
        </w:tc>
      </w:tr>
      <w:tr>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Arial" w:cs="Arial" w:eastAsia="Arial" w:hAnsi="Arial"/>
                <w:color w:val="1A1A1A"/>
                <w:sz w:val="19"/>
                <w:szCs w:val="19"/>
              </w:rPr>
              <w:t xml:space="preserve">Median Wage Growth</w:t>
            </w:r>
          </w:p>
        </w:tc>
        <w:tc>
          <w:tcPr>
            <w:tcW w:type="dxa" w:w="102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Arial" w:cs="Arial" w:eastAsia="Arial" w:hAnsi="Arial"/>
                <w:color w:val="1A1A1A"/>
                <w:sz w:val="19"/>
                <w:szCs w:val="19"/>
              </w:rPr>
              <w:t xml:space="preserve">3.5%</w:t>
            </w:r>
          </w:p>
        </w:tc>
        <w:tc>
          <w:tcPr>
            <w:tcW w:type="dxa" w:w="102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Arial" w:cs="Arial" w:eastAsia="Arial" w:hAnsi="Arial"/>
                <w:color w:val="1A1A1A"/>
                <w:sz w:val="19"/>
                <w:szCs w:val="19"/>
              </w:rPr>
              <w:t xml:space="preserve">2.5%</w:t>
            </w:r>
          </w:p>
        </w:tc>
        <w:tc>
          <w:tcPr>
            <w:tcW w:type="dxa" w:w="102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Arial" w:cs="Arial" w:eastAsia="Arial" w:hAnsi="Arial"/>
                <w:color w:val="1A1A1A"/>
                <w:sz w:val="19"/>
                <w:szCs w:val="19"/>
              </w:rPr>
              <w:t xml:space="preserve">-1.0%</w:t>
            </w:r>
          </w:p>
        </w:tc>
        <w:tc>
          <w:tcPr>
            <w:tcW w:type="dxa" w:w="102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Arial" w:cs="Arial" w:eastAsia="Arial" w:hAnsi="Arial"/>
                <w:color w:val="1A1A1A"/>
                <w:sz w:val="19"/>
                <w:szCs w:val="19"/>
              </w:rPr>
              <w:t xml:space="preserve">1.5%</w:t>
            </w:r>
          </w:p>
        </w:tc>
        <w:tc>
          <w:tcPr>
            <w:tcW w:type="dxa" w:w="104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Arial" w:cs="Arial" w:eastAsia="Arial" w:hAnsi="Arial"/>
                <w:color w:val="1A1A1A"/>
                <w:sz w:val="19"/>
                <w:szCs w:val="19"/>
              </w:rPr>
              <w:t xml:space="preserve">3.0%</w:t>
            </w:r>
          </w:p>
        </w:tc>
        <w:tc>
          <w:tcPr>
            <w:tcW w:type="dxa" w:w="104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Arial" w:cs="Arial" w:eastAsia="Arial" w:hAnsi="Arial"/>
                <w:color w:val="1A1A1A"/>
                <w:sz w:val="19"/>
                <w:szCs w:val="19"/>
              </w:rPr>
              <w:t xml:space="preserve">4.0%</w:t>
            </w:r>
          </w:p>
        </w:tc>
      </w:tr>
      <w:tr>
        <w:tc>
          <w:tcPr>
            <w:tcW w:type="dxa" w:w="2200"/>
            <w:tcBorders>
              <w:top w:val="single" w:color="999999" w:sz="1"/>
              <w:left w:val="single" w:color="999999" w:sz="1"/>
              <w:bottom w:val="single" w:color="999999" w:sz="1"/>
              <w:right w:val="single" w:color="999999" w:sz="1"/>
            </w:tcBorders>
            <w:shd w:fill="EDF2F7" w:val="clear"/>
            <w:tcMar>
              <w:top w:type="dxa" w:w="60"/>
              <w:left w:type="dxa" w:w="100"/>
              <w:bottom w:type="dxa" w:w="60"/>
              <w:right w:type="dxa" w:w="100"/>
            </w:tcMar>
            <w:vAlign w:val="center"/>
          </w:tcPr>
          <w:p>
            <w:pPr>
              <w:spacing w:after="0"/>
            </w:pPr>
            <w:r>
              <w:rPr>
                <w:rFonts w:ascii="Arial" w:cs="Arial" w:eastAsia="Arial" w:hAnsi="Arial"/>
                <w:color w:val="1A1A1A"/>
                <w:sz w:val="19"/>
                <w:szCs w:val="19"/>
              </w:rPr>
              <w:t xml:space="preserve">CPI Inflation</w:t>
            </w:r>
          </w:p>
        </w:tc>
        <w:tc>
          <w:tcPr>
            <w:tcW w:type="dxa" w:w="1020"/>
            <w:tcBorders>
              <w:top w:val="single" w:color="999999" w:sz="1"/>
              <w:left w:val="single" w:color="999999" w:sz="1"/>
              <w:bottom w:val="single" w:color="999999" w:sz="1"/>
              <w:right w:val="single" w:color="999999" w:sz="1"/>
            </w:tcBorders>
            <w:shd w:fill="EDF2F7" w:val="clear"/>
            <w:tcMar>
              <w:top w:type="dxa" w:w="60"/>
              <w:left w:type="dxa" w:w="100"/>
              <w:bottom w:type="dxa" w:w="60"/>
              <w:right w:type="dxa" w:w="100"/>
            </w:tcMar>
            <w:vAlign w:val="center"/>
          </w:tcPr>
          <w:p>
            <w:pPr>
              <w:spacing w:after="0"/>
            </w:pPr>
            <w:r>
              <w:rPr>
                <w:rFonts w:ascii="Arial" w:cs="Arial" w:eastAsia="Arial" w:hAnsi="Arial"/>
                <w:color w:val="1A1A1A"/>
                <w:sz w:val="19"/>
                <w:szCs w:val="19"/>
              </w:rPr>
              <w:t xml:space="preserve">2.5%</w:t>
            </w:r>
          </w:p>
        </w:tc>
        <w:tc>
          <w:tcPr>
            <w:tcW w:type="dxa" w:w="1020"/>
            <w:tcBorders>
              <w:top w:val="single" w:color="999999" w:sz="1"/>
              <w:left w:val="single" w:color="999999" w:sz="1"/>
              <w:bottom w:val="single" w:color="999999" w:sz="1"/>
              <w:right w:val="single" w:color="999999" w:sz="1"/>
            </w:tcBorders>
            <w:shd w:fill="EDF2F7" w:val="clear"/>
            <w:tcMar>
              <w:top w:type="dxa" w:w="60"/>
              <w:left w:type="dxa" w:w="100"/>
              <w:bottom w:type="dxa" w:w="60"/>
              <w:right w:type="dxa" w:w="100"/>
            </w:tcMar>
            <w:vAlign w:val="center"/>
          </w:tcPr>
          <w:p>
            <w:pPr>
              <w:spacing w:after="0"/>
            </w:pPr>
            <w:r>
              <w:rPr>
                <w:rFonts w:ascii="Arial" w:cs="Arial" w:eastAsia="Arial" w:hAnsi="Arial"/>
                <w:color w:val="1A1A1A"/>
                <w:sz w:val="19"/>
                <w:szCs w:val="19"/>
              </w:rPr>
              <w:t xml:space="preserve">2.0%</w:t>
            </w:r>
          </w:p>
        </w:tc>
        <w:tc>
          <w:tcPr>
            <w:tcW w:type="dxa" w:w="1020"/>
            <w:tcBorders>
              <w:top w:val="single" w:color="999999" w:sz="1"/>
              <w:left w:val="single" w:color="999999" w:sz="1"/>
              <w:bottom w:val="single" w:color="999999" w:sz="1"/>
              <w:right w:val="single" w:color="999999" w:sz="1"/>
            </w:tcBorders>
            <w:shd w:fill="EDF2F7" w:val="clear"/>
            <w:tcMar>
              <w:top w:type="dxa" w:w="60"/>
              <w:left w:type="dxa" w:w="100"/>
              <w:bottom w:type="dxa" w:w="60"/>
              <w:right w:type="dxa" w:w="100"/>
            </w:tcMar>
            <w:vAlign w:val="center"/>
          </w:tcPr>
          <w:p>
            <w:pPr>
              <w:spacing w:after="0"/>
            </w:pPr>
            <w:r>
              <w:rPr>
                <w:rFonts w:ascii="Arial" w:cs="Arial" w:eastAsia="Arial" w:hAnsi="Arial"/>
                <w:color w:val="1A1A1A"/>
                <w:sz w:val="19"/>
                <w:szCs w:val="19"/>
              </w:rPr>
              <w:t xml:space="preserve">1.0%</w:t>
            </w:r>
          </w:p>
        </w:tc>
        <w:tc>
          <w:tcPr>
            <w:tcW w:type="dxa" w:w="1020"/>
            <w:tcBorders>
              <w:top w:val="single" w:color="999999" w:sz="1"/>
              <w:left w:val="single" w:color="999999" w:sz="1"/>
              <w:bottom w:val="single" w:color="999999" w:sz="1"/>
              <w:right w:val="single" w:color="999999" w:sz="1"/>
            </w:tcBorders>
            <w:shd w:fill="EDF2F7" w:val="clear"/>
            <w:tcMar>
              <w:top w:type="dxa" w:w="60"/>
              <w:left w:type="dxa" w:w="100"/>
              <w:bottom w:type="dxa" w:w="60"/>
              <w:right w:type="dxa" w:w="100"/>
            </w:tcMar>
            <w:vAlign w:val="center"/>
          </w:tcPr>
          <w:p>
            <w:pPr>
              <w:spacing w:after="0"/>
            </w:pPr>
            <w:r>
              <w:rPr>
                <w:rFonts w:ascii="Arial" w:cs="Arial" w:eastAsia="Arial" w:hAnsi="Arial"/>
                <w:color w:val="1A1A1A"/>
                <w:sz w:val="19"/>
                <w:szCs w:val="19"/>
              </w:rPr>
              <w:t xml:space="preserve">1.8%</w:t>
            </w:r>
          </w:p>
        </w:tc>
        <w:tc>
          <w:tcPr>
            <w:tcW w:type="dxa" w:w="1040"/>
            <w:tcBorders>
              <w:top w:val="single" w:color="999999" w:sz="1"/>
              <w:left w:val="single" w:color="999999" w:sz="1"/>
              <w:bottom w:val="single" w:color="999999" w:sz="1"/>
              <w:right w:val="single" w:color="999999" w:sz="1"/>
            </w:tcBorders>
            <w:shd w:fill="EDF2F7" w:val="clear"/>
            <w:tcMar>
              <w:top w:type="dxa" w:w="60"/>
              <w:left w:type="dxa" w:w="100"/>
              <w:bottom w:type="dxa" w:w="60"/>
              <w:right w:type="dxa" w:w="100"/>
            </w:tcMar>
            <w:vAlign w:val="center"/>
          </w:tcPr>
          <w:p>
            <w:pPr>
              <w:spacing w:after="0"/>
            </w:pPr>
            <w:r>
              <w:rPr>
                <w:rFonts w:ascii="Arial" w:cs="Arial" w:eastAsia="Arial" w:hAnsi="Arial"/>
                <w:color w:val="1A1A1A"/>
                <w:sz w:val="19"/>
                <w:szCs w:val="19"/>
              </w:rPr>
              <w:t xml:space="preserve">2.3%</w:t>
            </w:r>
          </w:p>
        </w:tc>
        <w:tc>
          <w:tcPr>
            <w:tcW w:type="dxa" w:w="1040"/>
            <w:tcBorders>
              <w:top w:val="single" w:color="999999" w:sz="1"/>
              <w:left w:val="single" w:color="999999" w:sz="1"/>
              <w:bottom w:val="single" w:color="999999" w:sz="1"/>
              <w:right w:val="single" w:color="999999" w:sz="1"/>
            </w:tcBorders>
            <w:shd w:fill="EDF2F7" w:val="clear"/>
            <w:tcMar>
              <w:top w:type="dxa" w:w="60"/>
              <w:left w:type="dxa" w:w="100"/>
              <w:bottom w:type="dxa" w:w="60"/>
              <w:right w:type="dxa" w:w="100"/>
            </w:tcMar>
            <w:vAlign w:val="center"/>
          </w:tcPr>
          <w:p>
            <w:pPr>
              <w:spacing w:after="0"/>
            </w:pPr>
            <w:r>
              <w:rPr>
                <w:rFonts w:ascii="Arial" w:cs="Arial" w:eastAsia="Arial" w:hAnsi="Arial"/>
                <w:color w:val="1A1A1A"/>
                <w:sz w:val="19"/>
                <w:szCs w:val="19"/>
              </w:rPr>
              <w:t xml:space="preserve">2.5%</w:t>
            </w:r>
          </w:p>
        </w:tc>
      </w:tr>
      <w:tr>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Arial" w:cs="Arial" w:eastAsia="Arial" w:hAnsi="Arial"/>
                <w:color w:val="1A1A1A"/>
                <w:sz w:val="19"/>
                <w:szCs w:val="19"/>
              </w:rPr>
              <w:t xml:space="preserve">Fed Funds Rate</w:t>
            </w:r>
          </w:p>
        </w:tc>
        <w:tc>
          <w:tcPr>
            <w:tcW w:type="dxa" w:w="102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Arial" w:cs="Arial" w:eastAsia="Arial" w:hAnsi="Arial"/>
                <w:color w:val="1A1A1A"/>
                <w:sz w:val="19"/>
                <w:szCs w:val="19"/>
              </w:rPr>
              <w:t xml:space="preserve">4.25%</w:t>
            </w:r>
          </w:p>
        </w:tc>
        <w:tc>
          <w:tcPr>
            <w:tcW w:type="dxa" w:w="102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Arial" w:cs="Arial" w:eastAsia="Arial" w:hAnsi="Arial"/>
                <w:color w:val="1A1A1A"/>
                <w:sz w:val="19"/>
                <w:szCs w:val="19"/>
              </w:rPr>
              <w:t xml:space="preserve">3.50%</w:t>
            </w:r>
          </w:p>
        </w:tc>
        <w:tc>
          <w:tcPr>
            <w:tcW w:type="dxa" w:w="102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Arial" w:cs="Arial" w:eastAsia="Arial" w:hAnsi="Arial"/>
                <w:color w:val="1A1A1A"/>
                <w:sz w:val="19"/>
                <w:szCs w:val="19"/>
              </w:rPr>
              <w:t xml:space="preserve">1.50%</w:t>
            </w:r>
          </w:p>
        </w:tc>
        <w:tc>
          <w:tcPr>
            <w:tcW w:type="dxa" w:w="102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Arial" w:cs="Arial" w:eastAsia="Arial" w:hAnsi="Arial"/>
                <w:color w:val="1A1A1A"/>
                <w:sz w:val="19"/>
                <w:szCs w:val="19"/>
              </w:rPr>
              <w:t xml:space="preserve">2.50%</w:t>
            </w:r>
          </w:p>
        </w:tc>
        <w:tc>
          <w:tcPr>
            <w:tcW w:type="dxa" w:w="104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Arial" w:cs="Arial" w:eastAsia="Arial" w:hAnsi="Arial"/>
                <w:color w:val="1A1A1A"/>
                <w:sz w:val="19"/>
                <w:szCs w:val="19"/>
              </w:rPr>
              <w:t xml:space="preserve">3.25%</w:t>
            </w:r>
          </w:p>
        </w:tc>
        <w:tc>
          <w:tcPr>
            <w:tcW w:type="dxa" w:w="104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Arial" w:cs="Arial" w:eastAsia="Arial" w:hAnsi="Arial"/>
                <w:color w:val="1A1A1A"/>
                <w:sz w:val="19"/>
                <w:szCs w:val="19"/>
              </w:rPr>
              <w:t xml:space="preserve">3.50%</w:t>
            </w:r>
          </w:p>
        </w:tc>
      </w:tr>
      <w:tr>
        <w:tc>
          <w:tcPr>
            <w:tcW w:type="dxa" w:w="2200"/>
            <w:tcBorders>
              <w:top w:val="single" w:color="999999" w:sz="1"/>
              <w:left w:val="single" w:color="999999" w:sz="1"/>
              <w:bottom w:val="single" w:color="999999" w:sz="1"/>
              <w:right w:val="single" w:color="999999" w:sz="1"/>
            </w:tcBorders>
            <w:shd w:fill="EDF2F7" w:val="clear"/>
            <w:tcMar>
              <w:top w:type="dxa" w:w="60"/>
              <w:left w:type="dxa" w:w="100"/>
              <w:bottom w:type="dxa" w:w="60"/>
              <w:right w:type="dxa" w:w="100"/>
            </w:tcMar>
            <w:vAlign w:val="center"/>
          </w:tcPr>
          <w:p>
            <w:pPr>
              <w:spacing w:after="0"/>
            </w:pPr>
            <w:r>
              <w:rPr>
                <w:rFonts w:ascii="Arial" w:cs="Arial" w:eastAsia="Arial" w:hAnsi="Arial"/>
                <w:color w:val="1A1A1A"/>
                <w:sz w:val="19"/>
                <w:szCs w:val="19"/>
              </w:rPr>
              <w:t xml:space="preserve">10Y Treasury Yield</w:t>
            </w:r>
          </w:p>
        </w:tc>
        <w:tc>
          <w:tcPr>
            <w:tcW w:type="dxa" w:w="1020"/>
            <w:tcBorders>
              <w:top w:val="single" w:color="999999" w:sz="1"/>
              <w:left w:val="single" w:color="999999" w:sz="1"/>
              <w:bottom w:val="single" w:color="999999" w:sz="1"/>
              <w:right w:val="single" w:color="999999" w:sz="1"/>
            </w:tcBorders>
            <w:shd w:fill="EDF2F7" w:val="clear"/>
            <w:tcMar>
              <w:top w:type="dxa" w:w="60"/>
              <w:left w:type="dxa" w:w="100"/>
              <w:bottom w:type="dxa" w:w="60"/>
              <w:right w:type="dxa" w:w="100"/>
            </w:tcMar>
            <w:vAlign w:val="center"/>
          </w:tcPr>
          <w:p>
            <w:pPr>
              <w:spacing w:after="0"/>
            </w:pPr>
            <w:r>
              <w:rPr>
                <w:rFonts w:ascii="Arial" w:cs="Arial" w:eastAsia="Arial" w:hAnsi="Arial"/>
                <w:color w:val="1A1A1A"/>
                <w:sz w:val="19"/>
                <w:szCs w:val="19"/>
              </w:rPr>
              <w:t xml:space="preserve">4.00%</w:t>
            </w:r>
          </w:p>
        </w:tc>
        <w:tc>
          <w:tcPr>
            <w:tcW w:type="dxa" w:w="1020"/>
            <w:tcBorders>
              <w:top w:val="single" w:color="999999" w:sz="1"/>
              <w:left w:val="single" w:color="999999" w:sz="1"/>
              <w:bottom w:val="single" w:color="999999" w:sz="1"/>
              <w:right w:val="single" w:color="999999" w:sz="1"/>
            </w:tcBorders>
            <w:shd w:fill="EDF2F7" w:val="clear"/>
            <w:tcMar>
              <w:top w:type="dxa" w:w="60"/>
              <w:left w:type="dxa" w:w="100"/>
              <w:bottom w:type="dxa" w:w="60"/>
              <w:right w:type="dxa" w:w="100"/>
            </w:tcMar>
            <w:vAlign w:val="center"/>
          </w:tcPr>
          <w:p>
            <w:pPr>
              <w:spacing w:after="0"/>
            </w:pPr>
            <w:r>
              <w:rPr>
                <w:rFonts w:ascii="Arial" w:cs="Arial" w:eastAsia="Arial" w:hAnsi="Arial"/>
                <w:color w:val="1A1A1A"/>
                <w:sz w:val="19"/>
                <w:szCs w:val="19"/>
              </w:rPr>
              <w:t xml:space="preserve">3.50%</w:t>
            </w:r>
          </w:p>
        </w:tc>
        <w:tc>
          <w:tcPr>
            <w:tcW w:type="dxa" w:w="1020"/>
            <w:tcBorders>
              <w:top w:val="single" w:color="999999" w:sz="1"/>
              <w:left w:val="single" w:color="999999" w:sz="1"/>
              <w:bottom w:val="single" w:color="999999" w:sz="1"/>
              <w:right w:val="single" w:color="999999" w:sz="1"/>
            </w:tcBorders>
            <w:shd w:fill="EDF2F7" w:val="clear"/>
            <w:tcMar>
              <w:top w:type="dxa" w:w="60"/>
              <w:left w:type="dxa" w:w="100"/>
              <w:bottom w:type="dxa" w:w="60"/>
              <w:right w:type="dxa" w:w="100"/>
            </w:tcMar>
            <w:vAlign w:val="center"/>
          </w:tcPr>
          <w:p>
            <w:pPr>
              <w:spacing w:after="0"/>
            </w:pPr>
            <w:r>
              <w:rPr>
                <w:rFonts w:ascii="Arial" w:cs="Arial" w:eastAsia="Arial" w:hAnsi="Arial"/>
                <w:color w:val="1A1A1A"/>
                <w:sz w:val="19"/>
                <w:szCs w:val="19"/>
              </w:rPr>
              <w:t xml:space="preserve">2.50%</w:t>
            </w:r>
          </w:p>
        </w:tc>
        <w:tc>
          <w:tcPr>
            <w:tcW w:type="dxa" w:w="1020"/>
            <w:tcBorders>
              <w:top w:val="single" w:color="999999" w:sz="1"/>
              <w:left w:val="single" w:color="999999" w:sz="1"/>
              <w:bottom w:val="single" w:color="999999" w:sz="1"/>
              <w:right w:val="single" w:color="999999" w:sz="1"/>
            </w:tcBorders>
            <w:shd w:fill="EDF2F7" w:val="clear"/>
            <w:tcMar>
              <w:top w:type="dxa" w:w="60"/>
              <w:left w:type="dxa" w:w="100"/>
              <w:bottom w:type="dxa" w:w="60"/>
              <w:right w:type="dxa" w:w="100"/>
            </w:tcMar>
            <w:vAlign w:val="center"/>
          </w:tcPr>
          <w:p>
            <w:pPr>
              <w:spacing w:after="0"/>
            </w:pPr>
            <w:r>
              <w:rPr>
                <w:rFonts w:ascii="Arial" w:cs="Arial" w:eastAsia="Arial" w:hAnsi="Arial"/>
                <w:color w:val="1A1A1A"/>
                <w:sz w:val="19"/>
                <w:szCs w:val="19"/>
              </w:rPr>
              <w:t xml:space="preserve">3.00%</w:t>
            </w:r>
          </w:p>
        </w:tc>
        <w:tc>
          <w:tcPr>
            <w:tcW w:type="dxa" w:w="1040"/>
            <w:tcBorders>
              <w:top w:val="single" w:color="999999" w:sz="1"/>
              <w:left w:val="single" w:color="999999" w:sz="1"/>
              <w:bottom w:val="single" w:color="999999" w:sz="1"/>
              <w:right w:val="single" w:color="999999" w:sz="1"/>
            </w:tcBorders>
            <w:shd w:fill="EDF2F7" w:val="clear"/>
            <w:tcMar>
              <w:top w:type="dxa" w:w="60"/>
              <w:left w:type="dxa" w:w="100"/>
              <w:bottom w:type="dxa" w:w="60"/>
              <w:right w:type="dxa" w:w="100"/>
            </w:tcMar>
            <w:vAlign w:val="center"/>
          </w:tcPr>
          <w:p>
            <w:pPr>
              <w:spacing w:after="0"/>
            </w:pPr>
            <w:r>
              <w:rPr>
                <w:rFonts w:ascii="Arial" w:cs="Arial" w:eastAsia="Arial" w:hAnsi="Arial"/>
                <w:color w:val="1A1A1A"/>
                <w:sz w:val="19"/>
                <w:szCs w:val="19"/>
              </w:rPr>
              <w:t xml:space="preserve">3.50%</w:t>
            </w:r>
          </w:p>
        </w:tc>
        <w:tc>
          <w:tcPr>
            <w:tcW w:type="dxa" w:w="1040"/>
            <w:tcBorders>
              <w:top w:val="single" w:color="999999" w:sz="1"/>
              <w:left w:val="single" w:color="999999" w:sz="1"/>
              <w:bottom w:val="single" w:color="999999" w:sz="1"/>
              <w:right w:val="single" w:color="999999" w:sz="1"/>
            </w:tcBorders>
            <w:shd w:fill="EDF2F7" w:val="clear"/>
            <w:tcMar>
              <w:top w:type="dxa" w:w="60"/>
              <w:left w:type="dxa" w:w="100"/>
              <w:bottom w:type="dxa" w:w="60"/>
              <w:right w:type="dxa" w:w="100"/>
            </w:tcMar>
            <w:vAlign w:val="center"/>
          </w:tcPr>
          <w:p>
            <w:pPr>
              <w:spacing w:after="0"/>
            </w:pPr>
            <w:r>
              <w:rPr>
                <w:rFonts w:ascii="Arial" w:cs="Arial" w:eastAsia="Arial" w:hAnsi="Arial"/>
                <w:color w:val="1A1A1A"/>
                <w:sz w:val="19"/>
                <w:szCs w:val="19"/>
              </w:rPr>
              <w:t xml:space="preserve">3.75%</w:t>
            </w:r>
          </w:p>
        </w:tc>
      </w:tr>
      <w:tr>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Arial" w:cs="Arial" w:eastAsia="Arial" w:hAnsi="Arial"/>
                <w:color w:val="1A1A1A"/>
                <w:sz w:val="19"/>
                <w:szCs w:val="19"/>
              </w:rPr>
              <w:t xml:space="preserve">BBB Corporate Spread</w:t>
            </w:r>
          </w:p>
        </w:tc>
        <w:tc>
          <w:tcPr>
            <w:tcW w:type="dxa" w:w="102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Arial" w:cs="Arial" w:eastAsia="Arial" w:hAnsi="Arial"/>
                <w:color w:val="1A1A1A"/>
                <w:sz w:val="19"/>
                <w:szCs w:val="19"/>
              </w:rPr>
              <w:t xml:space="preserve">130bp</w:t>
            </w:r>
          </w:p>
        </w:tc>
        <w:tc>
          <w:tcPr>
            <w:tcW w:type="dxa" w:w="102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Arial" w:cs="Arial" w:eastAsia="Arial" w:hAnsi="Arial"/>
                <w:color w:val="1A1A1A"/>
                <w:sz w:val="19"/>
                <w:szCs w:val="19"/>
              </w:rPr>
              <w:t xml:space="preserve">180bp</w:t>
            </w:r>
          </w:p>
        </w:tc>
        <w:tc>
          <w:tcPr>
            <w:tcW w:type="dxa" w:w="102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Arial" w:cs="Arial" w:eastAsia="Arial" w:hAnsi="Arial"/>
                <w:color w:val="1A1A1A"/>
                <w:sz w:val="19"/>
                <w:szCs w:val="19"/>
              </w:rPr>
              <w:t xml:space="preserve">350bp</w:t>
            </w:r>
          </w:p>
        </w:tc>
        <w:tc>
          <w:tcPr>
            <w:tcW w:type="dxa" w:w="102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Arial" w:cs="Arial" w:eastAsia="Arial" w:hAnsi="Arial"/>
                <w:color w:val="1A1A1A"/>
                <w:sz w:val="19"/>
                <w:szCs w:val="19"/>
              </w:rPr>
              <w:t xml:space="preserve">220bp</w:t>
            </w:r>
          </w:p>
        </w:tc>
        <w:tc>
          <w:tcPr>
            <w:tcW w:type="dxa" w:w="104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Arial" w:cs="Arial" w:eastAsia="Arial" w:hAnsi="Arial"/>
                <w:color w:val="1A1A1A"/>
                <w:sz w:val="19"/>
                <w:szCs w:val="19"/>
              </w:rPr>
              <w:t xml:space="preserve">160bp</w:t>
            </w:r>
          </w:p>
        </w:tc>
        <w:tc>
          <w:tcPr>
            <w:tcW w:type="dxa" w:w="104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Arial" w:cs="Arial" w:eastAsia="Arial" w:hAnsi="Arial"/>
                <w:color w:val="1A1A1A"/>
                <w:sz w:val="19"/>
                <w:szCs w:val="19"/>
              </w:rPr>
              <w:t xml:space="preserve">140bp</w:t>
            </w:r>
          </w:p>
        </w:tc>
      </w:tr>
      <w:tr>
        <w:tc>
          <w:tcPr>
            <w:tcW w:type="dxa" w:w="2200"/>
            <w:tcBorders>
              <w:top w:val="single" w:color="999999" w:sz="1"/>
              <w:left w:val="single" w:color="999999" w:sz="1"/>
              <w:bottom w:val="single" w:color="999999" w:sz="1"/>
              <w:right w:val="single" w:color="999999" w:sz="1"/>
            </w:tcBorders>
            <w:shd w:fill="EDF2F7" w:val="clear"/>
            <w:tcMar>
              <w:top w:type="dxa" w:w="60"/>
              <w:left w:type="dxa" w:w="100"/>
              <w:bottom w:type="dxa" w:w="60"/>
              <w:right w:type="dxa" w:w="100"/>
            </w:tcMar>
            <w:vAlign w:val="center"/>
          </w:tcPr>
          <w:p>
            <w:pPr>
              <w:spacing w:after="0"/>
            </w:pPr>
            <w:r>
              <w:rPr>
                <w:rFonts w:ascii="Arial" w:cs="Arial" w:eastAsia="Arial" w:hAnsi="Arial"/>
                <w:color w:val="1A1A1A"/>
                <w:sz w:val="19"/>
                <w:szCs w:val="19"/>
              </w:rPr>
              <w:t xml:space="preserve">S&amp;P 500 Level (Index)</w:t>
            </w:r>
          </w:p>
        </w:tc>
        <w:tc>
          <w:tcPr>
            <w:tcW w:type="dxa" w:w="1020"/>
            <w:tcBorders>
              <w:top w:val="single" w:color="999999" w:sz="1"/>
              <w:left w:val="single" w:color="999999" w:sz="1"/>
              <w:bottom w:val="single" w:color="999999" w:sz="1"/>
              <w:right w:val="single" w:color="999999" w:sz="1"/>
            </w:tcBorders>
            <w:shd w:fill="EDF2F7" w:val="clear"/>
            <w:tcMar>
              <w:top w:type="dxa" w:w="60"/>
              <w:left w:type="dxa" w:w="100"/>
              <w:bottom w:type="dxa" w:w="60"/>
              <w:right w:type="dxa" w:w="100"/>
            </w:tcMar>
            <w:vAlign w:val="center"/>
          </w:tcPr>
          <w:p>
            <w:pPr>
              <w:spacing w:after="0"/>
            </w:pPr>
            <w:r>
              <w:rPr>
                <w:rFonts w:ascii="Arial" w:cs="Arial" w:eastAsia="Arial" w:hAnsi="Arial"/>
                <w:color w:val="1A1A1A"/>
                <w:sz w:val="19"/>
                <w:szCs w:val="19"/>
              </w:rPr>
              <w:t xml:space="preserve">6000</w:t>
            </w:r>
          </w:p>
        </w:tc>
        <w:tc>
          <w:tcPr>
            <w:tcW w:type="dxa" w:w="1020"/>
            <w:tcBorders>
              <w:top w:val="single" w:color="999999" w:sz="1"/>
              <w:left w:val="single" w:color="999999" w:sz="1"/>
              <w:bottom w:val="single" w:color="999999" w:sz="1"/>
              <w:right w:val="single" w:color="999999" w:sz="1"/>
            </w:tcBorders>
            <w:shd w:fill="EDF2F7" w:val="clear"/>
            <w:tcMar>
              <w:top w:type="dxa" w:w="60"/>
              <w:left w:type="dxa" w:w="100"/>
              <w:bottom w:type="dxa" w:w="60"/>
              <w:right w:type="dxa" w:w="100"/>
            </w:tcMar>
            <w:vAlign w:val="center"/>
          </w:tcPr>
          <w:p>
            <w:pPr>
              <w:spacing w:after="0"/>
            </w:pPr>
            <w:r>
              <w:rPr>
                <w:rFonts w:ascii="Arial" w:cs="Arial" w:eastAsia="Arial" w:hAnsi="Arial"/>
                <w:color w:val="1A1A1A"/>
                <w:sz w:val="19"/>
                <w:szCs w:val="19"/>
              </w:rPr>
              <w:t xml:space="preserve">5400</w:t>
            </w:r>
          </w:p>
        </w:tc>
        <w:tc>
          <w:tcPr>
            <w:tcW w:type="dxa" w:w="1020"/>
            <w:tcBorders>
              <w:top w:val="single" w:color="999999" w:sz="1"/>
              <w:left w:val="single" w:color="999999" w:sz="1"/>
              <w:bottom w:val="single" w:color="999999" w:sz="1"/>
              <w:right w:val="single" w:color="999999" w:sz="1"/>
            </w:tcBorders>
            <w:shd w:fill="EDF2F7" w:val="clear"/>
            <w:tcMar>
              <w:top w:type="dxa" w:w="60"/>
              <w:left w:type="dxa" w:w="100"/>
              <w:bottom w:type="dxa" w:w="60"/>
              <w:right w:type="dxa" w:w="100"/>
            </w:tcMar>
            <w:vAlign w:val="center"/>
          </w:tcPr>
          <w:p>
            <w:pPr>
              <w:spacing w:after="0"/>
            </w:pPr>
            <w:r>
              <w:rPr>
                <w:rFonts w:ascii="Arial" w:cs="Arial" w:eastAsia="Arial" w:hAnsi="Arial"/>
                <w:color w:val="1A1A1A"/>
                <w:sz w:val="19"/>
                <w:szCs w:val="19"/>
              </w:rPr>
              <w:t xml:space="preserve">4200</w:t>
            </w:r>
          </w:p>
        </w:tc>
        <w:tc>
          <w:tcPr>
            <w:tcW w:type="dxa" w:w="1020"/>
            <w:tcBorders>
              <w:top w:val="single" w:color="999999" w:sz="1"/>
              <w:left w:val="single" w:color="999999" w:sz="1"/>
              <w:bottom w:val="single" w:color="999999" w:sz="1"/>
              <w:right w:val="single" w:color="999999" w:sz="1"/>
            </w:tcBorders>
            <w:shd w:fill="EDF2F7" w:val="clear"/>
            <w:tcMar>
              <w:top w:type="dxa" w:w="60"/>
              <w:left w:type="dxa" w:w="100"/>
              <w:bottom w:type="dxa" w:w="60"/>
              <w:right w:type="dxa" w:w="100"/>
            </w:tcMar>
            <w:vAlign w:val="center"/>
          </w:tcPr>
          <w:p>
            <w:pPr>
              <w:spacing w:after="0"/>
            </w:pPr>
            <w:r>
              <w:rPr>
                <w:rFonts w:ascii="Arial" w:cs="Arial" w:eastAsia="Arial" w:hAnsi="Arial"/>
                <w:color w:val="1A1A1A"/>
                <w:sz w:val="19"/>
                <w:szCs w:val="19"/>
              </w:rPr>
              <w:t xml:space="preserve">4800</w:t>
            </w:r>
          </w:p>
        </w:tc>
        <w:tc>
          <w:tcPr>
            <w:tcW w:type="dxa" w:w="1040"/>
            <w:tcBorders>
              <w:top w:val="single" w:color="999999" w:sz="1"/>
              <w:left w:val="single" w:color="999999" w:sz="1"/>
              <w:bottom w:val="single" w:color="999999" w:sz="1"/>
              <w:right w:val="single" w:color="999999" w:sz="1"/>
            </w:tcBorders>
            <w:shd w:fill="EDF2F7" w:val="clear"/>
            <w:tcMar>
              <w:top w:type="dxa" w:w="60"/>
              <w:left w:type="dxa" w:w="100"/>
              <w:bottom w:type="dxa" w:w="60"/>
              <w:right w:type="dxa" w:w="100"/>
            </w:tcMar>
            <w:vAlign w:val="center"/>
          </w:tcPr>
          <w:p>
            <w:pPr>
              <w:spacing w:after="0"/>
            </w:pPr>
            <w:r>
              <w:rPr>
                <w:rFonts w:ascii="Arial" w:cs="Arial" w:eastAsia="Arial" w:hAnsi="Arial"/>
                <w:color w:val="1A1A1A"/>
                <w:sz w:val="19"/>
                <w:szCs w:val="19"/>
              </w:rPr>
              <w:t xml:space="preserve">5500</w:t>
            </w:r>
          </w:p>
        </w:tc>
        <w:tc>
          <w:tcPr>
            <w:tcW w:type="dxa" w:w="1040"/>
            <w:tcBorders>
              <w:top w:val="single" w:color="999999" w:sz="1"/>
              <w:left w:val="single" w:color="999999" w:sz="1"/>
              <w:bottom w:val="single" w:color="999999" w:sz="1"/>
              <w:right w:val="single" w:color="999999" w:sz="1"/>
            </w:tcBorders>
            <w:shd w:fill="EDF2F7" w:val="clear"/>
            <w:tcMar>
              <w:top w:type="dxa" w:w="60"/>
              <w:left w:type="dxa" w:w="100"/>
              <w:bottom w:type="dxa" w:w="60"/>
              <w:right w:type="dxa" w:w="100"/>
            </w:tcMar>
            <w:vAlign w:val="center"/>
          </w:tcPr>
          <w:p>
            <w:pPr>
              <w:spacing w:after="0"/>
            </w:pPr>
            <w:r>
              <w:rPr>
                <w:rFonts w:ascii="Arial" w:cs="Arial" w:eastAsia="Arial" w:hAnsi="Arial"/>
                <w:color w:val="1A1A1A"/>
                <w:sz w:val="19"/>
                <w:szCs w:val="19"/>
              </w:rPr>
              <w:t xml:space="preserve">6200</w:t>
            </w:r>
          </w:p>
        </w:tc>
      </w:tr>
      <w:tr>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Arial" w:cs="Arial" w:eastAsia="Arial" w:hAnsi="Arial"/>
                <w:color w:val="1A1A1A"/>
                <w:sz w:val="19"/>
                <w:szCs w:val="19"/>
              </w:rPr>
              <w:t xml:space="preserve">Housing Prices (national)</w:t>
            </w:r>
          </w:p>
        </w:tc>
        <w:tc>
          <w:tcPr>
            <w:tcW w:type="dxa" w:w="102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Arial" w:cs="Arial" w:eastAsia="Arial" w:hAnsi="Arial"/>
                <w:color w:val="1A1A1A"/>
                <w:sz w:val="19"/>
                <w:szCs w:val="19"/>
              </w:rPr>
              <w:t xml:space="preserve">Baseline</w:t>
            </w:r>
          </w:p>
        </w:tc>
        <w:tc>
          <w:tcPr>
            <w:tcW w:type="dxa" w:w="102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Arial" w:cs="Arial" w:eastAsia="Arial" w:hAnsi="Arial"/>
                <w:color w:val="1A1A1A"/>
                <w:sz w:val="19"/>
                <w:szCs w:val="19"/>
              </w:rPr>
              <w:t xml:space="preserve">-3%</w:t>
            </w:r>
          </w:p>
        </w:tc>
        <w:tc>
          <w:tcPr>
            <w:tcW w:type="dxa" w:w="102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Arial" w:cs="Arial" w:eastAsia="Arial" w:hAnsi="Arial"/>
                <w:color w:val="1A1A1A"/>
                <w:sz w:val="19"/>
                <w:szCs w:val="19"/>
              </w:rPr>
              <w:t xml:space="preserve">-12%</w:t>
            </w:r>
          </w:p>
        </w:tc>
        <w:tc>
          <w:tcPr>
            <w:tcW w:type="dxa" w:w="102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Arial" w:cs="Arial" w:eastAsia="Arial" w:hAnsi="Arial"/>
                <w:color w:val="1A1A1A"/>
                <w:sz w:val="19"/>
                <w:szCs w:val="19"/>
              </w:rPr>
              <w:t xml:space="preserve">-8%</w:t>
            </w:r>
          </w:p>
        </w:tc>
        <w:tc>
          <w:tcPr>
            <w:tcW w:type="dxa" w:w="104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Arial" w:cs="Arial" w:eastAsia="Arial" w:hAnsi="Arial"/>
                <w:color w:val="1A1A1A"/>
                <w:sz w:val="19"/>
                <w:szCs w:val="19"/>
              </w:rPr>
              <w:t xml:space="preserve">-3%</w:t>
            </w:r>
          </w:p>
        </w:tc>
        <w:tc>
          <w:tcPr>
            <w:tcW w:type="dxa" w:w="104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Arial" w:cs="Arial" w:eastAsia="Arial" w:hAnsi="Arial"/>
                <w:color w:val="1A1A1A"/>
                <w:sz w:val="19"/>
                <w:szCs w:val="19"/>
              </w:rPr>
              <w:t xml:space="preserve">+2%</w:t>
            </w:r>
          </w:p>
        </w:tc>
      </w:tr>
      <w:tr>
        <w:tc>
          <w:tcPr>
            <w:tcW w:type="dxa" w:w="2200"/>
            <w:tcBorders>
              <w:top w:val="single" w:color="999999" w:sz="1"/>
              <w:left w:val="single" w:color="999999" w:sz="1"/>
              <w:bottom w:val="single" w:color="999999" w:sz="1"/>
              <w:right w:val="single" w:color="999999" w:sz="1"/>
            </w:tcBorders>
            <w:shd w:fill="EDF2F7" w:val="clear"/>
            <w:tcMar>
              <w:top w:type="dxa" w:w="60"/>
              <w:left w:type="dxa" w:w="100"/>
              <w:bottom w:type="dxa" w:w="60"/>
              <w:right w:type="dxa" w:w="100"/>
            </w:tcMar>
            <w:vAlign w:val="center"/>
          </w:tcPr>
          <w:p>
            <w:pPr>
              <w:spacing w:after="0"/>
            </w:pPr>
            <w:r>
              <w:rPr>
                <w:rFonts w:ascii="Arial" w:cs="Arial" w:eastAsia="Arial" w:hAnsi="Arial"/>
                <w:color w:val="1A1A1A"/>
                <w:sz w:val="19"/>
                <w:szCs w:val="19"/>
              </w:rPr>
              <w:t xml:space="preserve">CRE Office Vacancy</w:t>
            </w:r>
          </w:p>
        </w:tc>
        <w:tc>
          <w:tcPr>
            <w:tcW w:type="dxa" w:w="1020"/>
            <w:tcBorders>
              <w:top w:val="single" w:color="999999" w:sz="1"/>
              <w:left w:val="single" w:color="999999" w:sz="1"/>
              <w:bottom w:val="single" w:color="999999" w:sz="1"/>
              <w:right w:val="single" w:color="999999" w:sz="1"/>
            </w:tcBorders>
            <w:shd w:fill="EDF2F7" w:val="clear"/>
            <w:tcMar>
              <w:top w:type="dxa" w:w="60"/>
              <w:left w:type="dxa" w:w="100"/>
              <w:bottom w:type="dxa" w:w="60"/>
              <w:right w:type="dxa" w:w="100"/>
            </w:tcMar>
            <w:vAlign w:val="center"/>
          </w:tcPr>
          <w:p>
            <w:pPr>
              <w:spacing w:after="0"/>
            </w:pPr>
            <w:r>
              <w:rPr>
                <w:rFonts w:ascii="Arial" w:cs="Arial" w:eastAsia="Arial" w:hAnsi="Arial"/>
                <w:color w:val="1A1A1A"/>
                <w:sz w:val="19"/>
                <w:szCs w:val="19"/>
              </w:rPr>
              <w:t xml:space="preserve">18%</w:t>
            </w:r>
          </w:p>
        </w:tc>
        <w:tc>
          <w:tcPr>
            <w:tcW w:type="dxa" w:w="1020"/>
            <w:tcBorders>
              <w:top w:val="single" w:color="999999" w:sz="1"/>
              <w:left w:val="single" w:color="999999" w:sz="1"/>
              <w:bottom w:val="single" w:color="999999" w:sz="1"/>
              <w:right w:val="single" w:color="999999" w:sz="1"/>
            </w:tcBorders>
            <w:shd w:fill="EDF2F7" w:val="clear"/>
            <w:tcMar>
              <w:top w:type="dxa" w:w="60"/>
              <w:left w:type="dxa" w:w="100"/>
              <w:bottom w:type="dxa" w:w="60"/>
              <w:right w:type="dxa" w:w="100"/>
            </w:tcMar>
            <w:vAlign w:val="center"/>
          </w:tcPr>
          <w:p>
            <w:pPr>
              <w:spacing w:after="0"/>
            </w:pPr>
            <w:r>
              <w:rPr>
                <w:rFonts w:ascii="Arial" w:cs="Arial" w:eastAsia="Arial" w:hAnsi="Arial"/>
                <w:color w:val="1A1A1A"/>
                <w:sz w:val="19"/>
                <w:szCs w:val="19"/>
              </w:rPr>
              <w:t xml:space="preserve">20%</w:t>
            </w:r>
          </w:p>
        </w:tc>
        <w:tc>
          <w:tcPr>
            <w:tcW w:type="dxa" w:w="1020"/>
            <w:tcBorders>
              <w:top w:val="single" w:color="999999" w:sz="1"/>
              <w:left w:val="single" w:color="999999" w:sz="1"/>
              <w:bottom w:val="single" w:color="999999" w:sz="1"/>
              <w:right w:val="single" w:color="999999" w:sz="1"/>
            </w:tcBorders>
            <w:shd w:fill="EDF2F7" w:val="clear"/>
            <w:tcMar>
              <w:top w:type="dxa" w:w="60"/>
              <w:left w:type="dxa" w:w="100"/>
              <w:bottom w:type="dxa" w:w="60"/>
              <w:right w:type="dxa" w:w="100"/>
            </w:tcMar>
            <w:vAlign w:val="center"/>
          </w:tcPr>
          <w:p>
            <w:pPr>
              <w:spacing w:after="0"/>
            </w:pPr>
            <w:r>
              <w:rPr>
                <w:rFonts w:ascii="Arial" w:cs="Arial" w:eastAsia="Arial" w:hAnsi="Arial"/>
                <w:color w:val="1A1A1A"/>
                <w:sz w:val="19"/>
                <w:szCs w:val="19"/>
              </w:rPr>
              <w:t xml:space="preserve">30%</w:t>
            </w:r>
          </w:p>
        </w:tc>
        <w:tc>
          <w:tcPr>
            <w:tcW w:type="dxa" w:w="1020"/>
            <w:tcBorders>
              <w:top w:val="single" w:color="999999" w:sz="1"/>
              <w:left w:val="single" w:color="999999" w:sz="1"/>
              <w:bottom w:val="single" w:color="999999" w:sz="1"/>
              <w:right w:val="single" w:color="999999" w:sz="1"/>
            </w:tcBorders>
            <w:shd w:fill="EDF2F7" w:val="clear"/>
            <w:tcMar>
              <w:top w:type="dxa" w:w="60"/>
              <w:left w:type="dxa" w:w="100"/>
              <w:bottom w:type="dxa" w:w="60"/>
              <w:right w:type="dxa" w:w="100"/>
            </w:tcMar>
            <w:vAlign w:val="center"/>
          </w:tcPr>
          <w:p>
            <w:pPr>
              <w:spacing w:after="0"/>
            </w:pPr>
            <w:r>
              <w:rPr>
                <w:rFonts w:ascii="Arial" w:cs="Arial" w:eastAsia="Arial" w:hAnsi="Arial"/>
                <w:color w:val="1A1A1A"/>
                <w:sz w:val="19"/>
                <w:szCs w:val="19"/>
              </w:rPr>
              <w:t xml:space="preserve">28%</w:t>
            </w:r>
          </w:p>
        </w:tc>
        <w:tc>
          <w:tcPr>
            <w:tcW w:type="dxa" w:w="1040"/>
            <w:tcBorders>
              <w:top w:val="single" w:color="999999" w:sz="1"/>
              <w:left w:val="single" w:color="999999" w:sz="1"/>
              <w:bottom w:val="single" w:color="999999" w:sz="1"/>
              <w:right w:val="single" w:color="999999" w:sz="1"/>
            </w:tcBorders>
            <w:shd w:fill="EDF2F7" w:val="clear"/>
            <w:tcMar>
              <w:top w:type="dxa" w:w="60"/>
              <w:left w:type="dxa" w:w="100"/>
              <w:bottom w:type="dxa" w:w="60"/>
              <w:right w:type="dxa" w:w="100"/>
            </w:tcMar>
            <w:vAlign w:val="center"/>
          </w:tcPr>
          <w:p>
            <w:pPr>
              <w:spacing w:after="0"/>
            </w:pPr>
            <w:r>
              <w:rPr>
                <w:rFonts w:ascii="Arial" w:cs="Arial" w:eastAsia="Arial" w:hAnsi="Arial"/>
                <w:color w:val="1A1A1A"/>
                <w:sz w:val="19"/>
                <w:szCs w:val="19"/>
              </w:rPr>
              <w:t xml:space="preserve">24%</w:t>
            </w:r>
          </w:p>
        </w:tc>
        <w:tc>
          <w:tcPr>
            <w:tcW w:type="dxa" w:w="1040"/>
            <w:tcBorders>
              <w:top w:val="single" w:color="999999" w:sz="1"/>
              <w:left w:val="single" w:color="999999" w:sz="1"/>
              <w:bottom w:val="single" w:color="999999" w:sz="1"/>
              <w:right w:val="single" w:color="999999" w:sz="1"/>
            </w:tcBorders>
            <w:shd w:fill="EDF2F7" w:val="clear"/>
            <w:tcMar>
              <w:top w:type="dxa" w:w="60"/>
              <w:left w:type="dxa" w:w="100"/>
              <w:bottom w:type="dxa" w:w="60"/>
              <w:right w:type="dxa" w:w="100"/>
            </w:tcMar>
            <w:vAlign w:val="center"/>
          </w:tcPr>
          <w:p>
            <w:pPr>
              <w:spacing w:after="0"/>
            </w:pPr>
            <w:r>
              <w:rPr>
                <w:rFonts w:ascii="Arial" w:cs="Arial" w:eastAsia="Arial" w:hAnsi="Arial"/>
                <w:color w:val="1A1A1A"/>
                <w:sz w:val="19"/>
                <w:szCs w:val="19"/>
              </w:rPr>
              <w:t xml:space="preserve">21%</w:t>
            </w:r>
          </w:p>
        </w:tc>
      </w:tr>
      <w:tr>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Arial" w:cs="Arial" w:eastAsia="Arial" w:hAnsi="Arial"/>
                <w:color w:val="1A1A1A"/>
                <w:sz w:val="19"/>
                <w:szCs w:val="19"/>
              </w:rPr>
              <w:t xml:space="preserve">Consumer Confidence</w:t>
            </w:r>
          </w:p>
        </w:tc>
        <w:tc>
          <w:tcPr>
            <w:tcW w:type="dxa" w:w="102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Arial" w:cs="Arial" w:eastAsia="Arial" w:hAnsi="Arial"/>
                <w:color w:val="1A1A1A"/>
                <w:sz w:val="19"/>
                <w:szCs w:val="19"/>
              </w:rPr>
              <w:t xml:space="preserve">100</w:t>
            </w:r>
          </w:p>
        </w:tc>
        <w:tc>
          <w:tcPr>
            <w:tcW w:type="dxa" w:w="102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Arial" w:cs="Arial" w:eastAsia="Arial" w:hAnsi="Arial"/>
                <w:color w:val="1A1A1A"/>
                <w:sz w:val="19"/>
                <w:szCs w:val="19"/>
              </w:rPr>
              <w:t xml:space="preserve">85</w:t>
            </w:r>
          </w:p>
        </w:tc>
        <w:tc>
          <w:tcPr>
            <w:tcW w:type="dxa" w:w="102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Arial" w:cs="Arial" w:eastAsia="Arial" w:hAnsi="Arial"/>
                <w:color w:val="1A1A1A"/>
                <w:sz w:val="19"/>
                <w:szCs w:val="19"/>
              </w:rPr>
              <w:t xml:space="preserve">55</w:t>
            </w:r>
          </w:p>
        </w:tc>
        <w:tc>
          <w:tcPr>
            <w:tcW w:type="dxa" w:w="102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Arial" w:cs="Arial" w:eastAsia="Arial" w:hAnsi="Arial"/>
                <w:color w:val="1A1A1A"/>
                <w:sz w:val="19"/>
                <w:szCs w:val="19"/>
              </w:rPr>
              <w:t xml:space="preserve">70</w:t>
            </w:r>
          </w:p>
        </w:tc>
        <w:tc>
          <w:tcPr>
            <w:tcW w:type="dxa" w:w="104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Arial" w:cs="Arial" w:eastAsia="Arial" w:hAnsi="Arial"/>
                <w:color w:val="1A1A1A"/>
                <w:sz w:val="19"/>
                <w:szCs w:val="19"/>
              </w:rPr>
              <w:t xml:space="preserve">85</w:t>
            </w:r>
          </w:p>
        </w:tc>
        <w:tc>
          <w:tcPr>
            <w:tcW w:type="dxa" w:w="104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Arial" w:cs="Arial" w:eastAsia="Arial" w:hAnsi="Arial"/>
                <w:color w:val="1A1A1A"/>
                <w:sz w:val="19"/>
                <w:szCs w:val="19"/>
              </w:rPr>
              <w:t xml:space="preserve">95</w:t>
            </w:r>
          </w:p>
        </w:tc>
      </w:tr>
      <w:tr>
        <w:tc>
          <w:tcPr>
            <w:tcW w:type="dxa" w:w="2200"/>
            <w:tcBorders>
              <w:top w:val="single" w:color="999999" w:sz="1"/>
              <w:left w:val="single" w:color="999999" w:sz="1"/>
              <w:bottom w:val="single" w:color="999999" w:sz="1"/>
              <w:right w:val="single" w:color="999999" w:sz="1"/>
            </w:tcBorders>
            <w:shd w:fill="EDF2F7" w:val="clear"/>
            <w:tcMar>
              <w:top w:type="dxa" w:w="60"/>
              <w:left w:type="dxa" w:w="100"/>
              <w:bottom w:type="dxa" w:w="60"/>
              <w:right w:type="dxa" w:w="100"/>
            </w:tcMar>
            <w:vAlign w:val="center"/>
          </w:tcPr>
          <w:p>
            <w:pPr>
              <w:spacing w:after="0"/>
            </w:pPr>
            <w:r>
              <w:rPr>
                <w:rFonts w:ascii="Arial" w:cs="Arial" w:eastAsia="Arial" w:hAnsi="Arial"/>
                <w:color w:val="1A1A1A"/>
                <w:sz w:val="19"/>
                <w:szCs w:val="19"/>
              </w:rPr>
              <w:t xml:space="preserve">Gini Coefficient</w:t>
            </w:r>
          </w:p>
        </w:tc>
        <w:tc>
          <w:tcPr>
            <w:tcW w:type="dxa" w:w="1020"/>
            <w:tcBorders>
              <w:top w:val="single" w:color="999999" w:sz="1"/>
              <w:left w:val="single" w:color="999999" w:sz="1"/>
              <w:bottom w:val="single" w:color="999999" w:sz="1"/>
              <w:right w:val="single" w:color="999999" w:sz="1"/>
            </w:tcBorders>
            <w:shd w:fill="EDF2F7" w:val="clear"/>
            <w:tcMar>
              <w:top w:type="dxa" w:w="60"/>
              <w:left w:type="dxa" w:w="100"/>
              <w:bottom w:type="dxa" w:w="60"/>
              <w:right w:type="dxa" w:w="100"/>
            </w:tcMar>
            <w:vAlign w:val="center"/>
          </w:tcPr>
          <w:p>
            <w:pPr>
              <w:spacing w:after="0"/>
            </w:pPr>
            <w:r>
              <w:rPr>
                <w:rFonts w:ascii="Arial" w:cs="Arial" w:eastAsia="Arial" w:hAnsi="Arial"/>
                <w:color w:val="1A1A1A"/>
                <w:sz w:val="19"/>
                <w:szCs w:val="19"/>
              </w:rPr>
              <w:t xml:space="preserve">0.49</w:t>
            </w:r>
          </w:p>
        </w:tc>
        <w:tc>
          <w:tcPr>
            <w:tcW w:type="dxa" w:w="1020"/>
            <w:tcBorders>
              <w:top w:val="single" w:color="999999" w:sz="1"/>
              <w:left w:val="single" w:color="999999" w:sz="1"/>
              <w:bottom w:val="single" w:color="999999" w:sz="1"/>
              <w:right w:val="single" w:color="999999" w:sz="1"/>
            </w:tcBorders>
            <w:shd w:fill="EDF2F7" w:val="clear"/>
            <w:tcMar>
              <w:top w:type="dxa" w:w="60"/>
              <w:left w:type="dxa" w:w="100"/>
              <w:bottom w:type="dxa" w:w="60"/>
              <w:right w:type="dxa" w:w="100"/>
            </w:tcMar>
            <w:vAlign w:val="center"/>
          </w:tcPr>
          <w:p>
            <w:pPr>
              <w:spacing w:after="0"/>
            </w:pPr>
            <w:r>
              <w:rPr>
                <w:rFonts w:ascii="Arial" w:cs="Arial" w:eastAsia="Arial" w:hAnsi="Arial"/>
                <w:color w:val="1A1A1A"/>
                <w:sz w:val="19"/>
                <w:szCs w:val="19"/>
              </w:rPr>
              <w:t xml:space="preserve">0.50</w:t>
            </w:r>
          </w:p>
        </w:tc>
        <w:tc>
          <w:tcPr>
            <w:tcW w:type="dxa" w:w="1020"/>
            <w:tcBorders>
              <w:top w:val="single" w:color="999999" w:sz="1"/>
              <w:left w:val="single" w:color="999999" w:sz="1"/>
              <w:bottom w:val="single" w:color="999999" w:sz="1"/>
              <w:right w:val="single" w:color="999999" w:sz="1"/>
            </w:tcBorders>
            <w:shd w:fill="EDF2F7" w:val="clear"/>
            <w:tcMar>
              <w:top w:type="dxa" w:w="60"/>
              <w:left w:type="dxa" w:w="100"/>
              <w:bottom w:type="dxa" w:w="60"/>
              <w:right w:type="dxa" w:w="100"/>
            </w:tcMar>
            <w:vAlign w:val="center"/>
          </w:tcPr>
          <w:p>
            <w:pPr>
              <w:spacing w:after="0"/>
            </w:pPr>
            <w:r>
              <w:rPr>
                <w:rFonts w:ascii="Arial" w:cs="Arial" w:eastAsia="Arial" w:hAnsi="Arial"/>
                <w:color w:val="1A1A1A"/>
                <w:sz w:val="19"/>
                <w:szCs w:val="19"/>
              </w:rPr>
              <w:t xml:space="preserve">0.53</w:t>
            </w:r>
          </w:p>
        </w:tc>
        <w:tc>
          <w:tcPr>
            <w:tcW w:type="dxa" w:w="1020"/>
            <w:tcBorders>
              <w:top w:val="single" w:color="999999" w:sz="1"/>
              <w:left w:val="single" w:color="999999" w:sz="1"/>
              <w:bottom w:val="single" w:color="999999" w:sz="1"/>
              <w:right w:val="single" w:color="999999" w:sz="1"/>
            </w:tcBorders>
            <w:shd w:fill="EDF2F7" w:val="clear"/>
            <w:tcMar>
              <w:top w:type="dxa" w:w="60"/>
              <w:left w:type="dxa" w:w="100"/>
              <w:bottom w:type="dxa" w:w="60"/>
              <w:right w:type="dxa" w:w="100"/>
            </w:tcMar>
            <w:vAlign w:val="center"/>
          </w:tcPr>
          <w:p>
            <w:pPr>
              <w:spacing w:after="0"/>
            </w:pPr>
            <w:r>
              <w:rPr>
                <w:rFonts w:ascii="Arial" w:cs="Arial" w:eastAsia="Arial" w:hAnsi="Arial"/>
                <w:color w:val="1A1A1A"/>
                <w:sz w:val="19"/>
                <w:szCs w:val="19"/>
              </w:rPr>
              <w:t xml:space="preserve">0.52</w:t>
            </w:r>
          </w:p>
        </w:tc>
        <w:tc>
          <w:tcPr>
            <w:tcW w:type="dxa" w:w="1040"/>
            <w:tcBorders>
              <w:top w:val="single" w:color="999999" w:sz="1"/>
              <w:left w:val="single" w:color="999999" w:sz="1"/>
              <w:bottom w:val="single" w:color="999999" w:sz="1"/>
              <w:right w:val="single" w:color="999999" w:sz="1"/>
            </w:tcBorders>
            <w:shd w:fill="EDF2F7" w:val="clear"/>
            <w:tcMar>
              <w:top w:type="dxa" w:w="60"/>
              <w:left w:type="dxa" w:w="100"/>
              <w:bottom w:type="dxa" w:w="60"/>
              <w:right w:type="dxa" w:w="100"/>
            </w:tcMar>
            <w:vAlign w:val="center"/>
          </w:tcPr>
          <w:p>
            <w:pPr>
              <w:spacing w:after="0"/>
            </w:pPr>
            <w:r>
              <w:rPr>
                <w:rFonts w:ascii="Arial" w:cs="Arial" w:eastAsia="Arial" w:hAnsi="Arial"/>
                <w:color w:val="1A1A1A"/>
                <w:sz w:val="19"/>
                <w:szCs w:val="19"/>
              </w:rPr>
              <w:t xml:space="preserve">0.51</w:t>
            </w:r>
          </w:p>
        </w:tc>
        <w:tc>
          <w:tcPr>
            <w:tcW w:type="dxa" w:w="1040"/>
            <w:tcBorders>
              <w:top w:val="single" w:color="999999" w:sz="1"/>
              <w:left w:val="single" w:color="999999" w:sz="1"/>
              <w:bottom w:val="single" w:color="999999" w:sz="1"/>
              <w:right w:val="single" w:color="999999" w:sz="1"/>
            </w:tcBorders>
            <w:shd w:fill="EDF2F7" w:val="clear"/>
            <w:tcMar>
              <w:top w:type="dxa" w:w="60"/>
              <w:left w:type="dxa" w:w="100"/>
              <w:bottom w:type="dxa" w:w="60"/>
              <w:right w:type="dxa" w:w="100"/>
            </w:tcMar>
            <w:vAlign w:val="center"/>
          </w:tcPr>
          <w:p>
            <w:pPr>
              <w:spacing w:after="0"/>
            </w:pPr>
            <w:r>
              <w:rPr>
                <w:rFonts w:ascii="Arial" w:cs="Arial" w:eastAsia="Arial" w:hAnsi="Arial"/>
                <w:color w:val="1A1A1A"/>
                <w:sz w:val="19"/>
                <w:szCs w:val="19"/>
              </w:rPr>
              <w:t xml:space="preserve">0.50</w:t>
            </w:r>
          </w:p>
        </w:tc>
      </w:tr>
      <w:tr>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Arial" w:cs="Arial" w:eastAsia="Arial" w:hAnsi="Arial"/>
                <w:color w:val="1A1A1A"/>
                <w:sz w:val="19"/>
                <w:szCs w:val="19"/>
              </w:rPr>
              <w:t xml:space="preserve">Productivity Growth</w:t>
            </w:r>
          </w:p>
        </w:tc>
        <w:tc>
          <w:tcPr>
            <w:tcW w:type="dxa" w:w="102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Arial" w:cs="Arial" w:eastAsia="Arial" w:hAnsi="Arial"/>
                <w:color w:val="1A1A1A"/>
                <w:sz w:val="19"/>
                <w:szCs w:val="19"/>
              </w:rPr>
              <w:t xml:space="preserve">1.5%</w:t>
            </w:r>
          </w:p>
        </w:tc>
        <w:tc>
          <w:tcPr>
            <w:tcW w:type="dxa" w:w="102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Arial" w:cs="Arial" w:eastAsia="Arial" w:hAnsi="Arial"/>
                <w:color w:val="1A1A1A"/>
                <w:sz w:val="19"/>
                <w:szCs w:val="19"/>
              </w:rPr>
              <w:t xml:space="preserve">2.0%</w:t>
            </w:r>
          </w:p>
        </w:tc>
        <w:tc>
          <w:tcPr>
            <w:tcW w:type="dxa" w:w="102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Arial" w:cs="Arial" w:eastAsia="Arial" w:hAnsi="Arial"/>
                <w:color w:val="1A1A1A"/>
                <w:sz w:val="19"/>
                <w:szCs w:val="19"/>
              </w:rPr>
              <w:t xml:space="preserve">2.8%</w:t>
            </w:r>
          </w:p>
        </w:tc>
        <w:tc>
          <w:tcPr>
            <w:tcW w:type="dxa" w:w="102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Arial" w:cs="Arial" w:eastAsia="Arial" w:hAnsi="Arial"/>
                <w:color w:val="1A1A1A"/>
                <w:sz w:val="19"/>
                <w:szCs w:val="19"/>
              </w:rPr>
              <w:t xml:space="preserve">3.0%</w:t>
            </w:r>
          </w:p>
        </w:tc>
        <w:tc>
          <w:tcPr>
            <w:tcW w:type="dxa" w:w="104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Arial" w:cs="Arial" w:eastAsia="Arial" w:hAnsi="Arial"/>
                <w:color w:val="1A1A1A"/>
                <w:sz w:val="19"/>
                <w:szCs w:val="19"/>
              </w:rPr>
              <w:t xml:space="preserve">2.5%</w:t>
            </w:r>
          </w:p>
        </w:tc>
        <w:tc>
          <w:tcPr>
            <w:tcW w:type="dxa" w:w="104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Arial" w:cs="Arial" w:eastAsia="Arial" w:hAnsi="Arial"/>
                <w:color w:val="1A1A1A"/>
                <w:sz w:val="19"/>
                <w:szCs w:val="19"/>
              </w:rPr>
              <w:t xml:space="preserve">2.0%</w:t>
            </w:r>
          </w:p>
        </w:tc>
      </w:tr>
    </w:tbl>
    <w:p>
      <w:pPr>
        <w:spacing w:after="200"/>
      </w:pPr>
    </w:p>
    <w:p>
      <w:pPr>
        <w:pStyle w:val="Heading2"/>
      </w:pPr>
      <w:r>
        <w:t xml:space="preserve">13.1 AI-Specific Variable Paths: Scenario C1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020"/>
        <w:gridCol w:w="1020"/>
        <w:gridCol w:w="1020"/>
        <w:gridCol w:w="1020"/>
        <w:gridCol w:w="1040"/>
        <w:gridCol w:w="1040"/>
      </w:tblGrid>
      <w:tr>
        <w:tc>
          <w:tcPr>
            <w:tcW w:type="dxa" w:w="2200"/>
            <w:tcBorders>
              <w:top w:val="single" w:color="999999" w:sz="1"/>
              <w:left w:val="single" w:color="999999" w:sz="1"/>
              <w:bottom w:val="single" w:color="999999" w:sz="1"/>
              <w:right w:val="single" w:color="999999"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20"/>
                <w:szCs w:val="20"/>
              </w:rPr>
              <w:t xml:space="preserve">Variable</w:t>
            </w:r>
          </w:p>
        </w:tc>
        <w:tc>
          <w:tcPr>
            <w:tcW w:type="dxa" w:w="1020"/>
            <w:tcBorders>
              <w:top w:val="single" w:color="999999" w:sz="1"/>
              <w:left w:val="single" w:color="999999" w:sz="1"/>
              <w:bottom w:val="single" w:color="999999" w:sz="1"/>
              <w:right w:val="single" w:color="999999"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20"/>
                <w:szCs w:val="20"/>
              </w:rPr>
              <w:t xml:space="preserve">Baseline</w:t>
            </w:r>
          </w:p>
        </w:tc>
        <w:tc>
          <w:tcPr>
            <w:tcW w:type="dxa" w:w="1020"/>
            <w:tcBorders>
              <w:top w:val="single" w:color="999999" w:sz="1"/>
              <w:left w:val="single" w:color="999999" w:sz="1"/>
              <w:bottom w:val="single" w:color="999999" w:sz="1"/>
              <w:right w:val="single" w:color="999999"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20"/>
                <w:szCs w:val="20"/>
              </w:rPr>
              <w:t xml:space="preserve">Year 1</w:t>
            </w:r>
          </w:p>
        </w:tc>
        <w:tc>
          <w:tcPr>
            <w:tcW w:type="dxa" w:w="1020"/>
            <w:tcBorders>
              <w:top w:val="single" w:color="999999" w:sz="1"/>
              <w:left w:val="single" w:color="999999" w:sz="1"/>
              <w:bottom w:val="single" w:color="999999" w:sz="1"/>
              <w:right w:val="single" w:color="999999"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20"/>
                <w:szCs w:val="20"/>
              </w:rPr>
              <w:t xml:space="preserve">Year 3</w:t>
            </w:r>
          </w:p>
        </w:tc>
        <w:tc>
          <w:tcPr>
            <w:tcW w:type="dxa" w:w="1020"/>
            <w:tcBorders>
              <w:top w:val="single" w:color="999999" w:sz="1"/>
              <w:left w:val="single" w:color="999999" w:sz="1"/>
              <w:bottom w:val="single" w:color="999999" w:sz="1"/>
              <w:right w:val="single" w:color="999999"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20"/>
                <w:szCs w:val="20"/>
              </w:rPr>
              <w:t xml:space="preserve">Year 5</w:t>
            </w:r>
          </w:p>
        </w:tc>
        <w:tc>
          <w:tcPr>
            <w:tcW w:type="dxa" w:w="1040"/>
            <w:tcBorders>
              <w:top w:val="single" w:color="999999" w:sz="1"/>
              <w:left w:val="single" w:color="999999" w:sz="1"/>
              <w:bottom w:val="single" w:color="999999" w:sz="1"/>
              <w:right w:val="single" w:color="999999"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20"/>
                <w:szCs w:val="20"/>
              </w:rPr>
              <w:t xml:space="preserve">Year 7</w:t>
            </w:r>
          </w:p>
        </w:tc>
        <w:tc>
          <w:tcPr>
            <w:tcW w:type="dxa" w:w="1040"/>
            <w:tcBorders>
              <w:top w:val="single" w:color="999999" w:sz="1"/>
              <w:left w:val="single" w:color="999999" w:sz="1"/>
              <w:bottom w:val="single" w:color="999999" w:sz="1"/>
              <w:right w:val="single" w:color="999999"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20"/>
                <w:szCs w:val="20"/>
              </w:rPr>
              <w:t xml:space="preserve">Year 10</w:t>
            </w:r>
          </w:p>
        </w:tc>
      </w:tr>
      <w:tr>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Arial" w:cs="Arial" w:eastAsia="Arial" w:hAnsi="Arial"/>
                <w:color w:val="1A1A1A"/>
                <w:sz w:val="19"/>
                <w:szCs w:val="19"/>
              </w:rPr>
              <w:t xml:space="preserve">Enterprise AI Adoption (%)</w:t>
            </w:r>
          </w:p>
        </w:tc>
        <w:tc>
          <w:tcPr>
            <w:tcW w:type="dxa" w:w="102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Arial" w:cs="Arial" w:eastAsia="Arial" w:hAnsi="Arial"/>
                <w:color w:val="1A1A1A"/>
                <w:sz w:val="19"/>
                <w:szCs w:val="19"/>
              </w:rPr>
              <w:t xml:space="preserve">9%</w:t>
            </w:r>
          </w:p>
        </w:tc>
        <w:tc>
          <w:tcPr>
            <w:tcW w:type="dxa" w:w="102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Arial" w:cs="Arial" w:eastAsia="Arial" w:hAnsi="Arial"/>
                <w:color w:val="1A1A1A"/>
                <w:sz w:val="19"/>
                <w:szCs w:val="19"/>
              </w:rPr>
              <w:t xml:space="preserve">18%</w:t>
            </w:r>
          </w:p>
        </w:tc>
        <w:tc>
          <w:tcPr>
            <w:tcW w:type="dxa" w:w="102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Arial" w:cs="Arial" w:eastAsia="Arial" w:hAnsi="Arial"/>
                <w:color w:val="1A1A1A"/>
                <w:sz w:val="19"/>
                <w:szCs w:val="19"/>
              </w:rPr>
              <w:t xml:space="preserve">45%</w:t>
            </w:r>
          </w:p>
        </w:tc>
        <w:tc>
          <w:tcPr>
            <w:tcW w:type="dxa" w:w="102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Arial" w:cs="Arial" w:eastAsia="Arial" w:hAnsi="Arial"/>
                <w:color w:val="1A1A1A"/>
                <w:sz w:val="19"/>
                <w:szCs w:val="19"/>
              </w:rPr>
              <w:t xml:space="preserve">65%</w:t>
            </w:r>
          </w:p>
        </w:tc>
        <w:tc>
          <w:tcPr>
            <w:tcW w:type="dxa" w:w="104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Arial" w:cs="Arial" w:eastAsia="Arial" w:hAnsi="Arial"/>
                <w:color w:val="1A1A1A"/>
                <w:sz w:val="19"/>
                <w:szCs w:val="19"/>
              </w:rPr>
              <w:t xml:space="preserve">75%</w:t>
            </w:r>
          </w:p>
        </w:tc>
        <w:tc>
          <w:tcPr>
            <w:tcW w:type="dxa" w:w="104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Arial" w:cs="Arial" w:eastAsia="Arial" w:hAnsi="Arial"/>
                <w:color w:val="1A1A1A"/>
                <w:sz w:val="19"/>
                <w:szCs w:val="19"/>
              </w:rPr>
              <w:t xml:space="preserve">85%</w:t>
            </w:r>
          </w:p>
        </w:tc>
      </w:tr>
      <w:tr>
        <w:tc>
          <w:tcPr>
            <w:tcW w:type="dxa" w:w="2200"/>
            <w:tcBorders>
              <w:top w:val="single" w:color="999999" w:sz="1"/>
              <w:left w:val="single" w:color="999999" w:sz="1"/>
              <w:bottom w:val="single" w:color="999999" w:sz="1"/>
              <w:right w:val="single" w:color="999999" w:sz="1"/>
            </w:tcBorders>
            <w:shd w:fill="EDF2F7" w:val="clear"/>
            <w:tcMar>
              <w:top w:type="dxa" w:w="60"/>
              <w:left w:type="dxa" w:w="100"/>
              <w:bottom w:type="dxa" w:w="60"/>
              <w:right w:type="dxa" w:w="100"/>
            </w:tcMar>
            <w:vAlign w:val="center"/>
          </w:tcPr>
          <w:p>
            <w:pPr>
              <w:spacing w:after="0"/>
            </w:pPr>
            <w:r>
              <w:rPr>
                <w:rFonts w:ascii="Arial" w:cs="Arial" w:eastAsia="Arial" w:hAnsi="Arial"/>
                <w:color w:val="1A1A1A"/>
                <w:sz w:val="19"/>
                <w:szCs w:val="19"/>
              </w:rPr>
              <w:t xml:space="preserve">Tasks Automated (%)</w:t>
            </w:r>
          </w:p>
        </w:tc>
        <w:tc>
          <w:tcPr>
            <w:tcW w:type="dxa" w:w="1020"/>
            <w:tcBorders>
              <w:top w:val="single" w:color="999999" w:sz="1"/>
              <w:left w:val="single" w:color="999999" w:sz="1"/>
              <w:bottom w:val="single" w:color="999999" w:sz="1"/>
              <w:right w:val="single" w:color="999999" w:sz="1"/>
            </w:tcBorders>
            <w:shd w:fill="EDF2F7" w:val="clear"/>
            <w:tcMar>
              <w:top w:type="dxa" w:w="60"/>
              <w:left w:type="dxa" w:w="100"/>
              <w:bottom w:type="dxa" w:w="60"/>
              <w:right w:type="dxa" w:w="100"/>
            </w:tcMar>
            <w:vAlign w:val="center"/>
          </w:tcPr>
          <w:p>
            <w:pPr>
              <w:spacing w:after="0"/>
            </w:pPr>
            <w:r>
              <w:rPr>
                <w:rFonts w:ascii="Arial" w:cs="Arial" w:eastAsia="Arial" w:hAnsi="Arial"/>
                <w:color w:val="1A1A1A"/>
                <w:sz w:val="19"/>
                <w:szCs w:val="19"/>
              </w:rPr>
              <w:t xml:space="preserve">~5%</w:t>
            </w:r>
          </w:p>
        </w:tc>
        <w:tc>
          <w:tcPr>
            <w:tcW w:type="dxa" w:w="1020"/>
            <w:tcBorders>
              <w:top w:val="single" w:color="999999" w:sz="1"/>
              <w:left w:val="single" w:color="999999" w:sz="1"/>
              <w:bottom w:val="single" w:color="999999" w:sz="1"/>
              <w:right w:val="single" w:color="999999" w:sz="1"/>
            </w:tcBorders>
            <w:shd w:fill="EDF2F7" w:val="clear"/>
            <w:tcMar>
              <w:top w:type="dxa" w:w="60"/>
              <w:left w:type="dxa" w:w="100"/>
              <w:bottom w:type="dxa" w:w="60"/>
              <w:right w:type="dxa" w:w="100"/>
            </w:tcMar>
            <w:vAlign w:val="center"/>
          </w:tcPr>
          <w:p>
            <w:pPr>
              <w:spacing w:after="0"/>
            </w:pPr>
            <w:r>
              <w:rPr>
                <w:rFonts w:ascii="Arial" w:cs="Arial" w:eastAsia="Arial" w:hAnsi="Arial"/>
                <w:color w:val="1A1A1A"/>
                <w:sz w:val="19"/>
                <w:szCs w:val="19"/>
              </w:rPr>
              <w:t xml:space="preserve">8%</w:t>
            </w:r>
          </w:p>
        </w:tc>
        <w:tc>
          <w:tcPr>
            <w:tcW w:type="dxa" w:w="1020"/>
            <w:tcBorders>
              <w:top w:val="single" w:color="999999" w:sz="1"/>
              <w:left w:val="single" w:color="999999" w:sz="1"/>
              <w:bottom w:val="single" w:color="999999" w:sz="1"/>
              <w:right w:val="single" w:color="999999" w:sz="1"/>
            </w:tcBorders>
            <w:shd w:fill="EDF2F7" w:val="clear"/>
            <w:tcMar>
              <w:top w:type="dxa" w:w="60"/>
              <w:left w:type="dxa" w:w="100"/>
              <w:bottom w:type="dxa" w:w="60"/>
              <w:right w:type="dxa" w:w="100"/>
            </w:tcMar>
            <w:vAlign w:val="center"/>
          </w:tcPr>
          <w:p>
            <w:pPr>
              <w:spacing w:after="0"/>
            </w:pPr>
            <w:r>
              <w:rPr>
                <w:rFonts w:ascii="Arial" w:cs="Arial" w:eastAsia="Arial" w:hAnsi="Arial"/>
                <w:color w:val="1A1A1A"/>
                <w:sz w:val="19"/>
                <w:szCs w:val="19"/>
              </w:rPr>
              <w:t xml:space="preserve">18%</w:t>
            </w:r>
          </w:p>
        </w:tc>
        <w:tc>
          <w:tcPr>
            <w:tcW w:type="dxa" w:w="1020"/>
            <w:tcBorders>
              <w:top w:val="single" w:color="999999" w:sz="1"/>
              <w:left w:val="single" w:color="999999" w:sz="1"/>
              <w:bottom w:val="single" w:color="999999" w:sz="1"/>
              <w:right w:val="single" w:color="999999" w:sz="1"/>
            </w:tcBorders>
            <w:shd w:fill="EDF2F7" w:val="clear"/>
            <w:tcMar>
              <w:top w:type="dxa" w:w="60"/>
              <w:left w:type="dxa" w:w="100"/>
              <w:bottom w:type="dxa" w:w="60"/>
              <w:right w:type="dxa" w:w="100"/>
            </w:tcMar>
            <w:vAlign w:val="center"/>
          </w:tcPr>
          <w:p>
            <w:pPr>
              <w:spacing w:after="0"/>
            </w:pPr>
            <w:r>
              <w:rPr>
                <w:rFonts w:ascii="Arial" w:cs="Arial" w:eastAsia="Arial" w:hAnsi="Arial"/>
                <w:color w:val="1A1A1A"/>
                <w:sz w:val="19"/>
                <w:szCs w:val="19"/>
              </w:rPr>
              <w:t xml:space="preserve">28%</w:t>
            </w:r>
          </w:p>
        </w:tc>
        <w:tc>
          <w:tcPr>
            <w:tcW w:type="dxa" w:w="1040"/>
            <w:tcBorders>
              <w:top w:val="single" w:color="999999" w:sz="1"/>
              <w:left w:val="single" w:color="999999" w:sz="1"/>
              <w:bottom w:val="single" w:color="999999" w:sz="1"/>
              <w:right w:val="single" w:color="999999" w:sz="1"/>
            </w:tcBorders>
            <w:shd w:fill="EDF2F7" w:val="clear"/>
            <w:tcMar>
              <w:top w:type="dxa" w:w="60"/>
              <w:left w:type="dxa" w:w="100"/>
              <w:bottom w:type="dxa" w:w="60"/>
              <w:right w:type="dxa" w:w="100"/>
            </w:tcMar>
            <w:vAlign w:val="center"/>
          </w:tcPr>
          <w:p>
            <w:pPr>
              <w:spacing w:after="0"/>
            </w:pPr>
            <w:r>
              <w:rPr>
                <w:rFonts w:ascii="Arial" w:cs="Arial" w:eastAsia="Arial" w:hAnsi="Arial"/>
                <w:color w:val="1A1A1A"/>
                <w:sz w:val="19"/>
                <w:szCs w:val="19"/>
              </w:rPr>
              <w:t xml:space="preserve">35%</w:t>
            </w:r>
          </w:p>
        </w:tc>
        <w:tc>
          <w:tcPr>
            <w:tcW w:type="dxa" w:w="1040"/>
            <w:tcBorders>
              <w:top w:val="single" w:color="999999" w:sz="1"/>
              <w:left w:val="single" w:color="999999" w:sz="1"/>
              <w:bottom w:val="single" w:color="999999" w:sz="1"/>
              <w:right w:val="single" w:color="999999" w:sz="1"/>
            </w:tcBorders>
            <w:shd w:fill="EDF2F7" w:val="clear"/>
            <w:tcMar>
              <w:top w:type="dxa" w:w="60"/>
              <w:left w:type="dxa" w:w="100"/>
              <w:bottom w:type="dxa" w:w="60"/>
              <w:right w:type="dxa" w:w="100"/>
            </w:tcMar>
            <w:vAlign w:val="center"/>
          </w:tcPr>
          <w:p>
            <w:pPr>
              <w:spacing w:after="0"/>
            </w:pPr>
            <w:r>
              <w:rPr>
                <w:rFonts w:ascii="Arial" w:cs="Arial" w:eastAsia="Arial" w:hAnsi="Arial"/>
                <w:color w:val="1A1A1A"/>
                <w:sz w:val="19"/>
                <w:szCs w:val="19"/>
              </w:rPr>
              <w:t xml:space="preserve">42%</w:t>
            </w:r>
          </w:p>
        </w:tc>
      </w:tr>
      <w:tr>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Arial" w:cs="Arial" w:eastAsia="Arial" w:hAnsi="Arial"/>
                <w:color w:val="1A1A1A"/>
                <w:sz w:val="19"/>
                <w:szCs w:val="19"/>
              </w:rPr>
              <w:t xml:space="preserve">Cost per Inference (Index)</w:t>
            </w:r>
          </w:p>
        </w:tc>
        <w:tc>
          <w:tcPr>
            <w:tcW w:type="dxa" w:w="102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Arial" w:cs="Arial" w:eastAsia="Arial" w:hAnsi="Arial"/>
                <w:color w:val="1A1A1A"/>
                <w:sz w:val="19"/>
                <w:szCs w:val="19"/>
              </w:rPr>
              <w:t xml:space="preserve">100</w:t>
            </w:r>
          </w:p>
        </w:tc>
        <w:tc>
          <w:tcPr>
            <w:tcW w:type="dxa" w:w="102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Arial" w:cs="Arial" w:eastAsia="Arial" w:hAnsi="Arial"/>
                <w:color w:val="1A1A1A"/>
                <w:sz w:val="19"/>
                <w:szCs w:val="19"/>
              </w:rPr>
              <w:t xml:space="preserve">65</w:t>
            </w:r>
          </w:p>
        </w:tc>
        <w:tc>
          <w:tcPr>
            <w:tcW w:type="dxa" w:w="102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Arial" w:cs="Arial" w:eastAsia="Arial" w:hAnsi="Arial"/>
                <w:color w:val="1A1A1A"/>
                <w:sz w:val="19"/>
                <w:szCs w:val="19"/>
              </w:rPr>
              <w:t xml:space="preserve">25</w:t>
            </w:r>
          </w:p>
        </w:tc>
        <w:tc>
          <w:tcPr>
            <w:tcW w:type="dxa" w:w="102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Arial" w:cs="Arial" w:eastAsia="Arial" w:hAnsi="Arial"/>
                <w:color w:val="1A1A1A"/>
                <w:sz w:val="19"/>
                <w:szCs w:val="19"/>
              </w:rPr>
              <w:t xml:space="preserve">12</w:t>
            </w:r>
          </w:p>
        </w:tc>
        <w:tc>
          <w:tcPr>
            <w:tcW w:type="dxa" w:w="104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Arial" w:cs="Arial" w:eastAsia="Arial" w:hAnsi="Arial"/>
                <w:color w:val="1A1A1A"/>
                <w:sz w:val="19"/>
                <w:szCs w:val="19"/>
              </w:rPr>
              <w:t xml:space="preserve">7</w:t>
            </w:r>
          </w:p>
        </w:tc>
        <w:tc>
          <w:tcPr>
            <w:tcW w:type="dxa" w:w="104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Arial" w:cs="Arial" w:eastAsia="Arial" w:hAnsi="Arial"/>
                <w:color w:val="1A1A1A"/>
                <w:sz w:val="19"/>
                <w:szCs w:val="19"/>
              </w:rPr>
              <w:t xml:space="preserve">4</w:t>
            </w:r>
          </w:p>
        </w:tc>
      </w:tr>
      <w:tr>
        <w:tc>
          <w:tcPr>
            <w:tcW w:type="dxa" w:w="2200"/>
            <w:tcBorders>
              <w:top w:val="single" w:color="999999" w:sz="1"/>
              <w:left w:val="single" w:color="999999" w:sz="1"/>
              <w:bottom w:val="single" w:color="999999" w:sz="1"/>
              <w:right w:val="single" w:color="999999" w:sz="1"/>
            </w:tcBorders>
            <w:shd w:fill="EDF2F7" w:val="clear"/>
            <w:tcMar>
              <w:top w:type="dxa" w:w="60"/>
              <w:left w:type="dxa" w:w="100"/>
              <w:bottom w:type="dxa" w:w="60"/>
              <w:right w:type="dxa" w:w="100"/>
            </w:tcMar>
            <w:vAlign w:val="center"/>
          </w:tcPr>
          <w:p>
            <w:pPr>
              <w:spacing w:after="0"/>
            </w:pPr>
            <w:r>
              <w:rPr>
                <w:rFonts w:ascii="Arial" w:cs="Arial" w:eastAsia="Arial" w:hAnsi="Arial"/>
                <w:color w:val="1A1A1A"/>
                <w:sz w:val="19"/>
                <w:szCs w:val="19"/>
              </w:rPr>
              <w:t xml:space="preserve">AI Reliability (production)</w:t>
            </w:r>
          </w:p>
        </w:tc>
        <w:tc>
          <w:tcPr>
            <w:tcW w:type="dxa" w:w="1020"/>
            <w:tcBorders>
              <w:top w:val="single" w:color="999999" w:sz="1"/>
              <w:left w:val="single" w:color="999999" w:sz="1"/>
              <w:bottom w:val="single" w:color="999999" w:sz="1"/>
              <w:right w:val="single" w:color="999999" w:sz="1"/>
            </w:tcBorders>
            <w:shd w:fill="EDF2F7" w:val="clear"/>
            <w:tcMar>
              <w:top w:type="dxa" w:w="60"/>
              <w:left w:type="dxa" w:w="100"/>
              <w:bottom w:type="dxa" w:w="60"/>
              <w:right w:type="dxa" w:w="100"/>
            </w:tcMar>
            <w:vAlign w:val="center"/>
          </w:tcPr>
          <w:p>
            <w:pPr>
              <w:spacing w:after="0"/>
            </w:pPr>
            <w:r>
              <w:rPr>
                <w:rFonts w:ascii="Arial" w:cs="Arial" w:eastAsia="Arial" w:hAnsi="Arial"/>
                <w:color w:val="1A1A1A"/>
                <w:sz w:val="19"/>
                <w:szCs w:val="19"/>
              </w:rPr>
              <w:t xml:space="preserve">85%</w:t>
            </w:r>
          </w:p>
        </w:tc>
        <w:tc>
          <w:tcPr>
            <w:tcW w:type="dxa" w:w="1020"/>
            <w:tcBorders>
              <w:top w:val="single" w:color="999999" w:sz="1"/>
              <w:left w:val="single" w:color="999999" w:sz="1"/>
              <w:bottom w:val="single" w:color="999999" w:sz="1"/>
              <w:right w:val="single" w:color="999999" w:sz="1"/>
            </w:tcBorders>
            <w:shd w:fill="EDF2F7" w:val="clear"/>
            <w:tcMar>
              <w:top w:type="dxa" w:w="60"/>
              <w:left w:type="dxa" w:w="100"/>
              <w:bottom w:type="dxa" w:w="60"/>
              <w:right w:type="dxa" w:w="100"/>
            </w:tcMar>
            <w:vAlign w:val="center"/>
          </w:tcPr>
          <w:p>
            <w:pPr>
              <w:spacing w:after="0"/>
            </w:pPr>
            <w:r>
              <w:rPr>
                <w:rFonts w:ascii="Arial" w:cs="Arial" w:eastAsia="Arial" w:hAnsi="Arial"/>
                <w:color w:val="1A1A1A"/>
                <w:sz w:val="19"/>
                <w:szCs w:val="19"/>
              </w:rPr>
              <w:t xml:space="preserve">88%</w:t>
            </w:r>
          </w:p>
        </w:tc>
        <w:tc>
          <w:tcPr>
            <w:tcW w:type="dxa" w:w="1020"/>
            <w:tcBorders>
              <w:top w:val="single" w:color="999999" w:sz="1"/>
              <w:left w:val="single" w:color="999999" w:sz="1"/>
              <w:bottom w:val="single" w:color="999999" w:sz="1"/>
              <w:right w:val="single" w:color="999999" w:sz="1"/>
            </w:tcBorders>
            <w:shd w:fill="EDF2F7" w:val="clear"/>
            <w:tcMar>
              <w:top w:type="dxa" w:w="60"/>
              <w:left w:type="dxa" w:w="100"/>
              <w:bottom w:type="dxa" w:w="60"/>
              <w:right w:type="dxa" w:w="100"/>
            </w:tcMar>
            <w:vAlign w:val="center"/>
          </w:tcPr>
          <w:p>
            <w:pPr>
              <w:spacing w:after="0"/>
            </w:pPr>
            <w:r>
              <w:rPr>
                <w:rFonts w:ascii="Arial" w:cs="Arial" w:eastAsia="Arial" w:hAnsi="Arial"/>
                <w:color w:val="1A1A1A"/>
                <w:sz w:val="19"/>
                <w:szCs w:val="19"/>
              </w:rPr>
              <w:t xml:space="preserve">92%</w:t>
            </w:r>
          </w:p>
        </w:tc>
        <w:tc>
          <w:tcPr>
            <w:tcW w:type="dxa" w:w="1020"/>
            <w:tcBorders>
              <w:top w:val="single" w:color="999999" w:sz="1"/>
              <w:left w:val="single" w:color="999999" w:sz="1"/>
              <w:bottom w:val="single" w:color="999999" w:sz="1"/>
              <w:right w:val="single" w:color="999999" w:sz="1"/>
            </w:tcBorders>
            <w:shd w:fill="EDF2F7" w:val="clear"/>
            <w:tcMar>
              <w:top w:type="dxa" w:w="60"/>
              <w:left w:type="dxa" w:w="100"/>
              <w:bottom w:type="dxa" w:w="60"/>
              <w:right w:type="dxa" w:w="100"/>
            </w:tcMar>
            <w:vAlign w:val="center"/>
          </w:tcPr>
          <w:p>
            <w:pPr>
              <w:spacing w:after="0"/>
            </w:pPr>
            <w:r>
              <w:rPr>
                <w:rFonts w:ascii="Arial" w:cs="Arial" w:eastAsia="Arial" w:hAnsi="Arial"/>
                <w:color w:val="1A1A1A"/>
                <w:sz w:val="19"/>
                <w:szCs w:val="19"/>
              </w:rPr>
              <w:t xml:space="preserve">95%</w:t>
            </w:r>
          </w:p>
        </w:tc>
        <w:tc>
          <w:tcPr>
            <w:tcW w:type="dxa" w:w="1040"/>
            <w:tcBorders>
              <w:top w:val="single" w:color="999999" w:sz="1"/>
              <w:left w:val="single" w:color="999999" w:sz="1"/>
              <w:bottom w:val="single" w:color="999999" w:sz="1"/>
              <w:right w:val="single" w:color="999999" w:sz="1"/>
            </w:tcBorders>
            <w:shd w:fill="EDF2F7" w:val="clear"/>
            <w:tcMar>
              <w:top w:type="dxa" w:w="60"/>
              <w:left w:type="dxa" w:w="100"/>
              <w:bottom w:type="dxa" w:w="60"/>
              <w:right w:type="dxa" w:w="100"/>
            </w:tcMar>
            <w:vAlign w:val="center"/>
          </w:tcPr>
          <w:p>
            <w:pPr>
              <w:spacing w:after="0"/>
            </w:pPr>
            <w:r>
              <w:rPr>
                <w:rFonts w:ascii="Arial" w:cs="Arial" w:eastAsia="Arial" w:hAnsi="Arial"/>
                <w:color w:val="1A1A1A"/>
                <w:sz w:val="19"/>
                <w:szCs w:val="19"/>
              </w:rPr>
              <w:t xml:space="preserve">96%</w:t>
            </w:r>
          </w:p>
        </w:tc>
        <w:tc>
          <w:tcPr>
            <w:tcW w:type="dxa" w:w="1040"/>
            <w:tcBorders>
              <w:top w:val="single" w:color="999999" w:sz="1"/>
              <w:left w:val="single" w:color="999999" w:sz="1"/>
              <w:bottom w:val="single" w:color="999999" w:sz="1"/>
              <w:right w:val="single" w:color="999999" w:sz="1"/>
            </w:tcBorders>
            <w:shd w:fill="EDF2F7" w:val="clear"/>
            <w:tcMar>
              <w:top w:type="dxa" w:w="60"/>
              <w:left w:type="dxa" w:w="100"/>
              <w:bottom w:type="dxa" w:w="60"/>
              <w:right w:type="dxa" w:w="100"/>
            </w:tcMar>
            <w:vAlign w:val="center"/>
          </w:tcPr>
          <w:p>
            <w:pPr>
              <w:spacing w:after="0"/>
            </w:pPr>
            <w:r>
              <w:rPr>
                <w:rFonts w:ascii="Arial" w:cs="Arial" w:eastAsia="Arial" w:hAnsi="Arial"/>
                <w:color w:val="1A1A1A"/>
                <w:sz w:val="19"/>
                <w:szCs w:val="19"/>
              </w:rPr>
              <w:t xml:space="preserve">97%</w:t>
            </w:r>
          </w:p>
        </w:tc>
      </w:tr>
      <w:tr>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Arial" w:cs="Arial" w:eastAsia="Arial" w:hAnsi="Arial"/>
                <w:color w:val="1A1A1A"/>
                <w:sz w:val="19"/>
                <w:szCs w:val="19"/>
              </w:rPr>
              <w:t xml:space="preserve">Top 3 Provider Share</w:t>
            </w:r>
          </w:p>
        </w:tc>
        <w:tc>
          <w:tcPr>
            <w:tcW w:type="dxa" w:w="102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Arial" w:cs="Arial" w:eastAsia="Arial" w:hAnsi="Arial"/>
                <w:color w:val="1A1A1A"/>
                <w:sz w:val="19"/>
                <w:szCs w:val="19"/>
              </w:rPr>
              <w:t xml:space="preserve">72%</w:t>
            </w:r>
          </w:p>
        </w:tc>
        <w:tc>
          <w:tcPr>
            <w:tcW w:type="dxa" w:w="102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Arial" w:cs="Arial" w:eastAsia="Arial" w:hAnsi="Arial"/>
                <w:color w:val="1A1A1A"/>
                <w:sz w:val="19"/>
                <w:szCs w:val="19"/>
              </w:rPr>
              <w:t xml:space="preserve">70%</w:t>
            </w:r>
          </w:p>
        </w:tc>
        <w:tc>
          <w:tcPr>
            <w:tcW w:type="dxa" w:w="102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Arial" w:cs="Arial" w:eastAsia="Arial" w:hAnsi="Arial"/>
                <w:color w:val="1A1A1A"/>
                <w:sz w:val="19"/>
                <w:szCs w:val="19"/>
              </w:rPr>
              <w:t xml:space="preserve">65%</w:t>
            </w:r>
          </w:p>
        </w:tc>
        <w:tc>
          <w:tcPr>
            <w:tcW w:type="dxa" w:w="102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Arial" w:cs="Arial" w:eastAsia="Arial" w:hAnsi="Arial"/>
                <w:color w:val="1A1A1A"/>
                <w:sz w:val="19"/>
                <w:szCs w:val="19"/>
              </w:rPr>
              <w:t xml:space="preserve">60%</w:t>
            </w:r>
          </w:p>
        </w:tc>
        <w:tc>
          <w:tcPr>
            <w:tcW w:type="dxa" w:w="104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Arial" w:cs="Arial" w:eastAsia="Arial" w:hAnsi="Arial"/>
                <w:color w:val="1A1A1A"/>
                <w:sz w:val="19"/>
                <w:szCs w:val="19"/>
              </w:rPr>
              <w:t xml:space="preserve">55%</w:t>
            </w:r>
          </w:p>
        </w:tc>
        <w:tc>
          <w:tcPr>
            <w:tcW w:type="dxa" w:w="104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Arial" w:cs="Arial" w:eastAsia="Arial" w:hAnsi="Arial"/>
                <w:color w:val="1A1A1A"/>
                <w:sz w:val="19"/>
                <w:szCs w:val="19"/>
              </w:rPr>
              <w:t xml:space="preserve">50%</w:t>
            </w:r>
          </w:p>
        </w:tc>
      </w:tr>
      <w:tr>
        <w:tc>
          <w:tcPr>
            <w:tcW w:type="dxa" w:w="2200"/>
            <w:tcBorders>
              <w:top w:val="single" w:color="999999" w:sz="1"/>
              <w:left w:val="single" w:color="999999" w:sz="1"/>
              <w:bottom w:val="single" w:color="999999" w:sz="1"/>
              <w:right w:val="single" w:color="999999" w:sz="1"/>
            </w:tcBorders>
            <w:shd w:fill="EDF2F7" w:val="clear"/>
            <w:tcMar>
              <w:top w:type="dxa" w:w="60"/>
              <w:left w:type="dxa" w:w="100"/>
              <w:bottom w:type="dxa" w:w="60"/>
              <w:right w:type="dxa" w:w="100"/>
            </w:tcMar>
            <w:vAlign w:val="center"/>
          </w:tcPr>
          <w:p>
            <w:pPr>
              <w:spacing w:after="0"/>
            </w:pPr>
            <w:r>
              <w:rPr>
                <w:rFonts w:ascii="Arial" w:cs="Arial" w:eastAsia="Arial" w:hAnsi="Arial"/>
                <w:color w:val="1A1A1A"/>
                <w:sz w:val="19"/>
                <w:szCs w:val="19"/>
              </w:rPr>
              <w:t xml:space="preserve">AI Talent Gap (supply/demand)</w:t>
            </w:r>
          </w:p>
        </w:tc>
        <w:tc>
          <w:tcPr>
            <w:tcW w:type="dxa" w:w="1020"/>
            <w:tcBorders>
              <w:top w:val="single" w:color="999999" w:sz="1"/>
              <w:left w:val="single" w:color="999999" w:sz="1"/>
              <w:bottom w:val="single" w:color="999999" w:sz="1"/>
              <w:right w:val="single" w:color="999999" w:sz="1"/>
            </w:tcBorders>
            <w:shd w:fill="EDF2F7" w:val="clear"/>
            <w:tcMar>
              <w:top w:type="dxa" w:w="60"/>
              <w:left w:type="dxa" w:w="100"/>
              <w:bottom w:type="dxa" w:w="60"/>
              <w:right w:type="dxa" w:w="100"/>
            </w:tcMar>
            <w:vAlign w:val="center"/>
          </w:tcPr>
          <w:p>
            <w:pPr>
              <w:spacing w:after="0"/>
            </w:pPr>
            <w:r>
              <w:rPr>
                <w:rFonts w:ascii="Arial" w:cs="Arial" w:eastAsia="Arial" w:hAnsi="Arial"/>
                <w:color w:val="1A1A1A"/>
                <w:sz w:val="19"/>
                <w:szCs w:val="19"/>
              </w:rPr>
              <w:t xml:space="preserve">0.3x</w:t>
            </w:r>
          </w:p>
        </w:tc>
        <w:tc>
          <w:tcPr>
            <w:tcW w:type="dxa" w:w="1020"/>
            <w:tcBorders>
              <w:top w:val="single" w:color="999999" w:sz="1"/>
              <w:left w:val="single" w:color="999999" w:sz="1"/>
              <w:bottom w:val="single" w:color="999999" w:sz="1"/>
              <w:right w:val="single" w:color="999999" w:sz="1"/>
            </w:tcBorders>
            <w:shd w:fill="EDF2F7" w:val="clear"/>
            <w:tcMar>
              <w:top w:type="dxa" w:w="60"/>
              <w:left w:type="dxa" w:w="100"/>
              <w:bottom w:type="dxa" w:w="60"/>
              <w:right w:type="dxa" w:w="100"/>
            </w:tcMar>
            <w:vAlign w:val="center"/>
          </w:tcPr>
          <w:p>
            <w:pPr>
              <w:spacing w:after="0"/>
            </w:pPr>
            <w:r>
              <w:rPr>
                <w:rFonts w:ascii="Arial" w:cs="Arial" w:eastAsia="Arial" w:hAnsi="Arial"/>
                <w:color w:val="1A1A1A"/>
                <w:sz w:val="19"/>
                <w:szCs w:val="19"/>
              </w:rPr>
              <w:t xml:space="preserve">0.35x</w:t>
            </w:r>
          </w:p>
        </w:tc>
        <w:tc>
          <w:tcPr>
            <w:tcW w:type="dxa" w:w="1020"/>
            <w:tcBorders>
              <w:top w:val="single" w:color="999999" w:sz="1"/>
              <w:left w:val="single" w:color="999999" w:sz="1"/>
              <w:bottom w:val="single" w:color="999999" w:sz="1"/>
              <w:right w:val="single" w:color="999999" w:sz="1"/>
            </w:tcBorders>
            <w:shd w:fill="EDF2F7" w:val="clear"/>
            <w:tcMar>
              <w:top w:type="dxa" w:w="60"/>
              <w:left w:type="dxa" w:w="100"/>
              <w:bottom w:type="dxa" w:w="60"/>
              <w:right w:type="dxa" w:w="100"/>
            </w:tcMar>
            <w:vAlign w:val="center"/>
          </w:tcPr>
          <w:p>
            <w:pPr>
              <w:spacing w:after="0"/>
            </w:pPr>
            <w:r>
              <w:rPr>
                <w:rFonts w:ascii="Arial" w:cs="Arial" w:eastAsia="Arial" w:hAnsi="Arial"/>
                <w:color w:val="1A1A1A"/>
                <w:sz w:val="19"/>
                <w:szCs w:val="19"/>
              </w:rPr>
              <w:t xml:space="preserve">0.5x</w:t>
            </w:r>
          </w:p>
        </w:tc>
        <w:tc>
          <w:tcPr>
            <w:tcW w:type="dxa" w:w="1020"/>
            <w:tcBorders>
              <w:top w:val="single" w:color="999999" w:sz="1"/>
              <w:left w:val="single" w:color="999999" w:sz="1"/>
              <w:bottom w:val="single" w:color="999999" w:sz="1"/>
              <w:right w:val="single" w:color="999999" w:sz="1"/>
            </w:tcBorders>
            <w:shd w:fill="EDF2F7" w:val="clear"/>
            <w:tcMar>
              <w:top w:type="dxa" w:w="60"/>
              <w:left w:type="dxa" w:w="100"/>
              <w:bottom w:type="dxa" w:w="60"/>
              <w:right w:type="dxa" w:w="100"/>
            </w:tcMar>
            <w:vAlign w:val="center"/>
          </w:tcPr>
          <w:p>
            <w:pPr>
              <w:spacing w:after="0"/>
            </w:pPr>
            <w:r>
              <w:rPr>
                <w:rFonts w:ascii="Arial" w:cs="Arial" w:eastAsia="Arial" w:hAnsi="Arial"/>
                <w:color w:val="1A1A1A"/>
                <w:sz w:val="19"/>
                <w:szCs w:val="19"/>
              </w:rPr>
              <w:t xml:space="preserve">0.65x</w:t>
            </w:r>
          </w:p>
        </w:tc>
        <w:tc>
          <w:tcPr>
            <w:tcW w:type="dxa" w:w="1040"/>
            <w:tcBorders>
              <w:top w:val="single" w:color="999999" w:sz="1"/>
              <w:left w:val="single" w:color="999999" w:sz="1"/>
              <w:bottom w:val="single" w:color="999999" w:sz="1"/>
              <w:right w:val="single" w:color="999999" w:sz="1"/>
            </w:tcBorders>
            <w:shd w:fill="EDF2F7" w:val="clear"/>
            <w:tcMar>
              <w:top w:type="dxa" w:w="60"/>
              <w:left w:type="dxa" w:w="100"/>
              <w:bottom w:type="dxa" w:w="60"/>
              <w:right w:type="dxa" w:w="100"/>
            </w:tcMar>
            <w:vAlign w:val="center"/>
          </w:tcPr>
          <w:p>
            <w:pPr>
              <w:spacing w:after="0"/>
            </w:pPr>
            <w:r>
              <w:rPr>
                <w:rFonts w:ascii="Arial" w:cs="Arial" w:eastAsia="Arial" w:hAnsi="Arial"/>
                <w:color w:val="1A1A1A"/>
                <w:sz w:val="19"/>
                <w:szCs w:val="19"/>
              </w:rPr>
              <w:t xml:space="preserve">0.75x</w:t>
            </w:r>
          </w:p>
        </w:tc>
        <w:tc>
          <w:tcPr>
            <w:tcW w:type="dxa" w:w="1040"/>
            <w:tcBorders>
              <w:top w:val="single" w:color="999999" w:sz="1"/>
              <w:left w:val="single" w:color="999999" w:sz="1"/>
              <w:bottom w:val="single" w:color="999999" w:sz="1"/>
              <w:right w:val="single" w:color="999999" w:sz="1"/>
            </w:tcBorders>
            <w:shd w:fill="EDF2F7" w:val="clear"/>
            <w:tcMar>
              <w:top w:type="dxa" w:w="60"/>
              <w:left w:type="dxa" w:w="100"/>
              <w:bottom w:type="dxa" w:w="60"/>
              <w:right w:type="dxa" w:w="100"/>
            </w:tcMar>
            <w:vAlign w:val="center"/>
          </w:tcPr>
          <w:p>
            <w:pPr>
              <w:spacing w:after="0"/>
            </w:pPr>
            <w:r>
              <w:rPr>
                <w:rFonts w:ascii="Arial" w:cs="Arial" w:eastAsia="Arial" w:hAnsi="Arial"/>
                <w:color w:val="1A1A1A"/>
                <w:sz w:val="19"/>
                <w:szCs w:val="19"/>
              </w:rPr>
              <w:t xml:space="preserve">0.85x</w:t>
            </w:r>
          </w:p>
        </w:tc>
      </w:tr>
      <w:tr>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Arial" w:cs="Arial" w:eastAsia="Arial" w:hAnsi="Arial"/>
                <w:color w:val="1A1A1A"/>
                <w:sz w:val="19"/>
                <w:szCs w:val="19"/>
              </w:rPr>
              <w:t xml:space="preserve">Public AI Concern (%)</w:t>
            </w:r>
          </w:p>
        </w:tc>
        <w:tc>
          <w:tcPr>
            <w:tcW w:type="dxa" w:w="102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Arial" w:cs="Arial" w:eastAsia="Arial" w:hAnsi="Arial"/>
                <w:color w:val="1A1A1A"/>
                <w:sz w:val="19"/>
                <w:szCs w:val="19"/>
              </w:rPr>
              <w:t xml:space="preserve">45%</w:t>
            </w:r>
          </w:p>
        </w:tc>
        <w:tc>
          <w:tcPr>
            <w:tcW w:type="dxa" w:w="102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Arial" w:cs="Arial" w:eastAsia="Arial" w:hAnsi="Arial"/>
                <w:color w:val="1A1A1A"/>
                <w:sz w:val="19"/>
                <w:szCs w:val="19"/>
              </w:rPr>
              <w:t xml:space="preserve">52%</w:t>
            </w:r>
          </w:p>
        </w:tc>
        <w:tc>
          <w:tcPr>
            <w:tcW w:type="dxa" w:w="102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Arial" w:cs="Arial" w:eastAsia="Arial" w:hAnsi="Arial"/>
                <w:color w:val="1A1A1A"/>
                <w:sz w:val="19"/>
                <w:szCs w:val="19"/>
              </w:rPr>
              <w:t xml:space="preserve">68%</w:t>
            </w:r>
          </w:p>
        </w:tc>
        <w:tc>
          <w:tcPr>
            <w:tcW w:type="dxa" w:w="102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Arial" w:cs="Arial" w:eastAsia="Arial" w:hAnsi="Arial"/>
                <w:color w:val="1A1A1A"/>
                <w:sz w:val="19"/>
                <w:szCs w:val="19"/>
              </w:rPr>
              <w:t xml:space="preserve">60%</w:t>
            </w:r>
          </w:p>
        </w:tc>
        <w:tc>
          <w:tcPr>
            <w:tcW w:type="dxa" w:w="104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Arial" w:cs="Arial" w:eastAsia="Arial" w:hAnsi="Arial"/>
                <w:color w:val="1A1A1A"/>
                <w:sz w:val="19"/>
                <w:szCs w:val="19"/>
              </w:rPr>
              <w:t xml:space="preserve">50%</w:t>
            </w:r>
          </w:p>
        </w:tc>
        <w:tc>
          <w:tcPr>
            <w:tcW w:type="dxa" w:w="104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Arial" w:cs="Arial" w:eastAsia="Arial" w:hAnsi="Arial"/>
                <w:color w:val="1A1A1A"/>
                <w:sz w:val="19"/>
                <w:szCs w:val="19"/>
              </w:rPr>
              <w:t xml:space="preserve">42%</w:t>
            </w:r>
          </w:p>
        </w:tc>
      </w:tr>
      <w:tr>
        <w:tc>
          <w:tcPr>
            <w:tcW w:type="dxa" w:w="2200"/>
            <w:tcBorders>
              <w:top w:val="single" w:color="999999" w:sz="1"/>
              <w:left w:val="single" w:color="999999" w:sz="1"/>
              <w:bottom w:val="single" w:color="999999" w:sz="1"/>
              <w:right w:val="single" w:color="999999" w:sz="1"/>
            </w:tcBorders>
            <w:shd w:fill="EDF2F7" w:val="clear"/>
            <w:tcMar>
              <w:top w:type="dxa" w:w="60"/>
              <w:left w:type="dxa" w:w="100"/>
              <w:bottom w:type="dxa" w:w="60"/>
              <w:right w:type="dxa" w:w="100"/>
            </w:tcMar>
            <w:vAlign w:val="center"/>
          </w:tcPr>
          <w:p>
            <w:pPr>
              <w:spacing w:after="0"/>
            </w:pPr>
            <w:r>
              <w:rPr>
                <w:rFonts w:ascii="Arial" w:cs="Arial" w:eastAsia="Arial" w:hAnsi="Arial"/>
                <w:color w:val="1A1A1A"/>
                <w:sz w:val="19"/>
                <w:szCs w:val="19"/>
              </w:rPr>
              <w:t xml:space="preserve">State AI Bills (annual)</w:t>
            </w:r>
          </w:p>
        </w:tc>
        <w:tc>
          <w:tcPr>
            <w:tcW w:type="dxa" w:w="1020"/>
            <w:tcBorders>
              <w:top w:val="single" w:color="999999" w:sz="1"/>
              <w:left w:val="single" w:color="999999" w:sz="1"/>
              <w:bottom w:val="single" w:color="999999" w:sz="1"/>
              <w:right w:val="single" w:color="999999" w:sz="1"/>
            </w:tcBorders>
            <w:shd w:fill="EDF2F7" w:val="clear"/>
            <w:tcMar>
              <w:top w:type="dxa" w:w="60"/>
              <w:left w:type="dxa" w:w="100"/>
              <w:bottom w:type="dxa" w:w="60"/>
              <w:right w:type="dxa" w:w="100"/>
            </w:tcMar>
            <w:vAlign w:val="center"/>
          </w:tcPr>
          <w:p>
            <w:pPr>
              <w:spacing w:after="0"/>
            </w:pPr>
            <w:r>
              <w:rPr>
                <w:rFonts w:ascii="Arial" w:cs="Arial" w:eastAsia="Arial" w:hAnsi="Arial"/>
                <w:color w:val="1A1A1A"/>
                <w:sz w:val="19"/>
                <w:szCs w:val="19"/>
              </w:rPr>
              <w:t xml:space="preserve">1000+</w:t>
            </w:r>
          </w:p>
        </w:tc>
        <w:tc>
          <w:tcPr>
            <w:tcW w:type="dxa" w:w="1020"/>
            <w:tcBorders>
              <w:top w:val="single" w:color="999999" w:sz="1"/>
              <w:left w:val="single" w:color="999999" w:sz="1"/>
              <w:bottom w:val="single" w:color="999999" w:sz="1"/>
              <w:right w:val="single" w:color="999999" w:sz="1"/>
            </w:tcBorders>
            <w:shd w:fill="EDF2F7" w:val="clear"/>
            <w:tcMar>
              <w:top w:type="dxa" w:w="60"/>
              <w:left w:type="dxa" w:w="100"/>
              <w:bottom w:type="dxa" w:w="60"/>
              <w:right w:type="dxa" w:w="100"/>
            </w:tcMar>
            <w:vAlign w:val="center"/>
          </w:tcPr>
          <w:p>
            <w:pPr>
              <w:spacing w:after="0"/>
            </w:pPr>
            <w:r>
              <w:rPr>
                <w:rFonts w:ascii="Arial" w:cs="Arial" w:eastAsia="Arial" w:hAnsi="Arial"/>
                <w:color w:val="1A1A1A"/>
                <w:sz w:val="19"/>
                <w:szCs w:val="19"/>
              </w:rPr>
              <w:t xml:space="preserve">800</w:t>
            </w:r>
          </w:p>
        </w:tc>
        <w:tc>
          <w:tcPr>
            <w:tcW w:type="dxa" w:w="1020"/>
            <w:tcBorders>
              <w:top w:val="single" w:color="999999" w:sz="1"/>
              <w:left w:val="single" w:color="999999" w:sz="1"/>
              <w:bottom w:val="single" w:color="999999" w:sz="1"/>
              <w:right w:val="single" w:color="999999" w:sz="1"/>
            </w:tcBorders>
            <w:shd w:fill="EDF2F7" w:val="clear"/>
            <w:tcMar>
              <w:top w:type="dxa" w:w="60"/>
              <w:left w:type="dxa" w:w="100"/>
              <w:bottom w:type="dxa" w:w="60"/>
              <w:right w:type="dxa" w:w="100"/>
            </w:tcMar>
            <w:vAlign w:val="center"/>
          </w:tcPr>
          <w:p>
            <w:pPr>
              <w:spacing w:after="0"/>
            </w:pPr>
            <w:r>
              <w:rPr>
                <w:rFonts w:ascii="Arial" w:cs="Arial" w:eastAsia="Arial" w:hAnsi="Arial"/>
                <w:color w:val="1A1A1A"/>
                <w:sz w:val="19"/>
                <w:szCs w:val="19"/>
              </w:rPr>
              <w:t xml:space="preserve">400</w:t>
            </w:r>
          </w:p>
        </w:tc>
        <w:tc>
          <w:tcPr>
            <w:tcW w:type="dxa" w:w="1020"/>
            <w:tcBorders>
              <w:top w:val="single" w:color="999999" w:sz="1"/>
              <w:left w:val="single" w:color="999999" w:sz="1"/>
              <w:bottom w:val="single" w:color="999999" w:sz="1"/>
              <w:right w:val="single" w:color="999999" w:sz="1"/>
            </w:tcBorders>
            <w:shd w:fill="EDF2F7" w:val="clear"/>
            <w:tcMar>
              <w:top w:type="dxa" w:w="60"/>
              <w:left w:type="dxa" w:w="100"/>
              <w:bottom w:type="dxa" w:w="60"/>
              <w:right w:type="dxa" w:w="100"/>
            </w:tcMar>
            <w:vAlign w:val="center"/>
          </w:tcPr>
          <w:p>
            <w:pPr>
              <w:spacing w:after="0"/>
            </w:pPr>
            <w:r>
              <w:rPr>
                <w:rFonts w:ascii="Arial" w:cs="Arial" w:eastAsia="Arial" w:hAnsi="Arial"/>
                <w:color w:val="1A1A1A"/>
                <w:sz w:val="19"/>
                <w:szCs w:val="19"/>
              </w:rPr>
              <w:t xml:space="preserve">300</w:t>
            </w:r>
          </w:p>
        </w:tc>
        <w:tc>
          <w:tcPr>
            <w:tcW w:type="dxa" w:w="1040"/>
            <w:tcBorders>
              <w:top w:val="single" w:color="999999" w:sz="1"/>
              <w:left w:val="single" w:color="999999" w:sz="1"/>
              <w:bottom w:val="single" w:color="999999" w:sz="1"/>
              <w:right w:val="single" w:color="999999" w:sz="1"/>
            </w:tcBorders>
            <w:shd w:fill="EDF2F7" w:val="clear"/>
            <w:tcMar>
              <w:top w:type="dxa" w:w="60"/>
              <w:left w:type="dxa" w:w="100"/>
              <w:bottom w:type="dxa" w:w="60"/>
              <w:right w:type="dxa" w:w="100"/>
            </w:tcMar>
            <w:vAlign w:val="center"/>
          </w:tcPr>
          <w:p>
            <w:pPr>
              <w:spacing w:after="0"/>
            </w:pPr>
            <w:r>
              <w:rPr>
                <w:rFonts w:ascii="Arial" w:cs="Arial" w:eastAsia="Arial" w:hAnsi="Arial"/>
                <w:color w:val="1A1A1A"/>
                <w:sz w:val="19"/>
                <w:szCs w:val="19"/>
              </w:rPr>
              <w:t xml:space="preserve">350</w:t>
            </w:r>
          </w:p>
        </w:tc>
        <w:tc>
          <w:tcPr>
            <w:tcW w:type="dxa" w:w="1040"/>
            <w:tcBorders>
              <w:top w:val="single" w:color="999999" w:sz="1"/>
              <w:left w:val="single" w:color="999999" w:sz="1"/>
              <w:bottom w:val="single" w:color="999999" w:sz="1"/>
              <w:right w:val="single" w:color="999999" w:sz="1"/>
            </w:tcBorders>
            <w:shd w:fill="EDF2F7" w:val="clear"/>
            <w:tcMar>
              <w:top w:type="dxa" w:w="60"/>
              <w:left w:type="dxa" w:w="100"/>
              <w:bottom w:type="dxa" w:w="60"/>
              <w:right w:type="dxa" w:w="100"/>
            </w:tcMar>
            <w:vAlign w:val="center"/>
          </w:tcPr>
          <w:p>
            <w:pPr>
              <w:spacing w:after="0"/>
            </w:pPr>
            <w:r>
              <w:rPr>
                <w:rFonts w:ascii="Arial" w:cs="Arial" w:eastAsia="Arial" w:hAnsi="Arial"/>
                <w:color w:val="1A1A1A"/>
                <w:sz w:val="19"/>
                <w:szCs w:val="19"/>
              </w:rPr>
              <w:t xml:space="preserve">400</w:t>
            </w:r>
          </w:p>
        </w:tc>
      </w:tr>
    </w:tbl>
    <w:p>
      <w:pPr>
        <w:spacing w:after="200"/>
      </w:pPr>
    </w:p>
    <w:p>
      <w:r>
        <w:br w:type="page"/>
      </w:r>
    </w:p>
    <w:p>
      <w:pPr>
        <w:pStyle w:val="Heading1"/>
      </w:pPr>
      <w:r>
        <w:t xml:space="preserve">14. Methodology Notes</w:t>
      </w:r>
    </w:p>
    <w:p>
      <w:pPr>
        <w:pStyle w:val="Heading2"/>
      </w:pPr>
      <w:r>
        <w:t xml:space="preserve">14.1 Assumptions Log</w:t>
      </w:r>
    </w:p>
    <w:p>
      <w:pPr>
        <w:spacing w:after="120"/>
      </w:pPr>
      <w:r>
        <w:t xml:space="preserve">The following critical assumptions underlie the scenario design and quantification. Each represents a source of model risk and should be revisited as new data becomes available.</w:t>
      </w:r>
    </w:p>
    <w:p>
      <w:pPr>
        <w:spacing w:after="120"/>
      </w:pPr>
      <w:r>
        <w:rPr>
          <w:b/>
          <w:bCs/>
        </w:rPr>
        <w:t xml:space="preserve">AI Capability Trajectory: </w:t>
      </w:r>
      <w:r>
        <w:t xml:space="preserve">Scenarios assume continued improvement in AI capabilities broadly consistent with the pace observed between 2022-2025, without either a dramatic breakthrough to AGI or a sustained plateau. This represents the consensus range of AI research projections.</w:t>
      </w:r>
    </w:p>
    <w:p>
      <w:pPr>
        <w:spacing w:after="120"/>
      </w:pPr>
      <w:r>
        <w:rPr>
          <w:b/>
          <w:bCs/>
        </w:rPr>
        <w:t xml:space="preserve">Adoption S-Curve: </w:t>
      </w:r>
      <w:r>
        <w:t xml:space="preserve">Enterprise AI adoption is modeled as following an S-curve pattern similar to prior general-purpose technologies, with the inflection point in 2025-2027. The specific adoption rates are calibrated to McKinsey State of AI survey data (71% of organizations using AI in at least one function as of late 2024) and US Census Bureau data (9.2% of firms in production deployment by Q2 2025).</w:t>
      </w:r>
    </w:p>
    <w:p>
      <w:pPr>
        <w:spacing w:after="120"/>
      </w:pPr>
      <w:r>
        <w:rPr>
          <w:b/>
          <w:bCs/>
        </w:rPr>
        <w:t xml:space="preserve">Labor Market Adjustment: </w:t>
      </w:r>
      <w:r>
        <w:t xml:space="preserve">Baseline reskilling success rates are estimated at 25-35%, informed by historical data on worker transitions during prior technological disruptions and the limited evidence available on AI-specific reskilling outcomes. The unemployment duration assumptions reflect historical patterns from the China Shock and computerization literatures.</w:t>
      </w:r>
    </w:p>
    <w:p>
      <w:pPr>
        <w:spacing w:after="120"/>
      </w:pPr>
      <w:r>
        <w:rPr>
          <w:b/>
          <w:bCs/>
        </w:rPr>
        <w:t xml:space="preserve">Credit Loss Calibration: </w:t>
      </w:r>
      <w:r>
        <w:t xml:space="preserve">Credit loss rates under stress are calibrated against 2008-2009 realized loss rates, adjusted for current portfolio composition, underwriting standards, and the specific characteristics of AI displacement (concentrated in higher-income, higher-education workers who tend to have larger but more serviceable debt burdens).</w:t>
      </w:r>
    </w:p>
    <w:p>
      <w:pPr>
        <w:spacing w:after="120"/>
      </w:pPr>
      <w:r>
        <w:rPr>
          <w:b/>
          <w:bCs/>
        </w:rPr>
        <w:t xml:space="preserve">Regulatory Response: </w:t>
      </w:r>
      <w:r>
        <w:t xml:space="preserve">Regulatory timelines assume the current US policy posture (permissive/pro-innovation under the December 2025 Executive Order) continues for 2-3 years, with potential shift toward more prescriptive frameworks if high-profile AI failures materialize. EU AI Act implementation timeline is taken as given based on published regulation.</w:t>
      </w:r>
    </w:p>
    <w:p>
      <w:pPr>
        <w:pStyle w:val="Heading2"/>
      </w:pPr>
      <w:r>
        <w:t xml:space="preserve">14.2 Limitations and Caveats</w:t>
      </w:r>
    </w:p>
    <w:p>
      <w:pPr>
        <w:spacing w:after="120"/>
      </w:pPr>
      <w:r>
        <w:t xml:space="preserve">This framework has several important limitations that users should consider:</w:t>
      </w:r>
    </w:p>
    <w:p>
      <w:pPr>
        <w:spacing w:after="120"/>
      </w:pPr>
      <w:r>
        <w:t xml:space="preserve">First, the range of credible estimates for AI's economic impact is extraordinarily wide. Acemoglu (2025) estimates cumulative TFP gains of 0.53-0.71% over ten years, while Goldman Sachs projects 15% labor productivity improvement. McKinsey projects $13 trillion in additional global economic activity by 2030. This 20x range in estimates translates to enormous uncertainty in scenario calibration. The scenarios in this framework represent specific points within this range, not precise predictions.</w:t>
      </w:r>
    </w:p>
    <w:p>
      <w:pPr>
        <w:spacing w:after="120"/>
      </w:pPr>
      <w:r>
        <w:t xml:space="preserve">Second, the feedback loops and non-linearities identified in Section 2.4 are modeled directionally but not with the quantitative precision of a full general equilibrium model. The interaction effects between labor displacement, consumer spending, credit losses, and further AI adoption are inherently complex and potentially chaotic. The scenario variable paths represent coherent narratives, not deterministic projections.</w:t>
      </w:r>
    </w:p>
    <w:p>
      <w:pPr>
        <w:spacing w:after="120"/>
      </w:pPr>
      <w:r>
        <w:t xml:space="preserve">Third, as Goldman Sachs noted in March 2025, aggregate labor market impacts from AI are still negligible in the data as of early 2025. The scenarios in this framework model what could happen as adoption accelerates, not what has already happened. The timing of impact materialization is deeply uncertain.</w:t>
      </w:r>
    </w:p>
    <w:p>
      <w:pPr>
        <w:spacing w:after="120"/>
      </w:pPr>
      <w:r>
        <w:t xml:space="preserve">Fourth, the financial institution stress quantification assumes a specific institutional profile (large, diversified, US-focused). Results would differ significantly for smaller institutions, monoline businesses, non-bank financial institutions, or institutions with different geographic and portfolio compositions.</w:t>
      </w:r>
    </w:p>
    <w:p>
      <w:r>
        <w:br w:type="page"/>
      </w:r>
    </w:p>
    <w:p>
      <w:pPr>
        <w:pStyle w:val="Heading1"/>
      </w:pPr>
      <w:r>
        <w:t xml:space="preserve">15. Source Bibliography</w:t>
      </w:r>
    </w:p>
    <w:p>
      <w:pPr>
        <w:pStyle w:val="Heading2"/>
      </w:pPr>
      <w:r>
        <w:t xml:space="preserve">15.1 Academic Research</w:t>
      </w:r>
    </w:p>
    <w:p>
      <w:pPr>
        <w:spacing w:after="120"/>
      </w:pPr>
      <w:r>
        <w:t xml:space="preserve">Acemoglu, D. (2025). "The Simple Macroeconomics of AI." Economic Policy, 40(121), 13-58. Originally NBER Working Paper 32487 (May 2024).</w:t>
      </w:r>
    </w:p>
    <w:p>
      <w:pPr>
        <w:spacing w:after="120"/>
      </w:pPr>
      <w:r>
        <w:t xml:space="preserve">Acemoglu, D. and Restrepo, P. (2019). "Automation and New Tasks: How Technology Displaces and Reinstates Labor." Journal of Economic Perspectives, 33(2), 3-30.</w:t>
      </w:r>
    </w:p>
    <w:p>
      <w:pPr>
        <w:spacing w:after="120"/>
      </w:pPr>
      <w:r>
        <w:t xml:space="preserve">Autor, D., Dorn, D., and Hanson, G. (2013). "The China Syndrome: Local Labor Market Effects of Import Competition in the United States." American Economic Review, 103(6), 2121-2168.</w:t>
      </w:r>
    </w:p>
    <w:p>
      <w:pPr>
        <w:spacing w:after="120"/>
      </w:pPr>
      <w:r>
        <w:t xml:space="preserve">Autor, D., Chin, C., Salomons, A. and Seegmiller, B. (2024). "New Frontiers: The Origins and Content of New Work, 1940-2018." The Quarterly Journal of Economics, 139(3), 1399-1465.</w:t>
      </w:r>
    </w:p>
    <w:p>
      <w:pPr>
        <w:spacing w:after="120"/>
      </w:pPr>
      <w:r>
        <w:t xml:space="preserve">Brynjolfsson, E., Li, D., and Raymond, L.R. (2023). "Generative AI at Work." NBER Working Paper 31161.</w:t>
      </w:r>
    </w:p>
    <w:p>
      <w:pPr>
        <w:spacing w:after="120"/>
      </w:pPr>
      <w:r>
        <w:t xml:space="preserve">Eloundou, T., Manning, S., Mishkin, P. and Rock, D. (2024). "GPTs are GPTs: An Early Look at the Labor Market Impact Potential of Large Language Models." Science, 384(6702).</w:t>
      </w:r>
    </w:p>
    <w:p>
      <w:pPr>
        <w:spacing w:after="120"/>
      </w:pPr>
      <w:r>
        <w:t xml:space="preserve">Huang, Y. (2024). "The Labor Market Impact of Artificial Intelligence: Evidence from US Regions." IMF Working Paper 2024/199.</w:t>
      </w:r>
    </w:p>
    <w:p>
      <w:pPr>
        <w:spacing w:after="120"/>
      </w:pPr>
      <w:r>
        <w:t xml:space="preserve">Noy, S. and Zhang, W. (2023). "Experimental Evidence on the Productivity Effects of Generative Artificial Intelligence." Science, 381(6654), 187-192.</w:t>
      </w:r>
    </w:p>
    <w:p>
      <w:pPr>
        <w:pStyle w:val="Heading2"/>
      </w:pPr>
      <w:r>
        <w:t xml:space="preserve">15.2 Institutional and Industry Reports</w:t>
      </w:r>
    </w:p>
    <w:p>
      <w:pPr>
        <w:spacing w:after="120"/>
      </w:pPr>
      <w:r>
        <w:t xml:space="preserve">Goldman Sachs Research (August 2025). "How Will AI Affect the Global Workforce?" Briggs, J. and Dong, S.</w:t>
      </w:r>
    </w:p>
    <w:p>
      <w:pPr>
        <w:spacing w:after="120"/>
      </w:pPr>
      <w:r>
        <w:t xml:space="preserve">Goldman Sachs Research (March 2025). "AI's Impact on the Labor Market: Still Negligible but Approaching an Inflection." Briggs, J. and Dong, S.</w:t>
      </w:r>
    </w:p>
    <w:p>
      <w:pPr>
        <w:spacing w:after="120"/>
      </w:pPr>
      <w:r>
        <w:t xml:space="preserve">McKinsey Global Institute (2023). "Generative AI and the Future of Work in America."</w:t>
      </w:r>
    </w:p>
    <w:p>
      <w:pPr>
        <w:spacing w:after="120"/>
      </w:pPr>
      <w:r>
        <w:t xml:space="preserve">McKinsey (2024). "The State of AI in Early 2024: Gen AI Adoption Spikes and Starts to Generate Value."</w:t>
      </w:r>
    </w:p>
    <w:p>
      <w:pPr>
        <w:spacing w:after="120"/>
      </w:pPr>
      <w:r>
        <w:t xml:space="preserve">World Economic Forum (January 2025). "Future of Jobs Report 2025."</w:t>
      </w:r>
    </w:p>
    <w:p>
      <w:pPr>
        <w:spacing w:after="120"/>
      </w:pPr>
      <w:r>
        <w:t xml:space="preserve">International Monetary Fund (January 2024). "Gen-AI: Artificial Intelligence and the Future of Work." Staff Discussion Note SDN2024/001. Cazzaniga, M. et al.</w:t>
      </w:r>
    </w:p>
    <w:p>
      <w:pPr>
        <w:spacing w:after="120"/>
      </w:pPr>
      <w:r>
        <w:t xml:space="preserve">International Monetary Fund (April 2025). "The Global Impact of AI: Mind the Gap." Working Paper WP/25/76.</w:t>
      </w:r>
    </w:p>
    <w:p>
      <w:pPr>
        <w:spacing w:after="120"/>
      </w:pPr>
      <w:r>
        <w:t xml:space="preserve">International Monetary Fund (2025). "Artificial Intelligence and Productivity in Europe." Working Paper.</w:t>
      </w:r>
    </w:p>
    <w:p>
      <w:pPr>
        <w:pStyle w:val="Heading2"/>
      </w:pPr>
      <w:r>
        <w:t xml:space="preserve">15.3 Regulatory and Policy Documents</w:t>
      </w:r>
    </w:p>
    <w:p>
      <w:pPr>
        <w:spacing w:after="120"/>
      </w:pPr>
      <w:r>
        <w:t xml:space="preserve">Financial Stability Board (November 2024). "The Financial Stability Implications of Artificial Intelligence."</w:t>
      </w:r>
    </w:p>
    <w:p>
      <w:pPr>
        <w:spacing w:after="120"/>
      </w:pPr>
      <w:r>
        <w:t xml:space="preserve">Financial Stability Board (October 2025). "Monitoring Adoption of Artificial Intelligence and Related Vulnerabilities in the Financial Sector."</w:t>
      </w:r>
    </w:p>
    <w:p>
      <w:pPr>
        <w:spacing w:after="120"/>
      </w:pPr>
      <w:r>
        <w:t xml:space="preserve">US Treasury Department (2025). "Artificial Intelligence in Financial Services." Report on the Uses, Opportunities, and Risks.</w:t>
      </w:r>
    </w:p>
    <w:p>
      <w:pPr>
        <w:spacing w:after="120"/>
      </w:pPr>
      <w:r>
        <w:t xml:space="preserve">US Government Accountability Office (May 2025). "Artificial Intelligence: Use and Oversight in Financial Services." GAO-25-107197.</w:t>
      </w:r>
    </w:p>
    <w:p>
      <w:pPr>
        <w:spacing w:after="120"/>
      </w:pPr>
      <w:r>
        <w:t xml:space="preserve">Office of the Comptroller of the Currency (Fall 2025). "Semiannual Risk Perspective." Special Topic on Innovation and AI.</w:t>
      </w:r>
    </w:p>
    <w:p>
      <w:pPr>
        <w:spacing w:after="120"/>
      </w:pPr>
      <w:r>
        <w:t xml:space="preserve">OCC/FRB/FDIC (2011/2017). "Supervisory Guidance on Model Risk Management." SR 11-7 / OCC Bulletin 2011-12.</w:t>
      </w:r>
    </w:p>
    <w:p>
      <w:pPr>
        <w:spacing w:after="120"/>
      </w:pPr>
      <w:r>
        <w:t xml:space="preserve">Executive Order 14179 (January 2025). "Removing Barriers to American Leadership in Artificial Intelligence."</w:t>
      </w:r>
    </w:p>
    <w:p>
      <w:pPr>
        <w:spacing w:after="120"/>
      </w:pPr>
      <w:r>
        <w:t xml:space="preserve">Executive Order (December 11, 2025). "Ensuring a National Policy Framework for Artificial Intelligence."</w:t>
      </w:r>
    </w:p>
    <w:p>
      <w:pPr>
        <w:spacing w:after="120"/>
      </w:pPr>
      <w:r>
        <w:t xml:space="preserve">EU AI Act, Regulation (EU) 2024/1689. Published July 12, 2024. Implementation phased through 2027.</w:t>
      </w:r>
    </w:p>
    <w:p>
      <w:pPr>
        <w:spacing w:after="120"/>
      </w:pPr>
      <w:r>
        <w:t xml:space="preserve">Bank of England Financial Policy Committee (April 2025). "Financial Stability in Focus: Artificial Intelligence in the Financial System."</w:t>
      </w:r>
    </w:p>
    <w:p>
      <w:pPr>
        <w:pStyle w:val="Heading2"/>
      </w:pPr>
      <w:r>
        <w:t xml:space="preserve">15.4 Company Disclosures and Earnings Materials</w:t>
      </w:r>
    </w:p>
    <w:p>
      <w:pPr>
        <w:spacing w:after="120"/>
      </w:pPr>
      <w:r>
        <w:t xml:space="preserve">JPMorgan Chase (May 2025). Investor Day Transcript. Disclosure on AI strategy, headcount projections, and technology investment.</w:t>
      </w:r>
    </w:p>
    <w:p>
      <w:pPr>
        <w:spacing w:after="120"/>
      </w:pPr>
      <w:r>
        <w:t xml:space="preserve">Goldman Sachs (October 2025). Q3 2025 Earnings Call. CEO David Solomon on OneGS 3.0 AI operating model.</w:t>
      </w:r>
    </w:p>
    <w:p>
      <w:pPr>
        <w:spacing w:after="120"/>
      </w:pPr>
      <w:r>
        <w:t xml:space="preserve">Wells Fargo (October 2025). Q3 2025 Earnings Call. CFO Michael Santomassimo on AI efficiency and headcount trajectory.</w:t>
      </w:r>
    </w:p>
    <w:p>
      <w:pPr>
        <w:spacing w:after="120"/>
      </w:pPr>
      <w:r>
        <w:t xml:space="preserve">Klarna Group (March 2025/ongoing). IPO Filing and subsequent disclosures. Headcount reduction from 5,527 to ~2,907 through AI and attrition.</w:t>
      </w:r>
    </w:p>
    <w:p>
      <w:pPr>
        <w:spacing w:after="120"/>
      </w:pPr>
      <w:r>
        <w:t xml:space="preserve">IBM (November 2025). Workforce reduction announcement; AI-driven rebalancing of headcount.</w:t>
      </w:r>
    </w:p>
    <w:p>
      <w:pPr>
        <w:spacing w:after="120"/>
      </w:pPr>
      <w:r>
        <w:t xml:space="preserve">Citigroup (October 2025). Q3 2025 Earnings Call. CEO Jane Fraser on AI integration strategy.</w:t>
      </w:r>
    </w:p>
    <w:p>
      <w:pPr>
        <w:pStyle w:val="Heading2"/>
      </w:pPr>
      <w:r>
        <w:t xml:space="preserve">15.5 News and Analysis</w:t>
      </w:r>
    </w:p>
    <w:p>
      <w:pPr>
        <w:spacing w:after="120"/>
      </w:pPr>
      <w:r>
        <w:t xml:space="preserve">CNBC (October 15, 2025). "Big banks like JPMorgan Chase and Goldman Sachs are already using AI to hire fewer people."</w:t>
      </w:r>
    </w:p>
    <w:p>
      <w:pPr>
        <w:spacing w:after="120"/>
      </w:pPr>
      <w:r>
        <w:t xml:space="preserve">Fortune (March 14, 2025). "Here's when AI will launch a decade-long cycle of economic growth and productivity gains."</w:t>
      </w:r>
    </w:p>
    <w:p>
      <w:pPr>
        <w:spacing w:after="120"/>
      </w:pPr>
      <w:r>
        <w:t xml:space="preserve">Fortune (December 21, 2025). "Is AI really killing finance and banking jobs? Experts say Wall Street's layoffs may be more hype than takeover."</w:t>
      </w:r>
    </w:p>
    <w:p>
      <w:pPr>
        <w:spacing w:after="120"/>
      </w:pPr>
      <w:r>
        <w:t xml:space="preserve">CNBC (May 14, 2025). "Klarna CEO says AI helped company shrink workforce by 40%."</w:t>
      </w:r>
    </w:p>
    <w:p>
      <w:pPr>
        <w:spacing w:after="120"/>
      </w:pPr>
      <w:r>
        <w:t xml:space="preserve">Artificial Intelligence News (December 18, 2025). "Wall Street's AI gains are here - banks plan for fewer people."</w:t>
      </w:r>
    </w:p>
    <w:p>
      <w:r>
        <w:br w:type="page"/>
      </w:r>
    </w:p>
    <w:p>
      <w:pPr>
        <w:spacing w:before="2000" w:after="200"/>
        <w:jc w:val="center"/>
      </w:pPr>
      <w:r>
        <w:rPr>
          <w:rFonts w:ascii="Arial" w:cs="Arial" w:eastAsia="Arial" w:hAnsi="Arial"/>
          <w:b/>
          <w:bCs/>
          <w:color w:val="CC0000"/>
          <w:sz w:val="28"/>
          <w:szCs w:val="28"/>
        </w:rPr>
        <w:t xml:space="preserve">DISCLAIMER</w:t>
      </w:r>
    </w:p>
    <w:p>
      <w:pPr>
        <w:spacing w:after="120"/>
      </w:pPr>
      <w:r>
        <w:t xml:space="preserve">This document is a stress testing and scenario analysis framework prepared for educational and strategic planning purposes. It does not constitute investment advice, legal advice, or a regulatory recommendation. All projections, estimates, and scenario variable paths represent illustrative stress assumptions informed by current research and historical analogues, not predictions of future outcomes. The probability assessments assigned to scenarios represent the authors' judgment based on available evidence and should not be interpreted as precise statistical forecasts. All data cited is from publicly available sources as of February 2026 and may not reflect the most current information.</w:t>
      </w:r>
    </w:p>
    <w:p>
      <w:pPr>
        <w:spacing w:after="120"/>
      </w:pPr>
      <w:r>
        <w:t xml:space="preserve">This framework should be adapted, calibrated, and validated against institution-specific data, proprietary models, and internal expertise before use in actual risk management, capital planning, or regulatory reporting processes. The scenarios described herein are designed to be plausible and severe, consistent with CCAR/DFAST design standards, and should not be interpreted as base case expectations.</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999999"/>
        <w:sz w:val="16"/>
        <w:szCs w:val="16"/>
      </w:rPr>
      <w:t xml:space="preserve">CONFIDENTIAL | AI Transformation Stress Testing Framework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pPr>
        <w:spacing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B3A5C"/>
      <w:sz w:val="32"/>
      <w:szCs w:val="32"/>
    </w:rPr>
  </w:style>
  <w:style w:type="paragraph" w:styleId="Heading2">
    <w:name w:val="Heading 2"/>
    <w:basedOn w:val="Normal"/>
    <w:next w:val="Normal"/>
    <w:qFormat/>
    <w:pPr>
      <w:spacing w:before="240" w:after="140"/>
      <w:outlineLvl w:val="1"/>
    </w:pPr>
    <w:rPr>
      <w:rFonts w:ascii="Arial" w:cs="Arial" w:eastAsia="Arial" w:hAnsi="Arial"/>
      <w:b/>
      <w:bCs/>
      <w:color w:val="2C5F8A"/>
      <w:sz w:val="26"/>
      <w:szCs w:val="26"/>
    </w:rPr>
  </w:style>
  <w:style w:type="paragraph" w:styleId="Heading3">
    <w:name w:val="Heading 3"/>
    <w:basedOn w:val="Normal"/>
    <w:next w:val="Normal"/>
    <w:qFormat/>
    <w:pPr>
      <w:spacing w:before="180" w:after="100"/>
      <w:outlineLvl w:val="2"/>
    </w:pPr>
    <w:rPr>
      <w:rFonts w:ascii="Arial" w:cs="Arial" w:eastAsia="Arial" w:hAnsi="Arial"/>
      <w:b/>
      <w:bCs/>
      <w:color w:val="3A7AB5"/>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2026-02-10T20:52:13.161Z</dcterms:created>
  <dcterms:modified xsi:type="dcterms:W3CDTF">2026-02-10T20:52:13.162Z</dcterms:modified>
</cp:coreProperties>
</file>

<file path=docProps/custom.xml><?xml version="1.0" encoding="utf-8"?>
<Properties xmlns="http://schemas.openxmlformats.org/officeDocument/2006/custom-properties" xmlns:vt="http://schemas.openxmlformats.org/officeDocument/2006/docPropsVTypes"/>
</file>