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CIB Risk AI Council — Inaugural Meeting Summary</w:t>
      </w:r>
    </w:p>
    <w:p>
      <w:pPr>
        <w:jc w:val="center"/>
      </w:pPr>
      <w:r>
        <w:rPr>
          <w:i/>
        </w:rPr>
        <w:t>Executive-ready synthesis, operating model overview, and portfolio-team opportunity set</w:t>
      </w:r>
    </w:p>
    <w:p>
      <w:pPr>
        <w:jc w:val="center"/>
      </w:pPr>
      <w:r>
        <w:t>Date: Thursday, February 19, 2026</w:t>
      </w:r>
    </w:p>
    <w:p/>
    <w:p>
      <w:pPr>
        <w:pStyle w:val="Heading1"/>
      </w:pPr>
      <w:r>
        <w:t>Executive summary</w:t>
      </w:r>
    </w:p>
    <w:p>
      <w:r>
        <w:t>The inaugural CIB Risk AI Council meeting established the baseline governance posture and operating cadence for how CIB Risk will intake, challenge, prioritize, govern, and scale GenAI use cases in alignment with the enterprise model. Leadership emphasized urgency: the organization must get organized quickly to keep pace with enterprise expectations and to convert AI delivery into repeatable BAU “muscle memory” rather than ad-hoc experimentation.</w:t>
      </w:r>
    </w:p>
    <w:p>
      <w:r>
        <w:t>A central control point was reiterated: GenAI ideas should be reviewed through an appropriate forum and require leadership approval (including Jeff’s approval as a key gate) before they scale broadly and trigger enterprise-wide demand.</w:t>
      </w:r>
    </w:p>
    <w:p>
      <w:r>
        <w:t>Corporate Risk representatives provided a top-down readout of the current enterprise operating model, including: (i) intake and visibility, (ii) experimentation via a safe playground environment, (iii) prototyping, (iv) AIRR governance designed to consolidate and accelerate approvals across model/compliance/cyber/data, (v) routing options for funding and delivery, and (vi) benefits realization tracking.</w:t>
      </w:r>
    </w:p>
    <w:p>
      <w:r>
        <w:t>The meeting used a live demonstration of “InsightWeaver” as an initial example to showcase how a GenAI-enabled capability could convert external information into measurable risk signals and, in the future state, connect those signals to internal risk/exposure data to drive faster “so-what” assessment and decision support.</w:t>
      </w:r>
    </w:p>
    <w:p>
      <w:pPr>
        <w:pStyle w:val="Heading1"/>
      </w:pPr>
      <w:r>
        <w:t>What was established in this inaugural session</w:t>
      </w:r>
    </w:p>
    <w:p>
      <w:pPr>
        <w:pStyle w:val="ListBullet"/>
      </w:pPr>
      <w:r>
        <w:t>Council purpose and scope: a coordinating forum to share knowledge, pressure-test major ideas, and shape the CIB Risk AI program.</w:t>
      </w:r>
    </w:p>
    <w:p>
      <w:pPr>
        <w:pStyle w:val="ListBullet"/>
      </w:pPr>
      <w:r>
        <w:t>Operating intent: become BAU quickly and be prepared for engagement from enterprise and peer teams (inbound scrutiny and collaboration).</w:t>
      </w:r>
    </w:p>
    <w:p>
      <w:pPr>
        <w:pStyle w:val="ListBullet"/>
      </w:pPr>
      <w:r>
        <w:t>Participation model: members plus day-to-day attendees (flexible), with emphasis that attendance is critical for effectiveness and influence.</w:t>
      </w:r>
    </w:p>
    <w:p>
      <w:pPr>
        <w:pStyle w:val="ListBullet"/>
      </w:pPr>
      <w:r>
        <w:t>Governance posture: use the council to reduce duplication, improve transparency, and ensure ideas progress through appropriate gates before scaling.</w:t>
      </w:r>
    </w:p>
    <w:p>
      <w:pPr>
        <w:pStyle w:val="ListBullet"/>
      </w:pPr>
      <w:r>
        <w:t>Forward plan: future meetings will deepen process walkthroughs so all participants understand how ideas move end-to-end.</w:t>
      </w:r>
    </w:p>
    <w:p>
      <w:pPr>
        <w:pStyle w:val="Heading1"/>
      </w:pPr>
      <w:r>
        <w:t>Enterprise operating model overview (as described by Corporate Risk)</w:t>
      </w:r>
    </w:p>
    <w:p>
      <w:pPr>
        <w:pStyle w:val="Heading2"/>
      </w:pPr>
      <w:r>
        <w:t>1) Intake, visibility, and triage</w:t>
      </w:r>
    </w:p>
    <w:p>
      <w:pPr>
        <w:pStyle w:val="ListBullet"/>
      </w:pPr>
      <w:r>
        <w:t>A structured intake mechanism is used to capture GenAI ideas, create enterprise visibility, and route to the appropriate champions for review.</w:t>
      </w:r>
    </w:p>
    <w:p>
      <w:pPr>
        <w:pStyle w:val="ListBullet"/>
      </w:pPr>
      <w:r>
        <w:t>Early evaluation focuses on the “what/why,” expected business benefit, and whether the idea is meaningful enough to proceed.</w:t>
      </w:r>
    </w:p>
    <w:p>
      <w:pPr>
        <w:pStyle w:val="ListBullet"/>
      </w:pPr>
      <w:r>
        <w:t>Broad experimentation is encouraged in a controlled “playground” environment (available via access request) to allow quick proof-of-concept work without production integration.</w:t>
      </w:r>
    </w:p>
    <w:p>
      <w:pPr>
        <w:pStyle w:val="Heading2"/>
      </w:pPr>
      <w:r>
        <w:t>2) Prototype path and ROI discipline</w:t>
      </w:r>
    </w:p>
    <w:p>
      <w:pPr>
        <w:pStyle w:val="ListBullet"/>
      </w:pPr>
      <w:r>
        <w:t>After experimentation, selected ideas move into a safer controlled environment to build prototypes and clarify the implementation definition.</w:t>
      </w:r>
    </w:p>
    <w:p>
      <w:pPr>
        <w:pStyle w:val="ListBullet"/>
      </w:pPr>
      <w:r>
        <w:t>Finance discipline is applied to benefit claims: ROI submissions and benefit realization are monitored over time to ensure the business case is credible and achieved.</w:t>
      </w:r>
    </w:p>
    <w:p>
      <w:pPr>
        <w:pStyle w:val="Heading2"/>
      </w:pPr>
      <w:r>
        <w:t>3) AIRR governance (unified approvals)</w:t>
      </w:r>
    </w:p>
    <w:p>
      <w:pPr>
        <w:pStyle w:val="ListBullet"/>
      </w:pPr>
      <w:r>
        <w:t>AIRR is positioned as the consolidated governance pathway that brings together model risk, compliance, cyber, and data controls.</w:t>
      </w:r>
    </w:p>
    <w:p>
      <w:pPr>
        <w:pStyle w:val="ListBullet"/>
      </w:pPr>
      <w:r>
        <w:t>The process is intended to reduce handoffs and compress timelines (while keeping required steps intact).</w:t>
      </w:r>
    </w:p>
    <w:p>
      <w:pPr>
        <w:pStyle w:val="ListBullet"/>
      </w:pPr>
      <w:r>
        <w:t>A simplified structure was described: an initial assessment followed by detailed assessment when classification or risk requires it; recent experience was described as trending toward faster approval cycles than historical “months-long” processes.</w:t>
      </w:r>
    </w:p>
    <w:p>
      <w:pPr>
        <w:pStyle w:val="Heading2"/>
      </w:pPr>
      <w:r>
        <w:t>4) Delivery gating and technology capacity</w:t>
      </w:r>
    </w:p>
    <w:p>
      <w:pPr>
        <w:pStyle w:val="ListBullet"/>
      </w:pPr>
      <w:r>
        <w:t>Approval does not guarantee delivery: execution depends on technology capacity and prioritization across the broader book of work.</w:t>
      </w:r>
    </w:p>
    <w:p>
      <w:pPr>
        <w:pStyle w:val="ListBullet"/>
      </w:pPr>
      <w:r>
        <w:t>Upfront alignment between business priority and technology priority is required to avoid approved use cases stalling due to lack of build bandwidth.</w:t>
      </w:r>
    </w:p>
    <w:p>
      <w:pPr>
        <w:pStyle w:val="Heading2"/>
      </w:pPr>
      <w:r>
        <w:t>Duplication prevention (enterprise-wide)</w:t>
      </w:r>
    </w:p>
    <w:p>
      <w:pPr>
        <w:pStyle w:val="ListBullet"/>
      </w:pPr>
      <w:r>
        <w:t>Primary overlap check at intake: corporate teams review the enterprise GenAI inventory (system of record) to identify similar existing ideas/solutions.</w:t>
      </w:r>
    </w:p>
    <w:p>
      <w:pPr>
        <w:pStyle w:val="ListBullet"/>
      </w:pPr>
      <w:r>
        <w:t>Secondary overlap check during later reviews: enterprise reviewers can identify duplicates if earlier checks miss them.</w:t>
      </w:r>
    </w:p>
    <w:p>
      <w:pPr>
        <w:pStyle w:val="Heading1"/>
      </w:pPr>
      <w:r>
        <w:t>Champion model (routing and accountability)</w:t>
      </w:r>
    </w:p>
    <w:p>
      <w:pPr>
        <w:pStyle w:val="ListBullet"/>
      </w:pPr>
      <w:r>
        <w:t>Champions are designated by domain and oversight responsibilities; they are the first-line reviewers for incoming ideas in their area.</w:t>
      </w:r>
    </w:p>
    <w:p>
      <w:pPr>
        <w:pStyle w:val="ListBullet"/>
      </w:pPr>
      <w:r>
        <w:t>Ideas submitted through the intake portal generate automated notifications to champions for review, triage, and disposition.</w:t>
      </w:r>
    </w:p>
    <w:p>
      <w:pPr>
        <w:pStyle w:val="ListBullet"/>
      </w:pPr>
      <w:r>
        <w:t>Champions are expected to coordinate across domains when workflows overlap to converge on shared solutions rather than duplicative builds.</w:t>
      </w:r>
    </w:p>
    <w:p>
      <w:pPr>
        <w:pStyle w:val="Heading1"/>
      </w:pPr>
      <w:r>
        <w:t>Funding and prioritization channels (how ideas get built)</w:t>
      </w:r>
    </w:p>
    <w:p>
      <w:pPr>
        <w:pStyle w:val="ListNumber"/>
      </w:pPr>
      <w:r>
        <w:t>Enterprise-funded path: high-value, high-impact ideas can be routed for enterprise prioritization and execution.</w:t>
      </w:r>
    </w:p>
    <w:p>
      <w:pPr>
        <w:pStyle w:val="ListNumber"/>
      </w:pPr>
      <w:r>
        <w:t>Annual investment planning request: valuable ideas that cannot be resourced in-year due to capacity constraints can be queued for next-year funding and planning.</w:t>
      </w:r>
    </w:p>
    <w:p>
      <w:pPr>
        <w:pStyle w:val="ListNumber"/>
      </w:pPr>
      <w:r>
        <w:t>Local backlog prioritization ("ants vs elephants"): leaders can choose to pursue strategically important productivity improvements even when ROI is modest, provided it fits within departmental priorities and budget.</w:t>
      </w:r>
    </w:p>
    <w:p>
      <w:pPr>
        <w:pStyle w:val="Heading1"/>
      </w:pPr>
      <w:r>
        <w:t>CIB Risk implementation posture discussed</w:t>
      </w:r>
    </w:p>
    <w:p>
      <w:pPr>
        <w:pStyle w:val="ListBullet"/>
      </w:pPr>
      <w:r>
        <w:t>CIB Risk intends to run a transparent, systematic flow that engages submitters, managers, and technology partners early.</w:t>
      </w:r>
    </w:p>
    <w:p>
      <w:pPr>
        <w:pStyle w:val="ListBullet"/>
      </w:pPr>
      <w:r>
        <w:t>The playground remains available for quick proof-of-concepts; AIRR is the expected governance pathway for controlled deployment.</w:t>
      </w:r>
    </w:p>
    <w:p>
      <w:pPr>
        <w:pStyle w:val="ListBullet"/>
      </w:pPr>
      <w:r>
        <w:t>A SharePoint/checkpoint hub was referenced as the central location for AI knowledge sharing, including artifacts, guidance, and updates.</w:t>
      </w:r>
    </w:p>
    <w:p>
      <w:pPr>
        <w:pStyle w:val="ListBullet"/>
      </w:pPr>
      <w:r>
        <w:t>A monthly communication “wheel” was discussed to broaden awareness beyond the council and to build organizational fluency.</w:t>
      </w:r>
    </w:p>
    <w:p>
      <w:pPr>
        <w:pStyle w:val="Heading1"/>
      </w:pPr>
      <w:r>
        <w:t>Demonstration used in the meeting: InsightWeaver</w:t>
      </w:r>
    </w:p>
    <w:p>
      <w:r>
        <w:t>InsightWeaver was used as an initial demonstration to illustrate how GenAI could be applied to emerging risk intelligence and decision support. The discussion emphasized that the core value unlock comes from combining external signals with internal exposure data (where feasible and appropriately governed).</w:t>
      </w:r>
    </w:p>
    <w:p>
      <w:pPr>
        <w:pStyle w:val="Heading2"/>
      </w:pPr>
      <w:r>
        <w:t>What InsightWeaver is trying to do</w:t>
      </w:r>
    </w:p>
    <w:p>
      <w:pPr>
        <w:pStyle w:val="ListBullet"/>
      </w:pPr>
      <w:r>
        <w:t>Ingest curated external information (news and potentially alternative data) and transform unstructured inputs into measurable signals: themes, keywords, relevance, recency, sentiment, and trends.</w:t>
      </w:r>
    </w:p>
    <w:p>
      <w:pPr>
        <w:pStyle w:val="ListBullet"/>
      </w:pPr>
      <w:r>
        <w:t>Enable early warning indicators (EWIs) via thresholding and alerting when signals spike.</w:t>
      </w:r>
    </w:p>
    <w:p>
      <w:pPr>
        <w:pStyle w:val="ListBullet"/>
      </w:pPr>
      <w:r>
        <w:t>Support faster “so-what” assessment by enabling queries that connect the external theme/event back to internal exposure and portfolio context (future-state dependency).</w:t>
      </w:r>
    </w:p>
    <w:p>
      <w:pPr>
        <w:pStyle w:val="Heading2"/>
      </w:pPr>
      <w:r>
        <w:t>Capabilities shown / described</w:t>
      </w:r>
    </w:p>
    <w:p>
      <w:pPr>
        <w:pStyle w:val="ListBullet"/>
      </w:pPr>
      <w:r>
        <w:t>Theme-based feeds with AI-generated keyword expansion.</w:t>
      </w:r>
    </w:p>
    <w:p>
      <w:pPr>
        <w:pStyle w:val="ListBullet"/>
      </w:pPr>
      <w:r>
        <w:t>Ranking of items by importance (including relevance, recency, sentiment).</w:t>
      </w:r>
    </w:p>
    <w:p>
      <w:pPr>
        <w:pStyle w:val="ListBullet"/>
      </w:pPr>
      <w:r>
        <w:t>Daily summaries and trend analytics by theme/region/category.</w:t>
      </w:r>
    </w:p>
    <w:p>
      <w:pPr>
        <w:pStyle w:val="ListBullet"/>
      </w:pPr>
      <w:r>
        <w:t>Interactive Q&amp;A over recent and historical content (RAG-style retrieval).</w:t>
      </w:r>
    </w:p>
    <w:p>
      <w:pPr>
        <w:pStyle w:val="ListBullet"/>
      </w:pPr>
      <w:r>
        <w:t>Conceptual push notifications when thresholds trigger.</w:t>
      </w:r>
    </w:p>
    <w:p>
      <w:pPr>
        <w:pStyle w:val="Heading2"/>
      </w:pPr>
      <w:r>
        <w:t>Critical dependencies and constraints raised</w:t>
      </w:r>
    </w:p>
    <w:p>
      <w:pPr>
        <w:pStyle w:val="ListBullet"/>
      </w:pPr>
      <w:r>
        <w:t>Internal risk/exposure integration requires clear definitions (a reliable “one version of truth”) and secure, governed access patterns.</w:t>
      </w:r>
    </w:p>
    <w:p>
      <w:pPr>
        <w:pStyle w:val="ListBullet"/>
      </w:pPr>
      <w:r>
        <w:t>Feed quality and coverage matters; specialized use cases (e.g., regional/local news) may require additional sources.</w:t>
      </w:r>
    </w:p>
    <w:p>
      <w:pPr>
        <w:pStyle w:val="ListBullet"/>
      </w:pPr>
      <w:r>
        <w:t>Scaling personalization (watchlists per user/portfolio) is feasible but depends on governance, access control, and the underlying data/API plumbing.</w:t>
      </w:r>
    </w:p>
    <w:p>
      <w:pPr>
        <w:pStyle w:val="Heading1"/>
      </w:pPr>
      <w:r>
        <w:t>Effective outcomes and next steps</w:t>
      </w:r>
    </w:p>
    <w:p>
      <w:r>
        <w:t>While not framed as formal votes, the meeting aligned on several practical outcomes:</w:t>
      </w:r>
    </w:p>
    <w:p>
      <w:pPr>
        <w:pStyle w:val="ListBullet"/>
      </w:pPr>
      <w:r>
        <w:t>Use the Council as the primary coordination and challenge forum for major GenAI ideas before scale.</w:t>
      </w:r>
    </w:p>
    <w:p>
      <w:pPr>
        <w:pStyle w:val="ListBullet"/>
      </w:pPr>
      <w:r>
        <w:t>Maintain Jeff approval as a key gating control for advancing GenAI initiatives.</w:t>
      </w:r>
    </w:p>
    <w:p>
      <w:pPr>
        <w:pStyle w:val="ListBullet"/>
      </w:pPr>
      <w:r>
        <w:t>Continue aligning CIB Risk workflow with the enterprise operating model and AIRR governance.</w:t>
      </w:r>
    </w:p>
    <w:p>
      <w:pPr>
        <w:pStyle w:val="ListBullet"/>
      </w:pPr>
      <w:r>
        <w:t>Run additional outreach to validate demand, avoid duplication, and clarify where solutions should live (CIB Risk vs Corporate Risk vs enterprise).</w:t>
      </w:r>
    </w:p>
    <w:p>
      <w:pPr>
        <w:pStyle w:val="ListBullet"/>
      </w:pPr>
      <w:r>
        <w:t>Schedule a deeper, step-by-step walkthrough of the end-to-end process flow in a future council meeting.</w:t>
      </w:r>
    </w:p>
    <w:p>
      <w:pPr>
        <w:pStyle w:val="Heading1"/>
      </w:pPr>
      <w:r>
        <w:t>Opportunity set for the CIB Risk Portfolio team (Council owners)</w:t>
      </w:r>
    </w:p>
    <w:p>
      <w:r>
        <w:t>Based on themes and questions raised in the meeting, the following are high-leverage opportunities for the CIB Risk Portfolio team to drive value and maturity. These are phrased as actionable ideas (not commitments) suitable for shaping the 2026 council agenda and backlog.</w:t>
      </w:r>
    </w:p>
    <w:p>
      <w:pPr>
        <w:pStyle w:val="Heading2"/>
      </w:pPr>
      <w:r>
        <w:t>A) Build the “front door” and portfolio-level prioritization muscle</w:t>
      </w:r>
    </w:p>
    <w:p>
      <w:pPr>
        <w:pStyle w:val="ListBullet"/>
      </w:pPr>
      <w:r>
        <w:t>Create a lightweight intake rubric for the Council (problem statement quality, controls needs, expected benefit, data dependencies, delivery feasibility) so ideas can be consistently triaged.</w:t>
      </w:r>
    </w:p>
    <w:p>
      <w:pPr>
        <w:pStyle w:val="ListBullet"/>
      </w:pPr>
      <w:r>
        <w:t>Stand up a simple “use case inventory” view for CIB Risk that mirrors the enterprise inventory, allowing rapid duplication checks and portfolio-level prioritization.</w:t>
      </w:r>
    </w:p>
    <w:p>
      <w:pPr>
        <w:pStyle w:val="ListBullet"/>
      </w:pPr>
      <w:r>
        <w:t>Define decision rights and escalation: what the Council can approve/advance vs what must be escalated immediately to Jeff/technology for prioritization.</w:t>
      </w:r>
    </w:p>
    <w:p>
      <w:pPr>
        <w:pStyle w:val="Heading2"/>
      </w:pPr>
      <w:r>
        <w:t>B) Make exposure integration a strategic program, not a one-off</w:t>
      </w:r>
    </w:p>
    <w:p>
      <w:pPr>
        <w:pStyle w:val="ListBullet"/>
      </w:pPr>
      <w:r>
        <w:t>Create a CIB Risk ‘exposure-to-signal’ integration roadmap: define what exposure fields are needed, which systems are sources of truth, and what minimum viable API/extract looks like.</w:t>
      </w:r>
    </w:p>
    <w:p>
      <w:pPr>
        <w:pStyle w:val="ListBullet"/>
      </w:pPr>
      <w:r>
        <w:t>Prioritize a small number of exposure types first (e.g., market risk sensitivities, top concentration names, key commodity/FX exposures) to prove the pattern before scaling.</w:t>
      </w:r>
    </w:p>
    <w:p>
      <w:pPr>
        <w:pStyle w:val="ListBullet"/>
      </w:pPr>
      <w:r>
        <w:t>Codify access controls and AIRR-ready documentation artifacts so data integration requests are repeatable rather than bespoke.</w:t>
      </w:r>
    </w:p>
    <w:p>
      <w:pPr>
        <w:pStyle w:val="Heading2"/>
      </w:pPr>
      <w:r>
        <w:t>C) Deploy scalable “watchlists and negative news” as a shared service</w:t>
      </w:r>
    </w:p>
    <w:p>
      <w:pPr>
        <w:pStyle w:val="ListBullet"/>
      </w:pPr>
      <w:r>
        <w:t>Create a standardized watchlist capability for senior stakeholders (e.g., credit officers, portfolio owners) that supports: portfolio name lists, customizable themes, and daily/weekly digests.</w:t>
      </w:r>
    </w:p>
    <w:p>
      <w:pPr>
        <w:pStyle w:val="ListBullet"/>
      </w:pPr>
      <w:r>
        <w:t>Establish guidance on acceptable sources and feed onboarding for regional/local coverage where needed (to avoid noise and maintain quality).</w:t>
      </w:r>
    </w:p>
    <w:p>
      <w:pPr>
        <w:pStyle w:val="ListBullet"/>
      </w:pPr>
      <w:r>
        <w:t>Package as a controlled service with guardrails (data handling, explainability, auditability) to prevent uncontrolled shadow adoption.</w:t>
      </w:r>
    </w:p>
    <w:p>
      <w:pPr>
        <w:pStyle w:val="Heading2"/>
      </w:pPr>
      <w:r>
        <w:t>D) Process automation targeting (headcount-concentration lens)</w:t>
      </w:r>
    </w:p>
    <w:p>
      <w:pPr>
        <w:pStyle w:val="ListBullet"/>
      </w:pPr>
      <w:r>
        <w:t>Partner with process teams to map high headcount-concentration processes in CIB Risk and identify the top automation candidates.</w:t>
      </w:r>
    </w:p>
    <w:p>
      <w:pPr>
        <w:pStyle w:val="ListBullet"/>
      </w:pPr>
      <w:r>
        <w:t>Start with cross-cutting workflows that span upstream/downstream teams to avoid “kinks in the chain” and to maximize reusable components.</w:t>
      </w:r>
    </w:p>
    <w:p>
      <w:pPr>
        <w:pStyle w:val="ListBullet"/>
      </w:pPr>
      <w:r>
        <w:t>Use the Council to select 1-2 high-confidence pilots with measurable outcomes (cycle time, quality, control evidence, headcount hours saved).</w:t>
      </w:r>
    </w:p>
    <w:p>
      <w:pPr>
        <w:pStyle w:val="Heading2"/>
      </w:pPr>
      <w:r>
        <w:t>E) AIRR enablement for CIB Risk (speed and predictability)</w:t>
      </w:r>
    </w:p>
    <w:p>
      <w:pPr>
        <w:pStyle w:val="ListBullet"/>
      </w:pPr>
      <w:r>
        <w:t>Publish a CIB Risk AIRR playbook: what artifacts are required, common pitfalls, and an example package for a representative use case.</w:t>
      </w:r>
    </w:p>
    <w:p>
      <w:pPr>
        <w:pStyle w:val="ListBullet"/>
      </w:pPr>
      <w:r>
        <w:t>Create a standard pre-flight checklist (data classification, model category, cyber considerations, logging/audit requirements) to reduce rework.</w:t>
      </w:r>
    </w:p>
    <w:p>
      <w:pPr>
        <w:pStyle w:val="ListBullet"/>
      </w:pPr>
      <w:r>
        <w:t>Track AIRR throughput metrics for CIB Risk (lead time, rework loops, approval bottlenecks) and review monthly in the council.</w:t>
      </w:r>
    </w:p>
    <w:p>
      <w:pPr>
        <w:pStyle w:val="Heading2"/>
      </w:pPr>
      <w:r>
        <w:t>F) Build the communications flywheel</w:t>
      </w:r>
    </w:p>
    <w:p>
      <w:pPr>
        <w:pStyle w:val="ListBullet"/>
      </w:pPr>
      <w:r>
        <w:t>Operationalize the monthly update “wheel”: what shipped, what is in AIRR, what is in prototype, what is blocked (and by what).</w:t>
      </w:r>
    </w:p>
    <w:p>
      <w:pPr>
        <w:pStyle w:val="ListBullet"/>
      </w:pPr>
      <w:r>
        <w:t>Create a consistent “what we learned” section to accelerate organizational learning and reduce repeated mistakes across teams.</w:t>
      </w:r>
    </w:p>
    <w:p>
      <w:pPr>
        <w:pStyle w:val="ListBullet"/>
      </w:pPr>
      <w:r>
        <w:t>Maintain a single council landing page (SharePoint) with templates, approved patterns, use case inventory, and FAQs.</w:t>
      </w:r>
    </w:p>
    <w:p>
      <w:pPr>
        <w:pStyle w:val="Heading1"/>
      </w:pPr>
      <w:r>
        <w:t>One-page C-suite brief (meeting minutes style)</w:t>
      </w:r>
    </w:p>
    <w:p>
      <w:r>
        <w:t>CIB Risk AI Council — Inaugural meeting (Today)</w:t>
      </w:r>
    </w:p>
    <w:tbl>
      <w:tblPr>
        <w:tblStyle w:val="TableGrid"/>
        <w:tblW w:type="auto" w:w="0"/>
        <w:jc w:val="center"/>
        <w:tblLook w:firstColumn="1" w:firstRow="1" w:lastColumn="0" w:lastRow="0" w:noHBand="0" w:noVBand="1" w:val="04A0"/>
      </w:tblPr>
      <w:tblGrid>
        <w:gridCol w:w="4824"/>
        <w:gridCol w:w="4824"/>
      </w:tblGrid>
      <w:tr>
        <w:tc>
          <w:tcPr>
            <w:tcW w:type="dxa" w:w="2880"/>
          </w:tcPr>
          <w:p>
            <w:r>
              <w:rPr>
                <w:b/>
              </w:rPr>
              <w:t>Purpose</w:t>
            </w:r>
          </w:p>
        </w:tc>
        <w:tc>
          <w:tcPr>
            <w:tcW w:type="dxa" w:w="6912"/>
          </w:tcPr>
          <w:p>
            <w:r>
              <w:t>Stand up the council operating model; align with enterprise GenAI process and AIRR governance; review a demonstration example (InsightWeaver).</w:t>
            </w:r>
          </w:p>
        </w:tc>
      </w:tr>
      <w:tr>
        <w:tc>
          <w:tcPr>
            <w:tcW w:type="dxa" w:w="2880"/>
          </w:tcPr>
          <w:p>
            <w:r>
              <w:rPr>
                <w:b/>
              </w:rPr>
              <w:t>Key messages</w:t>
            </w:r>
          </w:p>
        </w:tc>
        <w:tc>
          <w:tcPr>
            <w:tcW w:type="dxa" w:w="6912"/>
          </w:tcPr>
          <w:p>
            <w:r>
              <w:t>Urgency to organize and operationalize BAU AI delivery; council as coordination and challenge forum; Jeff approval as a key gate before scaling GenAI ideas.</w:t>
            </w:r>
          </w:p>
        </w:tc>
      </w:tr>
      <w:tr>
        <w:tc>
          <w:tcPr>
            <w:tcW w:type="dxa" w:w="2880"/>
          </w:tcPr>
          <w:p>
            <w:r>
              <w:rPr>
                <w:b/>
              </w:rPr>
              <w:t>Enterprise model overview</w:t>
            </w:r>
          </w:p>
        </w:tc>
        <w:tc>
          <w:tcPr>
            <w:tcW w:type="dxa" w:w="6912"/>
          </w:tcPr>
          <w:p>
            <w:r>
              <w:t>Intake and champion routing; playground for experimentation; prototype path; AIRR unified governance; delivery gated by technology capacity; benefits tracking and ROI discipline.</w:t>
            </w:r>
          </w:p>
        </w:tc>
      </w:tr>
      <w:tr>
        <w:tc>
          <w:tcPr>
            <w:tcW w:type="dxa" w:w="2880"/>
          </w:tcPr>
          <w:p>
            <w:r>
              <w:rPr>
                <w:b/>
              </w:rPr>
              <w:t>Duplication avoidance</w:t>
            </w:r>
          </w:p>
        </w:tc>
        <w:tc>
          <w:tcPr>
            <w:tcW w:type="dxa" w:w="6912"/>
          </w:tcPr>
          <w:p>
            <w:r>
              <w:t>Overlap checks occur via enterprise inventory review at intake and again during later enterprise reviews.</w:t>
            </w:r>
          </w:p>
        </w:tc>
      </w:tr>
      <w:tr>
        <w:tc>
          <w:tcPr>
            <w:tcW w:type="dxa" w:w="2880"/>
          </w:tcPr>
          <w:p>
            <w:r>
              <w:rPr>
                <w:b/>
              </w:rPr>
              <w:t>Funding / delivery channels</w:t>
            </w:r>
          </w:p>
        </w:tc>
        <w:tc>
          <w:tcPr>
            <w:tcW w:type="dxa" w:w="6912"/>
          </w:tcPr>
          <w:p>
            <w:r>
              <w:t>1) Enterprise-funded path; 2) Annual investment planning request; 3) Local backlog prioritization (“ants vs elephants”).</w:t>
            </w:r>
          </w:p>
        </w:tc>
      </w:tr>
      <w:tr>
        <w:tc>
          <w:tcPr>
            <w:tcW w:type="dxa" w:w="2880"/>
          </w:tcPr>
          <w:p>
            <w:r>
              <w:rPr>
                <w:b/>
              </w:rPr>
              <w:t>InsightWeaver demo (what it showed)</w:t>
            </w:r>
          </w:p>
        </w:tc>
        <w:tc>
          <w:tcPr>
            <w:tcW w:type="dxa" w:w="6912"/>
          </w:tcPr>
          <w:p>
            <w:r>
              <w:t>Theme-based risk intelligence from curated feeds: relevance/recency/sentiment scoring, ranking, trend analytics, summaries, Q&amp;A retrieval; future-state alerting and exposure tie-back.</w:t>
            </w:r>
          </w:p>
        </w:tc>
      </w:tr>
      <w:tr>
        <w:tc>
          <w:tcPr>
            <w:tcW w:type="dxa" w:w="2880"/>
          </w:tcPr>
          <w:p>
            <w:r>
              <w:rPr>
                <w:b/>
              </w:rPr>
              <w:t>Critical dependencies</w:t>
            </w:r>
          </w:p>
        </w:tc>
        <w:tc>
          <w:tcPr>
            <w:tcW w:type="dxa" w:w="6912"/>
          </w:tcPr>
          <w:p>
            <w:r>
              <w:t>Exposure data integration requires clear definitions and secure APIs; feed quality and coverage; AIRR-ready controls and documentation; technology capacity.</w:t>
            </w:r>
          </w:p>
        </w:tc>
      </w:tr>
      <w:tr>
        <w:tc>
          <w:tcPr>
            <w:tcW w:type="dxa" w:w="2880"/>
          </w:tcPr>
          <w:p>
            <w:r>
              <w:rPr>
                <w:b/>
              </w:rPr>
              <w:t>Outcomes / next steps</w:t>
            </w:r>
          </w:p>
        </w:tc>
        <w:tc>
          <w:tcPr>
            <w:tcW w:type="dxa" w:w="6912"/>
          </w:tcPr>
          <w:p>
            <w:r>
              <w:t>Use council for pre-scale challenge; schedule deeper end-to-end process walkthrough; validate demand and avoid duplication via outreach; define exposure integration roadmap; clarify ownership and routing for prioritized use cases.</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