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GOLD STANDARD</w:t>
      </w:r>
    </w:p>
    <w:p>
      <w:pPr>
        <w:spacing w:after="200"/>
        <w:jc w:val="center"/>
      </w:pPr>
      <w:r>
        <w:rPr>
          <w:rFonts w:ascii="Arial" w:cs="Arial" w:eastAsia="Arial" w:hAnsi="Arial"/>
          <w:b/>
          <w:bCs/>
          <w:color w:val="1B3A5C"/>
          <w:sz w:val="52"/>
          <w:szCs w:val="52"/>
        </w:rPr>
        <w:t xml:space="preserve">STRESS TESTING SCENARIOS</w:t>
      </w:r>
    </w:p>
    <w:p>
      <w:pPr>
        <w:spacing w:after="400"/>
        <w:jc w:val="center"/>
      </w:pPr>
      <w:r>
        <w:rPr>
          <w:rFonts w:ascii="Arial" w:cs="Arial" w:eastAsia="Arial" w:hAnsi="Arial"/>
          <w:color w:val="4A6D8C"/>
          <w:sz w:val="32"/>
          <w:szCs w:val="32"/>
        </w:rPr>
        <w:t xml:space="preserve">FOR TRADING BOOKS &amp; ENTERPRISE RISK</w:t>
      </w:r>
    </w:p>
    <w:p>
      <w:pPr>
        <w:pBdr>
          <w:bottom w:val="single" w:color="1B3A5C" w:sz="6" w:space="1"/>
        </w:pBdr>
        <w:spacing w:after="400"/>
        <w:jc w:val="center"/>
      </w:pPr>
      <w:r>
        <w:t xml:space="preserve"/>
      </w:r>
    </w:p>
    <w:p>
      <w:pPr>
        <w:spacing w:after="120"/>
        <w:jc w:val="center"/>
      </w:pPr>
      <w:r>
        <w:rPr>
          <w:rFonts w:ascii="Arial" w:cs="Arial" w:eastAsia="Arial" w:hAnsi="Arial"/>
          <w:i/>
          <w:iCs/>
          <w:color w:val="555555"/>
          <w:sz w:val="24"/>
          <w:szCs w:val="24"/>
        </w:rPr>
        <w:t xml:space="preserve">A Comprehensive Research Report on Regulatory, Internal, and Buy-Side Frameworks</w:t>
      </w:r>
    </w:p>
    <w:p>
      <w:pPr>
        <w:spacing w:after="120"/>
        <w:jc w:val="center"/>
      </w:pPr>
      <w:r>
        <w:rPr>
          <w:rFonts w:ascii="Arial" w:cs="Arial" w:eastAsia="Arial" w:hAnsi="Arial"/>
          <w:i/>
          <w:iCs/>
          <w:color w:val="555555"/>
          <w:sz w:val="24"/>
          <w:szCs w:val="24"/>
        </w:rPr>
        <w:t xml:space="preserve">Used by the Largest Global CIBs, Hedge Funds, and Asset Managers</w:t>
      </w:r>
    </w:p>
    <w:p>
      <w:pPr>
        <w:spacing w:after="800"/>
        <w:jc w:val="center"/>
      </w:pPr>
      <w:r>
        <w:rPr>
          <w:rFonts w:ascii="Arial" w:cs="Arial" w:eastAsia="Arial" w:hAnsi="Arial"/>
          <w:color w:val="777777"/>
          <w:sz w:val="24"/>
          <w:szCs w:val="24"/>
        </w:rPr>
        <w:t xml:space="preserve">February 2026</w:t>
      </w:r>
    </w:p>
    <w:p>
      <w:pPr>
        <w:spacing w:after="80"/>
        <w:jc w:val="center"/>
      </w:pPr>
      <w:r>
        <w:rPr>
          <w:rFonts w:ascii="Arial" w:cs="Arial" w:eastAsia="Arial" w:hAnsi="Arial"/>
          <w:color w:val="333333"/>
          <w:sz w:val="22"/>
          <w:szCs w:val="22"/>
        </w:rPr>
        <w:t xml:space="preserve">Prepared for: Wells Fargo CIB — Market Risk</w:t>
      </w:r>
    </w:p>
    <w:p>
      <w:pPr>
        <w:jc w:val="center"/>
      </w:pPr>
      <w:r>
        <w:rPr>
          <w:rFonts w:ascii="Arial" w:cs="Arial" w:eastAsia="Arial" w:hAnsi="Arial"/>
          <w:b/>
          <w:bCs/>
          <w:color w:val="CC0000"/>
          <w:sz w:val="20"/>
          <w:szCs w:val="20"/>
        </w:rPr>
        <w:t xml:space="preserve">CONFIDENTIAL</w:t>
      </w:r>
    </w:p>
    <w:p>
      <w:r>
        <w:br w:type="page"/>
      </w:r>
    </w:p>
    <w:p>
      <w:pPr>
        <w:spacing w:after="300"/>
      </w:pPr>
      <w:r>
        <w:rPr>
          <w:rFonts w:ascii="Arial" w:cs="Arial" w:eastAsia="Arial" w:hAnsi="Arial"/>
          <w:b/>
          <w:bCs/>
          <w:color w:val="1B3A5C"/>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rPr>
          <w:rFonts w:ascii="Arial" w:cs="Arial" w:eastAsia="Arial" w:hAnsi="Arial"/>
          <w:sz w:val="22"/>
          <w:szCs w:val="22"/>
        </w:rPr>
        <w:t xml:space="preserve">This report provides a comprehensive analysis of the gold standard stress testing scenarios and frameworks employed by the world’s largest Corporate &amp; Investment Banks (CIBs), systemically important financial institutions (SIFIs), hedge funds, and asset managers. The research synthesizes regulatory requirements, industry best practices, and proprietary methodologies used across the global financial system to assess resilience under extreme but plausible market conditions.</w:t>
      </w:r>
    </w:p>
    <w:p>
      <w:pPr>
        <w:spacing w:after="160"/>
      </w:pPr>
      <w:r>
        <w:rPr>
          <w:rFonts w:ascii="Arial" w:cs="Arial" w:eastAsia="Arial" w:hAnsi="Arial"/>
          <w:sz w:val="22"/>
          <w:szCs w:val="22"/>
        </w:rPr>
        <w:t xml:space="preserve">The stress testing landscape operates across three interconnected tiers. First, the regulatory floor established by supervisory authorities (Federal Reserve DFAST/CCAR, Bank of England, ECB/EBA) sets minimum standards through published severely adverse scenarios and global market shock components. Second, internal CIB frameworks maintained by institutions like JPMorgan Chase, Goldman Sachs, Morgan Stanley, and Wells Fargo go substantially beyond regulatory requirements with proprietary scenario libraries, reverse stress tests, and forward-looking hypothetical analysis. Third, the buy-side ecosystem of hedge funds and asset managers employs complementary approaches including high-frequency parametric shocks, historical replay, multi-factor correlation stress, and liquidity-adjusted scenario analysis.</w:t>
      </w:r>
    </w:p>
    <w:p>
      <w:pPr>
        <w:spacing w:after="160"/>
      </w:pPr>
      <w:r>
        <w:rPr>
          <w:rFonts w:ascii="Arial" w:cs="Arial" w:eastAsia="Arial" w:hAnsi="Arial"/>
          <w:sz w:val="22"/>
          <w:szCs w:val="22"/>
        </w:rPr>
        <w:t xml:space="preserve">The key finding of this research is that the gold standard is not any single scenario but rather the comprehensiveness of the framework: a well-maintained library of historical replays, forward-looking hypotheticals, reverse stress tests, single-factor sensitivities, and liquidity overlays, all run against current positions with full P&amp;L attribution and rapid ad-hoc scenario generation capability.</w:t>
      </w:r>
    </w:p>
    <w:p>
      <w:r>
        <w:br w:type="page"/>
      </w:r>
    </w:p>
    <w:p>
      <w:pPr>
        <w:pStyle w:val="Heading1"/>
      </w:pPr>
      <w:r>
        <w:t xml:space="preserve">Regulatory &amp; Supervisory Stress Testing Frameworks</w:t>
      </w:r>
    </w:p>
    <w:p>
      <w:pPr>
        <w:spacing w:after="160"/>
      </w:pPr>
      <w:r>
        <w:rPr>
          <w:rFonts w:ascii="Arial" w:cs="Arial" w:eastAsia="Arial" w:hAnsi="Arial"/>
          <w:sz w:val="22"/>
          <w:szCs w:val="22"/>
        </w:rPr>
        <w:t xml:space="preserve">Regulatory stress tests form the foundation upon which all other stress testing activities are built. These are the minimum requirements that all systemically important banks must satisfy, and their parameters inform the calibration of internal scenarios.</w:t>
      </w:r>
    </w:p>
    <w:p>
      <w:pPr>
        <w:pStyle w:val="Heading2"/>
      </w:pPr>
      <w:r>
        <w:t xml:space="preserve">Federal Reserve: DFAST / CCAR (United States)</w:t>
      </w:r>
    </w:p>
    <w:p>
      <w:pPr>
        <w:spacing w:after="160"/>
      </w:pPr>
      <w:r>
        <w:rPr>
          <w:rFonts w:ascii="Arial" w:cs="Arial" w:eastAsia="Arial" w:hAnsi="Arial"/>
          <w:sz w:val="22"/>
          <w:szCs w:val="22"/>
        </w:rPr>
        <w:t xml:space="preserve">The Federal Reserve’s Dodd-Frank Act Stress Tests (DFAST) and Comprehensive Capital Analysis and Review (CCAR) represent the most influential supervisory stress testing regime globally. In 2025, 22 banks were subjected to the annual assessment, including all eight U.S. G-SIBs: JPMorgan Chase, Bank of America, Citigroup, Goldman Sachs, Morgan Stanley, Wells Fargo, BNY, and State Street.</w:t>
      </w:r>
    </w:p>
    <w:p>
      <w:pPr>
        <w:pStyle w:val="Heading3"/>
      </w:pPr>
      <w:r>
        <w:t xml:space="preserve">2025 Severely Adverse Scenario: Macroeconomic Parameters</w:t>
      </w:r>
    </w:p>
    <w:p>
      <w:pPr>
        <w:spacing w:after="160"/>
      </w:pPr>
      <w:r>
        <w:rPr>
          <w:rFonts w:ascii="Arial" w:cs="Arial" w:eastAsia="Arial" w:hAnsi="Arial"/>
          <w:sz w:val="22"/>
          <w:szCs w:val="22"/>
        </w:rPr>
        <w:t xml:space="preserve">The 2025 severely adverse scenario is characterized by a severe global recession with prolonged declines in residential and commercial real estate prices that spill into the corporate sector. The key parameters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Parameter</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2025 Severely Adverse Value</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U.S. Unemployment Rate (Peak)</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10.0% (Q3 2026), +5.9pp from starting 4.1%</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Real GDP Decline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-7.8% from Q4 2024 trough in Q1 2026</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House Price Decline</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Approximately -33%</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Commercial Real Estate Decline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Approximately -30%</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CPI Inflation</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Falls from 2.7% to 1.3% trough, rises to ~1.6%</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Short-Term Treasury Rates</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Fall from 4.4% to 0.1% by Q2 2025</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10-Year Treasury Yield</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Falls 3.3pp to 1.0%, gradual rise to 1.7%</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Equity Markets</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Significant decline with heightened volatility; corporate bond spreads widen sharply</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International</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Recessions in 4 country blocs; USD appreciates vs. all except JPY; Japan/developing Asia experience deflation</w:t>
            </w:r>
          </w:p>
        </w:tc>
      </w:tr>
    </w:tbl>
    <w:p>
      <w:pPr>
        <w:spacing w:after="200"/>
      </w:pPr>
    </w:p>
    <w:p>
      <w:pPr>
        <w:pStyle w:val="Heading3"/>
      </w:pPr>
      <w:r>
        <w:t xml:space="preserve">2025 Global Market Shock (GMS) Component</w:t>
      </w:r>
    </w:p>
    <w:p>
      <w:pPr>
        <w:spacing w:after="160"/>
      </w:pPr>
      <w:r>
        <w:rPr>
          <w:rFonts w:ascii="Arial" w:cs="Arial" w:eastAsia="Arial" w:hAnsi="Arial"/>
          <w:sz w:val="22"/>
          <w:szCs w:val="22"/>
        </w:rPr>
        <w:t xml:space="preserve">Banks with significant trading activity must incorporate the Global Market Shock, an instantaneous set of hypothetical shocks to a comprehensive set of risk factors. The 2025 GMS is characterized by expectations for a severe slowdown leading to increased unemployment and lower inflationary pressures. Key characteristics include: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Equity markets:</w:t>
      </w:r>
      <w:r>
        <w:rPr>
          <w:rFonts w:ascii="Arial" w:cs="Arial" w:eastAsia="Arial" w:hAnsi="Arial"/>
          <w:sz w:val="22"/>
          <w:szCs w:val="22"/>
        </w:rPr>
        <w:t xml:space="preserve"> Price declines across global equity indices; public equity volatility rises sharply from heightened uncertainty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Interest rates:</w:t>
      </w:r>
      <w:r>
        <w:rPr>
          <w:rFonts w:ascii="Arial" w:cs="Arial" w:eastAsia="Arial" w:hAnsi="Arial"/>
          <w:sz w:val="22"/>
          <w:szCs w:val="22"/>
        </w:rPr>
        <w:t xml:space="preserve"> Treasury yields fall, particularly at shorter tenors as inflation expectations decline; breakeven rates decrease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Foreign exchange:</w:t>
      </w:r>
      <w:r>
        <w:rPr>
          <w:rFonts w:ascii="Arial" w:cs="Arial" w:eastAsia="Arial" w:hAnsi="Arial"/>
          <w:sz w:val="22"/>
          <w:szCs w:val="22"/>
        </w:rPr>
        <w:t xml:space="preserve"> USD appreciates against most major currencies reflecting flight-to-safety; JPY strengthens as yen carry trade unwinds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Commodities:</w:t>
      </w:r>
      <w:r>
        <w:rPr>
          <w:rFonts w:ascii="Arial" w:cs="Arial" w:eastAsia="Arial" w:hAnsi="Arial"/>
          <w:sz w:val="22"/>
          <w:szCs w:val="22"/>
        </w:rPr>
        <w:t xml:space="preserve"> Gold, oil, and natural gas face price declines from receding inflationary pressures and lower demand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Credit spreads:</w:t>
      </w:r>
      <w:r>
        <w:rPr>
          <w:rFonts w:ascii="Arial" w:cs="Arial" w:eastAsia="Arial" w:hAnsi="Arial"/>
          <w:sz w:val="22"/>
          <w:szCs w:val="22"/>
        </w:rPr>
        <w:t xml:space="preserve"> Significant widening driven by increased anticipated defaults across corporate bonds, CDS, loans, RMBS, CMBS, sovereign debt, and municipal bonds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Volatility surfaces:</w:t>
      </w:r>
      <w:r>
        <w:rPr>
          <w:rFonts w:ascii="Arial" w:cs="Arial" w:eastAsia="Arial" w:hAnsi="Arial"/>
          <w:sz w:val="22"/>
          <w:szCs w:val="22"/>
        </w:rPr>
        <w:t xml:space="preserve"> Implied volatility shocks across equity and rates options</w:t>
      </w:r>
    </w:p>
    <w:p>
      <w:pPr>
        <w:spacing w:after="160"/>
      </w:pPr>
      <w:r>
        <w:rPr>
          <w:rFonts w:ascii="Arial" w:cs="Arial" w:eastAsia="Arial" w:hAnsi="Arial"/>
          <w:sz w:val="22"/>
          <w:szCs w:val="22"/>
        </w:rPr>
        <w:t xml:space="preserve">The GMS shocks are applied to positions held as of a specific as-of date (October 11, 2024 for the 2025 cycle) and losses are recognized in the first quarter of the scenario and carried through all subsequent quarters. This differs materially from the 2024 GMS, which featured rising rates, increasing inflation breakevens, and a weakening USD.</w:t>
      </w:r>
    </w:p>
    <w:p>
      <w:pPr>
        <w:pStyle w:val="Heading3"/>
      </w:pPr>
      <w:r>
        <w:t xml:space="preserve">Counterparty Default Scenario Component</w:t>
      </w:r>
    </w:p>
    <w:p>
      <w:pPr>
        <w:spacing w:after="160"/>
      </w:pPr>
      <w:r>
        <w:rPr>
          <w:rFonts w:ascii="Arial" w:cs="Arial" w:eastAsia="Arial" w:hAnsi="Arial"/>
          <w:sz w:val="22"/>
          <w:szCs w:val="22"/>
        </w:rPr>
        <w:t xml:space="preserve">Banks with substantial trading or custodial operations must estimate potential losses from the unexpected default of the firm’s single largest counterparty. The largest counterparty is determined by net stressed losses, estimated by applying the GMS to revalue securities financing transactions and derivatives, including collateral posted or received. This component specifically targets concentration risk in prime brokerage and derivatives counterparty exposures.</w:t>
      </w:r>
    </w:p>
    <w:p>
      <w:pPr>
        <w:pStyle w:val="Heading3"/>
      </w:pPr>
      <w:r>
        <w:t xml:space="preserve">2025 Exploratory Analysis: NBFI Stress &amp; Hedge Fund Failures</w:t>
      </w:r>
    </w:p>
    <w:p>
      <w:pPr>
        <w:spacing w:after="160"/>
      </w:pPr>
      <w:r>
        <w:rPr>
          <w:rFonts w:ascii="Arial" w:cs="Arial" w:eastAsia="Arial" w:hAnsi="Arial"/>
          <w:sz w:val="22"/>
          <w:szCs w:val="22"/>
        </w:rPr>
        <w:t xml:space="preserve">In a significant evolution of the supervisory framework, the 2025 stress test includes two exploratory analysis elements designed to test systemic resilience beyond firm-specific results: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NBFI Credit &amp; Liquidity Stress:</w:t>
      </w:r>
      <w:r>
        <w:rPr>
          <w:rFonts w:ascii="Arial" w:cs="Arial" w:eastAsia="Arial" w:hAnsi="Arial"/>
          <w:sz w:val="22"/>
          <w:szCs w:val="22"/>
        </w:rPr>
        <w:t xml:space="preserve"> Examines bank resilience to credit and liquidity shocks originating in the non-bank financial institution sector during a severe global recession. This directly addresses regulatory concerns about shadow banking interconnectedness post-Archegos and the 2022 UK LDI crisis.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Five Large Hedge Fund Failures:</w:t>
      </w:r>
      <w:r>
        <w:rPr>
          <w:rFonts w:ascii="Arial" w:cs="Arial" w:eastAsia="Arial" w:hAnsi="Arial"/>
          <w:sz w:val="22"/>
          <w:szCs w:val="22"/>
        </w:rPr>
        <w:t xml:space="preserve"> Hypothesizes the simultaneous failure of five large hedge funds under conditions of reduced global economic activity and higher inflation. This scenario is applied as a market shock to the largest and most complex banks only.</w:t>
      </w:r>
    </w:p>
    <w:p>
      <w:pPr>
        <w:spacing w:after="160"/>
      </w:pPr>
      <w:r>
        <w:rPr>
          <w:rFonts w:ascii="Arial" w:cs="Arial" w:eastAsia="Arial" w:hAnsi="Arial"/>
          <w:sz w:val="22"/>
          <w:szCs w:val="22"/>
        </w:rPr>
        <w:t xml:space="preserve">The exploratory analysis is distinct from the core stress test and explores system-wide risks rather than firm-specific results. Critically, results do not affect bank capital requirements, but they signal the direction of future supervisory expectations.</w:t>
      </w:r>
    </w:p>
    <w:p>
      <w:pPr>
        <w:pStyle w:val="Heading3"/>
      </w:pPr>
      <w:r>
        <w:t xml:space="preserve">2025 DFAST Results: Key Outcomes</w:t>
      </w:r>
    </w:p>
    <w:p>
      <w:pPr>
        <w:spacing w:after="160"/>
      </w:pPr>
      <w:r>
        <w:rPr>
          <w:rFonts w:ascii="Arial" w:cs="Arial" w:eastAsia="Arial" w:hAnsi="Arial"/>
          <w:sz w:val="22"/>
          <w:szCs w:val="22"/>
        </w:rPr>
        <w:t xml:space="preserve">The June 2025 results confirmed that all 22 tested banks maintained CET1 capital ratios above the 4.5% minimum. Aggregate projected losses across tested banks were substantial, with loan losses comprising the majority. Key observations include the following: projected credit card loss rates ranged from 10.1% to 40.6% across banks; CRE loss rates reached as high as 15.9% for certain institutions; and trading and counterparty losses at the 10 banks with significant trading activity contributed meaningfully to total projected losses. Charles Schwab maintained the highest capital ratio under stress at 25.2%, while BMO came closest to the minimum at 5.0%.</w:t>
      </w:r>
    </w:p>
    <w:p>
      <w:pPr>
        <w:pStyle w:val="Heading2"/>
      </w:pPr>
      <w:r>
        <w:t xml:space="preserve">Bank of England: 2025 Bank Capital Stress Test</w:t>
      </w:r>
    </w:p>
    <w:p>
      <w:pPr>
        <w:spacing w:after="160"/>
      </w:pPr>
      <w:r>
        <w:rPr>
          <w:rFonts w:ascii="Arial" w:cs="Arial" w:eastAsia="Arial" w:hAnsi="Arial"/>
          <w:sz w:val="22"/>
          <w:szCs w:val="22"/>
        </w:rPr>
        <w:t xml:space="preserve">The Bank of England initiated its 2025 Bank Capital Stress Test for the seven largest UK banks and building societies (Barclays, HSBC, Lloyds, Nationwide, NatWest, Santander UK, Standard Chartered), representing approximately 75% of UK lending. This new biennial exercise replaces the previous Annual Cyclical Scenario and is the first conducted since the end of IFRS 9 transitional arrangements.</w:t>
      </w:r>
    </w:p>
    <w:p>
      <w:pPr>
        <w:spacing w:after="160"/>
      </w:pPr>
      <w:r>
        <w:rPr>
          <w:rFonts w:ascii="Arial" w:cs="Arial" w:eastAsia="Arial" w:hAnsi="Arial"/>
          <w:sz w:val="22"/>
          <w:szCs w:val="22"/>
        </w:rPr>
        <w:t xml:space="preserve">The BoE scenario features a severe global supply shock with materially different characteristics from the Fed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Parameter</w:t>
            </w:r>
          </w:p>
        </w:tc>
        <w:tc>
          <w:tcPr>
            <w:tcW w:type="dxa" w:w="5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BoE 2025 Value</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UK GDP Decline</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-5%</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World GDP Decline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-2%</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UK Unemployment</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Near doubling to 8.5%</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World Trade</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-20%</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Oil &amp; Gas Prices</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Sharp increases</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UK CPI Inflation (Peak)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10%</w:t>
            </w:r>
          </w:p>
        </w:tc>
      </w:tr>
      <w:tr>
        <w:tc>
          <w:tcPr>
            <w:tcW w:type="dxa" w:w="3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UK Residential Property</w:t>
            </w:r>
          </w:p>
        </w:tc>
        <w:tc>
          <w:tcPr>
            <w:tcW w:type="dxa" w:w="5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-28%</w:t>
            </w:r>
          </w:p>
        </w:tc>
      </w:tr>
      <w:tr>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Bank Rate (Peak)</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8%</w:t>
            </w:r>
          </w:p>
        </w:tc>
      </w:tr>
    </w:tbl>
    <w:p>
      <w:pPr>
        <w:spacing w:after="200"/>
      </w:pPr>
    </w:p>
    <w:p>
      <w:pPr>
        <w:spacing w:after="160"/>
      </w:pPr>
      <w:r>
        <w:rPr>
          <w:rFonts w:ascii="Arial" w:cs="Arial" w:eastAsia="Arial" w:hAnsi="Arial"/>
          <w:sz w:val="22"/>
          <w:szCs w:val="22"/>
        </w:rPr>
        <w:t xml:space="preserve">Notably, the BoE scenario features a stagflationary dynamic (high inflation + recession + high rates) in contrast to the Fed’s deflationary recession scenario. This reflects different tail risk concerns: the BoE prioritizes supply-shock vulnerabilities given the UK’s energy import dependence and post-Brexit trade dynamics, while the Fed scenario focuses on a demand-collapse recession with flight-to-safety dynamics.</w:t>
      </w:r>
    </w:p>
    <w:p>
      <w:pPr>
        <w:pStyle w:val="Heading2"/>
      </w:pPr>
      <w:r>
        <w:t xml:space="preserve">European Central Bank / European Banking Authority</w:t>
      </w:r>
    </w:p>
    <w:p>
      <w:pPr>
        <w:spacing w:after="160"/>
      </w:pPr>
      <w:r>
        <w:rPr>
          <w:rFonts w:ascii="Arial" w:cs="Arial" w:eastAsia="Arial" w:hAnsi="Arial"/>
          <w:sz w:val="22"/>
          <w:szCs w:val="22"/>
        </w:rPr>
        <w:t xml:space="preserve">The ECB conducts biennial EU-wide stress tests using the Bank Euro Area Stress Test (BEAST) model, which covers approximately 70% of euro area banking assets. The BEAST model is a semi-structural macro-micro framework that incorporates individual euro area economies and banks with two-way interactions between the banking system and the real economy. Key features include credit risk modeling, net interest income projections, net fee and commission income, market risk, and bank behavioral reactions with amplification feedback mechanisms.</w:t>
      </w:r>
    </w:p>
    <w:p>
      <w:pPr>
        <w:spacing w:after="160"/>
      </w:pPr>
      <w:r>
        <w:rPr>
          <w:rFonts w:ascii="Arial" w:cs="Arial" w:eastAsia="Arial" w:hAnsi="Arial"/>
          <w:sz w:val="22"/>
          <w:szCs w:val="22"/>
        </w:rPr>
        <w:t xml:space="preserve">The ECB’s May 2025 Financial Stability Review highlighted that following the April 2025 U.S. tariff announcement (“Liberation Day”), the S&amp;P 500 gained 9.5% on April 9 (its highest daily gain since 2008), and euro area equities also experienced unusually strong gains after the 90-day pause. However, the ECB warned that credit spreads appear out of sync with very high geopolitical and policy uncertainty, suggesting investors may be underpricing adverse tail scenarios.</w:t>
      </w:r>
    </w:p>
    <w:p>
      <w:pPr>
        <w:pStyle w:val="Heading2"/>
      </w:pPr>
      <w:r>
        <w:t xml:space="preserve">Basel Committee on Banking Supervision (BIS)</w:t>
      </w:r>
    </w:p>
    <w:p>
      <w:pPr>
        <w:spacing w:after="160"/>
      </w:pPr>
      <w:r>
        <w:rPr>
          <w:rFonts w:ascii="Arial" w:cs="Arial" w:eastAsia="Arial" w:hAnsi="Arial"/>
          <w:sz w:val="22"/>
          <w:szCs w:val="22"/>
        </w:rPr>
        <w:t xml:space="preserve">The Basel Committee’s 2018 Stress Testing Principles provide the global standard for stress testing governance and methodology. Key principles mandate that stress testing frameworks should be designed with clear, documented objectives approved by the board; should employ a range of methodologies from sensitivity analysis to enterprise-wide scenario analysis and reverse stress testing; should incorporate expert judgment alongside quantitative models; and should be subject to independent validation, backtesting, and regular updating. The BIS framework emphasizes that both historically-based and hypothetical scenarios are necessary, noting that historical scenarios alone proved inadequate during the 2008 crisis because they could not capture risks in new products and underestimated the severity and duration of stress.</w:t>
      </w:r>
    </w:p>
    <w:p>
      <w:r>
        <w:br w:type="page"/>
      </w:r>
    </w:p>
    <w:p>
      <w:pPr>
        <w:pStyle w:val="Heading1"/>
      </w:pPr>
      <w:r>
        <w:t xml:space="preserve">Internal CIB Stress Testing Frameworks</w:t>
      </w:r>
    </w:p>
    <w:p>
      <w:pPr>
        <w:spacing w:after="160"/>
      </w:pPr>
      <w:r>
        <w:rPr>
          <w:rFonts w:ascii="Arial" w:cs="Arial" w:eastAsia="Arial" w:hAnsi="Arial"/>
          <w:sz w:val="22"/>
          <w:szCs w:val="22"/>
        </w:rPr>
        <w:t xml:space="preserve">Beyond the regulatory floor, every major CIB maintains proprietary stress testing frameworks that go substantially deeper. These internal frameworks are what differentiate risk management quality between institutions and represent the true “gold standard” in practice.</w:t>
      </w:r>
    </w:p>
    <w:p>
      <w:pPr>
        <w:pStyle w:val="Heading2"/>
      </w:pPr>
      <w:r>
        <w:t xml:space="preserve">Framework Architecture</w:t>
      </w:r>
    </w:p>
    <w:p>
      <w:pPr>
        <w:spacing w:after="160"/>
      </w:pPr>
      <w:r>
        <w:rPr>
          <w:rFonts w:ascii="Arial" w:cs="Arial" w:eastAsia="Arial" w:hAnsi="Arial"/>
          <w:sz w:val="22"/>
          <w:szCs w:val="22"/>
        </w:rPr>
        <w:t xml:space="preserve">The gold standard internal framework at a top-tier CIB consists of five interconnected components, maintained as a continuously updated “scenario library”: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Historical Replay Library:</w:t>
      </w:r>
      <w:r>
        <w:rPr>
          <w:rFonts w:ascii="Arial" w:cs="Arial" w:eastAsia="Arial" w:hAnsi="Arial"/>
          <w:sz w:val="22"/>
          <w:szCs w:val="22"/>
        </w:rPr>
        <w:t xml:space="preserve"> A curated set of 15–25 canonical market events replayed against current positions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Forward-Looking Hypothetical Scenarios:</w:t>
      </w:r>
      <w:r>
        <w:rPr>
          <w:rFonts w:ascii="Arial" w:cs="Arial" w:eastAsia="Arial" w:hAnsi="Arial"/>
          <w:sz w:val="22"/>
          <w:szCs w:val="22"/>
        </w:rPr>
        <w:t xml:space="preserve"> 5–15 bespoke scenarios reflecting emerging tail risks, refreshed quarterly or on an ad-hoc basis in response to evolving market conditions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Reverse Stress Tests:</w:t>
      </w:r>
      <w:r>
        <w:rPr>
          <w:rFonts w:ascii="Arial" w:cs="Arial" w:eastAsia="Arial" w:hAnsi="Arial"/>
          <w:sz w:val="22"/>
          <w:szCs w:val="22"/>
        </w:rPr>
        <w:t xml:space="preserve"> Working backward from a defined loss threshold (e.g., breach of capital buffer, margin call cascade) to identify which plausible scenarios could produce that outcome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Single-Factor Sensitivity Analysis:</w:t>
      </w:r>
      <w:r>
        <w:rPr>
          <w:rFonts w:ascii="Arial" w:cs="Arial" w:eastAsia="Arial" w:hAnsi="Arial"/>
          <w:sz w:val="22"/>
          <w:szCs w:val="22"/>
        </w:rPr>
        <w:t xml:space="preserve"> Parametric shocks to individual risk factors (rates, spreads, FX, equity, vol) run daily or weekly across all trading desks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Liquidity Overlay:</w:t>
      </w:r>
      <w:r>
        <w:rPr>
          <w:rFonts w:ascii="Arial" w:cs="Arial" w:eastAsia="Arial" w:hAnsi="Arial"/>
          <w:sz w:val="22"/>
          <w:szCs w:val="22"/>
        </w:rPr>
        <w:t xml:space="preserve"> Adjustments for bid-ask widening, liquidation horizon extension, funding stress, and correlation breakdown under stressed conditions</w:t>
      </w:r>
    </w:p>
    <w:p>
      <w:pPr>
        <w:spacing w:after="160"/>
      </w:pPr>
      <w:r>
        <w:rPr>
          <w:rFonts w:ascii="Arial" w:cs="Arial" w:eastAsia="Arial" w:hAnsi="Arial"/>
          <w:sz w:val="22"/>
          <w:szCs w:val="22"/>
        </w:rPr>
        <w:t xml:space="preserve">Goldman Sachs, for example, incorporates internally designed stress scenarios including their own internally developed severely adverse scenario into capital planning, with capital adequacy assessed in tandem with liquidity adequacy and integrated into their overall risk management structure, governance, and policy framework. They have developed capabilities to dynamically update assumptions within their models to reflect actual stress conditions as they occur and periodically test these capabilities under their assurance program.</w:t>
      </w:r>
    </w:p>
    <w:p>
      <w:pPr>
        <w:pStyle w:val="Heading2"/>
      </w:pPr>
      <w:r>
        <w:t xml:space="preserve">Canonical Historical Replay Scenarios</w:t>
      </w:r>
    </w:p>
    <w:p>
      <w:pPr>
        <w:spacing w:after="160"/>
      </w:pPr>
      <w:r>
        <w:rPr>
          <w:rFonts w:ascii="Arial" w:cs="Arial" w:eastAsia="Arial" w:hAnsi="Arial"/>
          <w:sz w:val="22"/>
          <w:szCs w:val="22"/>
        </w:rPr>
        <w:t xml:space="preserve">Every top CIB and fund maintains a standardized library of historical events that are replayed against current portfolio positions. Unlike simple backtesting, modern historical replay uses current portfolio exposures and sensitivities rather than realized portfolio returns from the historical period. The following table details the canonical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Scenario</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Period</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Key Shocks &amp; Characteristics</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Black Monday</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Oct 1987</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S&amp;P 500 -22.6% in a single day; DJIA -508 points; NASDAQ -11.3%; massive volatility spike; portfolio insurance cascade selling; liquidity evaporation across equity and futures markets; market-making systems overwhelmed; led to introduction of circuit breakers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ERM Crisis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Sep 1992</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British pound forced out of European Exchange Rate Mechanism; GBP/DEM devaluation; sovereign FX stress propagating across European currencies; rapid interest rate adjustments; Soros reportedly profited $1B+ shorting sterling</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Bond Market Massacre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1994</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Rapid and unexpected rise in interest rates across the yield curve; duration losses across global fixed income portfolios; emerging market contagion; losses at major dealers and funds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Asian Financial Crisis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Jul–Dec 1997</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Thai baht collapse triggering contagion across Southeast Asian currencies (IDR, MYR, KRW, PHP); equity market crashes in Asia; flight to quality into U.S. Treasuries; commodity price declines; IMF interventions</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Russian Default / LTCM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Aug–Sep 1998</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Russian sovereign debt default; flight to liquidity across global fixed income; on-the-run vs. off-the-run Treasury spread explosion; credit spread blow-out; LTCM near-collapse at 25:1+ leverage; convergence trades fail; EM contagion; Fed-facilitated $3.6B bailout by 14 banks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Dot-Com Bust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2000–2002</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NASDAQ decline of ~78% peak-to-trough; technology sector equity collapse; credit quality deterioration in TMT sectors; slow-burn multi-year drawdown; corporate defaults (Enron, WorldCom)</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September 11, 2001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Sep 2001</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Instantaneous equity shock; NYSE closed for 4 trading days; S&amp;P 500 -11.6% on reopening week; flight to quality; operational disruption to financial infrastructure in lower Manhattan; insurance/reinsurance losses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GFC / Lehman Default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2007–2009</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S&amp;P 500 -55% peak-to-trough; VIX &gt;80; credit spreads 3–5x wider; CDS and structured credit market collapse; ABS/MBS/CDO writedowns; counterparty failures (Lehman, Bear Stearns, AIG); wholesale funding freeze; money market fund “breaking the buck”; TED spread spike; systemic deleveraging</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European Sovereign Crisis</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2010–2012</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Greek, Irish, Portuguese, Spanish, Italian sovereign spread blow-out; bank-sovereign doom loop; EUR depreciation; LTRO interventions; existential risk to Euro project; contagion across European banking sector</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Taper Tantrum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May–Sep 2013</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Sharp rates shock following Bernanke’s tapering signal; 10Y UST yield +130bp in ~4 months; emerging market FX and bond selloff; duration losses across fixed income portfolios; Treasury market liquidity deterioration</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China Deval / EM Stress</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Aug 2015–Feb 2016</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PBoC CNY devaluation triggering global risk-off; commodity price crash; emerging market currency and equity stress; global equity correction; VIX spike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COVID-19 Crash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Feb–Mar 2020</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S&amp;P 500 -34% in 23 trading days; Treasury market dislocation and illiquidity; credit spread explosion; oil futures turn negative (WTI -$37.63/bbl); VIX &gt;82; forced deleveraging; liquidity evaporation across all asset classes; unprecedented fiscal/monetary response; V-shaped recovery</w:t>
            </w:r>
          </w:p>
        </w:tc>
      </w:tr>
      <w:tr>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2022 Rate Shock / UK LDI Crisis</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2022</w:t>
            </w:r>
          </w:p>
        </w:tc>
        <w:tc>
          <w:tcPr>
            <w:tcW w:type="dxa" w:w="65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Aggressive rate hiking cycle; duration losses; UK gilt crisis forcing LDI fund fire sales; rapid yield curve steepening; SVB-style unrealized losses in HTM portfolios; crypto contagion (FTX collapse)</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Liberation Day Tariff Shock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Apr 2025</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U.S. tariff announcement triggering broad global equity selloff; S&amp;P 500 dropped sharply before 9.5% single-day rebound; trade policy uncertainty spike; FX volatility; sector rotation (auto, tech, industrials most exposed); 90-day pause creating whipsaw dynamics</w:t>
            </w:r>
          </w:p>
        </w:tc>
      </w:tr>
    </w:tbl>
    <w:p>
      <w:pPr>
        <w:spacing w:after="200"/>
      </w:pPr>
    </w:p>
    <w:p>
      <w:pPr>
        <w:pStyle w:val="Heading2"/>
      </w:pPr>
      <w:r>
        <w:t xml:space="preserve">Forward-Looking Hypothetical Scenarios</w:t>
      </w:r>
    </w:p>
    <w:p>
      <w:pPr>
        <w:spacing w:after="160"/>
      </w:pPr>
      <w:r>
        <w:rPr>
          <w:rFonts w:ascii="Arial" w:cs="Arial" w:eastAsia="Arial" w:hAnsi="Arial"/>
          <w:sz w:val="22"/>
          <w:szCs w:val="22"/>
        </w:rPr>
        <w:t xml:space="preserve">This is where institutional differentiation occurs. The highest-quality risk functions continuously develop and maintain hypothetical scenarios calibrated to emerging tail risks. These are refreshed quarterly at minimum and generated ad-hoc in response to developing situations. The following scenarios represent the current gold standard across major CIBs:</w:t>
      </w:r>
    </w:p>
    <w:p>
      <w:pPr>
        <w:pStyle w:val="Heading3"/>
      </w:pPr>
      <w:r>
        <w:t xml:space="preserve">Stagflation Scenario</w:t>
      </w:r>
    </w:p>
    <w:p>
      <w:pPr>
        <w:spacing w:after="160"/>
      </w:pPr>
      <w:r>
        <w:rPr>
          <w:rFonts w:ascii="Arial" w:cs="Arial" w:eastAsia="Arial" w:hAnsi="Arial"/>
          <w:sz w:val="22"/>
          <w:szCs w:val="22"/>
        </w:rPr>
        <w:t xml:space="preserve">Interest rates rise aggressively while economic growth stalls; credit deterioration accelerates as corporates face margin compression; equity markets decline 25–40%; commodity prices spike (particularly energy); flight from duration; curve steepening; EM currencies depreciate as USD strengthens. Calibrated against 1970s stagflation analogs adjusted for current leverage and interconnectedness levels.</w:t>
      </w:r>
    </w:p>
    <w:p>
      <w:pPr>
        <w:pStyle w:val="Heading3"/>
      </w:pPr>
      <w:r>
        <w:t xml:space="preserve">Deflationary Bust / Demand Collapse</w:t>
      </w:r>
    </w:p>
    <w:p>
      <w:pPr>
        <w:spacing w:after="160"/>
      </w:pPr>
      <w:r>
        <w:rPr>
          <w:rFonts w:ascii="Arial" w:cs="Arial" w:eastAsia="Arial" w:hAnsi="Arial"/>
          <w:sz w:val="22"/>
          <w:szCs w:val="22"/>
        </w:rPr>
        <w:t xml:space="preserve">Policy rates fall to zero or negative territory; equity markets collapse 40–55%; credit spreads widen dramatically; flight to quality into sovereigns and gold; JPY and CHF appreciate significantly; commodity demand collapses; corporate default rates spike to 8–12%; bank NII compression. This is closest to the Fed’s severely adverse scenario architecture.</w:t>
      </w:r>
    </w:p>
    <w:p>
      <w:pPr>
        <w:pStyle w:val="Heading3"/>
      </w:pPr>
      <w:r>
        <w:t xml:space="preserve">Geopolitical Escalation</w:t>
      </w:r>
    </w:p>
    <w:p>
      <w:pPr>
        <w:spacing w:after="160"/>
      </w:pPr>
      <w:r>
        <w:rPr>
          <w:rFonts w:ascii="Arial" w:cs="Arial" w:eastAsia="Arial" w:hAnsi="Arial"/>
          <w:sz w:val="22"/>
          <w:szCs w:val="22"/>
        </w:rPr>
        <w:t xml:space="preserve">Major military conflict or severe trade disruption causing oil price spike of +50–100%; global supply chain disruption; EM FX crisis; flight to safety; gold rally of +20–40%; equity selloff of 15–30%; credit spread widening; Treasury yield curve flattening from flight-to-safety flows. Variants include Taiwan Strait escalation, Middle East energy disruption, and NATO-Russia escalation.</w:t>
      </w:r>
    </w:p>
    <w:p>
      <w:pPr>
        <w:pStyle w:val="Heading3"/>
      </w:pPr>
      <w:r>
        <w:t xml:space="preserve">AI / Technology Bubble Correction</w:t>
      </w:r>
    </w:p>
    <w:p>
      <w:pPr>
        <w:spacing w:after="160"/>
      </w:pPr>
      <w:r>
        <w:rPr>
          <w:rFonts w:ascii="Arial" w:cs="Arial" w:eastAsia="Arial" w:hAnsi="Arial"/>
          <w:sz w:val="22"/>
          <w:szCs w:val="22"/>
        </w:rPr>
        <w:t xml:space="preserve">Concentrated drawdown of 30–50% in technology mega-cap equities (“Magnificent 7”); vol spike with VIX reaching 40–60; credit spread widening in tech-adjacent sectors; reduced corporate AI capex spending; secondary effects on semiconductor, cloud, and data center sectors; potential contagion through index concentration effects (S&amp;P 500 is ~30% tech/AI-adjacent). Moderate scenario calibrated to dot-com analogs; severe scenario incorporates cascading margin calls on concentrated positions.</w:t>
      </w:r>
    </w:p>
    <w:p>
      <w:pPr>
        <w:pStyle w:val="Heading3"/>
      </w:pPr>
      <w:r>
        <w:t xml:space="preserve">China Hard Landing</w:t>
      </w:r>
    </w:p>
    <w:p>
      <w:pPr>
        <w:spacing w:after="160"/>
      </w:pPr>
      <w:r>
        <w:rPr>
          <w:rFonts w:ascii="Arial" w:cs="Arial" w:eastAsia="Arial" w:hAnsi="Arial"/>
          <w:sz w:val="22"/>
          <w:szCs w:val="22"/>
        </w:rPr>
        <w:t xml:space="preserve">RMB devaluation of 15–25%; commodity demand collapse (metals, energy); emerging market contagion through trade and FX channels; Treasury flight-to-quality rally; global equity correction; property sector cascading defaults; potential capital controls. Calibrated against historical EM crises with adjustments for China’s systemic importance.</w:t>
      </w:r>
    </w:p>
    <w:p>
      <w:pPr>
        <w:pStyle w:val="Heading3"/>
      </w:pPr>
      <w:r>
        <w:t xml:space="preserve">NBFI / Shadow Banking Contagion</w:t>
      </w:r>
    </w:p>
    <w:p>
      <w:pPr>
        <w:spacing w:after="160"/>
      </w:pPr>
      <w:r>
        <w:rPr>
          <w:rFonts w:ascii="Arial" w:cs="Arial" w:eastAsia="Arial" w:hAnsi="Arial"/>
          <w:sz w:val="22"/>
          <w:szCs w:val="22"/>
        </w:rPr>
        <w:t xml:space="preserve">Hedge fund failures cascading through prime brokerage relationships; margin call spirals; forced deleveraging across correlated strategies; repo market freeze; money market fund stress; ETF redemption pressure creating NAV dislocations. This scenario is now directly validated by the Fed’s 2025 exploratory analysis (five hedge fund failures). Calibrated against LTCM (1998), Archegos (2021), and UK LDI crisis (2022).</w:t>
      </w:r>
    </w:p>
    <w:p>
      <w:pPr>
        <w:pStyle w:val="Heading3"/>
      </w:pPr>
      <w:r>
        <w:t xml:space="preserve">U.S. Sovereign / Fiscal Crisis</w:t>
      </w:r>
    </w:p>
    <w:p>
      <w:pPr>
        <w:spacing w:after="160"/>
      </w:pPr>
      <w:r>
        <w:rPr>
          <w:rFonts w:ascii="Arial" w:cs="Arial" w:eastAsia="Arial" w:hAnsi="Arial"/>
          <w:sz w:val="22"/>
          <w:szCs w:val="22"/>
        </w:rPr>
        <w:t xml:space="preserve">Treasury term premium spike of +150–300bp; yield curve steepening; USD weakness of 10–20% trade-weighted; gold and alternative reserve assets rally; credit spread widening as risk-free rate recalibration propagates; equity market correction; potential ratings downgrade triggering forced selling from mandated portfolios.</w:t>
      </w:r>
    </w:p>
    <w:p>
      <w:pPr>
        <w:pStyle w:val="Heading3"/>
      </w:pPr>
      <w:r>
        <w:t xml:space="preserve">Cyber / Operational Disruption</w:t>
      </w:r>
    </w:p>
    <w:p>
      <w:pPr>
        <w:spacing w:after="160"/>
      </w:pPr>
      <w:r>
        <w:rPr>
          <w:rFonts w:ascii="Arial" w:cs="Arial" w:eastAsia="Arial" w:hAnsi="Arial"/>
          <w:sz w:val="22"/>
          <w:szCs w:val="22"/>
        </w:rPr>
        <w:t xml:space="preserve">Settlement system failure or critical infrastructure compromise overlaid on existing market stress; payment system outage lasting 24–72 hours; funding market freeze; inability to execute hedges or meet margin calls; counterparty uncertainty. This is increasingly mandated by supervisors (BoE, ECB) and represents a rapidly growing focus area.</w:t>
      </w:r>
    </w:p>
    <w:p>
      <w:pPr>
        <w:pStyle w:val="Heading3"/>
      </w:pPr>
      <w:r>
        <w:t xml:space="preserve">Climate Transition Shock</w:t>
      </w:r>
    </w:p>
    <w:p>
      <w:pPr>
        <w:spacing w:after="160"/>
      </w:pPr>
      <w:r>
        <w:rPr>
          <w:rFonts w:ascii="Arial" w:cs="Arial" w:eastAsia="Arial" w:hAnsi="Arial"/>
          <w:sz w:val="22"/>
          <w:szCs w:val="22"/>
        </w:rPr>
        <w:t xml:space="preserve">Sudden policy-driven transition: stranded fossil fuel asset writedowns of 40–60%; carbon price spike; energy sector dislocation; physical risk scenarios including extreme weather impacts on property and insurance; agricultural commodity disruption. Mandated by ECB and BoE, increasingly included in internal frameworks at all major CIBs.</w:t>
      </w:r>
    </w:p>
    <w:p>
      <w:r>
        <w:br w:type="page"/>
      </w:r>
    </w:p>
    <w:p>
      <w:pPr>
        <w:pStyle w:val="Heading1"/>
      </w:pPr>
      <w:r>
        <w:t xml:space="preserve">Standard Parametric Sensitivity Analysis</w:t>
      </w:r>
    </w:p>
    <w:p>
      <w:pPr>
        <w:spacing w:after="160"/>
      </w:pPr>
      <w:r>
        <w:rPr>
          <w:rFonts w:ascii="Arial" w:cs="Arial" w:eastAsia="Arial" w:hAnsi="Arial"/>
          <w:sz w:val="22"/>
          <w:szCs w:val="22"/>
        </w:rPr>
        <w:t xml:space="preserve">Beyond multi-factor scenarios, top CIBs and hedge funds run systematic single-factor and cross-factor sensitivity shocks across all trading desks on a daily or weekly basis. These form the backbone of intraday risk monitoring and limit management. The following table represents the industry-standard parametric shock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Risk Factor</w:t>
            </w:r>
          </w:p>
        </w:tc>
        <w:tc>
          <w:tcPr>
            <w:tcW w:type="dxa" w:w="3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Standard Shock Levels</w:t>
            </w:r>
          </w:p>
        </w:tc>
        <w:tc>
          <w:tcPr>
            <w:tcW w:type="dxa" w:w="3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Application Notes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Equity Indices</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±5%, ±10%, ±20%, ±30%</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Applied to S&amp;P 500, NASDAQ, Euro Stoxx, Nikkei, FTSE, MSCI EM; sector-level decomposition for concentrated exposures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Interest Rates (Parallel)</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±25bp, ±50bp, ±100bp, ±200bp</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Parallel shifts across the full yield curve; applied to UST, Bunds, Gilts, JGBs; swap curves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Interest Rates (Non-Parallel)</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Steepening, flattening, twist</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2s10s: ±50bp, ±100bp; 5s30s: ±75bp; butterfly twists; bull flattener, bear steepener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Credit Spreads (IG)</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+50bp, +100bp, +200bp</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Investment-grade CDX/iTraxx; sector-specific shocks for financials, energy, tech</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Credit Spreads (HY)</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+200bp, +500bp, +1000bp</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HY CDX; CCC-rated widening multiples; distressed/default basis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Foreign Exchange (G10)</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±5%, ±10%, ±15%</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EUR/USD, USD/JPY, GBP/USD, AUD/USD, USD/CHF and crosses; carry trade unwind scenarios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Foreign Exchange (EM)</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±15%, ±25%</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CNY, MXN, BRL, ZAR, TRY, INR; correlated EM FX selloff</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Commodities (Energy)</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Oil: ±20%, ±40%; NatGas: ±30%</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WTI/Brent crude, Henry Hub natural gas; energy supply disruption variants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Commodities (Metals/Agri)</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Gold: ±10%, ±20%; Base metals: ±15%</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Gold as safe haven; copper/aluminum demand shock; agricultural supply stress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Implied Volatility</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VIX spike to 40, 60, 80+</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Equity vol surface shift; rates vol (MOVE index); FX implied vol; vol-of-vol; skew and term structure deformation</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b/>
                <w:bCs/>
                <w:sz w:val="19"/>
                <w:szCs w:val="19"/>
              </w:rPr>
              <w:t xml:space="preserve">Correlation</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Breakdown to 0.8–1.0 in crisis</w:t>
            </w:r>
          </w:p>
        </w:tc>
        <w:tc>
          <w:tcPr>
            <w:tcW w:type="dxa" w:w="36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r>
              <w:rPr>
                <w:rFonts w:ascii="Arial" w:cs="Arial" w:eastAsia="Arial" w:hAnsi="Arial"/>
                <w:sz w:val="19"/>
                <w:szCs w:val="19"/>
              </w:rPr>
              <w:t xml:space="preserve">Cross-asset correlations converging in stress; diversification benefit erosion; all-assets-sell-off scenario</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9"/>
                <w:szCs w:val="19"/>
              </w:rPr>
              <w:t xml:space="preserve">Basis Risk</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Key basis spreads: ±50–200bp</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9"/>
                <w:szCs w:val="19"/>
              </w:rPr>
              <w:t xml:space="preserve">LIBOR-OIS, Treasury-swap spread, on/off-the-run, cross-currency basis, CDS-bond basis</w:t>
            </w:r>
          </w:p>
        </w:tc>
      </w:tr>
    </w:tbl>
    <w:p>
      <w:pPr>
        <w:spacing w:after="200"/>
      </w:pPr>
    </w:p>
    <w:p>
      <w:pPr>
        <w:spacing w:after="160"/>
      </w:pPr>
      <w:r>
        <w:rPr>
          <w:rFonts w:ascii="Arial" w:cs="Arial" w:eastAsia="Arial" w:hAnsi="Arial"/>
          <w:sz w:val="22"/>
          <w:szCs w:val="22"/>
        </w:rPr>
        <w:t xml:space="preserve">Multi-factor correlated shocks are generated by applying covariance-based propagation from primary risk factors to secondary factors. The Federal Reserve’s methodology identifies primary risk factors including the S&amp;P 500, BBB-AAA credit spread, 10-year Treasury yield, Treasury term spread, USD/EUR exchange rate, and commodity factors (energy, metals, gold), then uses copula models to propagate shocks to thousands of secondary risk factors while preserving historical co-dependency structures and tail dependencies.</w:t>
      </w:r>
    </w:p>
    <w:p>
      <w:r>
        <w:br w:type="page"/>
      </w:r>
    </w:p>
    <w:p>
      <w:pPr>
        <w:pStyle w:val="Heading1"/>
      </w:pPr>
      <w:r>
        <w:t xml:space="preserve">Hedge Fund &amp; Buy-Side Stress Testing Practices</w:t>
      </w:r>
    </w:p>
    <w:p>
      <w:pPr>
        <w:spacing w:after="160"/>
      </w:pPr>
      <w:r>
        <w:rPr>
          <w:rFonts w:ascii="Arial" w:cs="Arial" w:eastAsia="Arial" w:hAnsi="Arial"/>
          <w:sz w:val="22"/>
          <w:szCs w:val="22"/>
        </w:rPr>
        <w:t xml:space="preserve">The buy-side stress testing ecosystem complements bank frameworks with approaches tailored to portfolio-level risk management, higher-frequency execution, and strategy-specific vulnerabilities. Top-tier hedge funds (Bridgewater, Citadel, DE Shaw, Two Sigma, Millennium, AQR) and asset managers (BlackRock, PIMCO, Vanguard) employ increasingly sophisticated frameworks.</w:t>
      </w:r>
    </w:p>
    <w:p>
      <w:pPr>
        <w:pStyle w:val="Heading2"/>
      </w:pPr>
      <w:r>
        <w:t xml:space="preserve">Reverse Stress Testing</w:t>
      </w:r>
    </w:p>
    <w:p>
      <w:pPr>
        <w:spacing w:after="160"/>
      </w:pPr>
      <w:r>
        <w:rPr>
          <w:rFonts w:ascii="Arial" w:cs="Arial" w:eastAsia="Arial" w:hAnsi="Arial"/>
          <w:sz w:val="22"/>
          <w:szCs w:val="22"/>
        </w:rPr>
        <w:t xml:space="preserve">Reverse stress testing is widely considered the most valuable advanced technique in the stress testing toolkit. Unlike traditional stress testing which starts with a scenario and measures the outcome, reverse stress testing starts from a defined adverse outcome (such as a portfolio loss threshold, breach of a margin covenant, or violation of a capital buffer) and works backward to identify which plausible market conditions could produce that result.</w:t>
      </w:r>
    </w:p>
    <w:p>
      <w:pPr>
        <w:spacing w:after="160"/>
      </w:pPr>
      <w:r>
        <w:rPr>
          <w:rFonts w:ascii="Arial" w:cs="Arial" w:eastAsia="Arial" w:hAnsi="Arial"/>
          <w:sz w:val="22"/>
          <w:szCs w:val="22"/>
        </w:rPr>
        <w:t xml:space="preserve">This approach was first formally recommended by the Counterparty Risk Management Policy Group III in 2008, and has since been embraced by regulators globally, with the UK’s FCA/PRA being the most enthusiastic early adopters. The BIS Basel Committee’s 2018 principles specifically endorse reverse stress testing as a core component of any comprehensive framework.</w:t>
      </w:r>
    </w:p>
    <w:p>
      <w:pPr>
        <w:spacing w:after="160"/>
      </w:pPr>
      <w:r>
        <w:rPr>
          <w:rFonts w:ascii="Arial" w:cs="Arial" w:eastAsia="Arial" w:hAnsi="Arial"/>
          <w:sz w:val="22"/>
          <w:szCs w:val="22"/>
        </w:rPr>
        <w:t xml:space="preserve">Implementation approaches include the following methods: (1) maximum loss analysis using principal component decomposition to identify the worst-case shock within a plausibility boundary; (2) Gram-Schmidt orthogonalization to generate multiple distinct scenario paths leading to the same loss level; (3) copula-based approaches that separate marginal distributions from co-dependency structures; and (4) multi-factor model decomposition where portfolio returns are decomposed into factor contributions and the shock is driven backward through the factor covariance matrix.</w:t>
      </w:r>
    </w:p>
    <w:p>
      <w:pPr>
        <w:pStyle w:val="Heading2"/>
      </w:pPr>
      <w:r>
        <w:t xml:space="preserve">Liquidity Stress Testing</w:t>
      </w:r>
    </w:p>
    <w:p>
      <w:pPr>
        <w:spacing w:after="160"/>
      </w:pPr>
      <w:r>
        <w:rPr>
          <w:rFonts w:ascii="Arial" w:cs="Arial" w:eastAsia="Arial" w:hAnsi="Arial"/>
          <w:sz w:val="22"/>
          <w:szCs w:val="22"/>
        </w:rPr>
        <w:t xml:space="preserve">Liquidity stress testing is a critical differentiator between competent and exceptional risk management. Best practices include testing the following dimensions under stress conditions: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Bid-ask spread widening:</w:t>
      </w:r>
      <w:r>
        <w:rPr>
          <w:rFonts w:ascii="Arial" w:cs="Arial" w:eastAsia="Arial" w:hAnsi="Arial"/>
          <w:sz w:val="22"/>
          <w:szCs w:val="22"/>
        </w:rPr>
        <w:t xml:space="preserve"> 2x, 5x, and 10x normal market conditions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Liquidation horizon extension:</w:t>
      </w:r>
      <w:r>
        <w:rPr>
          <w:rFonts w:ascii="Arial" w:cs="Arial" w:eastAsia="Arial" w:hAnsi="Arial"/>
          <w:sz w:val="22"/>
          <w:szCs w:val="22"/>
        </w:rPr>
        <w:t xml:space="preserve"> What if it takes 3–5x longer to exit positions than under normal conditions?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Margin call cascades:</w:t>
      </w:r>
      <w:r>
        <w:rPr>
          <w:rFonts w:ascii="Arial" w:cs="Arial" w:eastAsia="Arial" w:hAnsi="Arial"/>
          <w:sz w:val="22"/>
          <w:szCs w:val="22"/>
        </w:rPr>
        <w:t xml:space="preserve"> Sequential margin calls from multiple prime brokers simultaneously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Redemption stress:</w:t>
      </w:r>
      <w:r>
        <w:rPr>
          <w:rFonts w:ascii="Arial" w:cs="Arial" w:eastAsia="Arial" w:hAnsi="Arial"/>
          <w:sz w:val="22"/>
          <w:szCs w:val="22"/>
        </w:rPr>
        <w:t xml:space="preserve"> Investor redemptions coinciding with market stress (the “liquidity spiral”)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Funding/repo market freeze:</w:t>
      </w:r>
      <w:r>
        <w:rPr>
          <w:rFonts w:ascii="Arial" w:cs="Arial" w:eastAsia="Arial" w:hAnsi="Arial"/>
          <w:sz w:val="22"/>
          <w:szCs w:val="22"/>
        </w:rPr>
        <w:t xml:space="preserve"> Inability to roll over short-term financing; haircut increases on collateral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Correlation of market and funding liquidity:</w:t>
      </w:r>
      <w:r>
        <w:rPr>
          <w:rFonts w:ascii="Arial" w:cs="Arial" w:eastAsia="Arial" w:hAnsi="Arial"/>
          <w:sz w:val="22"/>
          <w:szCs w:val="22"/>
        </w:rPr>
        <w:t xml:space="preserve"> Testing the scenario where asset liquidity and funding liquidity deteriorate simultaneously, as they did in 2008 and March 2020</w:t>
      </w:r>
    </w:p>
    <w:p>
      <w:pPr>
        <w:pStyle w:val="Heading2"/>
      </w:pPr>
      <w:r>
        <w:t xml:space="preserve">Strategy-Specific Calibration</w:t>
      </w:r>
    </w:p>
    <w:p>
      <w:pPr>
        <w:spacing w:after="160"/>
      </w:pPr>
      <w:r>
        <w:rPr>
          <w:rFonts w:ascii="Arial" w:cs="Arial" w:eastAsia="Arial" w:hAnsi="Arial"/>
          <w:sz w:val="22"/>
          <w:szCs w:val="22"/>
        </w:rPr>
        <w:t xml:space="preserve">Best practice requires tailoring scenarios to fund strategy. A global macro fund would emphasize currency devaluation, sovereign default, and commodity shocks. A long/short equity fund focuses on sector rotation, factor crowding, and short-squeeze scenarios. A fixed-income relative value fund emphasizes basis trade blow-ups, yield curve dislocations, and carry trade unwinds. A quantitative/systematic fund should stress-test for factor crowding, momentum reversal, and correlation regime changes.</w:t>
      </w:r>
    </w:p>
    <w:p>
      <w:pPr>
        <w:pStyle w:val="Heading2"/>
      </w:pPr>
      <w:r>
        <w:t xml:space="preserve">BlackRock Aladdin Platform</w:t>
      </w:r>
    </w:p>
    <w:p>
      <w:pPr>
        <w:spacing w:after="160"/>
      </w:pPr>
      <w:r>
        <w:rPr>
          <w:rFonts w:ascii="Arial" w:cs="Arial" w:eastAsia="Arial" w:hAnsi="Arial"/>
          <w:sz w:val="22"/>
          <w:szCs w:val="22"/>
        </w:rPr>
        <w:t xml:space="preserve">BlackRock’s Aladdin platform represents the institutional gold standard for asset manager stress testing infrastructure, managing risk analytics for approximately $21 trillion in assets. The Aladdin Wealth platform replays historically stressful periods against current portfolio holdings and exposures rather than using realized returns from the historical period. It also supports hypothetical scenario simulation with flexible multi-variable shock specification across equity markets, credit spreads, interest rates, commodity prices, and foreign exchange rates based on current correlations. Enterprise-wide stress testing across all client accounts enables identification of systemic exposures.</w:t>
      </w:r>
    </w:p>
    <w:p>
      <w:r>
        <w:br w:type="page"/>
      </w:r>
    </w:p>
    <w:p>
      <w:pPr>
        <w:pStyle w:val="Heading1"/>
      </w:pPr>
      <w:r>
        <w:t xml:space="preserve">Emerging Frontiers in Stress Testing (2024–2026)</w:t>
      </w:r>
    </w:p>
    <w:p>
      <w:pPr>
        <w:spacing w:after="160"/>
      </w:pPr>
      <w:r>
        <w:rPr>
          <w:rFonts w:ascii="Arial" w:cs="Arial" w:eastAsia="Arial" w:hAnsi="Arial"/>
          <w:sz w:val="22"/>
          <w:szCs w:val="22"/>
        </w:rPr>
        <w:t xml:space="preserve">The stress testing landscape is evolving rapidly in response to new sources of systemic risk and advances in analytical capability. The following areas represent the cutting edge of current practice:</w:t>
      </w:r>
    </w:p>
    <w:p>
      <w:pPr>
        <w:pStyle w:val="Heading2"/>
      </w:pPr>
      <w:r>
        <w:t xml:space="preserve">Climate &amp; ESG Stress Testing</w:t>
      </w:r>
    </w:p>
    <w:p>
      <w:pPr>
        <w:spacing w:after="160"/>
      </w:pPr>
      <w:r>
        <w:rPr>
          <w:rFonts w:ascii="Arial" w:cs="Arial" w:eastAsia="Arial" w:hAnsi="Arial"/>
          <w:sz w:val="22"/>
          <w:szCs w:val="22"/>
        </w:rPr>
        <w:t xml:space="preserve">Climate stress testing is now mandated by the ECB and Bank of England and is increasingly incorporated into voluntary frameworks at U.S. CIBs. Scenarios include both transition risk (policy-driven stranded assets, carbon price spikes, energy sector dislocation) and physical risk (extreme weather, agricultural disruption, insurance losses). The ECB’s climate stress test specifically models second-round effects through bank-real economy feedback loops.</w:t>
      </w:r>
    </w:p>
    <w:p>
      <w:pPr>
        <w:pStyle w:val="Heading2"/>
      </w:pPr>
      <w:r>
        <w:t xml:space="preserve">NBFI / Shadow Banking Systemic Risk</w:t>
      </w:r>
    </w:p>
    <w:p>
      <w:pPr>
        <w:spacing w:after="160"/>
      </w:pPr>
      <w:r>
        <w:rPr>
          <w:rFonts w:ascii="Arial" w:cs="Arial" w:eastAsia="Arial" w:hAnsi="Arial"/>
          <w:sz w:val="22"/>
          <w:szCs w:val="22"/>
        </w:rPr>
        <w:t xml:space="preserve">The 2025 Fed exploratory analysis (NBFI stress + five hedge fund failures) signals a major supervisory evolution. This reflects lessons from Archegos (2021), the UK LDI crisis (2022), and ongoing concerns about non-bank leverage, margin call cascades, and the interconnectedness of prime brokerage with the broader financial system. Expect this to become a permanent feature of supervisory stress testing by 2027.</w:t>
      </w:r>
    </w:p>
    <w:p>
      <w:pPr>
        <w:pStyle w:val="Heading2"/>
      </w:pPr>
      <w:r>
        <w:t xml:space="preserve">Tariff &amp; Trade Policy Scenarios</w:t>
      </w:r>
    </w:p>
    <w:p>
      <w:pPr>
        <w:spacing w:after="160"/>
      </w:pPr>
      <w:r>
        <w:rPr>
          <w:rFonts w:ascii="Arial" w:cs="Arial" w:eastAsia="Arial" w:hAnsi="Arial"/>
          <w:sz w:val="22"/>
          <w:szCs w:val="22"/>
        </w:rPr>
        <w:t xml:space="preserve">Post-“Liberation Day” (April 2, 2025), trade policy stress scenarios have become a permanent fixture in scenario libraries. The ECB’s Financial Stability Review specifically identified that market pricing remains highly sensitive to further tariff-related shocks across all euro area equity sectors, with automotive, consumer products, IT, industrials, materials, and financial sectors considered most exposed. CIBs now maintain standing scenarios for tariff escalation, trade route disruption, and supply chain fragmentation.</w:t>
      </w:r>
    </w:p>
    <w:p>
      <w:pPr>
        <w:pStyle w:val="Heading2"/>
      </w:pPr>
      <w:r>
        <w:t xml:space="preserve">AI Concentration Risk</w:t>
      </w:r>
    </w:p>
    <w:p>
      <w:pPr>
        <w:spacing w:after="160"/>
      </w:pPr>
      <w:r>
        <w:rPr>
          <w:rFonts w:ascii="Arial" w:cs="Arial" w:eastAsia="Arial" w:hAnsi="Arial"/>
          <w:sz w:val="22"/>
          <w:szCs w:val="22"/>
        </w:rPr>
        <w:t xml:space="preserve">With the S&amp;P 500 approximately 30% concentrated in technology/AI-adjacent mega-caps, “Magnificent 7” drawdown scenarios are now standard at all major CIBs. The 2025 dynamic saw the Mag 7’s 19% year-to-date return masking a 40% spread between top and bottom performers, pointing to increasing dispersion within the AI trade. Scenarios now include AI capex disappointment, regulatory intervention, and semiconductor supply disruption.</w:t>
      </w:r>
    </w:p>
    <w:p>
      <w:pPr>
        <w:pStyle w:val="Heading2"/>
      </w:pPr>
      <w:r>
        <w:t xml:space="preserve">Cyber Resilience &amp; Operational Stress</w:t>
      </w:r>
    </w:p>
    <w:p>
      <w:pPr>
        <w:spacing w:after="160"/>
      </w:pPr>
      <w:r>
        <w:rPr>
          <w:rFonts w:ascii="Arial" w:cs="Arial" w:eastAsia="Arial" w:hAnsi="Arial"/>
          <w:sz w:val="22"/>
          <w:szCs w:val="22"/>
        </w:rPr>
        <w:t xml:space="preserve">Cyber stress testing is being overlaid onto traditional market stress scenarios. The core question is: what happens if a major settlement system, payment network, or exchange fails during an already-stressed market? This compound scenario (market stress + operational disruption) is becoming a standard component at all G-SIBs, driven by both supervisory expectations and real-world near-misses.</w:t>
      </w:r>
    </w:p>
    <w:p>
      <w:pPr>
        <w:pStyle w:val="Heading2"/>
      </w:pPr>
      <w:r>
        <w:t xml:space="preserve">Model Transparency &amp; Volatility Reduction</w:t>
      </w:r>
    </w:p>
    <w:p>
      <w:pPr>
        <w:spacing w:after="160"/>
      </w:pPr>
      <w:r>
        <w:rPr>
          <w:rFonts w:ascii="Arial" w:cs="Arial" w:eastAsia="Arial" w:hAnsi="Arial"/>
          <w:sz w:val="22"/>
          <w:szCs w:val="22"/>
        </w:rPr>
        <w:t xml:space="preserve">The Federal Reserve has signaled that it plans to reduce the volatility of stress test results and improve model transparency. The Bank Policy Institute has documented significant concerns about the Fed’s reliance on aggregated models that assign disproportionate weight to backward-looking bank performance, creating a “momentum” effect that can amplify year-over-year capital requirement swings. Proposed reforms include multiple scenario windows, averaging of results across scenarios, and greater public disclosure of supervisory model methodologies.</w:t>
      </w:r>
    </w:p>
    <w:p>
      <w:r>
        <w:br w:type="page"/>
      </w:r>
    </w:p>
    <w:p>
      <w:pPr>
        <w:pStyle w:val="Heading1"/>
      </w:pPr>
      <w:r>
        <w:t xml:space="preserve">Best Practices Synthesis &amp; Recommendations</w:t>
      </w:r>
    </w:p>
    <w:p>
      <w:pPr>
        <w:spacing w:after="160"/>
      </w:pPr>
      <w:r>
        <w:rPr>
          <w:rFonts w:ascii="Arial" w:cs="Arial" w:eastAsia="Arial" w:hAnsi="Arial"/>
          <w:sz w:val="22"/>
          <w:szCs w:val="22"/>
        </w:rPr>
        <w:t xml:space="preserve">Based on the comprehensive research conducted for this report, the following principles represent the gold standard for stress testing frameworks at the largest financial institutions:</w:t>
      </w:r>
    </w:p>
    <w:p>
      <w:pPr>
        <w:pStyle w:val="Heading2"/>
      </w:pPr>
      <w:r>
        <w:t xml:space="preserve">Governance &amp; Infrastructure</w:t>
      </w:r>
    </w:p>
    <w:p>
      <w:pPr>
        <w:pStyle w:val="ListParagraph"/>
        <w:numPr>
          <w:ilvl w:val="0"/>
          <w:numId w:val="2"/>
        </w:numPr>
        <w:spacing w:after="80"/>
      </w:pPr>
      <w:r>
        <w:rPr>
          <w:rFonts w:ascii="Arial" w:cs="Arial" w:eastAsia="Arial" w:hAnsi="Arial"/>
          <w:sz w:val="22"/>
          <w:szCs w:val="22"/>
        </w:rPr>
        <w:t xml:space="preserve">Stress testing framework objectives, scope, and methodologies must be clearly documented and approved by the board and/or senior management</w:t>
      </w:r>
    </w:p>
    <w:p>
      <w:pPr>
        <w:pStyle w:val="ListParagraph"/>
        <w:numPr>
          <w:ilvl w:val="0"/>
          <w:numId w:val="2"/>
        </w:numPr>
        <w:spacing w:after="80"/>
      </w:pPr>
      <w:r>
        <w:rPr>
          <w:rFonts w:ascii="Arial" w:cs="Arial" w:eastAsia="Arial" w:hAnsi="Arial"/>
          <w:sz w:val="22"/>
          <w:szCs w:val="22"/>
        </w:rPr>
        <w:t xml:space="preserve">Independent model validation, backtesting against past events, and sensitivity analysis (what flips the conclusions?) should be performed regularly</w:t>
      </w:r>
    </w:p>
    <w:p>
      <w:pPr>
        <w:pStyle w:val="ListParagraph"/>
        <w:numPr>
          <w:ilvl w:val="0"/>
          <w:numId w:val="2"/>
        </w:numPr>
        <w:spacing w:after="80"/>
      </w:pPr>
      <w:r>
        <w:rPr>
          <w:rFonts w:ascii="Arial" w:cs="Arial" w:eastAsia="Arial" w:hAnsi="Arial"/>
          <w:sz w:val="22"/>
          <w:szCs w:val="22"/>
        </w:rPr>
        <w:t xml:space="preserve">Scenario generation and approval should involve multiple stakeholders including risk management, trading, senior leadership, and independent review</w:t>
      </w:r>
    </w:p>
    <w:p>
      <w:pPr>
        <w:pStyle w:val="ListParagraph"/>
        <w:numPr>
          <w:ilvl w:val="0"/>
          <w:numId w:val="2"/>
        </w:numPr>
        <w:spacing w:after="80"/>
      </w:pPr>
      <w:r>
        <w:rPr>
          <w:rFonts w:ascii="Arial" w:cs="Arial" w:eastAsia="Arial" w:hAnsi="Arial"/>
          <w:sz w:val="22"/>
          <w:szCs w:val="22"/>
        </w:rPr>
        <w:t xml:space="preserve">Results should be embedded in capital planning, limit setting, hedging mandates, and contingency planning</w:t>
      </w:r>
    </w:p>
    <w:p>
      <w:pPr>
        <w:pStyle w:val="Heading2"/>
      </w:pPr>
      <w:r>
        <w:t xml:space="preserve">Scenario Design</w:t>
      </w:r>
    </w:p>
    <w:p>
      <w:pPr>
        <w:pStyle w:val="ListParagraph"/>
        <w:numPr>
          <w:ilvl w:val="0"/>
          <w:numId w:val="2"/>
        </w:numPr>
        <w:spacing w:after="80"/>
      </w:pPr>
      <w:r>
        <w:rPr>
          <w:rFonts w:ascii="Arial" w:cs="Arial" w:eastAsia="Arial" w:hAnsi="Arial"/>
          <w:sz w:val="22"/>
          <w:szCs w:val="22"/>
        </w:rPr>
        <w:t xml:space="preserve">Maintain a library of 15–25 canonical historical replays refreshed against current positions</w:t>
      </w:r>
    </w:p>
    <w:p>
      <w:pPr>
        <w:pStyle w:val="ListParagraph"/>
        <w:numPr>
          <w:ilvl w:val="0"/>
          <w:numId w:val="2"/>
        </w:numPr>
        <w:spacing w:after="80"/>
      </w:pPr>
      <w:r>
        <w:rPr>
          <w:rFonts w:ascii="Arial" w:cs="Arial" w:eastAsia="Arial" w:hAnsi="Arial"/>
          <w:sz w:val="22"/>
          <w:szCs w:val="22"/>
        </w:rPr>
        <w:t xml:space="preserve">Develop 5–15 forward-looking hypothetical scenarios reflecting current tail risks, refreshed at least quarterly</w:t>
      </w:r>
    </w:p>
    <w:p>
      <w:pPr>
        <w:pStyle w:val="ListParagraph"/>
        <w:numPr>
          <w:ilvl w:val="0"/>
          <w:numId w:val="2"/>
        </w:numPr>
        <w:spacing w:after="80"/>
      </w:pPr>
      <w:r>
        <w:rPr>
          <w:rFonts w:ascii="Arial" w:cs="Arial" w:eastAsia="Arial" w:hAnsi="Arial"/>
          <w:sz w:val="22"/>
          <w:szCs w:val="22"/>
        </w:rPr>
        <w:t xml:space="preserve">Conduct reverse stress tests to identify “break-the-bank” scenarios and ensure they are monitored</w:t>
      </w:r>
    </w:p>
    <w:p>
      <w:pPr>
        <w:pStyle w:val="ListParagraph"/>
        <w:numPr>
          <w:ilvl w:val="0"/>
          <w:numId w:val="2"/>
        </w:numPr>
        <w:spacing w:after="80"/>
      </w:pPr>
      <w:r>
        <w:rPr>
          <w:rFonts w:ascii="Arial" w:cs="Arial" w:eastAsia="Arial" w:hAnsi="Arial"/>
          <w:sz w:val="22"/>
          <w:szCs w:val="22"/>
        </w:rPr>
        <w:t xml:space="preserve">Historical data windows should span 80–100+ years where possible to capture tail events beyond recent memory (lesson of LTCM’s 5-year window)</w:t>
      </w:r>
    </w:p>
    <w:p>
      <w:pPr>
        <w:pStyle w:val="ListParagraph"/>
        <w:numPr>
          <w:ilvl w:val="0"/>
          <w:numId w:val="2"/>
        </w:numPr>
        <w:spacing w:after="80"/>
      </w:pPr>
      <w:r>
        <w:rPr>
          <w:rFonts w:ascii="Arial" w:cs="Arial" w:eastAsia="Arial" w:hAnsi="Arial"/>
          <w:sz w:val="22"/>
          <w:szCs w:val="22"/>
        </w:rPr>
        <w:t xml:space="preserve">Scenarios should be coherent “stories” that forecast all relevant risk drivers simultaneously, not isolated factor shocks</w:t>
      </w:r>
    </w:p>
    <w:p>
      <w:pPr>
        <w:pStyle w:val="ListParagraph"/>
        <w:numPr>
          <w:ilvl w:val="0"/>
          <w:numId w:val="2"/>
        </w:numPr>
        <w:spacing w:after="80"/>
      </w:pPr>
      <w:r>
        <w:rPr>
          <w:rFonts w:ascii="Arial" w:cs="Arial" w:eastAsia="Arial" w:hAnsi="Arial"/>
          <w:sz w:val="22"/>
          <w:szCs w:val="22"/>
        </w:rPr>
        <w:t xml:space="preserve">Blend historical and hypothetical approaches: historical scenarios provide calibration anchors while hypothetical scenarios address novel risks</w:t>
      </w:r>
    </w:p>
    <w:p>
      <w:pPr>
        <w:pStyle w:val="Heading2"/>
      </w:pPr>
      <w:r>
        <w:t xml:space="preserve">Risk Factor Coverage</w:t>
      </w:r>
    </w:p>
    <w:p>
      <w:pPr>
        <w:pStyle w:val="ListParagraph"/>
        <w:numPr>
          <w:ilvl w:val="0"/>
          <w:numId w:val="2"/>
        </w:numPr>
        <w:spacing w:after="80"/>
      </w:pPr>
      <w:r>
        <w:rPr>
          <w:rFonts w:ascii="Arial" w:cs="Arial" w:eastAsia="Arial" w:hAnsi="Arial"/>
          <w:sz w:val="22"/>
          <w:szCs w:val="22"/>
        </w:rPr>
        <w:t xml:space="preserve">Comprehensive coverage across equities, rates, credit, FX, commodities, and volatility surfaces</w:t>
      </w:r>
    </w:p>
    <w:p>
      <w:pPr>
        <w:pStyle w:val="ListParagraph"/>
        <w:numPr>
          <w:ilvl w:val="0"/>
          <w:numId w:val="2"/>
        </w:numPr>
        <w:spacing w:after="80"/>
      </w:pPr>
      <w:r>
        <w:rPr>
          <w:rFonts w:ascii="Arial" w:cs="Arial" w:eastAsia="Arial" w:hAnsi="Arial"/>
          <w:sz w:val="22"/>
          <w:szCs w:val="22"/>
        </w:rPr>
        <w:t xml:space="preserve">Explicit stress testing of correlation assumptions: diversification benefits erode in crises</w:t>
      </w:r>
    </w:p>
    <w:p>
      <w:pPr>
        <w:pStyle w:val="ListParagraph"/>
        <w:numPr>
          <w:ilvl w:val="0"/>
          <w:numId w:val="2"/>
        </w:numPr>
        <w:spacing w:after="80"/>
      </w:pPr>
      <w:r>
        <w:rPr>
          <w:rFonts w:ascii="Arial" w:cs="Arial" w:eastAsia="Arial" w:hAnsi="Arial"/>
          <w:sz w:val="22"/>
          <w:szCs w:val="22"/>
        </w:rPr>
        <w:t xml:space="preserve">Liquidity risk must be incorporated: bid-ask widening, liquidation horizon extension, and funding stress</w:t>
      </w:r>
    </w:p>
    <w:p>
      <w:pPr>
        <w:pStyle w:val="ListParagraph"/>
        <w:numPr>
          <w:ilvl w:val="0"/>
          <w:numId w:val="2"/>
        </w:numPr>
        <w:spacing w:after="80"/>
      </w:pPr>
      <w:r>
        <w:rPr>
          <w:rFonts w:ascii="Arial" w:cs="Arial" w:eastAsia="Arial" w:hAnsi="Arial"/>
          <w:sz w:val="22"/>
          <w:szCs w:val="22"/>
        </w:rPr>
        <w:t xml:space="preserve">Counterparty and concentration risk: single-name exposure, sector concentration, and strategy crowding</w:t>
      </w:r>
    </w:p>
    <w:p>
      <w:pPr>
        <w:pStyle w:val="ListParagraph"/>
        <w:numPr>
          <w:ilvl w:val="0"/>
          <w:numId w:val="2"/>
        </w:numPr>
        <w:spacing w:after="80"/>
      </w:pPr>
      <w:r>
        <w:rPr>
          <w:rFonts w:ascii="Arial" w:cs="Arial" w:eastAsia="Arial" w:hAnsi="Arial"/>
          <w:sz w:val="22"/>
          <w:szCs w:val="22"/>
        </w:rPr>
        <w:t xml:space="preserve">Operational risk overlays: settlement failure, cyber disruption, and infrastructure outage during market stress</w:t>
      </w:r>
    </w:p>
    <w:p>
      <w:pPr>
        <w:pStyle w:val="Heading2"/>
      </w:pPr>
      <w:r>
        <w:t xml:space="preserve">Execution &amp; Response</w:t>
      </w:r>
    </w:p>
    <w:p>
      <w:pPr>
        <w:pStyle w:val="ListParagraph"/>
        <w:numPr>
          <w:ilvl w:val="0"/>
          <w:numId w:val="2"/>
        </w:numPr>
        <w:spacing w:after="80"/>
      </w:pPr>
      <w:r>
        <w:rPr>
          <w:rFonts w:ascii="Arial" w:cs="Arial" w:eastAsia="Arial" w:hAnsi="Arial"/>
          <w:sz w:val="22"/>
          <w:szCs w:val="22"/>
        </w:rPr>
        <w:t xml:space="preserve">Parametric sensitivities run daily/weekly; full scenario library run monthly at minimum; ad-hoc scenarios generated within hours</w:t>
      </w:r>
    </w:p>
    <w:p>
      <w:pPr>
        <w:pStyle w:val="ListParagraph"/>
        <w:numPr>
          <w:ilvl w:val="0"/>
          <w:numId w:val="2"/>
        </w:numPr>
        <w:spacing w:after="80"/>
      </w:pPr>
      <w:r>
        <w:rPr>
          <w:rFonts w:ascii="Arial" w:cs="Arial" w:eastAsia="Arial" w:hAnsi="Arial"/>
          <w:sz w:val="22"/>
          <w:szCs w:val="22"/>
        </w:rPr>
        <w:t xml:space="preserve">Full P&amp;L attribution for every scenario at the desk, strategy, and portfolio level</w:t>
      </w:r>
    </w:p>
    <w:p>
      <w:pPr>
        <w:pStyle w:val="ListParagraph"/>
        <w:numPr>
          <w:ilvl w:val="0"/>
          <w:numId w:val="2"/>
        </w:numPr>
        <w:spacing w:after="80"/>
      </w:pPr>
      <w:r>
        <w:rPr>
          <w:rFonts w:ascii="Arial" w:cs="Arial" w:eastAsia="Arial" w:hAnsi="Arial"/>
          <w:sz w:val="22"/>
          <w:szCs w:val="22"/>
        </w:rPr>
        <w:t xml:space="preserve">Stress test results must drive actionable decisions: limit adjustments, hedge implementation, capital allocation, and contingency plan activation</w:t>
      </w:r>
    </w:p>
    <w:p>
      <w:pPr>
        <w:pStyle w:val="ListParagraph"/>
        <w:numPr>
          <w:ilvl w:val="0"/>
          <w:numId w:val="2"/>
        </w:numPr>
        <w:spacing w:after="80"/>
      </w:pPr>
      <w:r>
        <w:rPr>
          <w:rFonts w:ascii="Arial" w:cs="Arial" w:eastAsia="Arial" w:hAnsi="Arial"/>
          <w:sz w:val="22"/>
          <w:szCs w:val="22"/>
        </w:rPr>
        <w:t xml:space="preserve">Tabletop exercises (cyber, liquidity crunch, counterparty default) should be conducted periodically to rehearse response playbooks</w:t>
      </w:r>
    </w:p>
    <w:p>
      <w:pPr>
        <w:pStyle w:val="ListParagraph"/>
        <w:numPr>
          <w:ilvl w:val="0"/>
          <w:numId w:val="2"/>
        </w:numPr>
        <w:spacing w:after="80"/>
      </w:pPr>
      <w:r>
        <w:rPr>
          <w:rFonts w:ascii="Arial" w:cs="Arial" w:eastAsia="Arial" w:hAnsi="Arial"/>
          <w:sz w:val="22"/>
          <w:szCs w:val="22"/>
        </w:rPr>
        <w:t xml:space="preserve">Framework should be refreshed at least annually (quarterly for fast-moving risks); update scenarios and triggers as market conditions evolve</w:t>
      </w:r>
    </w:p>
    <w:p>
      <w:r>
        <w:br w:type="page"/>
      </w:r>
    </w:p>
    <w:p>
      <w:pPr>
        <w:pStyle w:val="Heading1"/>
      </w:pPr>
      <w:r>
        <w:t xml:space="preserve">Appendix: Source Reference</w:t>
      </w:r>
    </w:p>
    <w:p>
      <w:pPr>
        <w:spacing w:after="160"/>
      </w:pPr>
      <w:r>
        <w:rPr>
          <w:rFonts w:ascii="Arial" w:cs="Arial" w:eastAsia="Arial" w:hAnsi="Arial"/>
          <w:sz w:val="22"/>
          <w:szCs w:val="22"/>
        </w:rPr>
        <w:t xml:space="preserve">This report draws on the following primary sources and regulatory publications:</w:t>
      </w:r>
    </w:p>
    <w:p>
      <w:pPr>
        <w:pStyle w:val="ListParagraph"/>
        <w:numPr>
          <w:ilvl w:val="0"/>
          <w:numId w:val="2"/>
        </w:numPr>
        <w:spacing w:after="80"/>
      </w:pPr>
      <w:r>
        <w:rPr>
          <w:rFonts w:ascii="Arial" w:cs="Arial" w:eastAsia="Arial" w:hAnsi="Arial"/>
          <w:sz w:val="22"/>
          <w:szCs w:val="22"/>
        </w:rPr>
        <w:t xml:space="preserve">Federal Reserve Board, 2025 Stress Test Scenarios (February 2025)</w:t>
      </w:r>
    </w:p>
    <w:p>
      <w:pPr>
        <w:pStyle w:val="ListParagraph"/>
        <w:numPr>
          <w:ilvl w:val="0"/>
          <w:numId w:val="2"/>
        </w:numPr>
        <w:spacing w:after="80"/>
      </w:pPr>
      <w:r>
        <w:rPr>
          <w:rFonts w:ascii="Arial" w:cs="Arial" w:eastAsia="Arial" w:hAnsi="Arial"/>
          <w:sz w:val="22"/>
          <w:szCs w:val="22"/>
        </w:rPr>
        <w:t xml:space="preserve">Federal Reserve Board, 2025 Supervisory Stress Test Results (June 2025)</w:t>
      </w:r>
    </w:p>
    <w:p>
      <w:pPr>
        <w:pStyle w:val="ListParagraph"/>
        <w:numPr>
          <w:ilvl w:val="0"/>
          <w:numId w:val="2"/>
        </w:numPr>
        <w:spacing w:after="80"/>
      </w:pPr>
      <w:r>
        <w:rPr>
          <w:rFonts w:ascii="Arial" w:cs="Arial" w:eastAsia="Arial" w:hAnsi="Arial"/>
          <w:sz w:val="22"/>
          <w:szCs w:val="22"/>
        </w:rPr>
        <w:t xml:space="preserve">Federal Reserve Board, 2026 Stress Test Scenarios (February 2026)</w:t>
      </w:r>
    </w:p>
    <w:p>
      <w:pPr>
        <w:pStyle w:val="ListParagraph"/>
        <w:numPr>
          <w:ilvl w:val="0"/>
          <w:numId w:val="2"/>
        </w:numPr>
        <w:spacing w:after="80"/>
      </w:pPr>
      <w:r>
        <w:rPr>
          <w:rFonts w:ascii="Arial" w:cs="Arial" w:eastAsia="Arial" w:hAnsi="Arial"/>
          <w:sz w:val="22"/>
          <w:szCs w:val="22"/>
        </w:rPr>
        <w:t xml:space="preserve">Federal Reserve Board, 2024 DFAST Supervisory Stress Test Results (June 2024)</w:t>
      </w:r>
    </w:p>
    <w:p>
      <w:pPr>
        <w:pStyle w:val="ListParagraph"/>
        <w:numPr>
          <w:ilvl w:val="0"/>
          <w:numId w:val="2"/>
        </w:numPr>
        <w:spacing w:after="80"/>
      </w:pPr>
      <w:r>
        <w:rPr>
          <w:rFonts w:ascii="Arial" w:cs="Arial" w:eastAsia="Arial" w:hAnsi="Arial"/>
          <w:sz w:val="22"/>
          <w:szCs w:val="22"/>
        </w:rPr>
        <w:t xml:space="preserve">Bank of England, 2025 Bank Capital Stress Test Scenario (March 2025)</w:t>
      </w:r>
    </w:p>
    <w:p>
      <w:pPr>
        <w:pStyle w:val="ListParagraph"/>
        <w:numPr>
          <w:ilvl w:val="0"/>
          <w:numId w:val="2"/>
        </w:numPr>
        <w:spacing w:after="80"/>
      </w:pPr>
      <w:r>
        <w:rPr>
          <w:rFonts w:ascii="Arial" w:cs="Arial" w:eastAsia="Arial" w:hAnsi="Arial"/>
          <w:sz w:val="22"/>
          <w:szCs w:val="22"/>
        </w:rPr>
        <w:t xml:space="preserve">European Central Bank, Financial Stability Review (May 2025)</w:t>
      </w:r>
    </w:p>
    <w:p>
      <w:pPr>
        <w:pStyle w:val="ListParagraph"/>
        <w:numPr>
          <w:ilvl w:val="0"/>
          <w:numId w:val="2"/>
        </w:numPr>
        <w:spacing w:after="80"/>
      </w:pPr>
      <w:r>
        <w:rPr>
          <w:rFonts w:ascii="Arial" w:cs="Arial" w:eastAsia="Arial" w:hAnsi="Arial"/>
          <w:sz w:val="22"/>
          <w:szCs w:val="22"/>
        </w:rPr>
        <w:t xml:space="preserve">ECB Working Paper: Stress Testing with Multiple Scenarios (Budnik et al., 2024)</w:t>
      </w:r>
    </w:p>
    <w:p>
      <w:pPr>
        <w:pStyle w:val="ListParagraph"/>
        <w:numPr>
          <w:ilvl w:val="0"/>
          <w:numId w:val="2"/>
        </w:numPr>
        <w:spacing w:after="80"/>
      </w:pPr>
      <w:r>
        <w:rPr>
          <w:rFonts w:ascii="Arial" w:cs="Arial" w:eastAsia="Arial" w:hAnsi="Arial"/>
          <w:sz w:val="22"/>
          <w:szCs w:val="22"/>
        </w:rPr>
        <w:t xml:space="preserve">Basel Committee on Banking Supervision, Stress Testing Principles (October 2018)</w:t>
      </w:r>
    </w:p>
    <w:p>
      <w:pPr>
        <w:pStyle w:val="ListParagraph"/>
        <w:numPr>
          <w:ilvl w:val="0"/>
          <w:numId w:val="2"/>
        </w:numPr>
        <w:spacing w:after="80"/>
      </w:pPr>
      <w:r>
        <w:rPr>
          <w:rFonts w:ascii="Arial" w:cs="Arial" w:eastAsia="Arial" w:hAnsi="Arial"/>
          <w:sz w:val="22"/>
          <w:szCs w:val="22"/>
        </w:rPr>
        <w:t xml:space="preserve">Basel Committee on Banking Supervision, Principles for Sound Stress Testing Practices and Supervision (May 2009)</w:t>
      </w:r>
    </w:p>
    <w:p>
      <w:pPr>
        <w:pStyle w:val="ListParagraph"/>
        <w:numPr>
          <w:ilvl w:val="0"/>
          <w:numId w:val="2"/>
        </w:numPr>
        <w:spacing w:after="80"/>
      </w:pPr>
      <w:r>
        <w:rPr>
          <w:rFonts w:ascii="Arial" w:cs="Arial" w:eastAsia="Arial" w:hAnsi="Arial"/>
          <w:sz w:val="22"/>
          <w:szCs w:val="22"/>
        </w:rPr>
        <w:t xml:space="preserve">Basel Committee on Banking Supervision, Supervisory and Bank Stress Testing: Range of Practices (2017)</w:t>
      </w:r>
    </w:p>
    <w:p>
      <w:pPr>
        <w:pStyle w:val="ListParagraph"/>
        <w:numPr>
          <w:ilvl w:val="0"/>
          <w:numId w:val="2"/>
        </w:numPr>
        <w:spacing w:after="80"/>
      </w:pPr>
      <w:r>
        <w:rPr>
          <w:rFonts w:ascii="Arial" w:cs="Arial" w:eastAsia="Arial" w:hAnsi="Arial"/>
          <w:sz w:val="22"/>
          <w:szCs w:val="22"/>
        </w:rPr>
        <w:t xml:space="preserve">BIS Committee on the Global Financial System, Stress Testing by Large Financial Institutions (2005)</w:t>
      </w:r>
    </w:p>
    <w:p>
      <w:pPr>
        <w:pStyle w:val="ListParagraph"/>
        <w:numPr>
          <w:ilvl w:val="0"/>
          <w:numId w:val="2"/>
        </w:numPr>
        <w:spacing w:after="80"/>
      </w:pPr>
      <w:r>
        <w:rPr>
          <w:rFonts w:ascii="Arial" w:cs="Arial" w:eastAsia="Arial" w:hAnsi="Arial"/>
          <w:sz w:val="22"/>
          <w:szCs w:val="22"/>
        </w:rPr>
        <w:t xml:space="preserve">Goldman Sachs Group, 2025 Resolution Plan — Public Section (June 2025)</w:t>
      </w:r>
    </w:p>
    <w:p>
      <w:pPr>
        <w:pStyle w:val="ListParagraph"/>
        <w:numPr>
          <w:ilvl w:val="0"/>
          <w:numId w:val="2"/>
        </w:numPr>
        <w:spacing w:after="80"/>
      </w:pPr>
      <w:r>
        <w:rPr>
          <w:rFonts w:ascii="Arial" w:cs="Arial" w:eastAsia="Arial" w:hAnsi="Arial"/>
          <w:sz w:val="22"/>
          <w:szCs w:val="22"/>
        </w:rPr>
        <w:t xml:space="preserve">JPMorgan Chase, 2025 Annual Dodd-Frank Act Stress Test Results Disclosure (July 2025)</w:t>
      </w:r>
    </w:p>
    <w:p>
      <w:pPr>
        <w:pStyle w:val="ListParagraph"/>
        <w:numPr>
          <w:ilvl w:val="0"/>
          <w:numId w:val="2"/>
        </w:numPr>
        <w:spacing w:after="80"/>
      </w:pPr>
      <w:r>
        <w:rPr>
          <w:rFonts w:ascii="Arial" w:cs="Arial" w:eastAsia="Arial" w:hAnsi="Arial"/>
          <w:sz w:val="22"/>
          <w:szCs w:val="22"/>
        </w:rPr>
        <w:t xml:space="preserve">MSCI, Stress Testing in the Investment Process (2010)</w:t>
      </w:r>
    </w:p>
    <w:p>
      <w:pPr>
        <w:pStyle w:val="ListParagraph"/>
        <w:numPr>
          <w:ilvl w:val="0"/>
          <w:numId w:val="2"/>
        </w:numPr>
        <w:spacing w:after="80"/>
      </w:pPr>
      <w:r>
        <w:rPr>
          <w:rFonts w:ascii="Arial" w:cs="Arial" w:eastAsia="Arial" w:hAnsi="Arial"/>
          <w:sz w:val="22"/>
          <w:szCs w:val="22"/>
        </w:rPr>
        <w:t xml:space="preserve">BlackRock, Aladdin Wealth Stress Testing Documentation (2025)</w:t>
      </w:r>
    </w:p>
    <w:p>
      <w:pPr>
        <w:pStyle w:val="ListParagraph"/>
        <w:numPr>
          <w:ilvl w:val="0"/>
          <w:numId w:val="2"/>
        </w:numPr>
        <w:spacing w:after="80"/>
      </w:pPr>
      <w:r>
        <w:rPr>
          <w:rFonts w:ascii="Arial" w:cs="Arial" w:eastAsia="Arial" w:hAnsi="Arial"/>
          <w:sz w:val="22"/>
          <w:szCs w:val="22"/>
        </w:rPr>
        <w:t xml:space="preserve">IMF Global Financial Stability Report, Chapter 1 &amp; Chapter 2 (October 2025)</w:t>
      </w:r>
    </w:p>
    <w:p>
      <w:pPr>
        <w:pStyle w:val="ListParagraph"/>
        <w:numPr>
          <w:ilvl w:val="0"/>
          <w:numId w:val="2"/>
        </w:numPr>
        <w:spacing w:after="80"/>
      </w:pPr>
      <w:r>
        <w:rPr>
          <w:rFonts w:ascii="Arial" w:cs="Arial" w:eastAsia="Arial" w:hAnsi="Arial"/>
          <w:sz w:val="22"/>
          <w:szCs w:val="22"/>
        </w:rPr>
        <w:t xml:space="preserve">GARP Risk Intelligence: Analyzing the Fed’s 2024 Stress Test Scenarios (2024)</w:t>
      </w:r>
    </w:p>
    <w:p>
      <w:pPr>
        <w:pStyle w:val="ListParagraph"/>
        <w:numPr>
          <w:ilvl w:val="0"/>
          <w:numId w:val="2"/>
        </w:numPr>
        <w:spacing w:after="80"/>
      </w:pPr>
      <w:r>
        <w:rPr>
          <w:rFonts w:ascii="Arial" w:cs="Arial" w:eastAsia="Arial" w:hAnsi="Arial"/>
          <w:sz w:val="22"/>
          <w:szCs w:val="22"/>
        </w:rPr>
        <w:t xml:space="preserve">Bank Policy Institute, Stress Testing Testimony and Analysis (2024–2025)</w:t>
      </w:r>
    </w:p>
    <w:p>
      <w:pPr>
        <w:pStyle w:val="ListParagraph"/>
        <w:numPr>
          <w:ilvl w:val="0"/>
          <w:numId w:val="2"/>
        </w:numPr>
        <w:spacing w:after="80"/>
      </w:pPr>
      <w:r>
        <w:rPr>
          <w:rFonts w:ascii="Arial" w:cs="Arial" w:eastAsia="Arial" w:hAnsi="Arial"/>
          <w:sz w:val="22"/>
          <w:szCs w:val="22"/>
        </w:rPr>
        <w:t xml:space="preserve">Federal Reserve Bank of Richmond, Designing Market Shock Scenarios WP 24-17 (2024)</w:t>
      </w:r>
    </w:p>
    <w:p>
      <w:pPr>
        <w:pStyle w:val="ListParagraph"/>
        <w:numPr>
          <w:ilvl w:val="0"/>
          <w:numId w:val="2"/>
        </w:numPr>
        <w:spacing w:after="80"/>
      </w:pPr>
      <w:r>
        <w:rPr>
          <w:rFonts w:ascii="Arial" w:cs="Arial" w:eastAsia="Arial" w:hAnsi="Arial"/>
          <w:sz w:val="22"/>
          <w:szCs w:val="22"/>
        </w:rPr>
        <w:t xml:space="preserve">Arootah, Stress Testing in Action: How Hedge Funds Can Prepare for Market Shocks (2025)</w:t>
      </w:r>
    </w:p>
    <w:p>
      <w:pPr>
        <w:pStyle w:val="ListParagraph"/>
        <w:numPr>
          <w:ilvl w:val="0"/>
          <w:numId w:val="2"/>
        </w:numPr>
        <w:spacing w:after="80"/>
      </w:pPr>
      <w:r>
        <w:rPr>
          <w:rFonts w:ascii="Arial" w:cs="Arial" w:eastAsia="Arial" w:hAnsi="Arial"/>
          <w:sz w:val="22"/>
          <w:szCs w:val="22"/>
        </w:rPr>
        <w:t xml:space="preserve">The Hedge Fund Journal, Risk Practices in Hedge Funds</w:t>
      </w:r>
    </w:p>
    <w:p>
      <w:pPr>
        <w:pStyle w:val="ListParagraph"/>
        <w:numPr>
          <w:ilvl w:val="0"/>
          <w:numId w:val="2"/>
        </w:numPr>
        <w:spacing w:after="80"/>
      </w:pPr>
      <w:r>
        <w:rPr>
          <w:rFonts w:ascii="Arial" w:cs="Arial" w:eastAsia="Arial" w:hAnsi="Arial"/>
          <w:sz w:val="22"/>
          <w:szCs w:val="22"/>
        </w:rPr>
        <w:t xml:space="preserve">International Actuarial Association, Stress Testing and Scenario Analysis (2013)</w:t>
      </w:r>
    </w:p>
    <w:p>
      <w:pPr>
        <w:pStyle w:val="ListParagraph"/>
        <w:numPr>
          <w:ilvl w:val="0"/>
          <w:numId w:val="2"/>
        </w:numPr>
        <w:spacing w:after="80"/>
      </w:pPr>
      <w:r>
        <w:rPr>
          <w:rFonts w:ascii="Arial" w:cs="Arial" w:eastAsia="Arial" w:hAnsi="Arial"/>
          <w:sz w:val="22"/>
          <w:szCs w:val="22"/>
        </w:rPr>
        <w:t xml:space="preserve">Kopeliovich et al., Robust Risk Estimation and Hedging: A Reverse Stress Testing Approach</w:t>
      </w:r>
    </w:p>
    <w:p>
      <w:pPr>
        <w:pStyle w:val="ListParagraph"/>
        <w:numPr>
          <w:ilvl w:val="0"/>
          <w:numId w:val="2"/>
        </w:numPr>
        <w:spacing w:after="80"/>
      </w:pPr>
      <w:r>
        <w:rPr>
          <w:rFonts w:ascii="Arial" w:cs="Arial" w:eastAsia="Arial" w:hAnsi="Arial"/>
          <w:sz w:val="22"/>
          <w:szCs w:val="22"/>
        </w:rPr>
        <w:t xml:space="preserve">Oliver Wyman, Financial Services Stress Testing Framework</w:t>
      </w:r>
    </w:p>
    <w:p>
      <w:pPr>
        <w:pStyle w:val="ListParagraph"/>
        <w:numPr>
          <w:ilvl w:val="0"/>
          <w:numId w:val="2"/>
        </w:numPr>
        <w:spacing w:after="80"/>
      </w:pPr>
      <w:r>
        <w:rPr>
          <w:rFonts w:ascii="Arial" w:cs="Arial" w:eastAsia="Arial" w:hAnsi="Arial"/>
          <w:sz w:val="22"/>
          <w:szCs w:val="22"/>
        </w:rPr>
        <w:t xml:space="preserve">Moody’s Analytics, Capital Stress Testing: More Than Just a Regulatory Exercise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Gold Standard Stress Testing Scenarios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2026-02-10T14:25:35.291Z</dcterms:created>
  <dcterms:modified xsi:type="dcterms:W3CDTF">2026-02-10T14:25:35.292Z</dcterms:modified>
</cp:coreProperties>
</file>

<file path=docProps/custom.xml><?xml version="1.0" encoding="utf-8"?>
<Properties xmlns="http://schemas.openxmlformats.org/officeDocument/2006/custom-properties" xmlns:vt="http://schemas.openxmlformats.org/officeDocument/2006/docPropsVTypes"/>
</file>