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9B0EA" w14:textId="77777777" w:rsidR="00EF1D79" w:rsidRPr="00EF1D79" w:rsidRDefault="00EF1D79" w:rsidP="00EF1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Here is a </w:t>
      </w: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and internally consistent utilities sector summary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aligned with your </w:t>
      </w: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“AI Winter 2025 – The Great Disillusionment”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scenario. It includes both </w:t>
      </w: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moderate and severe shock calibrations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, detailing the </w:t>
      </w: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 and credit impacts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with scenario-congruent logic, grounded in how utilities are exposed to the AI investment cycle, capital markets tightening, and macro growth slowdown.</w:t>
      </w:r>
    </w:p>
    <w:p w14:paraId="02D4B10A" w14:textId="77777777" w:rsidR="00EF1D79" w:rsidRPr="00EF1D79" w:rsidRDefault="00E973D9" w:rsidP="00EF1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3D9">
        <w:rPr>
          <w:rFonts w:ascii="Times New Roman" w:eastAsia="Times New Roman" w:hAnsi="Times New Roman" w:cs="Times New Roman"/>
          <w:noProof/>
          <w:kern w:val="0"/>
        </w:rPr>
        <w:pict w14:anchorId="19FE543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49890AB" w14:textId="77777777" w:rsidR="00EF1D79" w:rsidRPr="00EF1D79" w:rsidRDefault="00EF1D79" w:rsidP="00EF1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D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🔌</w:t>
      </w:r>
      <w:r w:rsidRPr="00EF1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Utilities Sector Impact Summary — </w:t>
      </w:r>
      <w:r w:rsidRPr="00EF1D79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“AI Winter 2025: The Great Disillusionment”</w:t>
      </w:r>
    </w:p>
    <w:p w14:paraId="5BF2C743" w14:textId="77777777" w:rsidR="00EF1D79" w:rsidRPr="00EF1D79" w:rsidRDefault="00EF1D79" w:rsidP="00EF1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1D7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F1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Scenario Context</w:t>
      </w:r>
    </w:p>
    <w:p w14:paraId="0BD34FB4" w14:textId="77777777" w:rsidR="00EF1D79" w:rsidRPr="00EF1D79" w:rsidRDefault="00EF1D79" w:rsidP="00EF1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As the AI bubble bursts (via earnings disappointments, compute cost spikes, and regulatory backlash), the </w:t>
      </w: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surge in AI-driven power demand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from data centers unravels. Utilities—especially those rerated on AI electrification themes—face a demand downgrade, financing stress, and capex reprioritization.</w:t>
      </w:r>
    </w:p>
    <w:p w14:paraId="44A55141" w14:textId="77777777" w:rsidR="00EF1D79" w:rsidRPr="00EF1D79" w:rsidRDefault="00E973D9" w:rsidP="00EF1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3D9">
        <w:rPr>
          <w:rFonts w:ascii="Times New Roman" w:eastAsia="Times New Roman" w:hAnsi="Times New Roman" w:cs="Times New Roman"/>
          <w:noProof/>
          <w:kern w:val="0"/>
        </w:rPr>
        <w:pict w14:anchorId="4D0CD3A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52B128B" w14:textId="77777777" w:rsidR="00EF1D79" w:rsidRPr="00EF1D79" w:rsidRDefault="00EF1D79" w:rsidP="00EF1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D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🧨</w:t>
      </w:r>
      <w:r w:rsidRPr="00EF1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Sector Shock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1925"/>
        <w:gridCol w:w="2419"/>
        <w:gridCol w:w="1668"/>
        <w:gridCol w:w="1035"/>
      </w:tblGrid>
      <w:tr w:rsidR="00EF1D79" w:rsidRPr="00EF1D79" w14:paraId="5425D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30F80" w14:textId="77777777" w:rsidR="00EF1D79" w:rsidRPr="00EF1D79" w:rsidRDefault="00EF1D79" w:rsidP="00EF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9267365" w14:textId="77777777" w:rsidR="00EF1D79" w:rsidRPr="00EF1D79" w:rsidRDefault="00EF1D79" w:rsidP="00EF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 / Driver</w:t>
            </w:r>
          </w:p>
        </w:tc>
        <w:tc>
          <w:tcPr>
            <w:tcW w:w="0" w:type="auto"/>
            <w:vAlign w:val="center"/>
            <w:hideMark/>
          </w:tcPr>
          <w:p w14:paraId="6325D7FC" w14:textId="77777777" w:rsidR="00EF1D79" w:rsidRPr="00EF1D79" w:rsidRDefault="00EF1D79" w:rsidP="00EF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Severe Shock (1-in-20y)</w:t>
            </w:r>
          </w:p>
        </w:tc>
        <w:tc>
          <w:tcPr>
            <w:tcW w:w="0" w:type="auto"/>
            <w:vAlign w:val="center"/>
            <w:hideMark/>
          </w:tcPr>
          <w:p w14:paraId="3DDBC6C6" w14:textId="77777777" w:rsidR="00EF1D79" w:rsidRPr="00EF1D79" w:rsidRDefault="00EF1D79" w:rsidP="00EF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Moderate Shock (1-in-5y)</w:t>
            </w:r>
          </w:p>
        </w:tc>
        <w:tc>
          <w:tcPr>
            <w:tcW w:w="0" w:type="auto"/>
            <w:vAlign w:val="center"/>
            <w:hideMark/>
          </w:tcPr>
          <w:p w14:paraId="336566CF" w14:textId="77777777" w:rsidR="00EF1D79" w:rsidRPr="00EF1D79" w:rsidRDefault="00EF1D79" w:rsidP="00EF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Direction</w:t>
            </w:r>
          </w:p>
        </w:tc>
      </w:tr>
      <w:tr w:rsidR="00EF1D79" w:rsidRPr="00EF1D79" w14:paraId="15E49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5477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Equity Index (AI-Tilted Utilities)</w:t>
            </w:r>
          </w:p>
        </w:tc>
        <w:tc>
          <w:tcPr>
            <w:tcW w:w="0" w:type="auto"/>
            <w:vAlign w:val="center"/>
            <w:hideMark/>
          </w:tcPr>
          <w:p w14:paraId="0667335F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NEE, DUK, SO, AEP</w:t>
            </w:r>
          </w:p>
        </w:tc>
        <w:tc>
          <w:tcPr>
            <w:tcW w:w="0" w:type="auto"/>
            <w:vAlign w:val="center"/>
            <w:hideMark/>
          </w:tcPr>
          <w:p w14:paraId="402A8AB2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–30%</w:t>
            </w:r>
          </w:p>
        </w:tc>
        <w:tc>
          <w:tcPr>
            <w:tcW w:w="0" w:type="auto"/>
            <w:vAlign w:val="center"/>
            <w:hideMark/>
          </w:tcPr>
          <w:p w14:paraId="3B179792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–15%</w:t>
            </w:r>
          </w:p>
        </w:tc>
        <w:tc>
          <w:tcPr>
            <w:tcW w:w="0" w:type="auto"/>
            <w:vAlign w:val="center"/>
            <w:hideMark/>
          </w:tcPr>
          <w:p w14:paraId="131E8BC4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↓</w:t>
            </w:r>
          </w:p>
        </w:tc>
      </w:tr>
      <w:tr w:rsidR="00EF1D79" w:rsidRPr="00EF1D79" w14:paraId="31817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804A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Equity Index (Defensive Utilities ex-AI)</w:t>
            </w:r>
          </w:p>
        </w:tc>
        <w:tc>
          <w:tcPr>
            <w:tcW w:w="0" w:type="auto"/>
            <w:vAlign w:val="center"/>
            <w:hideMark/>
          </w:tcPr>
          <w:p w14:paraId="7212A59E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XLU ex-AI sensitive names</w:t>
            </w:r>
          </w:p>
        </w:tc>
        <w:tc>
          <w:tcPr>
            <w:tcW w:w="0" w:type="auto"/>
            <w:vAlign w:val="center"/>
            <w:hideMark/>
          </w:tcPr>
          <w:p w14:paraId="50689FA6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–15%</w:t>
            </w:r>
          </w:p>
        </w:tc>
        <w:tc>
          <w:tcPr>
            <w:tcW w:w="0" w:type="auto"/>
            <w:vAlign w:val="center"/>
            <w:hideMark/>
          </w:tcPr>
          <w:p w14:paraId="58C189E1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–7%</w:t>
            </w:r>
          </w:p>
        </w:tc>
        <w:tc>
          <w:tcPr>
            <w:tcW w:w="0" w:type="auto"/>
            <w:vAlign w:val="center"/>
            <w:hideMark/>
          </w:tcPr>
          <w:p w14:paraId="13D37022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↓</w:t>
            </w:r>
          </w:p>
        </w:tc>
      </w:tr>
      <w:tr w:rsidR="00EF1D79" w:rsidRPr="00EF1D79" w14:paraId="2BDF4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D7CB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Credit Spread (IG Utilities)</w:t>
            </w:r>
          </w:p>
        </w:tc>
        <w:tc>
          <w:tcPr>
            <w:tcW w:w="0" w:type="auto"/>
            <w:vAlign w:val="center"/>
            <w:hideMark/>
          </w:tcPr>
          <w:p w14:paraId="059461A3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Utility IG CDS / OAS</w:t>
            </w:r>
          </w:p>
        </w:tc>
        <w:tc>
          <w:tcPr>
            <w:tcW w:w="0" w:type="auto"/>
            <w:vAlign w:val="center"/>
            <w:hideMark/>
          </w:tcPr>
          <w:p w14:paraId="28726A5B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+150bps</w:t>
            </w:r>
          </w:p>
        </w:tc>
        <w:tc>
          <w:tcPr>
            <w:tcW w:w="0" w:type="auto"/>
            <w:vAlign w:val="center"/>
            <w:hideMark/>
          </w:tcPr>
          <w:p w14:paraId="4866EB1E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+80bps</w:t>
            </w:r>
          </w:p>
        </w:tc>
        <w:tc>
          <w:tcPr>
            <w:tcW w:w="0" w:type="auto"/>
            <w:vAlign w:val="center"/>
            <w:hideMark/>
          </w:tcPr>
          <w:p w14:paraId="2F56B15F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</w:t>
            </w:r>
          </w:p>
        </w:tc>
      </w:tr>
      <w:tr w:rsidR="00EF1D79" w:rsidRPr="00EF1D79" w14:paraId="360C2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3090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Credit Spread (BBB-/BB AI-Tilted)</w:t>
            </w:r>
          </w:p>
        </w:tc>
        <w:tc>
          <w:tcPr>
            <w:tcW w:w="0" w:type="auto"/>
            <w:vAlign w:val="center"/>
            <w:hideMark/>
          </w:tcPr>
          <w:p w14:paraId="36DAD90F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AI-heavy PPA / data infra names</w:t>
            </w:r>
          </w:p>
        </w:tc>
        <w:tc>
          <w:tcPr>
            <w:tcW w:w="0" w:type="auto"/>
            <w:vAlign w:val="center"/>
            <w:hideMark/>
          </w:tcPr>
          <w:p w14:paraId="04C5D8A3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+300bps</w:t>
            </w:r>
          </w:p>
        </w:tc>
        <w:tc>
          <w:tcPr>
            <w:tcW w:w="0" w:type="auto"/>
            <w:vAlign w:val="center"/>
            <w:hideMark/>
          </w:tcPr>
          <w:p w14:paraId="3514A3EE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+150bps</w:t>
            </w:r>
          </w:p>
        </w:tc>
        <w:tc>
          <w:tcPr>
            <w:tcW w:w="0" w:type="auto"/>
            <w:vAlign w:val="center"/>
            <w:hideMark/>
          </w:tcPr>
          <w:p w14:paraId="73E1BC92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</w:t>
            </w:r>
          </w:p>
        </w:tc>
      </w:tr>
      <w:tr w:rsidR="00EF1D79" w:rsidRPr="00EF1D79" w14:paraId="44320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7D8D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Funding Cost (10y Utility Bonds)</w:t>
            </w:r>
          </w:p>
        </w:tc>
        <w:tc>
          <w:tcPr>
            <w:tcW w:w="0" w:type="auto"/>
            <w:vAlign w:val="center"/>
            <w:hideMark/>
          </w:tcPr>
          <w:p w14:paraId="28753F6C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UST + spread</w:t>
            </w:r>
          </w:p>
        </w:tc>
        <w:tc>
          <w:tcPr>
            <w:tcW w:w="0" w:type="auto"/>
            <w:vAlign w:val="center"/>
            <w:hideMark/>
          </w:tcPr>
          <w:p w14:paraId="350EEABA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+170bps (flight-to-quality UST drop, spread surge)</w:t>
            </w:r>
          </w:p>
        </w:tc>
        <w:tc>
          <w:tcPr>
            <w:tcW w:w="0" w:type="auto"/>
            <w:vAlign w:val="center"/>
            <w:hideMark/>
          </w:tcPr>
          <w:p w14:paraId="184FA8E8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+100bps</w:t>
            </w:r>
          </w:p>
        </w:tc>
        <w:tc>
          <w:tcPr>
            <w:tcW w:w="0" w:type="auto"/>
            <w:vAlign w:val="center"/>
            <w:hideMark/>
          </w:tcPr>
          <w:p w14:paraId="430F7CC3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</w:t>
            </w:r>
          </w:p>
        </w:tc>
      </w:tr>
      <w:tr w:rsidR="00EF1D79" w:rsidRPr="00EF1D79" w14:paraId="5B2F8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8A91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Earnings Guidance Revision</w:t>
            </w:r>
          </w:p>
        </w:tc>
        <w:tc>
          <w:tcPr>
            <w:tcW w:w="0" w:type="auto"/>
            <w:vAlign w:val="center"/>
            <w:hideMark/>
          </w:tcPr>
          <w:p w14:paraId="2243C248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EPS growth for AI-linked</w:t>
            </w:r>
          </w:p>
        </w:tc>
        <w:tc>
          <w:tcPr>
            <w:tcW w:w="0" w:type="auto"/>
            <w:vAlign w:val="center"/>
            <w:hideMark/>
          </w:tcPr>
          <w:p w14:paraId="1C810353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–20%</w:t>
            </w:r>
          </w:p>
        </w:tc>
        <w:tc>
          <w:tcPr>
            <w:tcW w:w="0" w:type="auto"/>
            <w:vAlign w:val="center"/>
            <w:hideMark/>
          </w:tcPr>
          <w:p w14:paraId="1C693F5A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–10%</w:t>
            </w:r>
          </w:p>
        </w:tc>
        <w:tc>
          <w:tcPr>
            <w:tcW w:w="0" w:type="auto"/>
            <w:vAlign w:val="center"/>
            <w:hideMark/>
          </w:tcPr>
          <w:p w14:paraId="0CB01C04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↓</w:t>
            </w:r>
          </w:p>
        </w:tc>
      </w:tr>
      <w:tr w:rsidR="00EF1D79" w:rsidRPr="00EF1D79" w14:paraId="75860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E585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Capex Cutbacks</w:t>
            </w:r>
          </w:p>
        </w:tc>
        <w:tc>
          <w:tcPr>
            <w:tcW w:w="0" w:type="auto"/>
            <w:vAlign w:val="center"/>
            <w:hideMark/>
          </w:tcPr>
          <w:p w14:paraId="0708F364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Grid expansion, renewables</w:t>
            </w:r>
          </w:p>
        </w:tc>
        <w:tc>
          <w:tcPr>
            <w:tcW w:w="0" w:type="auto"/>
            <w:vAlign w:val="center"/>
            <w:hideMark/>
          </w:tcPr>
          <w:p w14:paraId="7D6DEF28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–25%</w:t>
            </w:r>
          </w:p>
        </w:tc>
        <w:tc>
          <w:tcPr>
            <w:tcW w:w="0" w:type="auto"/>
            <w:vAlign w:val="center"/>
            <w:hideMark/>
          </w:tcPr>
          <w:p w14:paraId="7D7CDBB2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–10%</w:t>
            </w:r>
          </w:p>
        </w:tc>
        <w:tc>
          <w:tcPr>
            <w:tcW w:w="0" w:type="auto"/>
            <w:vAlign w:val="center"/>
            <w:hideMark/>
          </w:tcPr>
          <w:p w14:paraId="3A0539C5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↓</w:t>
            </w:r>
          </w:p>
        </w:tc>
      </w:tr>
      <w:tr w:rsidR="00EF1D79" w:rsidRPr="00EF1D79" w14:paraId="7C356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4BF1D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Implied Default Probability</w:t>
            </w:r>
          </w:p>
        </w:tc>
        <w:tc>
          <w:tcPr>
            <w:tcW w:w="0" w:type="auto"/>
            <w:vAlign w:val="center"/>
            <w:hideMark/>
          </w:tcPr>
          <w:p w14:paraId="60F47B26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Low-rated utilities (BB/B)</w:t>
            </w:r>
          </w:p>
        </w:tc>
        <w:tc>
          <w:tcPr>
            <w:tcW w:w="0" w:type="auto"/>
            <w:vAlign w:val="center"/>
            <w:hideMark/>
          </w:tcPr>
          <w:p w14:paraId="1E2542D0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+50–75bps (base PD shift)</w:t>
            </w:r>
          </w:p>
        </w:tc>
        <w:tc>
          <w:tcPr>
            <w:tcW w:w="0" w:type="auto"/>
            <w:vAlign w:val="center"/>
            <w:hideMark/>
          </w:tcPr>
          <w:p w14:paraId="1680EF85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+25bps</w:t>
            </w:r>
          </w:p>
        </w:tc>
        <w:tc>
          <w:tcPr>
            <w:tcW w:w="0" w:type="auto"/>
            <w:vAlign w:val="center"/>
            <w:hideMark/>
          </w:tcPr>
          <w:p w14:paraId="6B717F81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</w:t>
            </w:r>
          </w:p>
        </w:tc>
      </w:tr>
    </w:tbl>
    <w:p w14:paraId="28ED45B4" w14:textId="77777777" w:rsidR="00EF1D79" w:rsidRPr="00EF1D79" w:rsidRDefault="00E973D9" w:rsidP="00EF1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3D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E91446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97C882" w14:textId="77777777" w:rsidR="00EF1D79" w:rsidRPr="00EF1D79" w:rsidRDefault="00EF1D79" w:rsidP="00EF1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D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📉</w:t>
      </w:r>
      <w:r w:rsidRPr="00EF1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Equity Impact Analysis</w:t>
      </w:r>
    </w:p>
    <w:p w14:paraId="26F3ECF5" w14:textId="77777777" w:rsidR="00EF1D79" w:rsidRPr="00EF1D79" w:rsidRDefault="00EF1D79" w:rsidP="00EF1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1D7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🟥</w:t>
      </w:r>
      <w:r w:rsidRPr="00EF1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Severe Scenario</w:t>
      </w:r>
    </w:p>
    <w:p w14:paraId="76D642A6" w14:textId="77777777" w:rsidR="00EF1D79" w:rsidRPr="00EF1D79" w:rsidRDefault="00EF1D79" w:rsidP="00EF1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demand thesis collapses: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Utilities priced for AI-driven electrification see </w:t>
      </w: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–25% to –30%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price corrections (e.g., NEE, DUK), matching thematic tech unwind.</w:t>
      </w:r>
    </w:p>
    <w:p w14:paraId="14C7DDBB" w14:textId="77777777" w:rsidR="00EF1D79" w:rsidRPr="00EF1D79" w:rsidRDefault="00EF1D79" w:rsidP="00EF1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Capex-led growth narrative fails: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As AI infra stalls, expectations of transmission buildouts and grid monetization vanish.</w:t>
      </w:r>
    </w:p>
    <w:p w14:paraId="52921956" w14:textId="77777777" w:rsidR="00EF1D79" w:rsidRPr="00EF1D79" w:rsidRDefault="00EF1D79" w:rsidP="00EF1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Bond-equity substitution hits yield names: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With long-duration yields volatile and funding tighter, defensive equity yield trades (XLU) unwind alongside AI beta.</w:t>
      </w:r>
    </w:p>
    <w:p w14:paraId="49E2E03E" w14:textId="77777777" w:rsidR="00EF1D79" w:rsidRPr="00EF1D79" w:rsidRDefault="00EF1D79" w:rsidP="00EF1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1D7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🟨</w:t>
      </w:r>
      <w:r w:rsidRPr="00EF1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Moderate Scenario</w:t>
      </w:r>
    </w:p>
    <w:p w14:paraId="1FC188DC" w14:textId="77777777" w:rsidR="00EF1D79" w:rsidRPr="00EF1D79" w:rsidRDefault="00EF1D79" w:rsidP="00EF1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Equity pullback is </w:t>
      </w: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–7% to –15%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>, depending on data center exposure.</w:t>
      </w:r>
    </w:p>
    <w:p w14:paraId="5EAC2DB2" w14:textId="77777777" w:rsidR="00EF1D79" w:rsidRPr="00EF1D79" w:rsidRDefault="00EF1D79" w:rsidP="00EF1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kern w:val="0"/>
          <w14:ligatures w14:val="none"/>
        </w:rPr>
        <w:t>Non-AI-exposed utilities outperform, but still face rotation away from overvalued defensives.</w:t>
      </w:r>
    </w:p>
    <w:p w14:paraId="0E61F456" w14:textId="77777777" w:rsidR="00EF1D79" w:rsidRPr="00EF1D79" w:rsidRDefault="00EF1D79" w:rsidP="00EF1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kern w:val="0"/>
          <w14:ligatures w14:val="none"/>
        </w:rPr>
        <w:t>Dividend stability acts as partial cushion in the risk-off regime.</w:t>
      </w:r>
    </w:p>
    <w:p w14:paraId="5EE74595" w14:textId="77777777" w:rsidR="00EF1D79" w:rsidRPr="00EF1D79" w:rsidRDefault="00E973D9" w:rsidP="00EF1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3D9">
        <w:rPr>
          <w:rFonts w:ascii="Times New Roman" w:eastAsia="Times New Roman" w:hAnsi="Times New Roman" w:cs="Times New Roman"/>
          <w:noProof/>
          <w:kern w:val="0"/>
        </w:rPr>
        <w:pict w14:anchorId="03915D0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96543C3" w14:textId="77777777" w:rsidR="00EF1D79" w:rsidRPr="00EF1D79" w:rsidRDefault="00EF1D79" w:rsidP="00EF1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D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💳</w:t>
      </w:r>
      <w:r w:rsidRPr="00EF1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Credit Impact Analysis</w:t>
      </w:r>
    </w:p>
    <w:p w14:paraId="6CE5797C" w14:textId="77777777" w:rsidR="00EF1D79" w:rsidRPr="00EF1D79" w:rsidRDefault="00EF1D79" w:rsidP="00EF1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1D7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🟥</w:t>
      </w:r>
      <w:r w:rsidRPr="00EF1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Severe Scenario</w:t>
      </w:r>
    </w:p>
    <w:p w14:paraId="3A728E98" w14:textId="77777777" w:rsidR="00EF1D79" w:rsidRPr="00EF1D79" w:rsidRDefault="00EF1D79" w:rsidP="00EF1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Spread Blowout:</w:t>
      </w:r>
    </w:p>
    <w:p w14:paraId="57D5437F" w14:textId="77777777" w:rsidR="00EF1D79" w:rsidRPr="00EF1D79" w:rsidRDefault="00EF1D79" w:rsidP="00EF1D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kern w:val="0"/>
          <w14:ligatures w14:val="none"/>
        </w:rPr>
        <w:t>IG utilities: from ~110bps to ~260bps OAS.</w:t>
      </w:r>
    </w:p>
    <w:p w14:paraId="2B8B36A8" w14:textId="77777777" w:rsidR="00EF1D79" w:rsidRPr="00EF1D79" w:rsidRDefault="00EF1D79" w:rsidP="00EF1D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BBB-/BB AI-linked names: from ~160bps to </w:t>
      </w: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450–500bps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>, entering distressed pricing territory.</w:t>
      </w:r>
    </w:p>
    <w:p w14:paraId="16BC8481" w14:textId="77777777" w:rsidR="00EF1D79" w:rsidRPr="00EF1D79" w:rsidRDefault="00EF1D79" w:rsidP="00EF1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Bond market stress:</w:t>
      </w:r>
    </w:p>
    <w:p w14:paraId="5934088D" w14:textId="77777777" w:rsidR="00EF1D79" w:rsidRPr="00EF1D79" w:rsidRDefault="00EF1D79" w:rsidP="00EF1D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kern w:val="0"/>
          <w14:ligatures w14:val="none"/>
        </w:rPr>
        <w:t>New issuance freezes for all but top-tier IG names.</w:t>
      </w:r>
    </w:p>
    <w:p w14:paraId="3C38F233" w14:textId="77777777" w:rsidR="00EF1D79" w:rsidRPr="00EF1D79" w:rsidRDefault="00EF1D79" w:rsidP="00EF1D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Callable bonds see negative convexity effects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as duration extends under rising rates.</w:t>
      </w:r>
    </w:p>
    <w:p w14:paraId="6FB0545C" w14:textId="77777777" w:rsidR="00EF1D79" w:rsidRPr="00EF1D79" w:rsidRDefault="00EF1D79" w:rsidP="00EF1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 risk for infra-linked utilities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>: data center PPA-backed projects are shelved, causing model impairment.</w:t>
      </w:r>
    </w:p>
    <w:p w14:paraId="5AA13259" w14:textId="77777777" w:rsidR="00EF1D79" w:rsidRPr="00EF1D79" w:rsidRDefault="00EF1D79" w:rsidP="00EF1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1D7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🟨</w:t>
      </w:r>
      <w:r w:rsidRPr="00EF1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Moderate Scenario</w:t>
      </w:r>
    </w:p>
    <w:p w14:paraId="751573F2" w14:textId="77777777" w:rsidR="00EF1D79" w:rsidRPr="00EF1D79" w:rsidRDefault="00EF1D79" w:rsidP="00EF1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Spreads widen by </w:t>
      </w: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+80–150bps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>, most for names with:</w:t>
      </w:r>
    </w:p>
    <w:p w14:paraId="530DEF2B" w14:textId="77777777" w:rsidR="00EF1D79" w:rsidRPr="00EF1D79" w:rsidRDefault="00EF1D79" w:rsidP="00EF1D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kern w:val="0"/>
          <w14:ligatures w14:val="none"/>
        </w:rPr>
        <w:t>High capex-to-revenue ratios</w:t>
      </w:r>
    </w:p>
    <w:p w14:paraId="589D1FCF" w14:textId="77777777" w:rsidR="00EF1D79" w:rsidRPr="00EF1D79" w:rsidRDefault="00EF1D79" w:rsidP="00EF1D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kern w:val="0"/>
          <w14:ligatures w14:val="none"/>
        </w:rPr>
        <w:t>Data center/hyperscaler revenue concentration</w:t>
      </w:r>
    </w:p>
    <w:p w14:paraId="1EDA2437" w14:textId="77777777" w:rsidR="00EF1D79" w:rsidRPr="00EF1D79" w:rsidRDefault="00EF1D79" w:rsidP="00EF1D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kern w:val="0"/>
          <w14:ligatures w14:val="none"/>
        </w:rPr>
        <w:t>Elevated debt maturities in next 12–24 months</w:t>
      </w:r>
    </w:p>
    <w:p w14:paraId="31AC078E" w14:textId="77777777" w:rsidR="00EF1D79" w:rsidRPr="00EF1D79" w:rsidRDefault="00EF1D79" w:rsidP="00EF1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No defaults, but </w:t>
      </w: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downgrades and outlook revisions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for lower-BBB names.</w:t>
      </w:r>
    </w:p>
    <w:p w14:paraId="2FAAA78E" w14:textId="77777777" w:rsidR="00EF1D79" w:rsidRPr="00EF1D79" w:rsidRDefault="00E973D9" w:rsidP="00EF1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3D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681B34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0EACBAD" w14:textId="77777777" w:rsidR="00EF1D79" w:rsidRPr="00EF1D79" w:rsidRDefault="00EF1D79" w:rsidP="00EF1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D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EF1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Balance Sheet &amp; Ratings Sensitivities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597"/>
        <w:gridCol w:w="2616"/>
        <w:gridCol w:w="2140"/>
      </w:tblGrid>
      <w:tr w:rsidR="00EF1D79" w:rsidRPr="00EF1D79" w14:paraId="2FF2A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48491" w14:textId="77777777" w:rsidR="00EF1D79" w:rsidRPr="00EF1D79" w:rsidRDefault="00EF1D79" w:rsidP="00EF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Subsegment</w:t>
            </w:r>
          </w:p>
        </w:tc>
        <w:tc>
          <w:tcPr>
            <w:tcW w:w="0" w:type="auto"/>
            <w:vAlign w:val="center"/>
            <w:hideMark/>
          </w:tcPr>
          <w:p w14:paraId="7EAE648C" w14:textId="77777777" w:rsidR="00EF1D79" w:rsidRPr="00EF1D79" w:rsidRDefault="00EF1D79" w:rsidP="00EF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Profile</w:t>
            </w:r>
          </w:p>
        </w:tc>
        <w:tc>
          <w:tcPr>
            <w:tcW w:w="0" w:type="auto"/>
            <w:vAlign w:val="center"/>
            <w:hideMark/>
          </w:tcPr>
          <w:p w14:paraId="03543FB5" w14:textId="77777777" w:rsidR="00EF1D79" w:rsidRPr="00EF1D79" w:rsidRDefault="00EF1D79" w:rsidP="00EF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Credit Outcome (Severe)</w:t>
            </w:r>
          </w:p>
        </w:tc>
        <w:tc>
          <w:tcPr>
            <w:tcW w:w="0" w:type="auto"/>
            <w:vAlign w:val="center"/>
            <w:hideMark/>
          </w:tcPr>
          <w:p w14:paraId="521CA4FF" w14:textId="77777777" w:rsidR="00EF1D79" w:rsidRPr="00EF1D79" w:rsidRDefault="00EF1D79" w:rsidP="00EF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Credit Outcome (Moderate)</w:t>
            </w:r>
          </w:p>
        </w:tc>
      </w:tr>
      <w:tr w:rsidR="00EF1D79" w:rsidRPr="00EF1D79" w14:paraId="13956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245A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Regulated pureplay utilities</w:t>
            </w:r>
          </w:p>
        </w:tc>
        <w:tc>
          <w:tcPr>
            <w:tcW w:w="0" w:type="auto"/>
            <w:vAlign w:val="center"/>
            <w:hideMark/>
          </w:tcPr>
          <w:p w14:paraId="629E4C69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 cash flows, rate-based returns</w:t>
            </w:r>
          </w:p>
        </w:tc>
        <w:tc>
          <w:tcPr>
            <w:tcW w:w="0" w:type="auto"/>
            <w:vAlign w:val="center"/>
            <w:hideMark/>
          </w:tcPr>
          <w:p w14:paraId="6DE64F6E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Outlook revision, no downgrade</w:t>
            </w:r>
          </w:p>
        </w:tc>
        <w:tc>
          <w:tcPr>
            <w:tcW w:w="0" w:type="auto"/>
            <w:vAlign w:val="center"/>
            <w:hideMark/>
          </w:tcPr>
          <w:p w14:paraId="37820F65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</w:t>
            </w:r>
          </w:p>
        </w:tc>
      </w:tr>
      <w:tr w:rsidR="00EF1D79" w:rsidRPr="00EF1D79" w14:paraId="44B5C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1514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AI/data infra-focused</w:t>
            </w:r>
          </w:p>
        </w:tc>
        <w:tc>
          <w:tcPr>
            <w:tcW w:w="0" w:type="auto"/>
            <w:vAlign w:val="center"/>
            <w:hideMark/>
          </w:tcPr>
          <w:p w14:paraId="70108B56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debt, PPA reliance, stranded asset risk</w:t>
            </w:r>
          </w:p>
        </w:tc>
        <w:tc>
          <w:tcPr>
            <w:tcW w:w="0" w:type="auto"/>
            <w:vAlign w:val="center"/>
            <w:hideMark/>
          </w:tcPr>
          <w:p w14:paraId="45BE51BC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Downgrade likely (BBB– → BB)</w:t>
            </w:r>
          </w:p>
        </w:tc>
        <w:tc>
          <w:tcPr>
            <w:tcW w:w="0" w:type="auto"/>
            <w:vAlign w:val="center"/>
            <w:hideMark/>
          </w:tcPr>
          <w:p w14:paraId="31527DED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Negative watch</w:t>
            </w:r>
          </w:p>
        </w:tc>
      </w:tr>
      <w:tr w:rsidR="00EF1D79" w:rsidRPr="00EF1D79" w14:paraId="6B47C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5A9D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Renewable-heavy with debt</w:t>
            </w:r>
          </w:p>
        </w:tc>
        <w:tc>
          <w:tcPr>
            <w:tcW w:w="0" w:type="auto"/>
            <w:vAlign w:val="center"/>
            <w:hideMark/>
          </w:tcPr>
          <w:p w14:paraId="1B82F07C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Capex delayed, spread pain</w:t>
            </w:r>
          </w:p>
        </w:tc>
        <w:tc>
          <w:tcPr>
            <w:tcW w:w="0" w:type="auto"/>
            <w:vAlign w:val="center"/>
            <w:hideMark/>
          </w:tcPr>
          <w:p w14:paraId="09508869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 widening, liquidity buffers stressed</w:t>
            </w:r>
          </w:p>
        </w:tc>
        <w:tc>
          <w:tcPr>
            <w:tcW w:w="0" w:type="auto"/>
            <w:vAlign w:val="center"/>
            <w:hideMark/>
          </w:tcPr>
          <w:p w14:paraId="718DE2EF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Manageable with deleveraging</w:t>
            </w:r>
          </w:p>
        </w:tc>
      </w:tr>
    </w:tbl>
    <w:p w14:paraId="3C8CB147" w14:textId="77777777" w:rsidR="00EF1D79" w:rsidRPr="00EF1D79" w:rsidRDefault="00E973D9" w:rsidP="00EF1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3D9">
        <w:rPr>
          <w:rFonts w:ascii="Times New Roman" w:eastAsia="Times New Roman" w:hAnsi="Times New Roman" w:cs="Times New Roman"/>
          <w:noProof/>
          <w:kern w:val="0"/>
        </w:rPr>
        <w:pict w14:anchorId="54FAC5B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79D844" w14:textId="77777777" w:rsidR="00EF1D79" w:rsidRPr="00EF1D79" w:rsidRDefault="00EF1D79" w:rsidP="00EF1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D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EF1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Second-Order &amp; Long-Tail Risks</w:t>
      </w:r>
    </w:p>
    <w:p w14:paraId="696AA2FC" w14:textId="77777777" w:rsidR="00EF1D79" w:rsidRPr="00EF1D79" w:rsidRDefault="00EF1D79" w:rsidP="00EF1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delay contagion: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AI buildout slowdown forces utilities to rethink long-term grid expansion, pulling forward asset impairments.</w:t>
      </w:r>
    </w:p>
    <w:p w14:paraId="3AFB882C" w14:textId="77777777" w:rsidR="00EF1D79" w:rsidRPr="00EF1D79" w:rsidRDefault="00EF1D79" w:rsidP="00EF1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Rate-case dislocation: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Regulatory lag between input cost surge (debt) and allowed return leads to margin compression.</w:t>
      </w:r>
    </w:p>
    <w:p w14:paraId="5EA3C5AB" w14:textId="77777777" w:rsidR="00EF1D79" w:rsidRPr="00EF1D79" w:rsidRDefault="00EF1D79" w:rsidP="00EF1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Cross-sector feedback: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Utilities with private credit funding (NBFI) face refinancing problems as shadow bank risk spikes.</w:t>
      </w:r>
    </w:p>
    <w:p w14:paraId="4BE3081D" w14:textId="77777777" w:rsidR="00EF1D79" w:rsidRPr="00EF1D79" w:rsidRDefault="00EF1D79" w:rsidP="00EF1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whiplash: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Fiscal backtracking on AI/clean-energy subsidies strains hybrid business models.</w:t>
      </w:r>
    </w:p>
    <w:p w14:paraId="5FBB15F4" w14:textId="77777777" w:rsidR="00EF1D79" w:rsidRPr="00EF1D79" w:rsidRDefault="00E973D9" w:rsidP="00EF1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3D9">
        <w:rPr>
          <w:rFonts w:ascii="Times New Roman" w:eastAsia="Times New Roman" w:hAnsi="Times New Roman" w:cs="Times New Roman"/>
          <w:noProof/>
          <w:kern w:val="0"/>
        </w:rPr>
        <w:pict w14:anchorId="26C53E4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460E2E" w14:textId="77777777" w:rsidR="00EF1D79" w:rsidRPr="00EF1D79" w:rsidRDefault="00EF1D79" w:rsidP="00EF1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D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EF1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Utilities Sector: Alignment with Scenario Severity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778"/>
        <w:gridCol w:w="1701"/>
        <w:gridCol w:w="4440"/>
      </w:tblGrid>
      <w:tr w:rsidR="00EF1D79" w:rsidRPr="00EF1D79" w14:paraId="609E52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ABAB3" w14:textId="77777777" w:rsidR="00EF1D79" w:rsidRPr="00EF1D79" w:rsidRDefault="00EF1D79" w:rsidP="00EF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 Phase</w:t>
            </w:r>
          </w:p>
        </w:tc>
        <w:tc>
          <w:tcPr>
            <w:tcW w:w="0" w:type="auto"/>
            <w:vAlign w:val="center"/>
            <w:hideMark/>
          </w:tcPr>
          <w:p w14:paraId="5BF94383" w14:textId="77777777" w:rsidR="00EF1D79" w:rsidRPr="00EF1D79" w:rsidRDefault="00EF1D79" w:rsidP="00EF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Equity Impact</w:t>
            </w:r>
          </w:p>
        </w:tc>
        <w:tc>
          <w:tcPr>
            <w:tcW w:w="0" w:type="auto"/>
            <w:vAlign w:val="center"/>
            <w:hideMark/>
          </w:tcPr>
          <w:p w14:paraId="049FD44E" w14:textId="77777777" w:rsidR="00EF1D79" w:rsidRPr="00EF1D79" w:rsidRDefault="00EF1D79" w:rsidP="00EF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Credit Impact</w:t>
            </w:r>
          </w:p>
        </w:tc>
        <w:tc>
          <w:tcPr>
            <w:tcW w:w="0" w:type="auto"/>
            <w:vAlign w:val="center"/>
            <w:hideMark/>
          </w:tcPr>
          <w:p w14:paraId="02A07467" w14:textId="77777777" w:rsidR="00EF1D79" w:rsidRPr="00EF1D79" w:rsidRDefault="00EF1D79" w:rsidP="00EF1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Drivers</w:t>
            </w:r>
          </w:p>
        </w:tc>
      </w:tr>
      <w:tr w:rsidR="00EF1D79" w:rsidRPr="00EF1D79" w14:paraId="2B087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1CD2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Moderate Shock</w:t>
            </w:r>
          </w:p>
        </w:tc>
        <w:tc>
          <w:tcPr>
            <w:tcW w:w="0" w:type="auto"/>
            <w:vAlign w:val="center"/>
            <w:hideMark/>
          </w:tcPr>
          <w:p w14:paraId="2EEE7BBB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–7% to –15%</w:t>
            </w:r>
          </w:p>
        </w:tc>
        <w:tc>
          <w:tcPr>
            <w:tcW w:w="0" w:type="auto"/>
            <w:vAlign w:val="center"/>
            <w:hideMark/>
          </w:tcPr>
          <w:p w14:paraId="0E0D8DCD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+80–150bps</w:t>
            </w:r>
          </w:p>
        </w:tc>
        <w:tc>
          <w:tcPr>
            <w:tcW w:w="0" w:type="auto"/>
            <w:vAlign w:val="center"/>
            <w:hideMark/>
          </w:tcPr>
          <w:p w14:paraId="3905B549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Risk-off regime, funding stress, mild demand re-rating</w:t>
            </w:r>
          </w:p>
        </w:tc>
      </w:tr>
      <w:tr w:rsidR="00EF1D79" w:rsidRPr="00EF1D79" w14:paraId="79503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A2D4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Severe Shock</w:t>
            </w:r>
          </w:p>
        </w:tc>
        <w:tc>
          <w:tcPr>
            <w:tcW w:w="0" w:type="auto"/>
            <w:vAlign w:val="center"/>
            <w:hideMark/>
          </w:tcPr>
          <w:p w14:paraId="036C988E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–15% to –30% (AI-linked)</w:t>
            </w:r>
          </w:p>
        </w:tc>
        <w:tc>
          <w:tcPr>
            <w:tcW w:w="0" w:type="auto"/>
            <w:vAlign w:val="center"/>
            <w:hideMark/>
          </w:tcPr>
          <w:p w14:paraId="78252486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+150–300bps (IG to HY)</w:t>
            </w:r>
          </w:p>
        </w:tc>
        <w:tc>
          <w:tcPr>
            <w:tcW w:w="0" w:type="auto"/>
            <w:vAlign w:val="center"/>
            <w:hideMark/>
          </w:tcPr>
          <w:p w14:paraId="43F71793" w14:textId="77777777" w:rsidR="00EF1D79" w:rsidRPr="00EF1D79" w:rsidRDefault="00EF1D79" w:rsidP="00EF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power demand collapse, PPA cancellations, NBFI stress, capex freeze</w:t>
            </w:r>
          </w:p>
        </w:tc>
      </w:tr>
    </w:tbl>
    <w:p w14:paraId="1526F394" w14:textId="77777777" w:rsidR="00EF1D79" w:rsidRPr="00EF1D79" w:rsidRDefault="00E973D9" w:rsidP="00EF1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3D9">
        <w:rPr>
          <w:rFonts w:ascii="Times New Roman" w:eastAsia="Times New Roman" w:hAnsi="Times New Roman" w:cs="Times New Roman"/>
          <w:noProof/>
          <w:kern w:val="0"/>
        </w:rPr>
        <w:pict w14:anchorId="16EDA38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0E0BAB" w14:textId="1D884698" w:rsidR="00BD47CF" w:rsidRPr="00EF1D79" w:rsidRDefault="00EF1D79" w:rsidP="00EF1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Let me know if you’d like this formatted into a </w:t>
      </w: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PowerBI/Excel driver table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, or mapped to </w:t>
      </w:r>
      <w:r w:rsidRPr="00EF1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tickers, IG/HY curves, or CDS names</w:t>
      </w:r>
      <w:r w:rsidRPr="00EF1D79">
        <w:rPr>
          <w:rFonts w:ascii="Times New Roman" w:eastAsia="Times New Roman" w:hAnsi="Times New Roman" w:cs="Times New Roman"/>
          <w:kern w:val="0"/>
          <w14:ligatures w14:val="none"/>
        </w:rPr>
        <w:t xml:space="preserve"> for integration into downstream CCAR/ICAAP modeling.</w:t>
      </w:r>
    </w:p>
    <w:sectPr w:rsidR="00BD47CF" w:rsidRPr="00EF1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670D"/>
    <w:multiLevelType w:val="multilevel"/>
    <w:tmpl w:val="D2A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517A7"/>
    <w:multiLevelType w:val="multilevel"/>
    <w:tmpl w:val="274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B416C"/>
    <w:multiLevelType w:val="multilevel"/>
    <w:tmpl w:val="3AA0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A6503"/>
    <w:multiLevelType w:val="multilevel"/>
    <w:tmpl w:val="E76E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67814"/>
    <w:multiLevelType w:val="multilevel"/>
    <w:tmpl w:val="F4C4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14857">
    <w:abstractNumId w:val="0"/>
  </w:num>
  <w:num w:numId="2" w16cid:durableId="949319203">
    <w:abstractNumId w:val="1"/>
  </w:num>
  <w:num w:numId="3" w16cid:durableId="1320230182">
    <w:abstractNumId w:val="4"/>
  </w:num>
  <w:num w:numId="4" w16cid:durableId="417557440">
    <w:abstractNumId w:val="3"/>
  </w:num>
  <w:num w:numId="5" w16cid:durableId="667170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79"/>
    <w:rsid w:val="000F3104"/>
    <w:rsid w:val="00500061"/>
    <w:rsid w:val="006F5582"/>
    <w:rsid w:val="00BD47CF"/>
    <w:rsid w:val="00E973D9"/>
    <w:rsid w:val="00EF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AACDD"/>
  <w15:chartTrackingRefBased/>
  <w15:docId w15:val="{E00AFB1E-C0B5-3E40-B691-68E7A9D3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1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1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1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1D79"/>
    <w:rPr>
      <w:b/>
      <w:bCs/>
    </w:rPr>
  </w:style>
  <w:style w:type="character" w:styleId="Emphasis">
    <w:name w:val="Emphasis"/>
    <w:basedOn w:val="DefaultParagraphFont"/>
    <w:uiPriority w:val="20"/>
    <w:qFormat/>
    <w:rsid w:val="00EF1D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Islam</dc:creator>
  <cp:keywords/>
  <dc:description/>
  <cp:lastModifiedBy>Mo Islam</cp:lastModifiedBy>
  <cp:revision>1</cp:revision>
  <dcterms:created xsi:type="dcterms:W3CDTF">2025-12-08T22:03:00Z</dcterms:created>
  <dcterms:modified xsi:type="dcterms:W3CDTF">2025-12-08T22:03:00Z</dcterms:modified>
</cp:coreProperties>
</file>