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0"/>
        <w:jc w:val="center"/>
      </w:pPr>
      <w:r>
        <w:rPr>
          <w:rFonts w:ascii="Arial" w:cs="Arial" w:eastAsia="Arial" w:hAnsi="Arial"/>
          <w:b/>
          <w:bCs/>
          <w:color w:val="1F4E79"/>
          <w:sz w:val="72"/>
          <w:szCs w:val="72"/>
        </w:rPr>
        <w:t xml:space="preserve">RISK DRIVER</w:t>
      </w:r>
    </w:p>
    <w:p>
      <w:pPr>
        <w:spacing w:after="0"/>
        <w:jc w:val="center"/>
      </w:pPr>
      <w:r>
        <w:rPr>
          <w:rFonts w:ascii="Arial" w:cs="Arial" w:eastAsia="Arial" w:hAnsi="Arial"/>
          <w:b/>
          <w:bCs/>
          <w:color w:val="1F4E79"/>
          <w:sz w:val="72"/>
          <w:szCs w:val="72"/>
        </w:rPr>
        <w:t xml:space="preserve">NOMENCLATURE &amp;</w:t>
      </w:r>
    </w:p>
    <w:p>
      <w:pPr>
        <w:spacing w:after="400"/>
        <w:jc w:val="center"/>
      </w:pPr>
      <w:r>
        <w:rPr>
          <w:rFonts w:ascii="Arial" w:cs="Arial" w:eastAsia="Arial" w:hAnsi="Arial"/>
          <w:b/>
          <w:bCs/>
          <w:color w:val="1F4E79"/>
          <w:sz w:val="72"/>
          <w:szCs w:val="72"/>
        </w:rPr>
        <w:t xml:space="preserve">INTUITION GUIDE</w:t>
      </w:r>
    </w:p>
    <w:p>
      <w:pPr>
        <w:spacing w:after="400"/>
        <w:jc w:val="center"/>
      </w:pPr>
      <w:r>
        <w:rPr>
          <w:color w:val="2E75B6"/>
          <w:sz w:val="28"/>
          <w:szCs w:val="28"/>
        </w:rPr>
        <w:t xml:space="preserve">━━━━━━━━━━━━━━━━━━━━━━━━━━━━━━━━━━━━━━━━━━━━━</w:t>
      </w:r>
    </w:p>
    <w:p>
      <w:pPr>
        <w:spacing w:after="100"/>
        <w:jc w:val="center"/>
      </w:pPr>
      <w:r>
        <w:rPr>
          <w:rFonts w:ascii="Arial" w:cs="Arial" w:eastAsia="Arial" w:hAnsi="Arial"/>
          <w:color w:val="444444"/>
          <w:sz w:val="32"/>
          <w:szCs w:val="32"/>
        </w:rPr>
        <w:t xml:space="preserve">Comprehensive Reference for</w:t>
      </w:r>
    </w:p>
    <w:p>
      <w:pPr>
        <w:spacing w:after="600"/>
        <w:jc w:val="center"/>
      </w:pPr>
      <w:r>
        <w:rPr>
          <w:rFonts w:ascii="Arial" w:cs="Arial" w:eastAsia="Arial" w:hAnsi="Arial"/>
          <w:b/>
          <w:bCs/>
          <w:color w:val="2E75B6"/>
          <w:sz w:val="28"/>
          <w:szCs w:val="28"/>
        </w:rPr>
        <w:t xml:space="preserve">Equity • Credit • Commodities • Rates • FX • Volatility</w:t>
      </w:r>
    </w:p>
    <w:p>
      <w:pPr>
        <w:spacing w:after="800"/>
        <w:jc w:val="center"/>
      </w:pPr>
      <w:r>
        <w:rPr>
          <w:rFonts w:ascii="Arial" w:cs="Arial" w:eastAsia="Arial" w:hAnsi="Arial"/>
          <w:i/>
          <w:iCs/>
          <w:color w:val="666666"/>
          <w:sz w:val="24"/>
          <w:szCs w:val="24"/>
        </w:rPr>
        <w:t xml:space="preserve">One-Sentence Intuition | Mathematical Formulas | Trading Logic | Risk Applications</w:t>
      </w:r>
    </w:p>
    <w:p>
      <w:pPr>
        <w:spacing w:after="100"/>
        <w:jc w:val="center"/>
      </w:pPr>
      <w:r>
        <w:rPr>
          <w:rFonts w:ascii="Arial" w:cs="Arial" w:eastAsia="Arial" w:hAnsi="Arial"/>
          <w:b/>
          <w:bCs/>
          <w:sz w:val="28"/>
          <w:szCs w:val="28"/>
        </w:rPr>
        <w:t xml:space="preserve">Market Risk Analytics</w:t>
      </w:r>
    </w:p>
    <w:p>
      <w:pPr>
        <w:spacing w:after="100"/>
        <w:jc w:val="center"/>
      </w:pPr>
      <w:r>
        <w:rPr>
          <w:rFonts w:ascii="Arial" w:cs="Arial" w:eastAsia="Arial" w:hAnsi="Arial"/>
          <w:color w:val="666666"/>
          <w:sz w:val="24"/>
          <w:szCs w:val="24"/>
        </w:rPr>
        <w:t xml:space="preserve">Corporate &amp; Investment Banking</w:t>
      </w:r>
    </w:p>
    <w:p>
      <w:pPr>
        <w:jc w:val="center"/>
      </w:pPr>
      <w:r>
        <w:rPr>
          <w:rFonts w:ascii="Arial" w:cs="Arial" w:eastAsia="Arial" w:hAnsi="Arial"/>
          <w:color w:val="666666"/>
          <w:sz w:val="24"/>
          <w:szCs w:val="24"/>
        </w:rPr>
        <w:t xml:space="preserve">January 2026</w:t>
      </w:r>
    </w:p>
    <w:p>
      <w:r>
        <w:br w:type="page"/>
      </w:r>
    </w:p>
    <w:p>
      <w:pPr>
        <w:pStyle w:val="Heading1"/>
      </w:pPr>
      <w:r>
        <w:t xml:space="preserve">EXECUTIVE SUMMARY</w:t>
      </w:r>
    </w:p>
    <w:p>
      <w:pPr>
        <w:spacing w:after="120"/>
        <w:jc w:val="left"/>
      </w:pPr>
      <w:r>
        <w:t xml:space="preserve">This guide provides a comprehensive reference for understanding, calculating, and applying risk drivers across all major asset classes. Each driver type includes:</w:t>
      </w:r>
    </w:p>
    <w:p>
      <w:pPr>
        <w:pStyle w:val="ListParagraph"/>
        <w:numPr>
          <w:ilvl w:val="0"/>
          <w:numId w:val="2"/>
        </w:numPr>
      </w:pPr>
      <w:r>
        <w:rPr>
          <w:b/>
          <w:bCs/>
        </w:rPr>
        <w:t xml:space="preserve">One-Sentence Intuition: </w:t>
      </w:r>
      <w:r>
        <w:t xml:space="preserve">What the driver represents and why it matters for P&amp;L</w:t>
      </w:r>
    </w:p>
    <w:p>
      <w:pPr>
        <w:pStyle w:val="ListParagraph"/>
        <w:numPr>
          <w:ilvl w:val="0"/>
          <w:numId w:val="2"/>
        </w:numPr>
      </w:pPr>
      <w:r>
        <w:rPr>
          <w:b/>
          <w:bCs/>
        </w:rPr>
        <w:t xml:space="preserve">Mathematical Formula: </w:t>
      </w:r>
      <w:r>
        <w:t xml:space="preserve">How to calculate stressed values and resulting P&amp;L</w:t>
      </w:r>
    </w:p>
    <w:p>
      <w:pPr>
        <w:pStyle w:val="ListParagraph"/>
        <w:numPr>
          <w:ilvl w:val="0"/>
          <w:numId w:val="2"/>
        </w:numPr>
      </w:pPr>
      <w:r>
        <w:rPr>
          <w:b/>
          <w:bCs/>
        </w:rPr>
        <w:t xml:space="preserve">Shift Type &amp; Units: </w:t>
      </w:r>
      <w:r>
        <w:t xml:space="preserve">Whether shocks are relative (%) or absolute (bp/pts)</w:t>
      </w:r>
    </w:p>
    <w:p>
      <w:pPr>
        <w:pStyle w:val="ListParagraph"/>
        <w:numPr>
          <w:ilvl w:val="0"/>
          <w:numId w:val="2"/>
        </w:numPr>
      </w:pPr>
      <w:r>
        <w:rPr>
          <w:b/>
          <w:bCs/>
        </w:rPr>
        <w:t xml:space="preserve">Trading &amp; Risk Applications: </w:t>
      </w:r>
      <w:r>
        <w:t xml:space="preserve">Where this driver appears in pricing, hedging, and risk systems</w:t>
      </w:r>
    </w:p>
    <w:p>
      <w:pPr>
        <w:pStyle w:val="ListParagraph"/>
        <w:numPr>
          <w:ilvl w:val="0"/>
          <w:numId w:val="2"/>
        </w:numPr>
        <w:spacing w:after="200"/>
      </w:pPr>
      <w:r>
        <w:rPr>
          <w:b/>
          <w:bCs/>
        </w:rPr>
        <w:t xml:space="preserve">Example Shocks: </w:t>
      </w:r>
      <w:r>
        <w:t xml:space="preserve">Calibrated values for moderate and severe AI bubble correction scenarios</w:t>
      </w:r>
    </w:p>
    <w:p>
      <w:pPr>
        <w:spacing w:before="300" w:after="150"/>
      </w:pPr>
      <w:r>
        <w:rPr>
          <w:b/>
          <w:bCs/>
          <w:color w:val="1F4E79"/>
          <w:sz w:val="24"/>
          <w:szCs w:val="24"/>
        </w:rPr>
        <w:t xml:space="preserve">ASSET CLASS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Asset</w:t>
            </w:r>
          </w:p>
        </w:tc>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Driver Types</w:t>
            </w:r>
          </w:p>
        </w:tc>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Primary Shift</w:t>
            </w:r>
          </w:p>
        </w:tc>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Key Applications</w:t>
            </w:r>
          </w:p>
        </w:tc>
      </w:tr>
      <w:tr>
        <w:tc>
          <w:tcPr>
            <w:tcW w:type="dxa" w:w="1800"/>
            <w:tcBorders>
              <w:top w:val="single" w:color="CCCCCC" w:sz="1"/>
              <w:left w:val="single" w:color="CCCCCC" w:sz="1"/>
              <w:bottom w:val="single" w:color="CCCCCC" w:sz="1"/>
              <w:right w:val="single" w:color="CCCCCC" w:sz="1"/>
            </w:tcBorders>
            <w:shd w:fill="C6EFCE" w:val="clear"/>
          </w:tcPr>
          <w:p>
            <w:pPr>
              <w:jc w:val="center"/>
            </w:pPr>
            <w:r>
              <w:rPr>
                <w:b/>
                <w:bCs/>
                <w:sz w:val="22"/>
                <w:szCs w:val="22"/>
              </w:rPr>
              <w:t xml:space="preserve">EQ</w:t>
            </w:r>
          </w:p>
        </w:tc>
        <w:tc>
          <w:tcPr>
            <w:tcW w:type="dxa" w:w="2400"/>
            <w:tcBorders>
              <w:top w:val="single" w:color="CCCCCC" w:sz="1"/>
              <w:left w:val="single" w:color="CCCCCC" w:sz="1"/>
              <w:bottom w:val="single" w:color="CCCCCC" w:sz="1"/>
              <w:right w:val="single" w:color="CCCCCC" w:sz="1"/>
            </w:tcBorders>
            <w:shd w:fill="C6EFCE" w:val="clear"/>
          </w:tcPr>
          <w:p>
            <w:r>
              <w:rPr>
                <w:sz w:val="20"/>
                <w:szCs w:val="20"/>
              </w:rPr>
              <w:t xml:space="preserve">PRC, VOL, SKEW, DIV, REPO, CORR</w:t>
            </w:r>
          </w:p>
        </w:tc>
        <w:tc>
          <w:tcPr>
            <w:tcW w:type="dxa" w:w="2400"/>
            <w:tcBorders>
              <w:top w:val="single" w:color="CCCCCC" w:sz="1"/>
              <w:left w:val="single" w:color="CCCCCC" w:sz="1"/>
              <w:bottom w:val="single" w:color="CCCCCC" w:sz="1"/>
              <w:right w:val="single" w:color="CCCCCC" w:sz="1"/>
            </w:tcBorders>
            <w:shd w:fill="C6EFCE" w:val="clear"/>
          </w:tcPr>
          <w:p>
            <w:r>
              <w:rPr>
                <w:sz w:val="20"/>
                <w:szCs w:val="20"/>
              </w:rPr>
              <w:t xml:space="preserve">Relative (%), Absolute (vol pts)</w:t>
            </w:r>
          </w:p>
        </w:tc>
        <w:tc>
          <w:tcPr>
            <w:tcW w:type="dxa" w:w="2400"/>
            <w:tcBorders>
              <w:top w:val="single" w:color="CCCCCC" w:sz="1"/>
              <w:left w:val="single" w:color="CCCCCC" w:sz="1"/>
              <w:bottom w:val="single" w:color="CCCCCC" w:sz="1"/>
              <w:right w:val="single" w:color="CCCCCC" w:sz="1"/>
            </w:tcBorders>
            <w:shd w:fill="C6EFCE" w:val="clear"/>
          </w:tcPr>
          <w:p>
            <w:r>
              <w:rPr>
                <w:sz w:val="20"/>
                <w:szCs w:val="20"/>
              </w:rPr>
              <w:t xml:space="preserve">Delta, Vega, Correlation hedging</w:t>
            </w:r>
          </w:p>
        </w:tc>
      </w:tr>
      <w:tr>
        <w:tc>
          <w:tcPr>
            <w:tcW w:type="dxa" w:w="1800"/>
            <w:tcBorders>
              <w:top w:val="single" w:color="CCCCCC" w:sz="1"/>
              <w:left w:val="single" w:color="CCCCCC" w:sz="1"/>
              <w:bottom w:val="single" w:color="CCCCCC" w:sz="1"/>
              <w:right w:val="single" w:color="CCCCCC" w:sz="1"/>
            </w:tcBorders>
            <w:shd w:fill="FCE4D6" w:val="clear"/>
          </w:tcPr>
          <w:p>
            <w:pPr>
              <w:jc w:val="center"/>
            </w:pPr>
            <w:r>
              <w:rPr>
                <w:b/>
                <w:bCs/>
                <w:sz w:val="22"/>
                <w:szCs w:val="22"/>
              </w:rPr>
              <w:t xml:space="preserve">CP</w:t>
            </w:r>
          </w:p>
        </w:tc>
        <w:tc>
          <w:tcPr>
            <w:tcW w:type="dxa" w:w="2400"/>
            <w:tcBorders>
              <w:top w:val="single" w:color="CCCCCC" w:sz="1"/>
              <w:left w:val="single" w:color="CCCCCC" w:sz="1"/>
              <w:bottom w:val="single" w:color="CCCCCC" w:sz="1"/>
              <w:right w:val="single" w:color="CCCCCC" w:sz="1"/>
            </w:tcBorders>
            <w:shd w:fill="FCE4D6" w:val="clear"/>
          </w:tcPr>
          <w:p>
            <w:r>
              <w:rPr>
                <w:sz w:val="20"/>
                <w:szCs w:val="20"/>
              </w:rPr>
              <w:t xml:space="preserve">CDS, CDSI, OAS, ZSPRD, ASW</w:t>
            </w:r>
          </w:p>
        </w:tc>
        <w:tc>
          <w:tcPr>
            <w:tcW w:type="dxa" w:w="2400"/>
            <w:tcBorders>
              <w:top w:val="single" w:color="CCCCCC" w:sz="1"/>
              <w:left w:val="single" w:color="CCCCCC" w:sz="1"/>
              <w:bottom w:val="single" w:color="CCCCCC" w:sz="1"/>
              <w:right w:val="single" w:color="CCCCCC" w:sz="1"/>
            </w:tcBorders>
            <w:shd w:fill="FCE4D6" w:val="clear"/>
          </w:tcPr>
          <w:p>
            <w:r>
              <w:rPr>
                <w:sz w:val="20"/>
                <w:szCs w:val="20"/>
              </w:rPr>
              <w:t xml:space="preserve">Absolute (bp)</w:t>
            </w:r>
          </w:p>
        </w:tc>
        <w:tc>
          <w:tcPr>
            <w:tcW w:type="dxa" w:w="2400"/>
            <w:tcBorders>
              <w:top w:val="single" w:color="CCCCCC" w:sz="1"/>
              <w:left w:val="single" w:color="CCCCCC" w:sz="1"/>
              <w:bottom w:val="single" w:color="CCCCCC" w:sz="1"/>
              <w:right w:val="single" w:color="CCCCCC" w:sz="1"/>
            </w:tcBorders>
            <w:shd w:fill="FCE4D6" w:val="clear"/>
          </w:tcPr>
          <w:p>
            <w:r>
              <w:rPr>
                <w:sz w:val="20"/>
                <w:szCs w:val="20"/>
              </w:rPr>
              <w:t xml:space="preserve">Credit VaR, basis trades, default protection</w:t>
            </w:r>
          </w:p>
        </w:tc>
      </w:tr>
      <w:tr>
        <w:tc>
          <w:tcPr>
            <w:tcW w:type="dxa" w:w="1800"/>
            <w:tcBorders>
              <w:top w:val="single" w:color="CCCCCC" w:sz="1"/>
              <w:left w:val="single" w:color="CCCCCC" w:sz="1"/>
              <w:bottom w:val="single" w:color="CCCCCC" w:sz="1"/>
              <w:right w:val="single" w:color="CCCCCC" w:sz="1"/>
            </w:tcBorders>
            <w:shd w:fill="D6E3F8" w:val="clear"/>
          </w:tcPr>
          <w:p>
            <w:pPr>
              <w:jc w:val="center"/>
            </w:pPr>
            <w:r>
              <w:rPr>
                <w:b/>
                <w:bCs/>
                <w:sz w:val="22"/>
                <w:szCs w:val="22"/>
              </w:rPr>
              <w:t xml:space="preserve">CO</w:t>
            </w:r>
          </w:p>
        </w:tc>
        <w:tc>
          <w:tcPr>
            <w:tcW w:type="dxa" w:w="2400"/>
            <w:tcBorders>
              <w:top w:val="single" w:color="CCCCCC" w:sz="1"/>
              <w:left w:val="single" w:color="CCCCCC" w:sz="1"/>
              <w:bottom w:val="single" w:color="CCCCCC" w:sz="1"/>
              <w:right w:val="single" w:color="CCCCCC" w:sz="1"/>
            </w:tcBorders>
            <w:shd w:fill="D6E3F8" w:val="clear"/>
          </w:tcPr>
          <w:p>
            <w:r>
              <w:rPr>
                <w:sz w:val="20"/>
                <w:szCs w:val="20"/>
              </w:rPr>
              <w:t xml:space="preserve">SPT, FWD, BASIS, CRACK, ROLL, VOL</w:t>
            </w:r>
          </w:p>
        </w:tc>
        <w:tc>
          <w:tcPr>
            <w:tcW w:type="dxa" w:w="2400"/>
            <w:tcBorders>
              <w:top w:val="single" w:color="CCCCCC" w:sz="1"/>
              <w:left w:val="single" w:color="CCCCCC" w:sz="1"/>
              <w:bottom w:val="single" w:color="CCCCCC" w:sz="1"/>
              <w:right w:val="single" w:color="CCCCCC" w:sz="1"/>
            </w:tcBorders>
            <w:shd w:fill="D6E3F8" w:val="clear"/>
          </w:tcPr>
          <w:p>
            <w:r>
              <w:rPr>
                <w:sz w:val="20"/>
                <w:szCs w:val="20"/>
              </w:rPr>
              <w:t xml:space="preserve">Relative (%), Absolute ($/unit)</w:t>
            </w:r>
          </w:p>
        </w:tc>
        <w:tc>
          <w:tcPr>
            <w:tcW w:type="dxa" w:w="2400"/>
            <w:tcBorders>
              <w:top w:val="single" w:color="CCCCCC" w:sz="1"/>
              <w:left w:val="single" w:color="CCCCCC" w:sz="1"/>
              <w:bottom w:val="single" w:color="CCCCCC" w:sz="1"/>
              <w:right w:val="single" w:color="CCCCCC" w:sz="1"/>
            </w:tcBorders>
            <w:shd w:fill="D6E3F8" w:val="clear"/>
          </w:tcPr>
          <w:p>
            <w:r>
              <w:rPr>
                <w:sz w:val="20"/>
                <w:szCs w:val="20"/>
              </w:rPr>
              <w:t xml:space="preserve">Physical hedging, refining margins, roll optimization</w:t>
            </w:r>
          </w:p>
        </w:tc>
      </w:tr>
      <w:tr>
        <w:tc>
          <w:tcPr>
            <w:tcW w:type="dxa" w:w="1800"/>
            <w:tcBorders>
              <w:top w:val="single" w:color="CCCCCC" w:sz="1"/>
              <w:left w:val="single" w:color="CCCCCC" w:sz="1"/>
              <w:bottom w:val="single" w:color="CCCCCC" w:sz="1"/>
              <w:right w:val="single" w:color="CCCCCC" w:sz="1"/>
            </w:tcBorders>
            <w:shd w:fill="FFF2CC" w:val="clear"/>
          </w:tcPr>
          <w:p>
            <w:pPr>
              <w:jc w:val="center"/>
            </w:pPr>
            <w:r>
              <w:rPr>
                <w:b/>
                <w:bCs/>
                <w:sz w:val="22"/>
                <w:szCs w:val="22"/>
              </w:rPr>
              <w:t xml:space="preserve">RT</w:t>
            </w:r>
          </w:p>
        </w:tc>
        <w:tc>
          <w:tcPr>
            <w:tcW w:type="dxa" w:w="2400"/>
            <w:tcBorders>
              <w:top w:val="single" w:color="CCCCCC" w:sz="1"/>
              <w:left w:val="single" w:color="CCCCCC" w:sz="1"/>
              <w:bottom w:val="single" w:color="CCCCCC" w:sz="1"/>
              <w:right w:val="single" w:color="CCCCCC" w:sz="1"/>
            </w:tcBorders>
            <w:shd w:fill="FFF2CC" w:val="clear"/>
          </w:tcPr>
          <w:p>
            <w:r>
              <w:rPr>
                <w:sz w:val="20"/>
                <w:szCs w:val="20"/>
              </w:rPr>
              <w:t xml:space="preserve">YIELD, SWAP, CURVE, FWD, VOL</w:t>
            </w:r>
          </w:p>
        </w:tc>
        <w:tc>
          <w:tcPr>
            <w:tcW w:type="dxa" w:w="2400"/>
            <w:tcBorders>
              <w:top w:val="single" w:color="CCCCCC" w:sz="1"/>
              <w:left w:val="single" w:color="CCCCCC" w:sz="1"/>
              <w:bottom w:val="single" w:color="CCCCCC" w:sz="1"/>
              <w:right w:val="single" w:color="CCCCCC" w:sz="1"/>
            </w:tcBorders>
            <w:shd w:fill="FFF2CC" w:val="clear"/>
          </w:tcPr>
          <w:p>
            <w:r>
              <w:rPr>
                <w:sz w:val="20"/>
                <w:szCs w:val="20"/>
              </w:rPr>
              <w:t xml:space="preserve">Absolute (bp)</w:t>
            </w:r>
          </w:p>
        </w:tc>
        <w:tc>
          <w:tcPr>
            <w:tcW w:type="dxa" w:w="2400"/>
            <w:tcBorders>
              <w:top w:val="single" w:color="CCCCCC" w:sz="1"/>
              <w:left w:val="single" w:color="CCCCCC" w:sz="1"/>
              <w:bottom w:val="single" w:color="CCCCCC" w:sz="1"/>
              <w:right w:val="single" w:color="CCCCCC" w:sz="1"/>
            </w:tcBorders>
            <w:shd w:fill="FFF2CC" w:val="clear"/>
          </w:tcPr>
          <w:p>
            <w:r>
              <w:rPr>
                <w:sz w:val="20"/>
                <w:szCs w:val="20"/>
              </w:rPr>
              <w:t xml:space="preserve">Duration hedging, curve trades, swaption pricing</w:t>
            </w:r>
          </w:p>
        </w:tc>
      </w:tr>
      <w:tr>
        <w:tc>
          <w:tcPr>
            <w:tcW w:type="dxa" w:w="1800"/>
            <w:tcBorders>
              <w:top w:val="single" w:color="CCCCCC" w:sz="1"/>
              <w:left w:val="single" w:color="CCCCCC" w:sz="1"/>
              <w:bottom w:val="single" w:color="CCCCCC" w:sz="1"/>
              <w:right w:val="single" w:color="CCCCCC" w:sz="1"/>
            </w:tcBorders>
            <w:shd w:fill="E4DFEC" w:val="clear"/>
          </w:tcPr>
          <w:p>
            <w:pPr>
              <w:jc w:val="center"/>
            </w:pPr>
            <w:r>
              <w:rPr>
                <w:b/>
                <w:bCs/>
                <w:sz w:val="22"/>
                <w:szCs w:val="22"/>
              </w:rPr>
              <w:t xml:space="preserve">FX</w:t>
            </w:r>
          </w:p>
        </w:tc>
        <w:tc>
          <w:tcPr>
            <w:tcW w:type="dxa" w:w="2400"/>
            <w:tcBorders>
              <w:top w:val="single" w:color="CCCCCC" w:sz="1"/>
              <w:left w:val="single" w:color="CCCCCC" w:sz="1"/>
              <w:bottom w:val="single" w:color="CCCCCC" w:sz="1"/>
              <w:right w:val="single" w:color="CCCCCC" w:sz="1"/>
            </w:tcBorders>
            <w:shd w:fill="E4DFEC" w:val="clear"/>
          </w:tcPr>
          <w:p>
            <w:r>
              <w:rPr>
                <w:sz w:val="20"/>
                <w:szCs w:val="20"/>
              </w:rPr>
              <w:t xml:space="preserve">SPOT, FWD, VOL, RR, BFY, BASIS</w:t>
            </w:r>
          </w:p>
        </w:tc>
        <w:tc>
          <w:tcPr>
            <w:tcW w:type="dxa" w:w="2400"/>
            <w:tcBorders>
              <w:top w:val="single" w:color="CCCCCC" w:sz="1"/>
              <w:left w:val="single" w:color="CCCCCC" w:sz="1"/>
              <w:bottom w:val="single" w:color="CCCCCC" w:sz="1"/>
              <w:right w:val="single" w:color="CCCCCC" w:sz="1"/>
            </w:tcBorders>
            <w:shd w:fill="E4DFEC" w:val="clear"/>
          </w:tcPr>
          <w:p>
            <w:r>
              <w:rPr>
                <w:sz w:val="20"/>
                <w:szCs w:val="20"/>
              </w:rPr>
              <w:t xml:space="preserve">Relative (%), Absolute (vol pts, bp)</w:t>
            </w:r>
          </w:p>
        </w:tc>
        <w:tc>
          <w:tcPr>
            <w:tcW w:type="dxa" w:w="2400"/>
            <w:tcBorders>
              <w:top w:val="single" w:color="CCCCCC" w:sz="1"/>
              <w:left w:val="single" w:color="CCCCCC" w:sz="1"/>
              <w:bottom w:val="single" w:color="CCCCCC" w:sz="1"/>
              <w:right w:val="single" w:color="CCCCCC" w:sz="1"/>
            </w:tcBorders>
            <w:shd w:fill="E4DFEC" w:val="clear"/>
          </w:tcPr>
          <w:p>
            <w:r>
              <w:rPr>
                <w:sz w:val="20"/>
                <w:szCs w:val="20"/>
              </w:rPr>
              <w:t xml:space="preserve">Currency hedging, carry trades, funding</w:t>
            </w:r>
          </w:p>
        </w:tc>
      </w:tr>
      <w:tr>
        <w:tc>
          <w:tcPr>
            <w:tcW w:type="dxa" w:w="1800"/>
            <w:tcBorders>
              <w:top w:val="single" w:color="CCCCCC" w:sz="1"/>
              <w:left w:val="single" w:color="CCCCCC" w:sz="1"/>
              <w:bottom w:val="single" w:color="CCCCCC" w:sz="1"/>
              <w:right w:val="single" w:color="CCCCCC" w:sz="1"/>
            </w:tcBorders>
            <w:shd w:fill="F4CCCC" w:val="clear"/>
          </w:tcPr>
          <w:p>
            <w:pPr>
              <w:jc w:val="center"/>
            </w:pPr>
            <w:r>
              <w:rPr>
                <w:b/>
                <w:bCs/>
                <w:sz w:val="22"/>
                <w:szCs w:val="22"/>
              </w:rPr>
              <w:t xml:space="preserve">VOL</w:t>
            </w:r>
          </w:p>
        </w:tc>
        <w:tc>
          <w:tcPr>
            <w:tcW w:type="dxa" w:w="2400"/>
            <w:tcBorders>
              <w:top w:val="single" w:color="CCCCCC" w:sz="1"/>
              <w:left w:val="single" w:color="CCCCCC" w:sz="1"/>
              <w:bottom w:val="single" w:color="CCCCCC" w:sz="1"/>
              <w:right w:val="single" w:color="CCCCCC" w:sz="1"/>
            </w:tcBorders>
            <w:shd w:fill="F4CCCC" w:val="clear"/>
          </w:tcPr>
          <w:p>
            <w:r>
              <w:rPr>
                <w:sz w:val="20"/>
                <w:szCs w:val="20"/>
              </w:rPr>
              <w:t xml:space="preserve">VIX, VVIX, TERM, SKEW, CORR, VAR</w:t>
            </w:r>
          </w:p>
        </w:tc>
        <w:tc>
          <w:tcPr>
            <w:tcW w:type="dxa" w:w="2400"/>
            <w:tcBorders>
              <w:top w:val="single" w:color="CCCCCC" w:sz="1"/>
              <w:left w:val="single" w:color="CCCCCC" w:sz="1"/>
              <w:bottom w:val="single" w:color="CCCCCC" w:sz="1"/>
              <w:right w:val="single" w:color="CCCCCC" w:sz="1"/>
            </w:tcBorders>
            <w:shd w:fill="F4CCCC" w:val="clear"/>
          </w:tcPr>
          <w:p>
            <w:r>
              <w:rPr>
                <w:sz w:val="20"/>
                <w:szCs w:val="20"/>
              </w:rPr>
              <w:t xml:space="preserve">Absolute (level, pts)</w:t>
            </w:r>
          </w:p>
        </w:tc>
        <w:tc>
          <w:tcPr>
            <w:tcW w:type="dxa" w:w="2400"/>
            <w:tcBorders>
              <w:top w:val="single" w:color="CCCCCC" w:sz="1"/>
              <w:left w:val="single" w:color="CCCCCC" w:sz="1"/>
              <w:bottom w:val="single" w:color="CCCCCC" w:sz="1"/>
              <w:right w:val="single" w:color="CCCCCC" w:sz="1"/>
            </w:tcBorders>
            <w:shd w:fill="F4CCCC" w:val="clear"/>
          </w:tcPr>
          <w:p>
            <w:r>
              <w:rPr>
                <w:sz w:val="20"/>
                <w:szCs w:val="20"/>
              </w:rPr>
              <w:t xml:space="preserve">Tail hedging, dispersion, variance swaps</w:t>
            </w:r>
          </w:p>
        </w:tc>
      </w:tr>
    </w:tbl>
    <w:p>
      <w:r>
        <w:br w:type="page"/>
      </w:r>
    </w:p>
    <w:p>
      <w:pPr>
        <w:pStyle w:val="Heading1"/>
      </w:pPr>
      <w:r>
        <w:t xml:space="preserve">1. EQUITY (EQ) DRIVERS</w:t>
      </w:r>
    </w:p>
    <w:p>
      <w:pPr>
        <w:spacing w:after="120"/>
        <w:jc w:val="left"/>
      </w:pPr>
      <w:r>
        <w:t xml:space="preserve">Equity drivers capture price risk, volatility risk, dividend risk, and correlation risk for stocks and indices. These are the foundation of delta hedging, options pricing, and portfolio risk management.</w:t>
      </w:r>
    </w:p>
    <w:p>
      <w:pPr>
        <w:shd w:fill="C6EFCE" w:val="clear"/>
        <w:spacing w:before="200" w:after="80"/>
      </w:pPr>
      <w:r>
        <w:rPr>
          <w:rFonts w:ascii="Arial Narrow" w:cs="Arial Narrow" w:eastAsia="Arial Narrow" w:hAnsi="Arial Narrow"/>
          <w:b/>
          <w:bCs/>
          <w:sz w:val="24"/>
          <w:szCs w:val="24"/>
        </w:rPr>
        <w:t xml:space="preserve">EQ_PRC</w:t>
      </w:r>
      <w:r>
        <w:rPr>
          <w:rFonts w:ascii="Arial" w:cs="Arial" w:eastAsia="Arial" w:hAnsi="Arial"/>
          <w:b/>
          <w:bCs/>
          <w:sz w:val="24"/>
          <w:szCs w:val="24"/>
        </w:rPr>
        <w:t xml:space="preserve"> – Spot Equity Price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current market price of an equity; when NVDA drops 40%, your long delta position loses 40% of notional because P&amp;L = Δ × ΔS, so a $1M delta-one position loses $400K.</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Stressed_Price = Current_Price × (1 + Shock%); P&amp;L = Position_Delta × (Stressed_Price - Current_Price)</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RELATIVE | Units: % (percentage change from current level)</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Delta hedging, portfolio VaR, margin calculations, mark-to-market P&amp;L, beta exposure management</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NVDA: -40% moderate, -50% severe | SPX Index: -22% moderate, -33% severe (ANCHOR)</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you're long 10,000 shares of NVDA at $500, your delta exposure is $5M. A -40% shock means P&amp;L = $5M × -40% = -$2M loss.</w:t>
      </w:r>
    </w:p>
    <w:p>
      <w:pPr>
        <w:shd w:fill="C6EFCE" w:val="clear"/>
        <w:spacing w:before="200" w:after="80"/>
      </w:pPr>
      <w:r>
        <w:rPr>
          <w:rFonts w:ascii="Arial Narrow" w:cs="Arial Narrow" w:eastAsia="Arial Narrow" w:hAnsi="Arial Narrow"/>
          <w:b/>
          <w:bCs/>
          <w:sz w:val="24"/>
          <w:szCs w:val="24"/>
        </w:rPr>
        <w:t xml:space="preserve">EQ_VOL</w:t>
      </w:r>
      <w:r>
        <w:rPr>
          <w:rFonts w:ascii="Arial" w:cs="Arial" w:eastAsia="Arial" w:hAnsi="Arial"/>
          <w:b/>
          <w:bCs/>
          <w:sz w:val="24"/>
          <w:szCs w:val="24"/>
        </w:rPr>
        <w:t xml:space="preserve"> – Implied Volatility</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market's expected annualized standard deviation of returns implied from option prices via Black-Scholes inversion; when VIX jumps 15 pts, your short vega position bleeds because Vega P&amp;L = ν × Δσ, so short $100K vega loses $1.5M.</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Stressed_IV = Current_IV + Shock_pts; Option P&amp;L = Vega × ΔIV; e.g., Vega = $50K/pt × 15pt move = $750K loss if short vega</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vol pts (volatility points, additive to current IV level)</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Option pricing (Black-Scholes), vega hedging, variance swaps, VIX futures, straddle/strangle pricing</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SPX ATM 3M: +15 vol pts moderate, +30 vol pts severe | NVDA ATM 1M: 1.8× multiplier (80% higher)</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SPX ATM 3M IV is currently 18%, a +15pt shock takes it to 33%. Your $1M vega position gains $15M if long, loses $15M if short.</w:t>
      </w:r>
    </w:p>
    <w:p>
      <w:pPr>
        <w:shd w:fill="C6EFCE" w:val="clear"/>
        <w:spacing w:before="200" w:after="80"/>
      </w:pPr>
      <w:r>
        <w:rPr>
          <w:rFonts w:ascii="Arial Narrow" w:cs="Arial Narrow" w:eastAsia="Arial Narrow" w:hAnsi="Arial Narrow"/>
          <w:b/>
          <w:bCs/>
          <w:sz w:val="24"/>
          <w:szCs w:val="24"/>
        </w:rPr>
        <w:t xml:space="preserve">EQ_SKEW</w:t>
      </w:r>
      <w:r>
        <w:rPr>
          <w:rFonts w:ascii="Arial" w:cs="Arial" w:eastAsia="Arial" w:hAnsi="Arial"/>
          <w:b/>
          <w:bCs/>
          <w:sz w:val="24"/>
          <w:szCs w:val="24"/>
        </w:rPr>
        <w:t xml:space="preserve"> – Volatility Skew</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difference in IV between OTM puts and ATM (25D put minus ATM); skew steepens in crashes as everyone bids for downside protection, making your put spreads more expensive to roll and your risk reversals move against you.</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Skew = IV_25D_Put - IV_ATM; Stressed_Skew = Current_Skew + Shock; affects put spread and collar pricing directly</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vol pts (additive to current skew level)</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Put spread pricing, tail hedging cost estimation, skew trading, risk reversal valuation, collar strategies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SPX 25D 3M Skew: +10 vol pts moderate, +20 vol pts severe | Risk Reversal: -10 pts moderate, -23 pts severe</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current skew is 5 vol pts and it steepens to 15 pts, your 25D puts become relatively more expensive. A short risk reversal (short puts, long calls) loses as puts get bid.</w:t>
      </w:r>
    </w:p>
    <w:p>
      <w:pPr>
        <w:shd w:fill="C6EFCE" w:val="clear"/>
        <w:spacing w:before="200" w:after="80"/>
      </w:pPr>
      <w:r>
        <w:rPr>
          <w:rFonts w:ascii="Arial Narrow" w:cs="Arial Narrow" w:eastAsia="Arial Narrow" w:hAnsi="Arial Narrow"/>
          <w:b/>
          <w:bCs/>
          <w:sz w:val="24"/>
          <w:szCs w:val="24"/>
        </w:rPr>
        <w:t xml:space="preserve">EQ_DIV</w:t>
      </w:r>
      <w:r>
        <w:rPr>
          <w:rFonts w:ascii="Arial" w:cs="Arial" w:eastAsia="Arial" w:hAnsi="Arial"/>
          <w:b/>
          <w:bCs/>
          <w:sz w:val="24"/>
          <w:szCs w:val="24"/>
        </w:rPr>
        <w:t xml:space="preserve"> – Dividend Yield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Expected dividend stream used in forward/futures pricing and option models; when companies cut divs in stress, your long forward position gains (lower carry cost) but your dividend swap loses the expected stream.</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Forward = Spot × e^((r-q)×T) where q = dividend yield; Div_Swap_P&amp;L = Notional × (Realized_Div - Implied_Div)</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change in annualized dividend yield)</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Forward/futures pricing, dividend swaps, equity total return swaps, call option pricing (divs reduce call value)</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SPX 2Y Dividend Yield: -15 bp moderate, -30 bp severe (companies cut dividends in stress)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you're receiving implied divs on a $100M TRS at 2% ($2M/year expected), a -30bp cut means you receive $1.7M instead—a $300K loss.</w:t>
      </w:r>
    </w:p>
    <w:p>
      <w:pPr>
        <w:shd w:fill="C6EFCE" w:val="clear"/>
        <w:spacing w:before="200" w:after="80"/>
      </w:pPr>
      <w:r>
        <w:rPr>
          <w:rFonts w:ascii="Arial Narrow" w:cs="Arial Narrow" w:eastAsia="Arial Narrow" w:hAnsi="Arial Narrow"/>
          <w:b/>
          <w:bCs/>
          <w:sz w:val="24"/>
          <w:szCs w:val="24"/>
        </w:rPr>
        <w:t xml:space="preserve">EQ_REPO</w:t>
      </w:r>
      <w:r>
        <w:rPr>
          <w:rFonts w:ascii="Arial" w:cs="Arial" w:eastAsia="Arial" w:hAnsi="Arial"/>
          <w:b/>
          <w:bCs/>
          <w:sz w:val="24"/>
          <w:szCs w:val="24"/>
        </w:rPr>
        <w:t xml:space="preserve"> – Repo/Borrow Rate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cost to borrow stock for short selling; spikes when a name becomes hard-to-borrow in a squeeze, crushing short sellers who must pay this rate daily on their positions.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Short_P&amp;L = -Position × (Price_Move + Borrow_Cost × Days/360); hard-to-borrow names can see 20%+ annualized borrow costs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annualized borrow cost)</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Short selling economics, securities lending revenue, synthetic short pricing via TRS, locate costs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TSLA 1M Borrow: +50 bp moderate, +150 bp severe | Speculative names can spike to +500bp or higher</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you're short $10M of TSLA and borrow cost spikes from 50bp to 200bp annualized, your additional cost is $10M × 1.5% = $150K/year or ~$12.5K/month.</w:t>
      </w:r>
    </w:p>
    <w:p>
      <w:pPr>
        <w:shd w:fill="C6EFCE" w:val="clear"/>
        <w:spacing w:before="200" w:after="80"/>
      </w:pPr>
      <w:r>
        <w:rPr>
          <w:rFonts w:ascii="Arial Narrow" w:cs="Arial Narrow" w:eastAsia="Arial Narrow" w:hAnsi="Arial Narrow"/>
          <w:b/>
          <w:bCs/>
          <w:sz w:val="24"/>
          <w:szCs w:val="24"/>
        </w:rPr>
        <w:t xml:space="preserve">EQ_CORR</w:t>
      </w:r>
      <w:r>
        <w:rPr>
          <w:rFonts w:ascii="Arial" w:cs="Arial" w:eastAsia="Arial" w:hAnsi="Arial"/>
          <w:b/>
          <w:bCs/>
          <w:sz w:val="24"/>
          <w:szCs w:val="24"/>
        </w:rPr>
        <w:t xml:space="preserve"> – Implied Correlation</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average pairwise correlation implied from index options vs single-stock options; spikes toward 1.0 in panics as 'all correlations go to 1', devastating dispersion traders who are short index vol and long single-stock vol.</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Index_Variance ≈ Σwᵢ²σᵢ² + 2×Σwᵢwⱼρᵢⱼσᵢσⱼ; implied ρ extracted from index vs singles; Dispersion P&amp;L = -Correlation_Vega × Δρ</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correlation level (0 to 1)</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Dispersion trading, correlation swaps, index vs single-stock arbitrage, systemic risk measurement</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SPX Implied Correlation: 0.65 level moderate (from ~0.45), 0.85 level severe</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In dispersion, you're short index variance and long single-stock variance, profiting when stocks diverge. When correlation spikes from 0.45 to 0.85, index vol rises faster than singles—you lose on both legs.</w:t>
      </w:r>
    </w:p>
    <w:p>
      <w:r>
        <w:br w:type="page"/>
      </w:r>
    </w:p>
    <w:p>
      <w:pPr>
        <w:pStyle w:val="Heading1"/>
      </w:pPr>
      <w:r>
        <w:t xml:space="preserve">2. CREDIT (CP) DRIVERS</w:t>
      </w:r>
    </w:p>
    <w:p>
      <w:pPr>
        <w:spacing w:after="120"/>
        <w:jc w:val="left"/>
      </w:pPr>
      <w:r>
        <w:t xml:space="preserve">Credit drivers capture spread risk, default risk, and recovery risk for bonds and credit derivatives. These determine the cost of credit protection and the mark-to-market of bond portfolios.</w:t>
      </w:r>
    </w:p>
    <w:p>
      <w:pPr>
        <w:shd w:fill="FCE4D6" w:val="clear"/>
        <w:spacing w:before="200" w:after="80"/>
      </w:pPr>
      <w:r>
        <w:rPr>
          <w:rFonts w:ascii="Arial Narrow" w:cs="Arial Narrow" w:eastAsia="Arial Narrow" w:hAnsi="Arial Narrow"/>
          <w:b/>
          <w:bCs/>
          <w:sz w:val="24"/>
          <w:szCs w:val="24"/>
        </w:rPr>
        <w:t xml:space="preserve">CP_CDS</w:t>
      </w:r>
      <w:r>
        <w:rPr>
          <w:rFonts w:ascii="Arial" w:cs="Arial" w:eastAsia="Arial" w:hAnsi="Arial"/>
          <w:b/>
          <w:bCs/>
          <w:sz w:val="24"/>
          <w:szCs w:val="24"/>
        </w:rPr>
        <w:t xml:space="preserve"> – Credit Default Swap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Insurance premium paid quarterly for protection against default; buying $10M CDS at 100bp costs $100K/year in premium, but pays $10M × (1-Recovery) ≈ $6M if the name defaults assuming 40% recovery.</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CDS_P&amp;L ≈ Notional × Risky_DV01 × ΔSpread; Risky_DV01 ≈ Duration × (1 - Recovery) / 10,000; typically ~4.3 per $10M per bp for 5Y</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spread widening)</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Default protection, basis trades vs cash bonds, synthetic credit exposure, CVA hedging, single-name credit views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NVDA 5Y CDS: +102 bp moderate, +393 bp severe | Investment grade widens less, high yield widens more</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 bought $10M protection at 50bp and spreads widen to 150bp, your mark-to-market gain ≈ $10M × 4.3 × 100bp / 10,000 = $430K.</w:t>
      </w:r>
    </w:p>
    <w:p>
      <w:pPr>
        <w:shd w:fill="FCE4D6" w:val="clear"/>
        <w:spacing w:before="200" w:after="80"/>
      </w:pPr>
      <w:r>
        <w:rPr>
          <w:rFonts w:ascii="Arial Narrow" w:cs="Arial Narrow" w:eastAsia="Arial Narrow" w:hAnsi="Arial Narrow"/>
          <w:b/>
          <w:bCs/>
          <w:sz w:val="24"/>
          <w:szCs w:val="24"/>
        </w:rPr>
        <w:t xml:space="preserve">CP_CDSI</w:t>
      </w:r>
      <w:r>
        <w:rPr>
          <w:rFonts w:ascii="Arial" w:cs="Arial" w:eastAsia="Arial" w:hAnsi="Arial"/>
          <w:b/>
          <w:bCs/>
          <w:sz w:val="24"/>
          <w:szCs w:val="24"/>
        </w:rPr>
        <w:t xml:space="preserve"> – CDS Index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Standardized basket of 125 names (IG) or 100 names (HY) trading as a single spread; the most liquid credit instrument, used for macro hedging and as the anchor for all credit scenario calibration.</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Index_P&amp;L = Notional × Index_DV01 × ΔSpread; CDX IG DV01 ≈ 4.5 per $10M notional per bp; Index = average spread of constituents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spread widening)</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Credit beta hedging, index vs intrinsics basis trading, macro credit views, portfolio overlay</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CDX.NA.IG 5Y: +15 bp moderate, +125 bp severe (ANCHOR) | CDX.NA.HY 5Y: +50 bp moderate, +350 bp severe (ANCHOR)</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To hedge $500M of IG credit exposure, sell ~$500M CDX.IG protection. If spreads widen 100bp, your bond portfolio loses but CDS protection gains, offsetting.</w:t>
      </w:r>
    </w:p>
    <w:p>
      <w:pPr>
        <w:shd w:fill="FCE4D6" w:val="clear"/>
        <w:spacing w:before="200" w:after="80"/>
      </w:pPr>
      <w:r>
        <w:rPr>
          <w:rFonts w:ascii="Arial Narrow" w:cs="Arial Narrow" w:eastAsia="Arial Narrow" w:hAnsi="Arial Narrow"/>
          <w:b/>
          <w:bCs/>
          <w:sz w:val="24"/>
          <w:szCs w:val="24"/>
        </w:rPr>
        <w:t xml:space="preserve">CP_OAS</w:t>
      </w:r>
      <w:r>
        <w:rPr>
          <w:rFonts w:ascii="Arial" w:cs="Arial" w:eastAsia="Arial" w:hAnsi="Arial"/>
          <w:b/>
          <w:bCs/>
          <w:sz w:val="24"/>
          <w:szCs w:val="24"/>
        </w:rPr>
        <w:t xml:space="preserve"> – Option-Adjusted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Spread over the Treasury curve after removing embedded option value (calls/puts); the true credit compensation for callable bonds, calculated via backward induction on an interest rate tree.</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OAS = Spread that makes Model_Price = Market_Price after simulating call/put exercise; Bond P&amp;L ≈ -OAD × ΔOAS × Notional</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spread widening)</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Callable bond valuation, MBS pricing, corporate bond relative value, option-embedded security analysis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A-rated Callable 10Y: +70 bp moderate, +130 bp severe | OAS isolates pure credit risk from rate optionality</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callable bond might trade at 150bp G-spread, but only 100bp OAS because 50bp compensates for the call option the issuer holds against you.</w:t>
      </w:r>
    </w:p>
    <w:p>
      <w:pPr>
        <w:shd w:fill="FCE4D6" w:val="clear"/>
        <w:spacing w:before="200" w:after="80"/>
      </w:pPr>
      <w:r>
        <w:rPr>
          <w:rFonts w:ascii="Arial Narrow" w:cs="Arial Narrow" w:eastAsia="Arial Narrow" w:hAnsi="Arial Narrow"/>
          <w:b/>
          <w:bCs/>
          <w:sz w:val="24"/>
          <w:szCs w:val="24"/>
        </w:rPr>
        <w:t xml:space="preserve">CP_ZSPRD</w:t>
      </w:r>
      <w:r>
        <w:rPr>
          <w:rFonts w:ascii="Arial" w:cs="Arial" w:eastAsia="Arial" w:hAnsi="Arial"/>
          <w:b/>
          <w:bCs/>
          <w:sz w:val="24"/>
          <w:szCs w:val="24"/>
        </w:rPr>
        <w:t xml:space="preserve"> – Z-Spread (Zero-Volatility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constant spread added to each point on the Treasury zero curve to match bond price; simpler than OAS (ignores optionality) but appropriate for bullet bonds with no embedded options.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Price = Σ CFₜ / (1 + zₜ + Z)^t where zₜ = Treasury zero rate at time t; solve for Z iteratively</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spread widening)</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Bullet bond valuation, benchmark spread calculation, curve-based pricing, relative value analysis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BBB Bullet 5Y: +100 bp moderate, +190 bp severe | Z-spread ≈ OAS for non-callable bonds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Z-spread captures the full term structure of credit risk, unlike G-spread which uses a single Treasury yield. More accurate for steep curves.</w:t>
      </w:r>
    </w:p>
    <w:p>
      <w:pPr>
        <w:shd w:fill="FCE4D6" w:val="clear"/>
        <w:spacing w:before="200" w:after="80"/>
      </w:pPr>
      <w:r>
        <w:rPr>
          <w:rFonts w:ascii="Arial Narrow" w:cs="Arial Narrow" w:eastAsia="Arial Narrow" w:hAnsi="Arial Narrow"/>
          <w:b/>
          <w:bCs/>
          <w:sz w:val="24"/>
          <w:szCs w:val="24"/>
        </w:rPr>
        <w:t xml:space="preserve">CP_ASW</w:t>
      </w:r>
      <w:r>
        <w:rPr>
          <w:rFonts w:ascii="Arial" w:cs="Arial" w:eastAsia="Arial" w:hAnsi="Arial"/>
          <w:b/>
          <w:bCs/>
          <w:sz w:val="24"/>
          <w:szCs w:val="24"/>
        </w:rPr>
        <w:t xml:space="preserve"> – Asset Swap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Spread over SOFR in an asset swap package where you buy a fixed bond and swap to floating; represents the funding-adjusted credit spread, critical for leveraged bond investors who fund at SOFR.</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ASW ≈ Bond_Coupon - Swap_Rate + (100 - Bond_Price) / Duration; converts fixed bond to synthetic floater paying SOFR + ASW</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spread widening)</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Leveraged bond trades, funding cost analysis, cash-CDS basis trading, relative value across funding regimes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IG 5Y ASW: +40 bp moderate, +80 bp severe | ASW can differ from Z-spread due to funding conditions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 fund at SOFR + 20bp and the bond ASW is +80bp, your net carry is 60bp. ASW compression in stress means your levered carry trade loses.</w:t>
      </w:r>
    </w:p>
    <w:p>
      <w:pPr>
        <w:shd w:fill="FCE4D6" w:val="clear"/>
        <w:spacing w:before="200" w:after="80"/>
      </w:pPr>
      <w:r>
        <w:rPr>
          <w:rFonts w:ascii="Arial Narrow" w:cs="Arial Narrow" w:eastAsia="Arial Narrow" w:hAnsi="Arial Narrow"/>
          <w:b/>
          <w:bCs/>
          <w:sz w:val="24"/>
          <w:szCs w:val="24"/>
        </w:rPr>
        <w:t xml:space="preserve">CP_RCV</w:t>
      </w:r>
      <w:r>
        <w:rPr>
          <w:rFonts w:ascii="Arial" w:cs="Arial" w:eastAsia="Arial" w:hAnsi="Arial"/>
          <w:b/>
          <w:bCs/>
          <w:sz w:val="24"/>
          <w:szCs w:val="24"/>
        </w:rPr>
        <w:t xml:space="preserve"> – Recovery Rate Assumption</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Expected cents-on-dollar received in bankruptcy (typically 40% for senior unsecured); lower recovery means higher loss-given-default (LGD = 1 - Recovery), directly impacting CDS valuation and loan loss reserves.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LGD = 1 - Recovery; CDS_Upfront ≈ Spread × Duration × LGD; Default_Loss = Notional × LGD</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percentage points (change in recovery assumption)</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CDS pricing, loan loss provisioning, distressed debt analysis, recovery rate swaps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Senior Unsecured: -5% moderate (40%→35%), -10% severe (40%→30%) | Distressed names may see 20% recovery or lower</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 bought CDS assuming 40% recovery and actual recovery is 30%, you receive an extra 10% of notional at default—$1M extra on $10M position.</w:t>
      </w:r>
    </w:p>
    <w:p>
      <w:r>
        <w:br w:type="page"/>
      </w:r>
    </w:p>
    <w:p>
      <w:pPr>
        <w:pStyle w:val="Heading1"/>
      </w:pPr>
      <w:r>
        <w:t xml:space="preserve">3. COMMODITIES (CO) DRIVERS</w:t>
      </w:r>
    </w:p>
    <w:p>
      <w:pPr>
        <w:spacing w:after="120"/>
        <w:jc w:val="left"/>
      </w:pPr>
      <w:r>
        <w:t xml:space="preserve">Commodity drivers capture spot price risk, forward curve dynamics, basis differentials, and refining margins. These are essential for physical traders, producers, and consumers managing price exposure.</w:t>
      </w:r>
    </w:p>
    <w:p>
      <w:pPr>
        <w:shd w:fill="D6E3F8" w:val="clear"/>
        <w:spacing w:before="200" w:after="80"/>
      </w:pPr>
      <w:r>
        <w:rPr>
          <w:rFonts w:ascii="Arial Narrow" w:cs="Arial Narrow" w:eastAsia="Arial Narrow" w:hAnsi="Arial Narrow"/>
          <w:b/>
          <w:bCs/>
          <w:sz w:val="24"/>
          <w:szCs w:val="24"/>
        </w:rPr>
        <w:t xml:space="preserve">CO_SPT</w:t>
      </w:r>
      <w:r>
        <w:rPr>
          <w:rFonts w:ascii="Arial" w:cs="Arial" w:eastAsia="Arial" w:hAnsi="Arial"/>
          <w:b/>
          <w:bCs/>
          <w:sz w:val="24"/>
          <w:szCs w:val="24"/>
        </w:rPr>
        <w:t xml:space="preserve"> – Spot Commodity Price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Today's price for immediate delivery of physical commodity; WTI dropping 12% means your crude inventory loses 12%, and all your futures and options delta reference this spot move.</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Stressed_Spot = Current_Spot × (1 + Shock%); Physical P&amp;L = Volume × ΔPrice; Derivative P&amp;L = Delta × ΔSpot</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RELATIVE | Units: % (percentage change in spot price)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Physical trading, inventory valuation, derivative underlier, producer/consumer hedging, margin calculations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WTI Crude: -12% moderate, -25% severe (ANCHOR) | Gold XAU: +5% moderate, +12% severe (safe haven bid)</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 hold 100,000 barrels of crude at $80/bbl ($8M inventory), a -25% shock means inventory value drops to $6M—a $2M loss.</w:t>
      </w:r>
    </w:p>
    <w:p>
      <w:pPr>
        <w:shd w:fill="D6E3F8" w:val="clear"/>
        <w:spacing w:before="200" w:after="80"/>
      </w:pPr>
      <w:r>
        <w:rPr>
          <w:rFonts w:ascii="Arial Narrow" w:cs="Arial Narrow" w:eastAsia="Arial Narrow" w:hAnsi="Arial Narrow"/>
          <w:b/>
          <w:bCs/>
          <w:sz w:val="24"/>
          <w:szCs w:val="24"/>
        </w:rPr>
        <w:t xml:space="preserve">CO_FWD</w:t>
      </w:r>
      <w:r>
        <w:rPr>
          <w:rFonts w:ascii="Arial" w:cs="Arial" w:eastAsia="Arial" w:hAnsi="Arial"/>
          <w:b/>
          <w:bCs/>
          <w:sz w:val="24"/>
          <w:szCs w:val="24"/>
        </w:rPr>
        <w:t xml:space="preserve"> – Forward/Futures Price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Price for delivery at a future date, linked to spot via cost-of-carry (storage, financing, convenience yield); the forward curve shape (contango vs backwardation) determines roll yield for passive investors.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Forward = Spot × e^((r + storage - convenience_yield) × T); in stress, curves often flatten as near-term drops more than deferred</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RELATIVE | Units: % (percentage change in forward price)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Futures hedging, forward contracting, producer hedge programs, consumer procurement</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Brent 6M Forward: -10% moderate, -21% severe | Back months move less than front (curve flattening)</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producer hedging 2026 production locks in forward price. If spot crashes but forwards held up (backwardation), their hedge underperforms.</w:t>
      </w:r>
    </w:p>
    <w:p>
      <w:pPr>
        <w:shd w:fill="D6E3F8" w:val="clear"/>
        <w:spacing w:before="200" w:after="80"/>
      </w:pPr>
      <w:r>
        <w:rPr>
          <w:rFonts w:ascii="Arial Narrow" w:cs="Arial Narrow" w:eastAsia="Arial Narrow" w:hAnsi="Arial Narrow"/>
          <w:b/>
          <w:bCs/>
          <w:sz w:val="24"/>
          <w:szCs w:val="24"/>
        </w:rPr>
        <w:t xml:space="preserve">CO_BASIS</w:t>
      </w:r>
      <w:r>
        <w:rPr>
          <w:rFonts w:ascii="Arial" w:cs="Arial" w:eastAsia="Arial" w:hAnsi="Arial"/>
          <w:b/>
          <w:bCs/>
          <w:sz w:val="24"/>
          <w:szCs w:val="24"/>
        </w:rPr>
        <w:t xml:space="preserve"> – Location/Quality Basis</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Location or quality differential from benchmark (e.g., Midland crude vs Cushing WTI); widens when logistics are stressed (pipeline constraints, shipping disruptions), directly impacting physical traders' margins.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Basis = Local_Price - Benchmark_Price; Basis_Swap P&amp;L = Volume × ΔBasis; negative basis = local discount</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$/unit (dollar per barrel, per MMBtu, etc.)</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Physical trading margins, pipeline economics, regional arbitrage, quality differential management</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WTI Midland-Cushing Basis: -$2.00 moderate, -$4.00 severe (Permian production overwhelms takeaway)</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you're a Permian producer selling at Midland prices, a -$4 basis blow-out means you receive $4/bbl less than WTI benchmark—on 50K bbl/day, that's $200K/day loss.</w:t>
      </w:r>
    </w:p>
    <w:p>
      <w:pPr>
        <w:shd w:fill="D6E3F8" w:val="clear"/>
        <w:spacing w:before="200" w:after="80"/>
      </w:pPr>
      <w:r>
        <w:rPr>
          <w:rFonts w:ascii="Arial Narrow" w:cs="Arial Narrow" w:eastAsia="Arial Narrow" w:hAnsi="Arial Narrow"/>
          <w:b/>
          <w:bCs/>
          <w:sz w:val="24"/>
          <w:szCs w:val="24"/>
        </w:rPr>
        <w:t xml:space="preserve">CO_CRACK</w:t>
      </w:r>
      <w:r>
        <w:rPr>
          <w:rFonts w:ascii="Arial" w:cs="Arial" w:eastAsia="Arial" w:hAnsi="Arial"/>
          <w:b/>
          <w:bCs/>
          <w:sz w:val="24"/>
          <w:szCs w:val="24"/>
        </w:rPr>
        <w:t xml:space="preserve"> – Crack Spread (Refining Margin)</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Refining margin: revenue from refined products minus crude input cost; 3-2-1 crack = (2×Gasoline + 1×Heating Oil)/3 - Crude, representing refiner profitability that collapses in demand destruction scenarios.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3-2-1 Crack = (2 × RBOB + 1 × HO) / 3 - WTI; Refinery P&amp;L ≈ Throughput_bbl × Crack × Days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$/bbl (dollars per barrel refining margin)</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Refinery economics, integrated oil company valuation, product demand analysis, refinery utilization decisions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USGC 3-2-1 Crack: -$3.00 moderate, -$6.00 severe (demand destruction compresses margins)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refinery running 200K bbl/day with $15/bbl crack earns $3M/day. If crack compresses to $9/bbl, earnings drop to $1.8M/day—a 40% hit.</w:t>
      </w:r>
    </w:p>
    <w:p>
      <w:pPr>
        <w:shd w:fill="D6E3F8" w:val="clear"/>
        <w:spacing w:before="200" w:after="80"/>
      </w:pPr>
      <w:r>
        <w:rPr>
          <w:rFonts w:ascii="Arial Narrow" w:cs="Arial Narrow" w:eastAsia="Arial Narrow" w:hAnsi="Arial Narrow"/>
          <w:b/>
          <w:bCs/>
          <w:sz w:val="24"/>
          <w:szCs w:val="24"/>
        </w:rPr>
        <w:t xml:space="preserve">CO_ROLL</w:t>
      </w:r>
      <w:r>
        <w:rPr>
          <w:rFonts w:ascii="Arial" w:cs="Arial" w:eastAsia="Arial" w:hAnsi="Arial"/>
          <w:b/>
          <w:bCs/>
          <w:sz w:val="24"/>
          <w:szCs w:val="24"/>
        </w:rPr>
        <w:t xml:space="preserve"> – Roll/Calendar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price difference between two futures contract months; positive roll (contango) hurts long holders who must sell cheap near-month and buy expensive far-month, eroding returns over time.</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Roll_Spread = Far_Month_Price - Near_Month_Price; Roll_Yield = -Roll / Near_Month × (12 / months_between) annualized</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$/unit or % (spread between contract months)</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Passive commodity ETF returns, roll optimization strategies, calendar spread trading, storage economics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WTI 1Mx2M Calendar: +$0.50 moderate (more contango), +$1.50 severe (steep contango in glut)</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commodity ETF holding front-month futures in $2 contango loses 2.5% monthly just from rolling. In severe contango, this drag can exceed 30% annually.</w:t>
      </w:r>
    </w:p>
    <w:p>
      <w:pPr>
        <w:shd w:fill="D6E3F8" w:val="clear"/>
        <w:spacing w:before="200" w:after="80"/>
      </w:pPr>
      <w:r>
        <w:rPr>
          <w:rFonts w:ascii="Arial Narrow" w:cs="Arial Narrow" w:eastAsia="Arial Narrow" w:hAnsi="Arial Narrow"/>
          <w:b/>
          <w:bCs/>
          <w:sz w:val="24"/>
          <w:szCs w:val="24"/>
        </w:rPr>
        <w:t xml:space="preserve">CO_VOL</w:t>
      </w:r>
      <w:r>
        <w:rPr>
          <w:rFonts w:ascii="Arial" w:cs="Arial" w:eastAsia="Arial" w:hAnsi="Arial"/>
          <w:b/>
          <w:bCs/>
          <w:sz w:val="24"/>
          <w:szCs w:val="24"/>
        </w:rPr>
        <w:t xml:space="preserve"> – Commodity Implied Volatility</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Implied vol from commodity options, typically higher than equity vol due to supply shocks and weather; your crude straddle gets more expensive as vol rises, and vega P&amp;L = Vega × Δσ.</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Option_Price = Black76(F, K, σ, r, T); Commodity options typically use Black-76 on forward prices; Vega exposure same concept as equities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vol pts (volatility points, additive)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Commodity option pricing, hedging cost estimation, vol trading, producer collar pricing</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WTI ATM 3M Vol: +8 vol pts moderate, +18 vol pts severe | Natural gas vol typically higher and more volatile</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WTI 3M ATM vol is 30% and you're short $200K vega, an 18pt spike to 48% vol costs you $200K × 18 = $3.6M.</w:t>
      </w:r>
    </w:p>
    <w:p>
      <w:r>
        <w:br w:type="page"/>
      </w:r>
    </w:p>
    <w:p>
      <w:pPr>
        <w:pStyle w:val="Heading1"/>
      </w:pPr>
      <w:r>
        <w:t xml:space="preserve">4. RATES (RT) DRIVERS</w:t>
      </w:r>
    </w:p>
    <w:p>
      <w:pPr>
        <w:spacing w:after="120"/>
        <w:jc w:val="left"/>
      </w:pPr>
      <w:r>
        <w:t xml:space="preserve">Rates drivers capture interest rate level risk, curve shape risk, and volatility risk across government bonds, swaps, and money markets. These determine the cost of funding and the value of fixed income portfolios.</w:t>
      </w:r>
    </w:p>
    <w:p>
      <w:pPr>
        <w:shd w:fill="FFF2CC" w:val="clear"/>
        <w:spacing w:before="200" w:after="80"/>
      </w:pPr>
      <w:r>
        <w:rPr>
          <w:rFonts w:ascii="Arial Narrow" w:cs="Arial Narrow" w:eastAsia="Arial Narrow" w:hAnsi="Arial Narrow"/>
          <w:b/>
          <w:bCs/>
          <w:sz w:val="24"/>
          <w:szCs w:val="24"/>
        </w:rPr>
        <w:t xml:space="preserve">RT_YIELD</w:t>
      </w:r>
      <w:r>
        <w:rPr>
          <w:rFonts w:ascii="Arial" w:cs="Arial" w:eastAsia="Arial" w:hAnsi="Arial"/>
          <w:b/>
          <w:bCs/>
          <w:sz w:val="24"/>
          <w:szCs w:val="24"/>
        </w:rPr>
        <w:t xml:space="preserve"> – Government Bond Yield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Risk-free interest rate for a specific maturity; when 10Y Treasury drops 40bp in flight-to-quality, your $10M bond position gains ~$10M × Duration × 0.40% ≈ $340K on an 8.5-year duration instrument.</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Bond P&amp;L ≈ -Modified_Duration × ΔYield × Notional; Duration_10Y ≈ 8.5 years; convexity adds to gains in large rallies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change in yield)</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Government bond trading, duration hedging, yield curve analysis, liability-driven investing</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UST 10Y: -40 bp moderate, -90 bp severe (flight to quality) | UST 2Y: -25 bp moderate, -60 bp severe</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you're long $100M 10Y Treasuries (duration ~8.5), a -90bp rally means P&amp;L ≈ $100M × 8.5 × 0.90% = $7.65M gain.</w:t>
      </w:r>
    </w:p>
    <w:p>
      <w:pPr>
        <w:shd w:fill="FFF2CC" w:val="clear"/>
        <w:spacing w:before="200" w:after="80"/>
      </w:pPr>
      <w:r>
        <w:rPr>
          <w:rFonts w:ascii="Arial Narrow" w:cs="Arial Narrow" w:eastAsia="Arial Narrow" w:hAnsi="Arial Narrow"/>
          <w:b/>
          <w:bCs/>
          <w:sz w:val="24"/>
          <w:szCs w:val="24"/>
        </w:rPr>
        <w:t xml:space="preserve">RT_SWAP</w:t>
      </w:r>
      <w:r>
        <w:rPr>
          <w:rFonts w:ascii="Arial" w:cs="Arial" w:eastAsia="Arial" w:hAnsi="Arial"/>
          <w:b/>
          <w:bCs/>
          <w:sz w:val="24"/>
          <w:szCs w:val="24"/>
        </w:rPr>
        <w:t xml:space="preserve"> – Swap Rate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Fixed rate exchanged for floating SOFR in an interest rate swap; payers lose when rates fall (locked into paying higher fixed rate), receivers gain—the foundation of all rates derivatives.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Swap P&amp;L = DV01 × ΔRate × Direction; DV01_10Y ≈ $8,500 per $10M notional per bp; receiver gains when rates fall</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change in swap rate)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Interest rate hedging, liability matching, curve trading, corporate debt issuance hedging</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SOFR 5Y Swap: -35 bp moderate, -75 bp severe | Swap rates closely track Treasury yields plus swap spread</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corporate issuer enters a pay-fixed swap to hedge their floating rate debt. If rates drop 75bp, the swap loses, but their debt service costs fall—net hedge works.</w:t>
      </w:r>
    </w:p>
    <w:p>
      <w:pPr>
        <w:shd w:fill="FFF2CC" w:val="clear"/>
        <w:spacing w:before="200" w:after="80"/>
      </w:pPr>
      <w:r>
        <w:rPr>
          <w:rFonts w:ascii="Arial Narrow" w:cs="Arial Narrow" w:eastAsia="Arial Narrow" w:hAnsi="Arial Narrow"/>
          <w:b/>
          <w:bCs/>
          <w:sz w:val="24"/>
          <w:szCs w:val="24"/>
        </w:rPr>
        <w:t xml:space="preserve">RT_CURVE</w:t>
      </w:r>
      <w:r>
        <w:rPr>
          <w:rFonts w:ascii="Arial" w:cs="Arial" w:eastAsia="Arial" w:hAnsi="Arial"/>
          <w:b/>
          <w:bCs/>
          <w:sz w:val="24"/>
          <w:szCs w:val="24"/>
        </w:rPr>
        <w:t xml:space="preserve"> – Yield Curve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Difference between two points on the yield curve (e.g., 2s10s = 10Y minus 2Y); steepening means long-end underperforming vs front-end, flattening/inversion signals recession expectations and Fed cut pricing.</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2s10s = Yield_10Y - Yield_2Y; Curve_Trade P&amp;L = DV01_10Y × Δ10Y - DV01_2Y × Δ2Y (duration-weighted)</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change in curve slope)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Curve trading, recession prediction, barbell vs bullet portfolio allocation, bank NIM analysis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2s10s Curve: +15 bp moderate (steepen), +30 bp severe (bull steepen as Fed cuts priced)</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In a steepener (long 2Y, short 10Y), you profit when the curve gets steeper. A +30bp steepening on $50M DV01-neutral trade could be worth ~$1.5M.</w:t>
      </w:r>
    </w:p>
    <w:p>
      <w:pPr>
        <w:shd w:fill="FFF2CC" w:val="clear"/>
        <w:spacing w:before="200" w:after="80"/>
      </w:pPr>
      <w:r>
        <w:rPr>
          <w:rFonts w:ascii="Arial Narrow" w:cs="Arial Narrow" w:eastAsia="Arial Narrow" w:hAnsi="Arial Narrow"/>
          <w:b/>
          <w:bCs/>
          <w:sz w:val="24"/>
          <w:szCs w:val="24"/>
        </w:rPr>
        <w:t xml:space="preserve">RT_VOL</w:t>
      </w:r>
      <w:r>
        <w:rPr>
          <w:rFonts w:ascii="Arial" w:cs="Arial" w:eastAsia="Arial" w:hAnsi="Arial"/>
          <w:b/>
          <w:bCs/>
          <w:sz w:val="24"/>
          <w:szCs w:val="24"/>
        </w:rPr>
        <w:t xml:space="preserve"> – Rates Volatility (Swaption Vol)</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Implied vol of interest rates from swaptions; determines the cost of rate caps, floors, and swaptions—higher vol means your mortgage servicing rights are worth more due to prepayment optionality.</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Swaption_Price = Black(F, K, σ_normal, T); rates vol often quoted in bp/day (normal vol) or %/year (lognormal); MSR_Value ∝ Rate_Vol</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vol (normal volatility in basis points)</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Swaption pricing, cap/floor valuation, mortgage servicing rights hedging, callable bond analysis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10Y ATM 3M Swaption Vol: +15 bp vol moderate, +30 bp vol severe (rate uncertainty spikes)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 own MSRs, higher rate vol increases prepay optionality value. A 30bp vol spike could increase MSR value by 5-10% depending on rate level.</w:t>
      </w:r>
    </w:p>
    <w:p>
      <w:r>
        <w:br w:type="page"/>
      </w:r>
    </w:p>
    <w:p>
      <w:pPr>
        <w:pStyle w:val="Heading1"/>
      </w:pPr>
      <w:r>
        <w:t xml:space="preserve">5. FX DRIVERS</w:t>
      </w:r>
    </w:p>
    <w:p>
      <w:pPr>
        <w:spacing w:after="120"/>
        <w:jc w:val="left"/>
      </w:pPr>
      <w:r>
        <w:t xml:space="preserve">FX drivers capture currency risk, volatility risk, and funding differentials across G10 and emerging market currency pairs. These affect international portfolio returns and cross-border funding costs.</w:t>
      </w:r>
    </w:p>
    <w:p>
      <w:pPr>
        <w:shd w:fill="E4DFEC" w:val="clear"/>
        <w:spacing w:before="200" w:after="80"/>
      </w:pPr>
      <w:r>
        <w:rPr>
          <w:rFonts w:ascii="Arial Narrow" w:cs="Arial Narrow" w:eastAsia="Arial Narrow" w:hAnsi="Arial Narrow"/>
          <w:b/>
          <w:bCs/>
          <w:sz w:val="24"/>
          <w:szCs w:val="24"/>
        </w:rPr>
        <w:t xml:space="preserve">FX_SPOT</w:t>
      </w:r>
      <w:r>
        <w:rPr>
          <w:rFonts w:ascii="Arial" w:cs="Arial" w:eastAsia="Arial" w:hAnsi="Arial"/>
          <w:b/>
          <w:bCs/>
          <w:sz w:val="24"/>
          <w:szCs w:val="24"/>
        </w:rPr>
        <w:t xml:space="preserve"> – FX Spot Rate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Exchange rate for immediate (T+2) currency delivery; EURUSD at 1.10 means €1 buys $1.10, and a 3% USD rally means your unhedged €10M position loses $330K when converted back to dollars.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P&amp;L_in_USD = Foreign_Notional × (New_Rate - Old_Rate); or simply Position_USD × %Move for USD-based accounting</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RELATIVE | Units: % (percentage change in exchange rate)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Currency hedging, international portfolio management, trade settlement, translation exposure</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EURUSD: -2.9% moderate, -5.7% severe (EUR weakens vs USD) | DXY Index: +3% moderate, +6% severe (ANCHOR)</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US investor with $100M in European equities (unhedged) loses $5.7M on currency alone if EUR drops 5.7%, even if equity prices are flat.</w:t>
      </w:r>
    </w:p>
    <w:p>
      <w:pPr>
        <w:shd w:fill="E4DFEC" w:val="clear"/>
        <w:spacing w:before="200" w:after="80"/>
      </w:pPr>
      <w:r>
        <w:rPr>
          <w:rFonts w:ascii="Arial Narrow" w:cs="Arial Narrow" w:eastAsia="Arial Narrow" w:hAnsi="Arial Narrow"/>
          <w:b/>
          <w:bCs/>
          <w:sz w:val="24"/>
          <w:szCs w:val="24"/>
        </w:rPr>
        <w:t xml:space="preserve">FX_VOL</w:t>
      </w:r>
      <w:r>
        <w:rPr>
          <w:rFonts w:ascii="Arial" w:cs="Arial" w:eastAsia="Arial" w:hAnsi="Arial"/>
          <w:b/>
          <w:bCs/>
          <w:sz w:val="24"/>
          <w:szCs w:val="24"/>
        </w:rPr>
        <w:t xml:space="preserve"> – FX Implied Volatility</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Implied vol from currency options, quoted for ATM and by delta (25D, 10D); USDJPY vol spikes in risk-off as yen strengthens, crushing your short yen vol positions and making hedges expensive.</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FX_Option = Garman-Kohlhagen(S, K, σ, r_dom, r_for, T); FX vol typically 5-15% in normal times, can spike to 20%+ in stress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vol pts (volatility points, additive)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FX option pricing, hedging cost estimation, vol trading, carry trade protection</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USDJPY ATM 1M Vol: +3 vol pts moderate, +7 vol pts severe (safe-haven yen bid creates vol)</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corporate hedging JPY receivables buys USD calls. If vol spikes 7pts, their hedging costs for next quarter could double.</w:t>
      </w:r>
    </w:p>
    <w:p>
      <w:pPr>
        <w:shd w:fill="E4DFEC" w:val="clear"/>
        <w:spacing w:before="200" w:after="80"/>
      </w:pPr>
      <w:r>
        <w:rPr>
          <w:rFonts w:ascii="Arial Narrow" w:cs="Arial Narrow" w:eastAsia="Arial Narrow" w:hAnsi="Arial Narrow"/>
          <w:b/>
          <w:bCs/>
          <w:sz w:val="24"/>
          <w:szCs w:val="24"/>
        </w:rPr>
        <w:t xml:space="preserve">FX_BASIS</w:t>
      </w:r>
      <w:r>
        <w:rPr>
          <w:rFonts w:ascii="Arial" w:cs="Arial" w:eastAsia="Arial" w:hAnsi="Arial"/>
          <w:b/>
          <w:bCs/>
          <w:sz w:val="24"/>
          <w:szCs w:val="24"/>
        </w:rPr>
        <w:t xml:space="preserve"> – Cross-Currency Basis Swap Spread</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spread added to one leg of a cross-currency swap beyond covered interest parity; negative EURUSD basis means borrowing USD via EUR swap is expensive—a critical funding stress indicator.</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XCCY_Basis = Actual_XCCY_Rate - CIP_Implied_Rate; basis widens (more negative) when USD funding is scarce globally</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bp (basis points spread)</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Cross-currency funding costs, FX swap pricing, USD liquidity monitoring, liability hedging for non-US issuers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EURUSD 5Y Basis: -10 bp moderate, -25 bp severe (USD scarcity premium) | Can blow out to -100bp in crisis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A European bank funding USD assets via XCCY swaps pays SOFR + basis. If basis goes from -20bp to -50bp, their funding cost rises 30bp—on $10B book, that's $30M/year.</w:t>
      </w:r>
    </w:p>
    <w:p>
      <w:r>
        <w:br w:type="page"/>
      </w:r>
    </w:p>
    <w:p>
      <w:pPr>
        <w:pStyle w:val="Heading1"/>
      </w:pPr>
      <w:r>
        <w:t xml:space="preserve">6. VOLATILITY (VOL) DRIVERS</w:t>
      </w:r>
    </w:p>
    <w:p>
      <w:pPr>
        <w:spacing w:after="120"/>
        <w:jc w:val="left"/>
      </w:pPr>
      <w:r>
        <w:t xml:space="preserve">Volatility drivers capture the level, term structure, and dynamics of implied volatility itself. These are essential for volatility trading, tail hedging, and understanding market fear.</w:t>
      </w:r>
    </w:p>
    <w:p>
      <w:pPr>
        <w:shd w:fill="F4CCCC" w:val="clear"/>
        <w:spacing w:before="200" w:after="80"/>
      </w:pPr>
      <w:r>
        <w:rPr>
          <w:rFonts w:ascii="Arial Narrow" w:cs="Arial Narrow" w:eastAsia="Arial Narrow" w:hAnsi="Arial Narrow"/>
          <w:b/>
          <w:bCs/>
          <w:sz w:val="24"/>
          <w:szCs w:val="24"/>
        </w:rPr>
        <w:t xml:space="preserve">VOL_VIX</w:t>
      </w:r>
      <w:r>
        <w:rPr>
          <w:rFonts w:ascii="Arial" w:cs="Arial" w:eastAsia="Arial" w:hAnsi="Arial"/>
          <w:b/>
          <w:bCs/>
          <w:sz w:val="24"/>
          <w:szCs w:val="24"/>
        </w:rPr>
        <w:t xml:space="preserve"> – VIX Index Level</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S&amp;P 500's 30-day implied vol index, the 'fear gauge'; VIX at 38 means the market expects ~2.4% daily moves (38/√252), and your VIX futures position gains $1,000 per contract per point.</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VIX = √(Σ weighted OTM SPX option implied vols) × √(365/30); VIX_Futures P&amp;L = Contracts × $1,000 × ΔPoints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index points (VIX level, not percent change)</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Fear/risk measurement, portfolio hedging via VIX derivatives, risk budgeting triggers, vol regime identification</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VIX Level: 38 moderate (from ~18.8 base), 58 severe | VIX Change: +19.2 pts moderate, +39.2 pts severe (ANCHOR)</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If you own 100 VIX futures contracts as a hedge, a 20-point VIX spike from 18 to 38 generates 100 × $1,000 × 20 = $2M gain, offsetting equity portfolio losses.</w:t>
      </w:r>
    </w:p>
    <w:p>
      <w:pPr>
        <w:shd w:fill="F4CCCC" w:val="clear"/>
        <w:spacing w:before="200" w:after="80"/>
      </w:pPr>
      <w:r>
        <w:rPr>
          <w:rFonts w:ascii="Arial Narrow" w:cs="Arial Narrow" w:eastAsia="Arial Narrow" w:hAnsi="Arial Narrow"/>
          <w:b/>
          <w:bCs/>
          <w:sz w:val="24"/>
          <w:szCs w:val="24"/>
        </w:rPr>
        <w:t xml:space="preserve">VOL_VVIX</w:t>
      </w:r>
      <w:r>
        <w:rPr>
          <w:rFonts w:ascii="Arial" w:cs="Arial" w:eastAsia="Arial" w:hAnsi="Arial"/>
          <w:b/>
          <w:bCs/>
          <w:sz w:val="24"/>
          <w:szCs w:val="24"/>
        </w:rPr>
        <w:t xml:space="preserve"> – VIX of VIX (Volatility of Volatility)</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Implied vol of VIX options—the volatility of volatility itself; VVIX spiking to 135 means VIX is expected to move wildly, making VIX options extremely expensive and vol-of-vol strategies attractive.</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VVIX calculated from VIX option prices the same way VIX is calculated from SPX options; measures uncertainty about future vol</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index points (VVIX level)</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VIX option pricing, vol-of-vol trading, tail risk timing, vol regime transitions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VVIX Level: 110 moderate, 135 severe (from ~90 base) | VVIX often leads VIX in transitions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When VVIX spikes before VIX, it signals building stress. Buying VIX calls when VVIX is elevated (but VIX hasn't moved) can be expensive but prescient.</w:t>
      </w:r>
    </w:p>
    <w:p>
      <w:pPr>
        <w:shd w:fill="F4CCCC" w:val="clear"/>
        <w:spacing w:before="200" w:after="80"/>
      </w:pPr>
      <w:r>
        <w:rPr>
          <w:rFonts w:ascii="Arial Narrow" w:cs="Arial Narrow" w:eastAsia="Arial Narrow" w:hAnsi="Arial Narrow"/>
          <w:b/>
          <w:bCs/>
          <w:sz w:val="24"/>
          <w:szCs w:val="24"/>
        </w:rPr>
        <w:t xml:space="preserve">VOL_TERM</w:t>
      </w:r>
      <w:r>
        <w:rPr>
          <w:rFonts w:ascii="Arial" w:cs="Arial" w:eastAsia="Arial" w:hAnsi="Arial"/>
          <w:b/>
          <w:bCs/>
          <w:sz w:val="24"/>
          <w:szCs w:val="24"/>
        </w:rPr>
        <w:t xml:space="preserve"> – Volatility Term Structure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The shape of vol across maturities (1M vs 3M vs 1Y); normally upward-sloping (contango), inverts in crisis as near-term fear dominates—term structure slope is a critical regime signal.</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Term_Slope = VIX_3M - VIX_1M; positive = contango (normal), negative = backwardation (stress); inversion = crisis mode</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vol pts (spread between tenors)</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Vol curve trading, calendar spread pricing, regime detection, VIX ETP roll dynamics</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VIX 1M: 42 moderate, 65 severe | VIX 3M: 38 moderate, 58 severe | Curve inverts (1M &gt; 3M) in stress</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VIX ETPs like VXX roll futures monthly. In steep contango (-5% roll/month), VXX bleeds. In backwardation, it gains from roll—making it actually profitable to hold in crisis.</w:t>
      </w:r>
    </w:p>
    <w:p>
      <w:pPr>
        <w:shd w:fill="F4CCCC" w:val="clear"/>
        <w:spacing w:before="200" w:after="80"/>
      </w:pPr>
      <w:r>
        <w:rPr>
          <w:rFonts w:ascii="Arial Narrow" w:cs="Arial Narrow" w:eastAsia="Arial Narrow" w:hAnsi="Arial Narrow"/>
          <w:b/>
          <w:bCs/>
          <w:sz w:val="24"/>
          <w:szCs w:val="24"/>
        </w:rPr>
        <w:t xml:space="preserve">VOL_CORR</w:t>
      </w:r>
      <w:r>
        <w:rPr>
          <w:rFonts w:ascii="Arial" w:cs="Arial" w:eastAsia="Arial" w:hAnsi="Arial"/>
          <w:b/>
          <w:bCs/>
          <w:sz w:val="24"/>
          <w:szCs w:val="24"/>
        </w:rPr>
        <w:t xml:space="preserve"> – Implied Correlation (Dispersion)</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Average pairwise correlation extracted from index vs single-stock option pricing; jumps toward 1.0 in crisis as stocks move together, devastating dispersion traders who sell index vol and buy single-stock vol.</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ρ_implied = (σ²_index - Σwᵢ²σᵢ²) / (2 × Σᵢ&lt;ⱼ wᵢwⱼσᵢσⱼ); extracted by comparing index var to weighted single-stock var</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correlation coefficient (0 to 1)</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Dispersion trading, correlation swaps, systemic risk measurement, index vs constituent relative value</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SPX Implied Correlation: 0.65 moderate level, 0.85 severe level (from ~0.45 base)</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Classic dispersion: short SPX variance, long single-stock variance. If implied corr jumps from 0.45 to 0.85, index vol rises much faster than singles—you lose on both legs.</w:t>
      </w:r>
    </w:p>
    <w:p>
      <w:pPr>
        <w:shd w:fill="F4CCCC" w:val="clear"/>
        <w:spacing w:before="200" w:after="80"/>
      </w:pPr>
      <w:r>
        <w:rPr>
          <w:rFonts w:ascii="Arial Narrow" w:cs="Arial Narrow" w:eastAsia="Arial Narrow" w:hAnsi="Arial Narrow"/>
          <w:b/>
          <w:bCs/>
          <w:sz w:val="24"/>
          <w:szCs w:val="24"/>
        </w:rPr>
        <w:t xml:space="preserve">VOL_VAR</w:t>
      </w:r>
      <w:r>
        <w:rPr>
          <w:rFonts w:ascii="Arial" w:cs="Arial" w:eastAsia="Arial" w:hAnsi="Arial"/>
          <w:b/>
          <w:bCs/>
          <w:sz w:val="24"/>
          <w:szCs w:val="24"/>
        </w:rPr>
        <w:t xml:space="preserve"> – Variance Swap Strike</w:t>
      </w:r>
    </w:p>
    <w:p>
      <w:pPr>
        <w:spacing w:after="80"/>
        <w:ind w:left="360"/>
      </w:pPr>
      <w:r>
        <w:rPr>
          <w:rFonts w:ascii="Arial" w:cs="Arial" w:eastAsia="Arial" w:hAnsi="Arial"/>
          <w:b/>
          <w:bCs/>
          <w:sz w:val="22"/>
          <w:szCs w:val="22"/>
        </w:rPr>
        <w:t xml:space="preserve">Intuition: </w:t>
      </w:r>
      <w:r>
        <w:rPr>
          <w:rFonts w:ascii="Arial" w:cs="Arial" w:eastAsia="Arial" w:hAnsi="Arial"/>
          <w:i w:val="false"/>
          <w:iCs w:val="false"/>
          <w:sz w:val="22"/>
          <w:szCs w:val="22"/>
        </w:rPr>
        <w:t xml:space="preserve">Fair strike for a variance swap paying realized variance minus strike; unlike vol, variance is additive and convex, meaning variance buyers profit disproportionately from vol spikes.</w:t>
      </w:r>
    </w:p>
    <w:p>
      <w:pPr>
        <w:spacing w:after="80"/>
        <w:ind w:left="360"/>
      </w:pPr>
      <w:r>
        <w:rPr>
          <w:rFonts w:ascii="Arial" w:cs="Arial" w:eastAsia="Arial" w:hAnsi="Arial"/>
          <w:b/>
          <w:bCs/>
          <w:sz w:val="22"/>
          <w:szCs w:val="22"/>
        </w:rPr>
        <w:t xml:space="preserve">Formula: </w:t>
      </w:r>
      <w:r>
        <w:rPr>
          <w:rFonts w:ascii="Arial" w:cs="Arial" w:eastAsia="Arial" w:hAnsi="Arial"/>
          <w:i/>
          <w:iCs/>
          <w:sz w:val="22"/>
          <w:szCs w:val="22"/>
        </w:rPr>
        <w:t xml:space="preserve">Var_Swap P&amp;L = Vega_Notional × (Realized_Var - Strike_Var) / (2 × Strike_Vol); Variance = Vol²; convexity means big moves help buyers</w:t>
      </w:r>
    </w:p>
    <w:p>
      <w:pPr>
        <w:spacing w:after="80"/>
        <w:ind w:left="360"/>
      </w:pPr>
      <w:r>
        <w:rPr>
          <w:rFonts w:ascii="Arial" w:cs="Arial" w:eastAsia="Arial" w:hAnsi="Arial"/>
          <w:b/>
          <w:bCs/>
          <w:sz w:val="22"/>
          <w:szCs w:val="22"/>
        </w:rPr>
        <w:t xml:space="preserve">Shift Type: </w:t>
      </w:r>
      <w:r>
        <w:rPr>
          <w:rFonts w:ascii="Arial" w:cs="Arial" w:eastAsia="Arial" w:hAnsi="Arial"/>
          <w:i w:val="false"/>
          <w:iCs w:val="false"/>
          <w:sz w:val="22"/>
          <w:szCs w:val="22"/>
        </w:rPr>
        <w:t xml:space="preserve">ABSOLUTE | Units: variance points (vol² terms)</w:t>
      </w:r>
    </w:p>
    <w:p>
      <w:pPr>
        <w:spacing w:after="80"/>
        <w:ind w:left="360"/>
      </w:pPr>
      <w:r>
        <w:rPr>
          <w:rFonts w:ascii="Arial" w:cs="Arial" w:eastAsia="Arial" w:hAnsi="Arial"/>
          <w:b/>
          <w:bCs/>
          <w:sz w:val="22"/>
          <w:szCs w:val="22"/>
        </w:rPr>
        <w:t xml:space="preserve">Applications: </w:t>
      </w:r>
      <w:r>
        <w:rPr>
          <w:rFonts w:ascii="Arial" w:cs="Arial" w:eastAsia="Arial" w:hAnsi="Arial"/>
          <w:i w:val="false"/>
          <w:iCs w:val="false"/>
          <w:sz w:val="22"/>
          <w:szCs w:val="22"/>
        </w:rPr>
        <w:t xml:space="preserve">Pure vol exposure without delta hedging, gamma replication, variance arbitrage, vol convexity trading</w:t>
      </w:r>
    </w:p>
    <w:p>
      <w:pPr>
        <w:spacing w:after="80"/>
        <w:ind w:left="360"/>
      </w:pPr>
      <w:r>
        <w:rPr>
          <w:rFonts w:ascii="Arial" w:cs="Arial" w:eastAsia="Arial" w:hAnsi="Arial"/>
          <w:b/>
          <w:bCs/>
          <w:sz w:val="22"/>
          <w:szCs w:val="22"/>
        </w:rPr>
        <w:t xml:space="preserve">Example: </w:t>
      </w:r>
      <w:r>
        <w:rPr>
          <w:rFonts w:ascii="Arial" w:cs="Arial" w:eastAsia="Arial" w:hAnsi="Arial"/>
          <w:i w:val="false"/>
          <w:iCs w:val="false"/>
          <w:sz w:val="22"/>
          <w:szCs w:val="22"/>
        </w:rPr>
        <w:t xml:space="preserve">SPX 3M Variance Strike: ~22² = 484 base → 38² = 1444 stressed moderate → 58² = 3364 stressed severe</w:t>
      </w:r>
    </w:p>
    <w:p>
      <w:pPr>
        <w:spacing w:after="80"/>
        <w:ind w:left="360"/>
      </w:pPr>
      <w:r>
        <w:rPr>
          <w:rFonts w:ascii="Arial" w:cs="Arial" w:eastAsia="Arial" w:hAnsi="Arial"/>
          <w:b/>
          <w:bCs/>
          <w:sz w:val="22"/>
          <w:szCs w:val="22"/>
        </w:rPr>
        <w:t xml:space="preserve">Trading Logic: </w:t>
      </w:r>
      <w:r>
        <w:rPr>
          <w:rFonts w:ascii="Arial" w:cs="Arial" w:eastAsia="Arial" w:hAnsi="Arial"/>
          <w:i w:val="false"/>
          <w:iCs w:val="false"/>
          <w:sz w:val="22"/>
          <w:szCs w:val="22"/>
        </w:rPr>
        <w:t xml:space="preserve">Variance swaps have convex payoff: if vol doubles from 20 to 40, variance quadruples from 400 to 1600. Long variance outperforms long vol in spikes.</w:t>
      </w:r>
    </w:p>
    <w:p>
      <w:r>
        <w:br w:type="page"/>
      </w:r>
    </w:p>
    <w:p>
      <w:pPr>
        <w:pStyle w:val="Heading1"/>
      </w:pPr>
      <w:r>
        <w:t xml:space="preserve">7. QUICK REFERENCE TABLES</w:t>
      </w:r>
    </w:p>
    <w:p>
      <w:pPr>
        <w:spacing w:before="300" w:after="150"/>
      </w:pPr>
      <w:r>
        <w:rPr>
          <w:rFonts w:ascii="Arial" w:cs="Arial" w:eastAsia="Arial" w:hAnsi="Arial"/>
          <w:b/>
          <w:bCs/>
          <w:color w:val="2E75B6"/>
          <w:sz w:val="26"/>
          <w:szCs w:val="26"/>
        </w:rPr>
        <w:t xml:space="preserve">7.1 Shift Type Decision Matrix</w:t>
      </w:r>
    </w:p>
    <w:p>
      <w:pPr>
        <w:spacing w:after="120"/>
        <w:jc w:val="left"/>
      </w:pPr>
      <w:r>
        <w:t xml:space="preserve">Use this table to quickly determine how to apply shocks: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500"/>
      </w:tblGrid>
      <w:t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If Driver Is...</w:t>
            </w:r>
          </w:p>
        </w:tc>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Shift Type</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Units</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Formula</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Equity Price</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RELATIVE</w:t>
            </w:r>
          </w:p>
        </w:tc>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(1 + shock)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Credit Spread</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ABSOLUTE</w:t>
            </w:r>
          </w:p>
        </w:tc>
        <w:tc>
          <w:tcPr>
            <w:tcW w:type="dxa" w:w="1500"/>
            <w:tcBorders>
              <w:top w:val="single" w:color="CCCCCC" w:sz="1"/>
              <w:left w:val="single" w:color="CCCCCC" w:sz="1"/>
              <w:bottom w:val="single" w:color="CCCCCC" w:sz="1"/>
              <w:right w:val="single" w:color="CCCCCC" w:sz="1"/>
            </w:tcBorders>
          </w:tcPr>
          <w:p>
            <w:r>
              <w:rPr>
                <w:sz w:val="20"/>
                <w:szCs w:val="20"/>
              </w:rPr>
              <w:t xml:space="preserve">bp</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shock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Commodity Price</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RELATIVE</w:t>
            </w:r>
          </w:p>
        </w:tc>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(1 + shock)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Interest Rate</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ABSOLUTE</w:t>
            </w:r>
          </w:p>
        </w:tc>
        <w:tc>
          <w:tcPr>
            <w:tcW w:type="dxa" w:w="1500"/>
            <w:tcBorders>
              <w:top w:val="single" w:color="CCCCCC" w:sz="1"/>
              <w:left w:val="single" w:color="CCCCCC" w:sz="1"/>
              <w:bottom w:val="single" w:color="CCCCCC" w:sz="1"/>
              <w:right w:val="single" w:color="CCCCCC" w:sz="1"/>
            </w:tcBorders>
          </w:tcPr>
          <w:p>
            <w:r>
              <w:rPr>
                <w:sz w:val="20"/>
                <w:szCs w:val="20"/>
              </w:rPr>
              <w:t xml:space="preserve">bp</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shock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FX Spot</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RELATIVE</w:t>
            </w:r>
          </w:p>
        </w:tc>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(1 + shock)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Implied Vol</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ABSOLUTE</w:t>
            </w:r>
          </w:p>
        </w:tc>
        <w:tc>
          <w:tcPr>
            <w:tcW w:type="dxa" w:w="1500"/>
            <w:tcBorders>
              <w:top w:val="single" w:color="CCCCCC" w:sz="1"/>
              <w:left w:val="single" w:color="CCCCCC" w:sz="1"/>
              <w:bottom w:val="single" w:color="CCCCCC" w:sz="1"/>
              <w:right w:val="single" w:color="CCCCCC" w:sz="1"/>
            </w:tcBorders>
          </w:tcPr>
          <w:p>
            <w:r>
              <w:rPr>
                <w:sz w:val="20"/>
                <w:szCs w:val="20"/>
              </w:rPr>
              <w:t xml:space="preserve">vol pts</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shock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VIX Level</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ABSOLUTE</w:t>
            </w:r>
          </w:p>
        </w:tc>
        <w:tc>
          <w:tcPr>
            <w:tcW w:type="dxa" w:w="1500"/>
            <w:tcBorders>
              <w:top w:val="single" w:color="CCCCCC" w:sz="1"/>
              <w:left w:val="single" w:color="CCCCCC" w:sz="1"/>
              <w:bottom w:val="single" w:color="CCCCCC" w:sz="1"/>
              <w:right w:val="single" w:color="CCCCCC" w:sz="1"/>
            </w:tcBorders>
          </w:tcPr>
          <w:p>
            <w:r>
              <w:rPr>
                <w:sz w:val="20"/>
                <w:szCs w:val="20"/>
              </w:rPr>
              <w:t xml:space="preserve">pts</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shock (or target level)</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Basis Spread</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ABSOLUTE</w:t>
            </w:r>
          </w:p>
        </w:tc>
        <w:tc>
          <w:tcPr>
            <w:tcW w:type="dxa" w:w="1500"/>
            <w:tcBorders>
              <w:top w:val="single" w:color="CCCCCC" w:sz="1"/>
              <w:left w:val="single" w:color="CCCCCC" w:sz="1"/>
              <w:bottom w:val="single" w:color="CCCCCC" w:sz="1"/>
              <w:right w:val="single" w:color="CCCCCC" w:sz="1"/>
            </w:tcBorders>
          </w:tcPr>
          <w:p>
            <w:r>
              <w:rPr>
                <w:sz w:val="20"/>
                <w:szCs w:val="20"/>
              </w:rPr>
              <w:t xml:space="preserve">$/unit or bp</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shock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Single Stock Vol</w:t>
            </w:r>
          </w:p>
        </w:tc>
        <w:tc>
          <w:tcPr>
            <w:tcW w:type="dxa" w:w="2500"/>
            <w:tcBorders>
              <w:top w:val="single" w:color="CCCCCC" w:sz="1"/>
              <w:left w:val="single" w:color="CCCCCC" w:sz="1"/>
              <w:bottom w:val="single" w:color="CCCCCC" w:sz="1"/>
              <w:right w:val="single" w:color="CCCCCC" w:sz="1"/>
            </w:tcBorders>
          </w:tcPr>
          <w:p>
            <w:r>
              <w:rPr>
                <w:b/>
                <w:bCs/>
                <w:sz w:val="20"/>
                <w:szCs w:val="20"/>
              </w:rPr>
              <w:t xml:space="preserve">RELATIVE (multiplier)</w:t>
            </w:r>
          </w:p>
        </w:tc>
        <w:tc>
          <w:tcPr>
            <w:tcW w:type="dxa" w:w="1500"/>
            <w:tcBorders>
              <w:top w:val="single" w:color="CCCCCC" w:sz="1"/>
              <w:left w:val="single" w:color="CCCCCC" w:sz="1"/>
              <w:bottom w:val="single" w:color="CCCCCC" w:sz="1"/>
              <w:right w:val="single" w:color="CCCCCC" w:sz="1"/>
            </w:tcBorders>
          </w:tcPr>
          <w:p>
            <w:r>
              <w:rPr>
                <w:sz w:val="20"/>
                <w:szCs w:val="20"/>
              </w:rPr>
              <w:t xml:space="preserve">×</w:t>
            </w:r>
          </w:p>
        </w:tc>
        <w:tc>
          <w:tcPr>
            <w:tcW w:type="dxa" w:w="3500"/>
            <w:tcBorders>
              <w:top w:val="single" w:color="CCCCCC" w:sz="1"/>
              <w:left w:val="single" w:color="CCCCCC" w:sz="1"/>
              <w:bottom w:val="single" w:color="CCCCCC" w:sz="1"/>
              <w:right w:val="single" w:color="CCCCCC" w:sz="1"/>
            </w:tcBorders>
          </w:tcPr>
          <w:p>
            <w:r>
              <w:rPr>
                <w:i/>
                <w:iCs/>
                <w:sz w:val="20"/>
                <w:szCs w:val="20"/>
              </w:rPr>
              <w:t xml:space="preserve">New = Current × shock (e.g., 1.8×)</w:t>
            </w:r>
          </w:p>
        </w:tc>
      </w:tr>
    </w:tbl>
    <w:p>
      <w:pPr>
        <w:spacing w:after="300"/>
      </w:pPr>
    </w:p>
    <w:p>
      <w:pPr>
        <w:spacing w:before="300" w:after="150"/>
      </w:pPr>
      <w:r>
        <w:rPr>
          <w:rFonts w:ascii="Arial" w:cs="Arial" w:eastAsia="Arial" w:hAnsi="Arial"/>
          <w:b/>
          <w:bCs/>
          <w:color w:val="2E75B6"/>
          <w:sz w:val="26"/>
          <w:szCs w:val="26"/>
        </w:rPr>
        <w:t xml:space="preserve">7.2 Key P&amp;L Formulas</w:t>
      </w:r>
    </w:p>
    <w:p>
      <w:pPr>
        <w:pStyle w:val="ListParagraph"/>
        <w:numPr>
          <w:ilvl w:val="0"/>
          <w:numId w:val="2"/>
        </w:numPr>
      </w:pPr>
      <w:r>
        <w:rPr>
          <w:b/>
          <w:bCs/>
        </w:rPr>
        <w:t xml:space="preserve">Delta P&amp;L: </w:t>
      </w:r>
      <w:r>
        <w:t xml:space="preserve">Position_Δ × ΔSpot (linear in price move)</w:t>
      </w:r>
    </w:p>
    <w:p>
      <w:pPr>
        <w:pStyle w:val="ListParagraph"/>
        <w:numPr>
          <w:ilvl w:val="0"/>
          <w:numId w:val="2"/>
        </w:numPr>
      </w:pPr>
      <w:r>
        <w:rPr>
          <w:b/>
          <w:bCs/>
        </w:rPr>
        <w:t xml:space="preserve">Vega P&amp;L: </w:t>
      </w:r>
      <w:r>
        <w:t xml:space="preserve">Position_ν × ΔIV (linear in vol move)</w:t>
      </w:r>
    </w:p>
    <w:p>
      <w:pPr>
        <w:pStyle w:val="ListParagraph"/>
        <w:numPr>
          <w:ilvl w:val="0"/>
          <w:numId w:val="2"/>
        </w:numPr>
      </w:pPr>
      <w:r>
        <w:rPr>
          <w:b/>
          <w:bCs/>
        </w:rPr>
        <w:t xml:space="preserve">Duration P&amp;L: </w:t>
      </w:r>
      <w:r>
        <w:t xml:space="preserve">-Duration × ΔYield × Notional (rates move)</w:t>
      </w:r>
    </w:p>
    <w:p>
      <w:pPr>
        <w:pStyle w:val="ListParagraph"/>
        <w:numPr>
          <w:ilvl w:val="0"/>
          <w:numId w:val="2"/>
        </w:numPr>
      </w:pPr>
      <w:r>
        <w:rPr>
          <w:b/>
          <w:bCs/>
        </w:rPr>
        <w:t xml:space="preserve">Credit DV01 P&amp;L: </w:t>
      </w:r>
      <w:r>
        <w:t xml:space="preserve">Risky_DV01 × ΔSpread × Notional / 10,000</w:t>
      </w:r>
    </w:p>
    <w:p>
      <w:pPr>
        <w:pStyle w:val="ListParagraph"/>
        <w:numPr>
          <w:ilvl w:val="0"/>
          <w:numId w:val="2"/>
        </w:numPr>
      </w:pPr>
      <w:r>
        <w:rPr>
          <w:b/>
          <w:bCs/>
        </w:rPr>
        <w:t xml:space="preserve">FX P&amp;L: </w:t>
      </w:r>
      <w:r>
        <w:t xml:space="preserve">Foreign_Notional × ΔRate (currency translation)</w:t>
      </w:r>
    </w:p>
    <w:p>
      <w:pPr>
        <w:pStyle w:val="ListParagraph"/>
        <w:numPr>
          <w:ilvl w:val="0"/>
          <w:numId w:val="2"/>
        </w:numPr>
        <w:spacing w:after="300"/>
      </w:pPr>
      <w:r>
        <w:rPr>
          <w:b/>
          <w:bCs/>
        </w:rPr>
        <w:t xml:space="preserve">Variance Swap P&amp;L: </w:t>
      </w:r>
      <w:r>
        <w:t xml:space="preserve">Vega_Notional × (Realized_σ² - Strike_σ²) / (2 × Strike_σ)</w:t>
      </w:r>
    </w:p>
    <w:p>
      <w:pPr>
        <w:spacing w:before="300" w:after="150"/>
      </w:pPr>
      <w:r>
        <w:rPr>
          <w:rFonts w:ascii="Arial" w:cs="Arial" w:eastAsia="Arial" w:hAnsi="Arial"/>
          <w:b/>
          <w:bCs/>
          <w:color w:val="2E75B6"/>
          <w:sz w:val="26"/>
          <w:szCs w:val="26"/>
        </w:rPr>
        <w:t xml:space="preserve">7.3 Scenario Anchors</w:t>
      </w:r>
    </w:p>
    <w:p>
      <w:pPr>
        <w:spacing w:after="120"/>
        <w:jc w:val="left"/>
      </w:pPr>
      <w:r>
        <w:t xml:space="preserve">These drivers serve as calibration anchors for cross-asset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000"/>
      </w:tblGrid>
      <w:t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Anchor Driver</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SPX Index</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-22%</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-33%</w:t>
            </w:r>
          </w:p>
        </w:tc>
        <w:tc>
          <w:tcPr>
            <w:tcW w:type="dxa" w:w="3000"/>
            <w:tcBorders>
              <w:top w:val="single" w:color="CCCCCC" w:sz="1"/>
              <w:left w:val="single" w:color="CCCCCC" w:sz="1"/>
              <w:bottom w:val="single" w:color="CCCCCC" w:sz="1"/>
              <w:right w:val="single" w:color="CCCCCC" w:sz="1"/>
            </w:tcBorders>
          </w:tcPr>
          <w:p>
            <w:r>
              <w:rPr>
                <w:sz w:val="20"/>
                <w:szCs w:val="20"/>
              </w:rPr>
              <w:t xml:space="preserve">Equity beta anchor</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CDX.NA.IG 5Y</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+15 bp</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+125 bp</w:t>
            </w:r>
          </w:p>
        </w:tc>
        <w:tc>
          <w:tcPr>
            <w:tcW w:type="dxa" w:w="3000"/>
            <w:tcBorders>
              <w:top w:val="single" w:color="CCCCCC" w:sz="1"/>
              <w:left w:val="single" w:color="CCCCCC" w:sz="1"/>
              <w:bottom w:val="single" w:color="CCCCCC" w:sz="1"/>
              <w:right w:val="single" w:color="CCCCCC" w:sz="1"/>
            </w:tcBorders>
          </w:tcPr>
          <w:p>
            <w:r>
              <w:rPr>
                <w:sz w:val="20"/>
                <w:szCs w:val="20"/>
              </w:rPr>
              <w:t xml:space="preserve">IG credit anchor</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CDX.NA.HY 5Y</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+50 bp</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+350 bp</w:t>
            </w:r>
          </w:p>
        </w:tc>
        <w:tc>
          <w:tcPr>
            <w:tcW w:type="dxa" w:w="3000"/>
            <w:tcBorders>
              <w:top w:val="single" w:color="CCCCCC" w:sz="1"/>
              <w:left w:val="single" w:color="CCCCCC" w:sz="1"/>
              <w:bottom w:val="single" w:color="CCCCCC" w:sz="1"/>
              <w:right w:val="single" w:color="CCCCCC" w:sz="1"/>
            </w:tcBorders>
          </w:tcPr>
          <w:p>
            <w:r>
              <w:rPr>
                <w:sz w:val="20"/>
                <w:szCs w:val="20"/>
              </w:rPr>
              <w:t xml:space="preserve">HY credit anchor</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WTI Crude</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-12%</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-25%</w:t>
            </w:r>
          </w:p>
        </w:tc>
        <w:tc>
          <w:tcPr>
            <w:tcW w:type="dxa" w:w="3000"/>
            <w:tcBorders>
              <w:top w:val="single" w:color="CCCCCC" w:sz="1"/>
              <w:left w:val="single" w:color="CCCCCC" w:sz="1"/>
              <w:bottom w:val="single" w:color="CCCCCC" w:sz="1"/>
              <w:right w:val="single" w:color="CCCCCC" w:sz="1"/>
            </w:tcBorders>
          </w:tcPr>
          <w:p>
            <w:r>
              <w:rPr>
                <w:sz w:val="20"/>
                <w:szCs w:val="20"/>
              </w:rPr>
              <w:t xml:space="preserve">Energy anchor</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Gold (XAU)</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+5%</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+12%</w:t>
            </w:r>
          </w:p>
        </w:tc>
        <w:tc>
          <w:tcPr>
            <w:tcW w:type="dxa" w:w="3000"/>
            <w:tcBorders>
              <w:top w:val="single" w:color="CCCCCC" w:sz="1"/>
              <w:left w:val="single" w:color="CCCCCC" w:sz="1"/>
              <w:bottom w:val="single" w:color="CCCCCC" w:sz="1"/>
              <w:right w:val="single" w:color="CCCCCC" w:sz="1"/>
            </w:tcBorders>
          </w:tcPr>
          <w:p>
            <w:r>
              <w:rPr>
                <w:sz w:val="20"/>
                <w:szCs w:val="20"/>
              </w:rPr>
              <w:t xml:space="preserve">Safe haven anchor</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UST 10Y Yield</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-40 bp</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-90 bp</w:t>
            </w:r>
          </w:p>
        </w:tc>
        <w:tc>
          <w:tcPr>
            <w:tcW w:type="dxa" w:w="3000"/>
            <w:tcBorders>
              <w:top w:val="single" w:color="CCCCCC" w:sz="1"/>
              <w:left w:val="single" w:color="CCCCCC" w:sz="1"/>
              <w:bottom w:val="single" w:color="CCCCCC" w:sz="1"/>
              <w:right w:val="single" w:color="CCCCCC" w:sz="1"/>
            </w:tcBorders>
          </w:tcPr>
          <w:p>
            <w:r>
              <w:rPr>
                <w:sz w:val="20"/>
                <w:szCs w:val="20"/>
              </w:rPr>
              <w:t xml:space="preserve">Rates anchor (flight to quality)</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DXY Index</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+6%</w:t>
            </w:r>
          </w:p>
        </w:tc>
        <w:tc>
          <w:tcPr>
            <w:tcW w:type="dxa" w:w="3000"/>
            <w:tcBorders>
              <w:top w:val="single" w:color="CCCCCC" w:sz="1"/>
              <w:left w:val="single" w:color="CCCCCC" w:sz="1"/>
              <w:bottom w:val="single" w:color="CCCCCC" w:sz="1"/>
              <w:right w:val="single" w:color="CCCCCC" w:sz="1"/>
            </w:tcBorders>
          </w:tcPr>
          <w:p>
            <w:r>
              <w:rPr>
                <w:sz w:val="20"/>
                <w:szCs w:val="20"/>
              </w:rPr>
              <w:t xml:space="preserve">USD anchor</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VIX Level</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38</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58</w:t>
            </w:r>
          </w:p>
        </w:tc>
        <w:tc>
          <w:tcPr>
            <w:tcW w:type="dxa" w:w="3000"/>
            <w:tcBorders>
              <w:top w:val="single" w:color="CCCCCC" w:sz="1"/>
              <w:left w:val="single" w:color="CCCCCC" w:sz="1"/>
              <w:bottom w:val="single" w:color="CCCCCC" w:sz="1"/>
              <w:right w:val="single" w:color="CCCCCC" w:sz="1"/>
            </w:tcBorders>
          </w:tcPr>
          <w:p>
            <w:r>
              <w:rPr>
                <w:sz w:val="20"/>
                <w:szCs w:val="20"/>
              </w:rPr>
              <w:t xml:space="preserve">Vol/fear anchor</w:t>
            </w:r>
          </w:p>
        </w:tc>
      </w:tr>
    </w:tbl>
    <w:p>
      <w:pPr>
        <w:spacing w:after="400"/>
      </w:pPr>
    </w:p>
    <w:p>
      <w:pPr>
        <w:spacing w:before="400"/>
        <w:jc w:val="center"/>
      </w:pPr>
      <w:r>
        <w:rPr>
          <w:color w:val="2E75B6"/>
          <w:sz w:val="24"/>
          <w:szCs w:val="24"/>
        </w:rPr>
        <w:t xml:space="preserve">━━━━━━━━━━━━━━━━━━━━━━━━━━━━━━━━━━━━━━━━━━━━━</w:t>
      </w:r>
    </w:p>
    <w:p>
      <w:pPr>
        <w:jc w:val="center"/>
      </w:pPr>
      <w:r>
        <w:rPr>
          <w:i/>
          <w:iCs/>
          <w:color w:val="666666"/>
          <w:sz w:val="20"/>
          <w:szCs w:val="20"/>
        </w:rPr>
        <w:t xml:space="preserve">Document prepared by Market Risk Analytics | AI Bubble Correction Stress Scenario | January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AI Bubble Correction Stress Scenario | Market Risk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Pr>
      <w:t xml:space="preserve">RISK DRIVER NOMENCLATURE &amp; INTUITION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2026-01-23T18:04:27.744Z</dcterms:created>
  <dcterms:modified xsi:type="dcterms:W3CDTF">2026-01-23T18:04:27.745Z</dcterms:modified>
</cp:coreProperties>
</file>

<file path=docProps/custom.xml><?xml version="1.0" encoding="utf-8"?>
<Properties xmlns="http://schemas.openxmlformats.org/officeDocument/2006/custom-properties" xmlns:vt="http://schemas.openxmlformats.org/officeDocument/2006/docPropsVTypes"/>
</file>