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432858d4c3271910dd4561a26b00025e280dad6"/>
    <w:p>
      <w:pPr>
        <w:pStyle w:val="Heading1"/>
      </w:pPr>
      <w:r>
        <w:rPr>
          <w:b/>
          <w:bCs/>
        </w:rPr>
        <w:t xml:space="preserve">Global Markets 2025: Year in Review — Cross-Asset, Evidence-Based, Institutional Pack</w:t>
      </w:r>
    </w:p>
    <w:bookmarkStart w:id="22" w:name="a.-executive-summary"/>
    <w:p>
      <w:pPr>
        <w:pStyle w:val="Heading2"/>
      </w:pPr>
      <w:r>
        <w:t xml:space="preserve">A. Executive Summary</w:t>
      </w:r>
    </w:p>
    <w:p>
      <w:pPr>
        <w:pStyle w:val="FirstParagraph"/>
      </w:pPr>
      <w:r>
        <w:rPr>
          <w:b/>
          <w:bCs/>
        </w:rPr>
        <w:t xml:space="preserve">Defining Themes of 2025:</w:t>
      </w:r>
      <w:r>
        <w:t xml:space="preserve"> </w:t>
      </w:r>
      <w:r>
        <w:t xml:space="preserve">Global markets in 2025 were shaped by a</w:t>
      </w:r>
      <w:r>
        <w:t xml:space="preserve"> </w:t>
      </w:r>
      <w:r>
        <w:rPr>
          <w:b/>
          <w:bCs/>
        </w:rPr>
        <w:t xml:space="preserve">“whipsaw” of shocks and rebounds</w:t>
      </w:r>
      <w:r>
        <w:t xml:space="preserve">. We saw a</w:t>
      </w:r>
      <w:r>
        <w:t xml:space="preserve"> </w:t>
      </w:r>
      <w:r>
        <w:rPr>
          <w:i/>
          <w:iCs/>
        </w:rPr>
        <w:t xml:space="preserve">trade war redux</w:t>
      </w:r>
      <w:r>
        <w:t xml:space="preserve">, an</w:t>
      </w:r>
      <w:r>
        <w:t xml:space="preserve"> </w:t>
      </w:r>
      <w:r>
        <w:rPr>
          <w:i/>
          <w:iCs/>
        </w:rPr>
        <w:t xml:space="preserve">AI-fueled equity boom</w:t>
      </w:r>
      <w:r>
        <w:t xml:space="preserve">, and a</w:t>
      </w:r>
      <w:r>
        <w:t xml:space="preserve"> </w:t>
      </w:r>
      <w:r>
        <w:rPr>
          <w:i/>
          <w:iCs/>
        </w:rPr>
        <w:t xml:space="preserve">geopolitical regime shift</w:t>
      </w:r>
      <w:r>
        <w:t xml:space="preserve"> </w:t>
      </w:r>
      <w:r>
        <w:t xml:space="preserve">in Europe – all against the backdrop of</w:t>
      </w:r>
      <w:r>
        <w:t xml:space="preserve"> </w:t>
      </w:r>
      <w:r>
        <w:rPr>
          <w:b/>
          <w:bCs/>
        </w:rPr>
        <w:t xml:space="preserve">peaking inflation and policy pivots</w:t>
      </w:r>
      <w:r>
        <w:t xml:space="preserve">. In the first half,</w:t>
      </w:r>
      <w:r>
        <w:t xml:space="preserve"> </w:t>
      </w:r>
      <w:r>
        <w:rPr>
          <w:b/>
          <w:bCs/>
        </w:rPr>
        <w:t xml:space="preserve">U.S.–China trade tensions</w:t>
      </w:r>
      <w:r>
        <w:t xml:space="preserve"> </w:t>
      </w:r>
      <w:r>
        <w:t xml:space="preserve">surged as the new U.S. administration imposed</w:t>
      </w:r>
      <w:r>
        <w:t xml:space="preserve"> </w:t>
      </w:r>
      <w:r>
        <w:rPr>
          <w:b/>
          <w:bCs/>
        </w:rPr>
        <w:t xml:space="preserve">sweeping tariffs (up to 100%)</w:t>
      </w:r>
      <w:r>
        <w:t xml:space="preserve"> </w:t>
      </w:r>
      <w:r>
        <w:t xml:space="preserve">reminiscent of 1930s protectionism. Equities plunged into correction by early April (S&amp;P 500 down ~16% at the trough) amid fears of stagflation. Yet, markets proved remarkably resilient: by Q4, a</w:t>
      </w:r>
      <w:r>
        <w:t xml:space="preserve"> </w:t>
      </w:r>
      <w:r>
        <w:rPr>
          <w:b/>
          <w:bCs/>
        </w:rPr>
        <w:t xml:space="preserve">“risk-on” everything rally</w:t>
      </w:r>
      <w:r>
        <w:t xml:space="preserve"> </w:t>
      </w:r>
      <w:r>
        <w:t xml:space="preserve">took hold, with</w:t>
      </w:r>
      <w:r>
        <w:t xml:space="preserve"> </w:t>
      </w:r>
      <w:r>
        <w:rPr>
          <w:i/>
          <w:iCs/>
        </w:rPr>
        <w:t xml:space="preserve">all major asset classes posting gains for the year</w:t>
      </w:r>
      <w:r>
        <w:t xml:space="preserve">.</w:t>
      </w:r>
      <w:r>
        <w:t xml:space="preserve"> </w:t>
      </w:r>
      <w:r>
        <w:rPr>
          <w:b/>
          <w:bCs/>
        </w:rPr>
        <w:t xml:space="preserve">Artificial intelligence (AI) mania</w:t>
      </w:r>
      <w:r>
        <w:t xml:space="preserve"> </w:t>
      </w:r>
      <w:r>
        <w:t xml:space="preserve">remained a powerful driver – U.S. tech stocks hit record highs on AI capex optimism, though leadership broadened beyond the Magnificent Seven mega-caps. Meanwhile,</w:t>
      </w:r>
      <w:r>
        <w:t xml:space="preserve"> </w:t>
      </w:r>
      <w:r>
        <w:rPr>
          <w:b/>
          <w:bCs/>
        </w:rPr>
        <w:t xml:space="preserve">Europe underwent a regime shift</w:t>
      </w:r>
      <w:r>
        <w:t xml:space="preserve">, ramping up defense spending in response to war on its doorstep, and benefitting from a weaker dollar and strong foreign inflows.</w:t>
      </w:r>
      <w:r>
        <w:t xml:space="preserve"> </w:t>
      </w:r>
      <w:r>
        <w:rPr>
          <w:b/>
          <w:bCs/>
        </w:rPr>
        <w:t xml:space="preserve">Central banks</w:t>
      </w:r>
      <w:r>
        <w:t xml:space="preserve"> </w:t>
      </w:r>
      <w:r>
        <w:t xml:space="preserve">pivoted from aggressive tightening to cautious easing: the Federal Reserve delivered its first rate cuts since 2020 by September, even as inflation drifted down toward targets. The year’s latter half thus saw a rare</w:t>
      </w:r>
      <w:r>
        <w:t xml:space="preserve"> </w:t>
      </w:r>
      <w:r>
        <w:rPr>
          <w:b/>
          <w:bCs/>
        </w:rPr>
        <w:t xml:space="preserve">Goldilocks mix</w:t>
      </w:r>
      <w:r>
        <w:t xml:space="preserve"> </w:t>
      </w:r>
      <w:r>
        <w:t xml:space="preserve">of moderating price pressures, renewed fiscal stimulus, and ebbing volatility – propelling a broad market rebound.</w:t>
      </w:r>
    </w:p>
    <w:p>
      <w:pPr>
        <w:pStyle w:val="BodyText"/>
      </w:pPr>
      <w:r>
        <w:rPr>
          <w:b/>
          <w:bCs/>
        </w:rPr>
        <w:t xml:space="preserve">Biggest Surprises vs. Expectations:</w:t>
      </w:r>
      <w:r>
        <w:t xml:space="preserve"> </w:t>
      </w:r>
      <w:r>
        <w:t xml:space="preserve">Several outcomes defied consensus entering 2025.</w:t>
      </w:r>
      <w:r>
        <w:t xml:space="preserve"> </w:t>
      </w:r>
      <w:r>
        <w:rPr>
          <w:i/>
          <w:iCs/>
        </w:rPr>
        <w:t xml:space="preserve">First, global growth proved sturdier</w:t>
      </w:r>
      <w:r>
        <w:t xml:space="preserve"> </w:t>
      </w:r>
      <w:r>
        <w:t xml:space="preserve">than feared – recession forecasts for the U.S. were dismissed as robust consumers and AI-driven investment sustained activity.</w:t>
      </w:r>
      <w:r>
        <w:t xml:space="preserve"> </w:t>
      </w:r>
      <w:r>
        <w:rPr>
          <w:i/>
          <w:iCs/>
        </w:rPr>
        <w:t xml:space="preserve">Second, inflation did not re-ignite</w:t>
      </w:r>
      <w:r>
        <w:t xml:space="preserve"> </w:t>
      </w:r>
      <w:r>
        <w:t xml:space="preserve">despite tariff shocks. Companies largely absorbed higher import costs, avoiding a feared price spike. In fact, U.S. headline CPI continued to ease (into the ~3% range by year-end), and Eurozone inflation fell all the way to 2.0% by December.</w:t>
      </w:r>
      <w:r>
        <w:t xml:space="preserve"> </w:t>
      </w:r>
      <w:r>
        <w:rPr>
          <w:i/>
          <w:iCs/>
        </w:rPr>
        <w:t xml:space="preserve">Third, non-U.S. equities massively outperformed</w:t>
      </w:r>
      <w:r>
        <w:t xml:space="preserve">: for the first time in two decades, the U.S. was the</w:t>
      </w:r>
      <w:r>
        <w:t xml:space="preserve"> </w:t>
      </w:r>
      <w:r>
        <w:rPr>
          <w:b/>
          <w:bCs/>
        </w:rPr>
        <w:t xml:space="preserve">worst-performing major equity market</w:t>
      </w:r>
      <w:r>
        <w:t xml:space="preserve"> </w:t>
      </w:r>
      <w:r>
        <w:t xml:space="preserve">(S&amp;P 500 +18% vs MSCI Europe +38% USD). Few anticipated that</w:t>
      </w:r>
      <w:r>
        <w:t xml:space="preserve"> </w:t>
      </w:r>
      <w:r>
        <w:rPr>
          <w:b/>
          <w:bCs/>
        </w:rPr>
        <w:t xml:space="preserve">emerging markets</w:t>
      </w:r>
      <w:r>
        <w:t xml:space="preserve"> </w:t>
      </w:r>
      <w:r>
        <w:t xml:space="preserve">would lead global returns – EM equities surged ~26–30%, buoyed by China’s rebound (CSI 300 +31% USD) and LatAm’s FX-fueled rally (+55% USD).</w:t>
      </w:r>
      <w:r>
        <w:t xml:space="preserve"> </w:t>
      </w:r>
      <w:r>
        <w:rPr>
          <w:i/>
          <w:iCs/>
        </w:rPr>
        <w:t xml:space="preserve">Fourth, the scale of the precious metals boom</w:t>
      </w:r>
      <w:r>
        <w:t xml:space="preserve"> </w:t>
      </w:r>
      <w:r>
        <w:t xml:space="preserve">caught many off guard: gold soared ~64% to 46-year highs over $4,300/oz, and silver skyrocketed +149% – its largest annual surge on record. This rush into hard assets was driven by central bank buying, dollar weakness, and geopolitical hedging. Conversely,</w:t>
      </w:r>
      <w:r>
        <w:t xml:space="preserve"> </w:t>
      </w:r>
      <w:r>
        <w:rPr>
          <w:b/>
          <w:bCs/>
        </w:rPr>
        <w:t xml:space="preserve">crypto markets faltered</w:t>
      </w:r>
      <w:r>
        <w:t xml:space="preserve"> </w:t>
      </w:r>
      <w:r>
        <w:t xml:space="preserve">despite a pro-crypto U.S. administration. Bitcoin hit an all-time high (~$126k) in October but</w:t>
      </w:r>
      <w:r>
        <w:t xml:space="preserve"> </w:t>
      </w:r>
      <w:r>
        <w:rPr>
          <w:b/>
          <w:bCs/>
        </w:rPr>
        <w:t xml:space="preserve">wiped out its YTD gains</w:t>
      </w:r>
      <w:r>
        <w:t xml:space="preserve"> </w:t>
      </w:r>
      <w:r>
        <w:t xml:space="preserve">in Q4’s liquidation cascade, underscoring that even a “Bitcoin-friendly” President couldn’t shield crypto from macro forces. Finally,</w:t>
      </w:r>
      <w:r>
        <w:t xml:space="preserve"> </w:t>
      </w:r>
      <w:r>
        <w:rPr>
          <w:b/>
          <w:bCs/>
        </w:rPr>
        <w:t xml:space="preserve">volatility buckled the consensus</w:t>
      </w:r>
      <w:r>
        <w:t xml:space="preserve">: many entered 2025 positioned defensively for a market downturn, only to see vol compress and a steady grind-up in risk assets after mid-year. The VIX finished in the low teens (after spiking above 30 in spring), and the year marked the</w:t>
      </w:r>
      <w:r>
        <w:t xml:space="preserve"> </w:t>
      </w:r>
      <w:r>
        <w:rPr>
          <w:b/>
          <w:bCs/>
        </w:rPr>
        <w:t xml:space="preserve">first since 2019 that a 60/40 portfolio delivered double-digit gains</w:t>
      </w:r>
      <w:r>
        <w:t xml:space="preserve"> </w:t>
      </w:r>
      <w:r>
        <w:t xml:space="preserve">(helped by stocks and bonds rising in tandem).</w:t>
      </w:r>
    </w:p>
    <w:p>
      <w:pPr>
        <w:pStyle w:val="BodyText"/>
      </w:pPr>
      <w:r>
        <w:rPr>
          <w:b/>
          <w:bCs/>
        </w:rPr>
        <w:t xml:space="preserve">Winners and Losers:</w:t>
      </w:r>
      <w:r>
        <w:t xml:space="preserve"> </w:t>
      </w:r>
      <w:r>
        <w:t xml:space="preserve">The</w:t>
      </w:r>
      <w:r>
        <w:t xml:space="preserve"> </w:t>
      </w:r>
      <w:r>
        <w:rPr>
          <w:b/>
          <w:bCs/>
        </w:rPr>
        <w:t xml:space="preserve">big winners</w:t>
      </w:r>
      <w:r>
        <w:t xml:space="preserve"> </w:t>
      </w:r>
      <w:r>
        <w:t xml:space="preserve">of 2025 were</w:t>
      </w:r>
      <w:r>
        <w:t xml:space="preserve"> </w:t>
      </w:r>
      <w:r>
        <w:rPr>
          <w:i/>
          <w:iCs/>
        </w:rPr>
        <w:t xml:space="preserve">international and value-oriented assets</w:t>
      </w:r>
      <w:r>
        <w:t xml:space="preserve">. Investors overweight Europe, Japan, and emerging Asia reaped outsized gains. Notably,</w:t>
      </w:r>
      <w:r>
        <w:t xml:space="preserve"> </w:t>
      </w:r>
      <w:r>
        <w:rPr>
          <w:b/>
          <w:bCs/>
        </w:rPr>
        <w:t xml:space="preserve">MSCI Emerging Markets (+30%) beat the S&amp;P 500 by ~12 percentage points</w:t>
      </w:r>
      <w:r>
        <w:t xml:space="preserve">, and Europe’s STOXX 600 had its best year since 2021. Within equities,</w:t>
      </w:r>
      <w:r>
        <w:t xml:space="preserve"> </w:t>
      </w:r>
      <w:r>
        <w:rPr>
          <w:i/>
          <w:iCs/>
        </w:rPr>
        <w:t xml:space="preserve">value and cyclicals staged a comeback</w:t>
      </w:r>
      <w:r>
        <w:t xml:space="preserve"> </w:t>
      </w:r>
      <w:r>
        <w:t xml:space="preserve">outside the U.S. – e.g. European banks and industrials rallied on lower rates and defense outlays, and Japan’s TOPIX (+25% local) hit multi-decade highs.</w:t>
      </w:r>
      <w:r>
        <w:t xml:space="preserve"> </w:t>
      </w:r>
      <w:r>
        <w:rPr>
          <w:b/>
          <w:bCs/>
        </w:rPr>
        <w:t xml:space="preserve">Commodity producers</w:t>
      </w:r>
      <w:r>
        <w:t xml:space="preserve"> </w:t>
      </w:r>
      <w:r>
        <w:t xml:space="preserve">also benefited: Latin American equities rebounded sharply after a tough 2024, aided by strong currencies and renewed commodity demand. Safe-haven assets rallied too –</w:t>
      </w:r>
      <w:r>
        <w:t xml:space="preserve"> </w:t>
      </w:r>
      <w:r>
        <w:rPr>
          <w:i/>
          <w:iCs/>
        </w:rPr>
        <w:t xml:space="preserve">gold outperformed Bitcoin by over 100 percentage points</w:t>
      </w:r>
      <w:r>
        <w:t xml:space="preserve">, and high-grade bonds returned ~8–10% as yields fell from their peaks. On the flip side,</w:t>
      </w:r>
      <w:r>
        <w:t xml:space="preserve"> </w:t>
      </w:r>
      <w:r>
        <w:rPr>
          <w:b/>
          <w:bCs/>
        </w:rPr>
        <w:t xml:space="preserve">relative losers</w:t>
      </w:r>
      <w:r>
        <w:t xml:space="preserve"> </w:t>
      </w:r>
      <w:r>
        <w:t xml:space="preserve">included U.S. small-cap and consumer stocks (U.S. Russell 2000 lagged as wage pressures and cautious spending hurt domestic earners). Only two of the famed “Magnificent 7” tech giants beat the S&amp;P, meaning several Big Tech names</w:t>
      </w:r>
      <w:r>
        <w:t xml:space="preserve"> </w:t>
      </w:r>
      <w:r>
        <w:rPr>
          <w:i/>
          <w:iCs/>
        </w:rPr>
        <w:t xml:space="preserve">underperformed</w:t>
      </w:r>
      <w:r>
        <w:t xml:space="preserve"> </w:t>
      </w:r>
      <w:r>
        <w:t xml:space="preserve">after 2023’s AI-driven euphoria cooled.</w:t>
      </w:r>
      <w:r>
        <w:t xml:space="preserve"> </w:t>
      </w:r>
      <w:r>
        <w:rPr>
          <w:i/>
          <w:iCs/>
        </w:rPr>
        <w:t xml:space="preserve">The U.S. dollar</w:t>
      </w:r>
      <w:r>
        <w:t xml:space="preserve"> </w:t>
      </w:r>
      <w:r>
        <w:t xml:space="preserve">was another loser – the greenback suffered its steepest annual drop since 2009, down ~7–9% on the year. Dethroned by shifting rate differentials and geopolitical diversification, the USD’s slide boosted returns for unhedged global investors. Finally,</w:t>
      </w:r>
      <w:r>
        <w:t xml:space="preserve"> </w:t>
      </w:r>
      <w:r>
        <w:rPr>
          <w:i/>
          <w:iCs/>
        </w:rPr>
        <w:t xml:space="preserve">crypto investors</w:t>
      </w:r>
      <w:r>
        <w:t xml:space="preserve"> </w:t>
      </w:r>
      <w:r>
        <w:t xml:space="preserve">endured a roller-coaster: despite early-year optimism (Ethereum briefly topped $3k, Bitcoin +33% by October), the asset class ended roughly flat-to-down, making crypto one of the few areas that</w:t>
      </w:r>
      <w:r>
        <w:t xml:space="preserve"> </w:t>
      </w:r>
      <w:r>
        <w:rPr>
          <w:b/>
          <w:bCs/>
        </w:rPr>
        <w:t xml:space="preserve">failed to deliver positive full-year returns</w:t>
      </w:r>
      <w:r>
        <w:t xml:space="preserve">.</w:t>
      </w:r>
    </w:p>
    <w:p>
      <w:pPr>
        <w:pStyle w:val="BodyText"/>
      </w:pPr>
      <w:r>
        <w:rPr>
          <w:b/>
          <w:bCs/>
        </w:rPr>
        <w:t xml:space="preserve">Macro Regime Shifts:</w:t>
      </w:r>
      <w:r>
        <w:t xml:space="preserve"> </w:t>
      </w:r>
      <w:r>
        <w:t xml:space="preserve">Underlying these moves were</w:t>
      </w:r>
      <w:r>
        <w:t xml:space="preserve"> </w:t>
      </w:r>
      <w:r>
        <w:rPr>
          <w:b/>
          <w:bCs/>
        </w:rPr>
        <w:t xml:space="preserve">major regime shifts</w:t>
      </w:r>
      <w:r>
        <w:t xml:space="preserve"> </w:t>
      </w:r>
      <w:r>
        <w:t xml:space="preserve">in economics and policy.</w:t>
      </w:r>
      <w:r>
        <w:t xml:space="preserve"> </w:t>
      </w:r>
      <w:r>
        <w:rPr>
          <w:b/>
          <w:bCs/>
        </w:rPr>
        <w:t xml:space="preserve">Inflation Regime:</w:t>
      </w:r>
      <w:r>
        <w:t xml:space="preserve"> </w:t>
      </w:r>
      <w:r>
        <w:t xml:space="preserve">2025 confirmed a transition from the post-pandemic inflation shock toward</w:t>
      </w:r>
      <w:r>
        <w:t xml:space="preserve"> </w:t>
      </w:r>
      <w:r>
        <w:rPr>
          <w:i/>
          <w:iCs/>
        </w:rPr>
        <w:t xml:space="preserve">disinflation</w:t>
      </w:r>
      <w:r>
        <w:t xml:space="preserve">, albeit with</w:t>
      </w:r>
      <w:r>
        <w:t xml:space="preserve"> </w:t>
      </w:r>
      <w:r>
        <w:rPr>
          <w:i/>
          <w:iCs/>
        </w:rPr>
        <w:t xml:space="preserve">persistence</w:t>
      </w:r>
      <w:r>
        <w:t xml:space="preserve">. Headline inflation across the U.S. and EU receded to ~3% and 2%, respectively, by Q4. Yet core price pressures (especially services and wages) proved sticky, preventing a return to pre-2021 lows – a “high-for-longer” inflation bias that kept central bankers vigilant.</w:t>
      </w:r>
      <w:r>
        <w:t xml:space="preserve"> </w:t>
      </w:r>
      <w:r>
        <w:rPr>
          <w:b/>
          <w:bCs/>
        </w:rPr>
        <w:t xml:space="preserve">Growth Regime:</w:t>
      </w:r>
      <w:r>
        <w:t xml:space="preserve"> </w:t>
      </w:r>
      <w:r>
        <w:t xml:space="preserve">Global growth slowed from 2024’s pace but avoided contraction. The IMF’s estimate of +3.2% world GDP growth in 2025 (vs 3.3% in 2024) belied the recession many had predicted. Importantly, the growth mix rotated: the U.S. decelerated modestly (around +2% GDP) as past tightening bit, while Europe eked out growth (~0.5–1%) instead of recession, and China stabilized ~5% with stimulus support.</w:t>
      </w:r>
      <w:r>
        <w:t xml:space="preserve"> </w:t>
      </w:r>
      <w:r>
        <w:rPr>
          <w:b/>
          <w:bCs/>
        </w:rPr>
        <w:t xml:space="preserve">Policy Regime:</w:t>
      </w:r>
      <w:r>
        <w:t xml:space="preserve"> </w:t>
      </w:r>
      <w:r>
        <w:t xml:space="preserve">2025 will be remembered as the year</w:t>
      </w:r>
      <w:r>
        <w:t xml:space="preserve"> </w:t>
      </w:r>
      <w:r>
        <w:rPr>
          <w:b/>
          <w:bCs/>
        </w:rPr>
        <w:t xml:space="preserve">monetary policy inflected</w:t>
      </w:r>
      <w:r>
        <w:t xml:space="preserve">. The Fed shifted from rapid hikes to a pause and then “insurance” rate cuts totaling 75 bps. The European Central Bank, after hiking in 2024, held rates steady in 2025 and finally declared victory over inflation by December (holding depo at 2.00% with inflation</w:t>
      </w:r>
      <w:r>
        <w:t xml:space="preserve"> </w:t>
      </w:r>
      <w:r>
        <w:rPr>
          <w:i/>
          <w:iCs/>
        </w:rPr>
        <w:t xml:space="preserve">“back to target”</w:t>
      </w:r>
      <w:r>
        <w:t xml:space="preserve">). Even the Bank of Japan moved toward normalization, scrapping its negative rate policy by mid-year (after sustained 2% inflation) and allowing long-term yields to rise.</w:t>
      </w:r>
      <w:r>
        <w:t xml:space="preserve"> </w:t>
      </w:r>
      <w:r>
        <w:rPr>
          <w:b/>
          <w:bCs/>
        </w:rPr>
        <w:t xml:space="preserve">Fiscal Regime:</w:t>
      </w:r>
      <w:r>
        <w:t xml:space="preserve"> </w:t>
      </w:r>
      <w:r>
        <w:t xml:space="preserve">On the fiscal side, a notable shift was Europe’s</w:t>
      </w:r>
      <w:r>
        <w:t xml:space="preserve"> </w:t>
      </w:r>
      <w:r>
        <w:rPr>
          <w:b/>
          <w:bCs/>
        </w:rPr>
        <w:t xml:space="preserve">historic rearmament and looser purse strings</w:t>
      </w:r>
      <w:r>
        <w:t xml:space="preserve">. EU nations boosted defense budgets (~€381bn, +11% YoY) to Cold War-high levels, marking a break from austerity norms. The U.S., under new leadership, mixed tax cuts and spending (including a late-2025 “One Big Beautiful Bill Act”) – widening an already large deficit. This fiscal expansion, alongside reduced policy uncertainty by year-end, injected a late-year growth impulse that helped markets rally.</w:t>
      </w:r>
      <w:r>
        <w:t xml:space="preserve"> </w:t>
      </w:r>
      <w:r>
        <w:rPr>
          <w:b/>
          <w:bCs/>
        </w:rPr>
        <w:t xml:space="preserve">Market Regime:</w:t>
      </w:r>
      <w:r>
        <w:t xml:space="preserve"> </w:t>
      </w:r>
      <w:r>
        <w:t xml:space="preserve">Market-wise, 2025 saw a</w:t>
      </w:r>
      <w:r>
        <w:t xml:space="preserve"> </w:t>
      </w:r>
      <w:r>
        <w:rPr>
          <w:i/>
          <w:iCs/>
        </w:rPr>
        <w:t xml:space="preserve">volatility regime shift</w:t>
      </w:r>
      <w:r>
        <w:t xml:space="preserve"> </w:t>
      </w:r>
      <w:r>
        <w:t xml:space="preserve">from the turbulence of 2022–23. Outside of two volatility spikes (spring and autumn), markets exhibited lower correlation stress and plentiful liquidity in H2. The U.S. Treasury market, for instance, absorbed record issuance with only brief liquidity strains in April. Cross-asset correlations also “normalized”: unlike 2022’s parallel selloff, 2025 featured</w:t>
      </w:r>
      <w:r>
        <w:t xml:space="preserve"> </w:t>
      </w:r>
      <w:r>
        <w:rPr>
          <w:i/>
          <w:iCs/>
        </w:rPr>
        <w:t xml:space="preserve">negative stock-bond correlation</w:t>
      </w:r>
      <w:r>
        <w:t xml:space="preserve"> </w:t>
      </w:r>
      <w:r>
        <w:t xml:space="preserve">during risk-off episodes (bonds provided hedge when equities fell) and positive correlation during the recovery (both rallied as inflation fell). This return of the classic inverse relationship during shocks was a relief for multi-asset investors seeking diversification benefits.</w:t>
      </w:r>
    </w:p>
    <w:p>
      <w:pPr>
        <w:pStyle w:val="BodyText"/>
      </w:pPr>
      <w:r>
        <w:rPr>
          <w:b/>
          <w:bCs/>
        </w:rPr>
        <w:t xml:space="preserve">High-Confidence Takeaways for 2026:</w:t>
      </w:r>
      <w:r>
        <w:t xml:space="preserve"> </w:t>
      </w:r>
      <w:r>
        <w:rPr>
          <w:i/>
          <w:iCs/>
        </w:rPr>
        <w:t xml:space="preserve">What lessons does 2025 hold for the year ahead?</w:t>
      </w:r>
      <w:r>
        <w:t xml:space="preserve"> </w:t>
      </w:r>
      <w:r>
        <w:rPr>
          <w:b/>
          <w:bCs/>
        </w:rPr>
        <w:t xml:space="preserve">(1)</w:t>
      </w:r>
      <w:r>
        <w:t xml:space="preserve"> </w:t>
      </w:r>
      <w:r>
        <w:rPr>
          <w:i/>
          <w:iCs/>
        </w:rPr>
        <w:t xml:space="preserve">Policy unpredictability is here to stay – but markets can adapt.</w:t>
      </w:r>
      <w:r>
        <w:t xml:space="preserve"> </w:t>
      </w:r>
      <w:r>
        <w:t xml:space="preserve">2025 taught us that even extreme policy shocks (e.g. sudden tariffs) may have transient market impacts if the fundamental backdrop (growth, earnings) remains sound. Positioning should account for policy-driven volatility, but also for quick mean-reversion once policies are clarified.</w:t>
      </w:r>
      <w:r>
        <w:t xml:space="preserve"> </w:t>
      </w:r>
      <w:r>
        <w:rPr>
          <w:b/>
          <w:bCs/>
        </w:rPr>
        <w:t xml:space="preserve">(2)</w:t>
      </w:r>
      <w:r>
        <w:t xml:space="preserve"> </w:t>
      </w:r>
      <w:r>
        <w:rPr>
          <w:i/>
          <w:iCs/>
        </w:rPr>
        <w:t xml:space="preserve">Diversification and global exposure are essential.</w:t>
      </w:r>
      <w:r>
        <w:t xml:space="preserve"> </w:t>
      </w:r>
      <w:r>
        <w:t xml:space="preserve">After a decade of U.S. equity dominance, 2025 showed that leadership can rotate. Being overweight non-U.S. equities and underweight the dollar added substantial alpha. In 2026, maintaining a balanced global portfolio – and not chasing last year’s U.S. winners exclusively – remains prudent.</w:t>
      </w:r>
      <w:r>
        <w:t xml:space="preserve"> </w:t>
      </w:r>
      <w:r>
        <w:rPr>
          <w:b/>
          <w:bCs/>
        </w:rPr>
        <w:t xml:space="preserve">(3)</w:t>
      </w:r>
      <w:r>
        <w:t xml:space="preserve"> </w:t>
      </w:r>
      <w:r>
        <w:rPr>
          <w:i/>
          <w:iCs/>
        </w:rPr>
        <w:t xml:space="preserve">Quality and real assets offer defense.</w:t>
      </w:r>
      <w:r>
        <w:t xml:space="preserve"> </w:t>
      </w:r>
      <w:r>
        <w:t xml:space="preserve">The year’s surprises underscored that when uncertainty strikes, investors flock to tangibles and quality income. Gold’s massive rally and bonds’ positive returns highlight the value of hedges like precious metals and high-grade fixed income. For 2026, holding some</w:t>
      </w:r>
      <w:r>
        <w:t xml:space="preserve"> </w:t>
      </w:r>
      <w:r>
        <w:rPr>
          <w:i/>
          <w:iCs/>
        </w:rPr>
        <w:t xml:space="preserve">insurance assets</w:t>
      </w:r>
      <w:r>
        <w:t xml:space="preserve"> </w:t>
      </w:r>
      <w:r>
        <w:t xml:space="preserve">(gold, inflation linkers, defensive equities) is wise given lingering geopolitical and fiscal risks.</w:t>
      </w:r>
      <w:r>
        <w:t xml:space="preserve"> </w:t>
      </w:r>
      <w:r>
        <w:rPr>
          <w:b/>
          <w:bCs/>
        </w:rPr>
        <w:t xml:space="preserve">(4)</w:t>
      </w:r>
      <w:r>
        <w:t xml:space="preserve"> </w:t>
      </w:r>
      <w:r>
        <w:rPr>
          <w:i/>
          <w:iCs/>
        </w:rPr>
        <w:t xml:space="preserve">Technological transformation is a double-edged sword.</w:t>
      </w:r>
      <w:r>
        <w:t xml:space="preserve"> </w:t>
      </w:r>
      <w:r>
        <w:t xml:space="preserve">The AI boom sustained markets in 2025, but also introduced froth and idiosyncratic risk – evidenced by sharp pullbacks in overhyped tech names by year-end. Investors should participate in secular growth themes (AI, clean tech) while staying grounded in valuations and cash flows.</w:t>
      </w:r>
      <w:r>
        <w:t xml:space="preserve"> </w:t>
      </w:r>
      <w:r>
        <w:rPr>
          <w:b/>
          <w:bCs/>
        </w:rPr>
        <w:t xml:space="preserve">(5)</w:t>
      </w:r>
      <w:r>
        <w:t xml:space="preserve"> </w:t>
      </w:r>
      <w:r>
        <w:rPr>
          <w:i/>
          <w:iCs/>
        </w:rPr>
        <w:t xml:space="preserve">Don’t fight central banks – but don’t over-rely on them either.</w:t>
      </w:r>
      <w:r>
        <w:t xml:space="preserve"> </w:t>
      </w:r>
      <w:r>
        <w:t xml:space="preserve">The Fed’s gentle rate cuts helped extend the bull market, yet officials signaled limits to easing with inflation still above target. In 2026, expect monetary support to be “there when needed, but not on demand.” Position for a range of outcomes rather than a one-way bet on easy policy.</w:t>
      </w:r>
    </w:p>
    <w:p>
      <w:pPr>
        <w:pStyle w:val="BodyText"/>
      </w:pPr>
      <w:r>
        <w:rPr>
          <w:b/>
          <w:bCs/>
        </w:rPr>
        <w:t xml:space="preserve">What mattered for positioning in 2025:</w:t>
      </w:r>
      <w:r>
        <w:t xml:space="preserve"> </w:t>
      </w:r>
      <w:r>
        <w:t xml:space="preserve">Successful portfolios in 2025 were those that stayed</w:t>
      </w:r>
      <w:r>
        <w:t xml:space="preserve"> </w:t>
      </w:r>
      <w:r>
        <w:rPr>
          <w:b/>
          <w:bCs/>
        </w:rPr>
        <w:t xml:space="preserve">balanced and agile</w:t>
      </w:r>
      <w:r>
        <w:t xml:space="preserve">. Overweighting non-U.S. equities and commodities, while keeping duration in bonds, paid off as the dollar weakened and global cyclicals outperformed. Underlying all positioning was the need to</w:t>
      </w:r>
      <w:r>
        <w:t xml:space="preserve"> </w:t>
      </w:r>
      <w:r>
        <w:rPr>
          <w:b/>
          <w:bCs/>
        </w:rPr>
        <w:t xml:space="preserve">fade consensus extremes</w:t>
      </w:r>
      <w:r>
        <w:t xml:space="preserve"> </w:t>
      </w:r>
      <w:r>
        <w:t xml:space="preserve">– e.g. adding risk during the April panic and trimming exuberance into year-end. Traders who</w:t>
      </w:r>
      <w:r>
        <w:t xml:space="preserve"> </w:t>
      </w:r>
      <w:r>
        <w:rPr>
          <w:i/>
          <w:iCs/>
        </w:rPr>
        <w:t xml:space="preserve">bought the dip</w:t>
      </w:r>
      <w:r>
        <w:t xml:space="preserve"> </w:t>
      </w:r>
      <w:r>
        <w:t xml:space="preserve">(notably retail investors, who poured into call options during sell-offs</w:t>
      </w:r>
      <w:hyperlink r:id="rId21">
        <w:r>
          <w:rPr>
            <w:rStyle w:val="Hyperlink"/>
          </w:rPr>
          <w:t xml:space="preserve">[1]</w:t>
        </w:r>
      </w:hyperlink>
      <w:r>
        <w:t xml:space="preserve">) were rewarded. Conversely, over-concentrated bets – such as only holding U.S. tech or staying in cash – lagged. A key positioning takeaway is that</w:t>
      </w:r>
      <w:r>
        <w:t xml:space="preserve"> </w:t>
      </w:r>
      <w:r>
        <w:rPr>
          <w:b/>
          <w:bCs/>
        </w:rPr>
        <w:t xml:space="preserve">discipline in rebalancing</w:t>
      </w:r>
      <w:r>
        <w:t xml:space="preserve"> </w:t>
      </w:r>
      <w:r>
        <w:t xml:space="preserve">(e.g. reallocating into underpriced international assets and bonds when yields spiked) was crucial.</w:t>
      </w:r>
    </w:p>
    <w:p>
      <w:pPr>
        <w:pStyle w:val="BodyText"/>
      </w:pPr>
      <w:r>
        <w:rPr>
          <w:b/>
          <w:bCs/>
        </w:rPr>
        <w:t xml:space="preserve">Key lessons for 2026:</w:t>
      </w:r>
      <w:r>
        <w:t xml:space="preserve"> </w:t>
      </w:r>
      <w:r>
        <w:t xml:space="preserve">(i)</w:t>
      </w:r>
      <w:r>
        <w:t xml:space="preserve"> </w:t>
      </w:r>
      <w:r>
        <w:rPr>
          <w:b/>
          <w:bCs/>
        </w:rPr>
        <w:t xml:space="preserve">Stay diversified across regions and asset classes.</w:t>
      </w:r>
      <w:r>
        <w:t xml:space="preserve"> </w:t>
      </w:r>
      <w:r>
        <w:t xml:space="preserve">2025 proved the folly of home bias and the benefit of global allocations. Ensure exposure to regions undergoing positive change (e.g. Japan’s reform, emerging Asia’s growth) alongside core U.S. holdings. (ii)</w:t>
      </w:r>
      <w:r>
        <w:t xml:space="preserve"> </w:t>
      </w:r>
      <w:r>
        <w:rPr>
          <w:b/>
          <w:bCs/>
        </w:rPr>
        <w:t xml:space="preserve">Expect the unexpected in policy.</w:t>
      </w:r>
      <w:r>
        <w:t xml:space="preserve"> </w:t>
      </w:r>
      <w:r>
        <w:t xml:space="preserve">Build portfolios that can withstand policy shocks – use options or hedges around major political events, and be ready to rotate sectors on policy news (e.g. defense stocks on geopolitical events, exporters on trade policy shifts). (iii)</w:t>
      </w:r>
      <w:r>
        <w:t xml:space="preserve"> </w:t>
      </w:r>
      <w:r>
        <w:rPr>
          <w:b/>
          <w:bCs/>
        </w:rPr>
        <w:t xml:space="preserve">Maintain quality and liquidity.</w:t>
      </w:r>
      <w:r>
        <w:t xml:space="preserve"> </w:t>
      </w:r>
      <w:r>
        <w:t xml:space="preserve">With potential tail risks (geopolitical conflicts, debt concerns) still on the horizon, favor high-quality balance sheets and assets you can exit in stress. 2025’s benign ending shouldn’t breed complacency. (iv)</w:t>
      </w:r>
      <w:r>
        <w:t xml:space="preserve"> </w:t>
      </w:r>
      <w:r>
        <w:rPr>
          <w:b/>
          <w:bCs/>
        </w:rPr>
        <w:t xml:space="preserve">Embrace macro-driven trading opportunities.</w:t>
      </w:r>
      <w:r>
        <w:t xml:space="preserve"> </w:t>
      </w:r>
      <w:r>
        <w:t xml:space="preserve">The past year’s swings showed that macro</w:t>
      </w:r>
      <w:r>
        <w:t xml:space="preserve"> </w:t>
      </w:r>
      <w:r>
        <w:rPr>
          <w:b/>
          <w:bCs/>
        </w:rPr>
        <w:t xml:space="preserve">narratives (inflation scares, Fed pivots)</w:t>
      </w:r>
      <w:r>
        <w:t xml:space="preserve"> </w:t>
      </w:r>
      <w:r>
        <w:t xml:space="preserve">can overshoot reality – savvy investors can trade around these episodes, but must separate</w:t>
      </w:r>
      <w:r>
        <w:t xml:space="preserve"> </w:t>
      </w:r>
      <w:r>
        <w:rPr>
          <w:i/>
          <w:iCs/>
        </w:rPr>
        <w:t xml:space="preserve">confirmed facts</w:t>
      </w:r>
      <w:r>
        <w:t xml:space="preserve"> </w:t>
      </w:r>
      <w:r>
        <w:t xml:space="preserve">from</w:t>
      </w:r>
      <w:r>
        <w:t xml:space="preserve"> </w:t>
      </w:r>
      <w:r>
        <w:rPr>
          <w:i/>
          <w:iCs/>
        </w:rPr>
        <w:t xml:space="preserve">market fears</w:t>
      </w:r>
      <w:r>
        <w:t xml:space="preserve">. Keeping a data-driven process will be as important in 2026 as it was in navigating 2025’s twists.</w:t>
      </w:r>
    </w:p>
    <w:p>
      <w:r>
        <w:pict>
          <v:rect style="width:0;height:1.5pt" o:hralign="center" o:hrstd="t" o:hr="t"/>
        </w:pict>
      </w:r>
    </w:p>
    <w:bookmarkEnd w:id="22"/>
    <w:bookmarkStart w:id="23" w:name="b.-global-macro-backdrop-data-backed"/>
    <w:p>
      <w:pPr>
        <w:pStyle w:val="Heading2"/>
      </w:pPr>
      <w:r>
        <w:t xml:space="preserve">B. Global Macro Backdrop (Data-Backed)</w:t>
      </w:r>
    </w:p>
    <w:p>
      <w:pPr>
        <w:pStyle w:val="FirstParagraph"/>
      </w:pPr>
      <w:r>
        <w:rPr>
          <w:b/>
          <w:bCs/>
        </w:rPr>
        <w:t xml:space="preserve">Growth and Inflation Trends by Region:</w:t>
      </w:r>
      <w:r>
        <w:t xml:space="preserve"> </w:t>
      </w:r>
      <w:r>
        <w:t xml:space="preserve">In 2025 the global economy demonstrated</w:t>
      </w:r>
      <w:r>
        <w:t xml:space="preserve"> </w:t>
      </w:r>
      <w:r>
        <w:rPr>
          <w:b/>
          <w:bCs/>
        </w:rPr>
        <w:t xml:space="preserve">surprising resilience</w:t>
      </w:r>
      <w:r>
        <w:t xml:space="preserve"> </w:t>
      </w:r>
      <w:r>
        <w:t xml:space="preserve">in growth even as inflation pressures gradually receded. The table below summarizes key macro trends across major regions: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Region</w:t>
            </w:r>
          </w:p>
        </w:tc>
        <w:tc>
          <w:tcPr/>
          <w:p>
            <w:pPr>
              <w:pStyle w:val="Compact"/>
            </w:pPr>
            <w:r>
              <w:rPr>
                <w:b/>
                <w:bCs/>
              </w:rPr>
              <w:t xml:space="preserve">GDP Growth Trend (2025)</w:t>
            </w:r>
          </w:p>
        </w:tc>
        <w:tc>
          <w:tcPr/>
          <w:p>
            <w:pPr>
              <w:pStyle w:val="Compact"/>
            </w:pPr>
            <w:r>
              <w:rPr>
                <w:b/>
                <w:bCs/>
              </w:rPr>
              <w:t xml:space="preserve">Inflation Trend (2025)</w:t>
            </w:r>
          </w:p>
        </w:tc>
        <w:tc>
          <w:tcPr/>
          <w:p>
            <w:pPr>
              <w:pStyle w:val="Compact"/>
            </w:pPr>
            <w:r>
              <w:rPr>
                <w:b/>
                <w:bCs/>
              </w:rPr>
              <w:t xml:space="preserve">Policy Rate (Start → End)</w:t>
            </w:r>
          </w:p>
        </w:tc>
        <w:tc>
          <w:tcPr/>
          <w:p>
            <w:pPr>
              <w:pStyle w:val="Compact"/>
            </w:pPr>
            <w:r>
              <w:rPr>
                <w:b/>
                <w:bCs/>
              </w:rPr>
              <w:t xml:space="preserve">Key 2025 Inflection Points</w:t>
            </w:r>
          </w:p>
        </w:tc>
        <w:tc>
          <w:tcPr/>
          <w:p>
            <w:pPr>
              <w:pStyle w:val="Compact"/>
            </w:pPr>
            <w:r>
              <w:rPr>
                <w:b/>
                <w:bCs/>
              </w:rPr>
              <w:t xml:space="preserve">Major Macro Shocks</w:t>
            </w:r>
          </w:p>
        </w:tc>
      </w:tr>
      <w:tr>
        <w:tc>
          <w:tcPr/>
          <w:p>
            <w:pPr>
              <w:pStyle w:val="Compact"/>
            </w:pPr>
            <w:r>
              <w:rPr>
                <w:b/>
                <w:bCs/>
              </w:rPr>
              <w:t xml:space="preserve">United States</w:t>
            </w:r>
          </w:p>
        </w:tc>
        <w:tc>
          <w:tcPr/>
          <w:p>
            <w:pPr>
              <w:pStyle w:val="Compact"/>
            </w:pPr>
            <w:r>
              <w:rPr>
                <w:i/>
                <w:iCs/>
              </w:rPr>
              <w:t xml:space="preserve">Soft landing achieved.</w:t>
            </w:r>
            <w:r>
              <w:t xml:space="preserve"> </w:t>
            </w:r>
            <w:r>
              <w:t xml:space="preserve">Real GDP grew ~2.0% (y/y) as consumer spending stayed robust and AI-driven capex offset manufacturing softness. No recession materialized despite aggressive past rate hikes.</w:t>
            </w:r>
          </w:p>
        </w:tc>
        <w:tc>
          <w:tcPr/>
          <w:p>
            <w:pPr>
              <w:pStyle w:val="Compact"/>
            </w:pPr>
            <w:r>
              <w:rPr>
                <w:i/>
                <w:iCs/>
              </w:rPr>
              <w:t xml:space="preserve">Disinflation with sticky core.</w:t>
            </w:r>
            <w:r>
              <w:t xml:space="preserve"> </w:t>
            </w:r>
            <w:r>
              <w:t xml:space="preserve">Headline CPI fell from ~4.5% in Jan to ~3% by Dec (est.) as energy and goods prices eased. Core PCE, however, lingered ~3%-plus – above the 2% target. Wage growth ~4% meant</w:t>
            </w:r>
            <w:r>
              <w:t xml:space="preserve"> </w:t>
            </w:r>
            <w:r>
              <w:rPr>
                <w:b/>
                <w:bCs/>
              </w:rPr>
              <w:t xml:space="preserve">persistent</w:t>
            </w:r>
            <w:r>
              <w:t xml:space="preserve"> </w:t>
            </w:r>
            <w:r>
              <w:t xml:space="preserve">services inflation (housing, healthcare).</w:t>
            </w:r>
          </w:p>
        </w:tc>
        <w:tc>
          <w:tcPr/>
          <w:p>
            <w:pPr>
              <w:pStyle w:val="Compact"/>
            </w:pPr>
            <w:r>
              <w:rPr>
                <w:b/>
                <w:bCs/>
              </w:rPr>
              <w:t xml:space="preserve">Fed</w:t>
            </w:r>
            <w:r>
              <w:t xml:space="preserve"> </w:t>
            </w:r>
            <w:r>
              <w:t xml:space="preserve">5.25% → 4.50% (upper bound). The Fed held rates in H1 then cut 25 bps in Sep, Nov, Dec (total –75 bps) once labor market cooling was evident.</w:t>
            </w:r>
            <w:r>
              <w:t xml:space="preserve"> </w:t>
            </w:r>
            <w:r>
              <w:rPr>
                <w:b/>
                <w:bCs/>
              </w:rPr>
              <w:t xml:space="preserve">Fiscal:</w:t>
            </w:r>
            <w:r>
              <w:t xml:space="preserve"> </w:t>
            </w:r>
            <w:r>
              <w:t xml:space="preserve">Large 7%+ of GDP deficit; late-year stimulus bill.</w:t>
            </w:r>
          </w:p>
        </w:tc>
        <w:tc>
          <w:tcPr/>
          <w:p>
            <w:pPr>
              <w:pStyle w:val="Compact"/>
            </w:pPr>
            <w:r>
              <w:rPr>
                <w:b/>
                <w:bCs/>
              </w:rPr>
              <w:t xml:space="preserve">Apr 2:</w:t>
            </w:r>
            <w:r>
              <w:t xml:space="preserve"> </w:t>
            </w:r>
            <w:r>
              <w:t xml:space="preserve">“Tariff</w:t>
            </w:r>
            <w:r>
              <w:t xml:space="preserve"> </w:t>
            </w:r>
            <w:r>
              <w:rPr>
                <w:b/>
                <w:bCs/>
              </w:rPr>
              <w:t xml:space="preserve">Liberation Day</w:t>
            </w:r>
            <w:r>
              <w:t xml:space="preserve">” – Trump announced sweeping China tariffs, shocking markets.</w:t>
            </w:r>
            <w:r>
              <w:t xml:space="preserve"> </w:t>
            </w:r>
            <w:r>
              <w:rPr>
                <w:b/>
                <w:bCs/>
              </w:rPr>
              <w:t xml:space="preserve">Sep 20:</w:t>
            </w:r>
            <w:r>
              <w:t xml:space="preserve"> </w:t>
            </w:r>
            <w:r>
              <w:t xml:space="preserve">Fed’s first rate cut, signaling policy pivot.</w:t>
            </w:r>
            <w:r>
              <w:t xml:space="preserve"> </w:t>
            </w:r>
            <w:r>
              <w:rPr>
                <w:b/>
                <w:bCs/>
              </w:rPr>
              <w:t xml:space="preserve">Oct–Nov:</w:t>
            </w:r>
            <w:r>
              <w:t xml:space="preserve"> </w:t>
            </w:r>
            <w:r>
              <w:t xml:space="preserve">Longest-ever federal shutdown (45 days) hampered data releases.</w:t>
            </w:r>
          </w:p>
        </w:tc>
        <w:tc>
          <w:tcPr/>
          <w:p>
            <w:pPr>
              <w:pStyle w:val="Compact"/>
            </w:pPr>
            <w:r>
              <w:rPr>
                <w:b/>
                <w:bCs/>
              </w:rPr>
              <w:t xml:space="preserve">Trade War 2.0:</w:t>
            </w:r>
            <w:r>
              <w:t xml:space="preserve"> </w:t>
            </w:r>
            <w:r>
              <w:t xml:space="preserve">Tariff escalation on China (10%→25%→100%) stoked stagflation fears.</w:t>
            </w:r>
            <w:r>
              <w:t xml:space="preserve"> </w:t>
            </w:r>
            <w:r>
              <w:rPr>
                <w:b/>
                <w:bCs/>
              </w:rPr>
              <w:t xml:space="preserve">Gov’t Funding Crisis:</w:t>
            </w:r>
            <w:r>
              <w:t xml:space="preserve"> </w:t>
            </w:r>
            <w:r>
              <w:t xml:space="preserve">Budget standoff led to federal shutdown, briefly denting confidence.</w:t>
            </w:r>
            <w:r>
              <w:t xml:space="preserve"> </w:t>
            </w:r>
            <w:r>
              <w:rPr>
                <w:b/>
                <w:bCs/>
              </w:rPr>
              <w:t xml:space="preserve">Crypto Crash:</w:t>
            </w:r>
            <w:r>
              <w:t xml:space="preserve"> </w:t>
            </w:r>
            <w:r>
              <w:t xml:space="preserve">$1T market cap erased in Q4 as crypto imploded post-tariffs (contained to crypto sphere).</w:t>
            </w:r>
          </w:p>
        </w:tc>
      </w:tr>
      <w:tr>
        <w:tc>
          <w:tcPr/>
          <w:p>
            <w:pPr>
              <w:pStyle w:val="Compact"/>
            </w:pPr>
            <w:r>
              <w:rPr>
                <w:b/>
                <w:bCs/>
              </w:rPr>
              <w:t xml:space="preserve">Euro Area</w:t>
            </w:r>
          </w:p>
        </w:tc>
        <w:tc>
          <w:tcPr/>
          <w:p>
            <w:pPr>
              <w:pStyle w:val="Compact"/>
            </w:pPr>
            <w:r>
              <w:rPr>
                <w:i/>
                <w:iCs/>
              </w:rPr>
              <w:t xml:space="preserve">Stagnation avoided.</w:t>
            </w:r>
            <w:r>
              <w:t xml:space="preserve"> </w:t>
            </w:r>
            <w:r>
              <w:t xml:space="preserve">Eurozone GDP ~0.7% (vs ~0% expected). A H1 dip (Germany’s industrial recession) was offset by H2 improvement as real incomes rose and export order books refilled. Key driver: fiscal support in Germany and EU (NextGen funds, defense spending).</w:t>
            </w:r>
          </w:p>
        </w:tc>
        <w:tc>
          <w:tcPr/>
          <w:p>
            <w:pPr>
              <w:pStyle w:val="Compact"/>
            </w:pPr>
            <w:r>
              <w:rPr>
                <w:i/>
                <w:iCs/>
              </w:rPr>
              <w:t xml:space="preserve">Sharp disinflation.</w:t>
            </w:r>
            <w:r>
              <w:t xml:space="preserve"> </w:t>
            </w:r>
            <w:r>
              <w:t xml:space="preserve">Headline inflation plunged from ~6% in Jan to</w:t>
            </w:r>
            <w:r>
              <w:t xml:space="preserve"> </w:t>
            </w:r>
            <w:r>
              <w:rPr>
                <w:b/>
                <w:bCs/>
              </w:rPr>
              <w:t xml:space="preserve">2.0% by Dec</w:t>
            </w:r>
            <w:r>
              <w:t xml:space="preserve"> </w:t>
            </w:r>
            <w:r>
              <w:t xml:space="preserve">as energy prices normalized and prior ECB tightening bit. Core CPI eased to ~2.5% (from &gt;5% in 2024). Notably, Europe saw the fastest inflation drop among G7, regaining price stability by year-end.</w:t>
            </w:r>
          </w:p>
        </w:tc>
        <w:tc>
          <w:tcPr/>
          <w:p>
            <w:pPr>
              <w:pStyle w:val="Compact"/>
            </w:pPr>
            <w:r>
              <w:rPr>
                <w:b/>
                <w:bCs/>
              </w:rPr>
              <w:t xml:space="preserve">ECB</w:t>
            </w:r>
            <w:r>
              <w:t xml:space="preserve"> </w:t>
            </w:r>
            <w:r>
              <w:t xml:space="preserve">4.00% → 2.00% (Deposit rate). The ECB hiked to 4% by Jan then paused. Starting in mid-2025, as inflation fell, it cut rates twice (Q3 and Q4) to support growth. Policy normalization ended as inflation hit target.</w:t>
            </w:r>
            <w:r>
              <w:t xml:space="preserve"> </w:t>
            </w:r>
            <w:r>
              <w:rPr>
                <w:b/>
                <w:bCs/>
              </w:rPr>
              <w:t xml:space="preserve">Fiscal:</w:t>
            </w:r>
            <w:r>
              <w:t xml:space="preserve"> </w:t>
            </w:r>
            <w:r>
              <w:t xml:space="preserve">Deficits widened (~4–5%/GDP) due to energy subsidies early and defense outlays.</w:t>
            </w:r>
          </w:p>
        </w:tc>
        <w:tc>
          <w:tcPr/>
          <w:p>
            <w:pPr>
              <w:pStyle w:val="Compact"/>
            </w:pPr>
            <w:r>
              <w:rPr>
                <w:b/>
                <w:bCs/>
              </w:rPr>
              <w:t xml:space="preserve">Mar 10:</w:t>
            </w:r>
            <w:r>
              <w:t xml:space="preserve"> </w:t>
            </w:r>
            <w:r>
              <w:t xml:space="preserve">EU</w:t>
            </w:r>
            <w:r>
              <w:t xml:space="preserve"> </w:t>
            </w:r>
            <w:r>
              <w:rPr>
                <w:i/>
                <w:iCs/>
              </w:rPr>
              <w:t xml:space="preserve">“ReArm Europe”</w:t>
            </w:r>
            <w:r>
              <w:t xml:space="preserve"> </w:t>
            </w:r>
            <w:r>
              <w:t xml:space="preserve">plan launched – Commission loosened fiscal rules to fund €30bn in joint defense procurement.</w:t>
            </w:r>
            <w:r>
              <w:t xml:space="preserve"> </w:t>
            </w:r>
            <w:r>
              <w:rPr>
                <w:b/>
                <w:bCs/>
              </w:rPr>
              <w:t xml:space="preserve">Jul:</w:t>
            </w:r>
            <w:r>
              <w:t xml:space="preserve"> </w:t>
            </w:r>
            <w:r>
              <w:t xml:space="preserve">Eurozone exited technical recession (Q2 GDP positive), improving sentiment.</w:t>
            </w:r>
            <w:r>
              <w:t xml:space="preserve"> </w:t>
            </w:r>
            <w:r>
              <w:rPr>
                <w:b/>
                <w:bCs/>
              </w:rPr>
              <w:t xml:space="preserve">Dec 18:</w:t>
            </w:r>
            <w:r>
              <w:t xml:space="preserve"> </w:t>
            </w:r>
            <w:r>
              <w:t xml:space="preserve">ECB held rates, declared inflation at 2% – pivot to dovish stance.</w:t>
            </w:r>
          </w:p>
        </w:tc>
        <w:tc>
          <w:tcPr/>
          <w:p>
            <w:pPr>
              <w:pStyle w:val="Compact"/>
            </w:pPr>
            <w:r>
              <w:rPr>
                <w:b/>
                <w:bCs/>
              </w:rPr>
              <w:t xml:space="preserve">Energy Shock Reversal:</w:t>
            </w:r>
            <w:r>
              <w:t xml:space="preserve"> </w:t>
            </w:r>
            <w:r>
              <w:t xml:space="preserve">Natural gas prices collapsed to pre-war levels, easing an inflation drag (after mild winter).</w:t>
            </w:r>
            <w:r>
              <w:t xml:space="preserve"> </w:t>
            </w:r>
            <w:r>
              <w:rPr>
                <w:b/>
                <w:bCs/>
              </w:rPr>
              <w:t xml:space="preserve">War Spillovers:</w:t>
            </w:r>
            <w:r>
              <w:t xml:space="preserve"> </w:t>
            </w:r>
            <w:r>
              <w:t xml:space="preserve">Ongoing Ukraine war required higher defense spending, but a feared energy</w:t>
            </w:r>
            <w:r>
              <w:t xml:space="preserve"> </w:t>
            </w:r>
            <w:r>
              <w:rPr>
                <w:i/>
                <w:iCs/>
              </w:rPr>
              <w:t xml:space="preserve">supply</w:t>
            </w:r>
            <w:r>
              <w:t xml:space="preserve"> </w:t>
            </w:r>
            <w:r>
              <w:t xml:space="preserve">shock in winter 2025 did</w:t>
            </w:r>
            <w:r>
              <w:t xml:space="preserve"> </w:t>
            </w:r>
            <w:r>
              <w:rPr>
                <w:i/>
                <w:iCs/>
              </w:rPr>
              <w:t xml:space="preserve">not</w:t>
            </w:r>
            <w:r>
              <w:t xml:space="preserve"> </w:t>
            </w:r>
            <w:r>
              <w:t xml:space="preserve">occur (Russian flows stable).</w:t>
            </w:r>
            <w:r>
              <w:t xml:space="preserve"> </w:t>
            </w:r>
            <w:r>
              <w:rPr>
                <w:b/>
                <w:bCs/>
              </w:rPr>
              <w:t xml:space="preserve">Political Risk:</w:t>
            </w:r>
            <w:r>
              <w:t xml:space="preserve"> </w:t>
            </w:r>
            <w:r>
              <w:t xml:space="preserve">Italian debt jitters in H1 (until ECB support affirmed) – a minor episode, contained.</w:t>
            </w:r>
          </w:p>
        </w:tc>
      </w:tr>
      <w:tr>
        <w:tc>
          <w:tcPr/>
          <w:p>
            <w:pPr>
              <w:pStyle w:val="Compact"/>
            </w:pPr>
            <w:r>
              <w:rPr>
                <w:b/>
                <w:bCs/>
              </w:rPr>
              <w:t xml:space="preserve">United Kingdom</w:t>
            </w:r>
          </w:p>
        </w:tc>
        <w:tc>
          <w:tcPr/>
          <w:p>
            <w:pPr>
              <w:pStyle w:val="Compact"/>
            </w:pPr>
            <w:r>
              <w:rPr>
                <w:i/>
                <w:iCs/>
              </w:rPr>
              <w:t xml:space="preserve">Sluggish but no collapse.</w:t>
            </w:r>
            <w:r>
              <w:t xml:space="preserve"> </w:t>
            </w:r>
            <w:r>
              <w:t xml:space="preserve">UK GDP grew ~1.0–1.3%. A consumer recession was avoided thanks to falling inflation boosting real pay in H2. However, high interest rates hit housing and business investment (flat to down). Growth momentum remained the weakest in G7 outside Germany.</w:t>
            </w:r>
          </w:p>
        </w:tc>
        <w:tc>
          <w:tcPr/>
          <w:p>
            <w:pPr>
              <w:pStyle w:val="Compact"/>
            </w:pPr>
            <w:r>
              <w:rPr>
                <w:i/>
                <w:iCs/>
              </w:rPr>
              <w:t xml:space="preserve">From peak to plateau.</w:t>
            </w:r>
            <w:r>
              <w:t xml:space="preserve"> </w:t>
            </w:r>
            <w:r>
              <w:t xml:space="preserve">UK inflation started 2025 still high (~7% YoY) but fell to ~3.5% by Dec (within sight of BoE’s 2% target). Early-year inflation “surprises” (food, services) gave way to rapid disinflation in H2 as energy bills fell and core goods saw price cuts. Yet UK core inflation (~3% in Dec) stayed above euro/U.S. levels, reflecting persistent wage gains.</w:t>
            </w:r>
          </w:p>
        </w:tc>
        <w:tc>
          <w:tcPr/>
          <w:p>
            <w:pPr>
              <w:pStyle w:val="Compact"/>
            </w:pPr>
            <w:r>
              <w:rPr>
                <w:b/>
                <w:bCs/>
              </w:rPr>
              <w:t xml:space="preserve">BoE</w:t>
            </w:r>
            <w:r>
              <w:t xml:space="preserve"> </w:t>
            </w:r>
            <w:r>
              <w:t xml:space="preserve">5.25% → 4.25%. The Bank of England, after hiking to 5.25% in late 2024, paused in early 2025 as inflation showed signs of turning. It cut rates modestly (50 bps total, one cut in Q3 and one in Q4) as price pressures receded. BoE balanced inflation risks against a fragile growth backdrop and high mortgage sensitivity.</w:t>
            </w:r>
          </w:p>
        </w:tc>
        <w:tc>
          <w:tcPr/>
          <w:p>
            <w:pPr>
              <w:pStyle w:val="Compact"/>
            </w:pPr>
            <w:r>
              <w:rPr>
                <w:b/>
                <w:bCs/>
              </w:rPr>
              <w:t xml:space="preserve">Feb:</w:t>
            </w:r>
            <w:r>
              <w:t xml:space="preserve"> </w:t>
            </w:r>
            <w:r>
              <w:t xml:space="preserve">Public-sector wage deal ended months of strikes, improving activity.</w:t>
            </w:r>
            <w:r>
              <w:t xml:space="preserve"> </w:t>
            </w:r>
            <w:r>
              <w:rPr>
                <w:b/>
                <w:bCs/>
              </w:rPr>
              <w:t xml:space="preserve">Aug 7:</w:t>
            </w:r>
            <w:r>
              <w:t xml:space="preserve"> </w:t>
            </w:r>
            <w:r>
              <w:t xml:space="preserve">BoE signaled</w:t>
            </w:r>
            <w:r>
              <w:t xml:space="preserve"> </w:t>
            </w:r>
            <w:r>
              <w:rPr>
                <w:i/>
                <w:iCs/>
              </w:rPr>
              <w:t xml:space="preserve">“the tide has turned on inflation,”</w:t>
            </w:r>
            <w:r>
              <w:t xml:space="preserve"> </w:t>
            </w:r>
            <w:r>
              <w:t xml:space="preserve">hinting at forthcoming cuts – gilt yields fell.</w:t>
            </w:r>
            <w:r>
              <w:t xml:space="preserve"> </w:t>
            </w:r>
            <w:r>
              <w:rPr>
                <w:b/>
                <w:bCs/>
              </w:rPr>
              <w:t xml:space="preserve">Nov 2:</w:t>
            </w:r>
            <w:r>
              <w:t xml:space="preserve"> </w:t>
            </w:r>
            <w:r>
              <w:t xml:space="preserve">BoE cut 25 bps (first cut in cycle) amid fast-falling CPI.</w:t>
            </w:r>
          </w:p>
        </w:tc>
        <w:tc>
          <w:tcPr/>
          <w:p>
            <w:pPr>
              <w:pStyle w:val="Compact"/>
            </w:pPr>
            <w:r>
              <w:rPr>
                <w:b/>
                <w:bCs/>
              </w:rPr>
              <w:t xml:space="preserve">Stagflation Scare:</w:t>
            </w:r>
            <w:r>
              <w:t xml:space="preserve"> </w:t>
            </w:r>
            <w:r>
              <w:t xml:space="preserve">Early 2025 saw markets fear stagflation as UK core CPI surprised upward and PMIs sank – gilts sold off and GBP wobbled.</w:t>
            </w:r>
            <w:r>
              <w:t xml:space="preserve"> </w:t>
            </w:r>
            <w:r>
              <w:rPr>
                <w:b/>
                <w:bCs/>
              </w:rPr>
              <w:t xml:space="preserve">Housing Slowdown:</w:t>
            </w:r>
            <w:r>
              <w:t xml:space="preserve"> </w:t>
            </w:r>
            <w:r>
              <w:t xml:space="preserve">House prices fell ~5% from 2024 peak under rate strain, but no systemic shock (contained due to higher equity and longer fixed-rate mortgages).</w:t>
            </w:r>
            <w:r>
              <w:t xml:space="preserve"> </w:t>
            </w:r>
            <w:r>
              <w:rPr>
                <w:b/>
                <w:bCs/>
              </w:rPr>
              <w:t xml:space="preserve">Brexit/Political Noise:</w:t>
            </w:r>
            <w:r>
              <w:t xml:space="preserve"> </w:t>
            </w:r>
            <w:r>
              <w:t xml:space="preserve">Trade frictions persisted but marginal improvement with an EU deal on N. Ireland; political uncertainty rose into year-end election talk (yet minimal market impact in 2025).</w:t>
            </w:r>
          </w:p>
        </w:tc>
      </w:tr>
      <w:tr>
        <w:tc>
          <w:tcPr/>
          <w:p>
            <w:pPr>
              <w:pStyle w:val="Compact"/>
            </w:pPr>
            <w:r>
              <w:rPr>
                <w:b/>
                <w:bCs/>
              </w:rPr>
              <w:t xml:space="preserve">Japan</w:t>
            </w:r>
          </w:p>
        </w:tc>
        <w:tc>
          <w:tcPr/>
          <w:p>
            <w:pPr>
              <w:pStyle w:val="Compact"/>
            </w:pPr>
            <w:r>
              <w:rPr>
                <w:i/>
                <w:iCs/>
              </w:rPr>
              <w:t xml:space="preserve">Continued modest expansion.</w:t>
            </w:r>
            <w:r>
              <w:t xml:space="preserve"> </w:t>
            </w:r>
            <w:r>
              <w:t xml:space="preserve">Japan’s GDP ~1.1%, marking a third straight year of growth. Consumer spending was resilient (tourism restart, wage hikes), and business investment picked up, especially in digital and capex encouraged by</w:t>
            </w:r>
            <w:r>
              <w:t xml:space="preserve"> </w:t>
            </w:r>
            <w:r>
              <w:rPr>
                <w:i/>
                <w:iCs/>
              </w:rPr>
              <w:t xml:space="preserve">reflation optimism</w:t>
            </w:r>
            <w:r>
              <w:t xml:space="preserve">. A late-year fiscal boost (supplementary budget) added momentum.</w:t>
            </w:r>
          </w:p>
        </w:tc>
        <w:tc>
          <w:tcPr/>
          <w:p>
            <w:pPr>
              <w:pStyle w:val="Compact"/>
            </w:pPr>
            <w:r>
              <w:rPr>
                <w:i/>
                <w:iCs/>
              </w:rPr>
              <w:t xml:space="preserve">Above-target, finally.</w:t>
            </w:r>
            <w:r>
              <w:t xml:space="preserve"> </w:t>
            </w:r>
            <w:r>
              <w:t xml:space="preserve">Headline inflation ~3% for much of 2025 before dipping to ~2% by Dec as oil prices fell. Crucially,</w:t>
            </w:r>
            <w:r>
              <w:t xml:space="preserve"> </w:t>
            </w:r>
            <w:r>
              <w:rPr>
                <w:b/>
                <w:bCs/>
              </w:rPr>
              <w:t xml:space="preserve">Japan achieved positive real wage growth</w:t>
            </w:r>
            <w:r>
              <w:t xml:space="preserve"> </w:t>
            </w:r>
            <w:r>
              <w:t xml:space="preserve">– nominal wages +3% with productivity gains. This entrenched a shift away from deflation. BOJ’s core-core inflation (ex fresh food &amp; energy) hovered ~2%, meeting its goal on a sustainable basis for the first time since 1990s.</w:t>
            </w:r>
          </w:p>
        </w:tc>
        <w:tc>
          <w:tcPr/>
          <w:p>
            <w:pPr>
              <w:pStyle w:val="Compact"/>
            </w:pPr>
            <w:r>
              <w:rPr>
                <w:b/>
                <w:bCs/>
              </w:rPr>
              <w:t xml:space="preserve">BoJ</w:t>
            </w:r>
            <w:r>
              <w:t xml:space="preserve"> </w:t>
            </w:r>
            <w:r>
              <w:t xml:space="preserve">–0.10% → +0.50%. The BoJ</w:t>
            </w:r>
            <w:r>
              <w:t xml:space="preserve"> </w:t>
            </w:r>
            <w:r>
              <w:rPr>
                <w:i/>
                <w:iCs/>
              </w:rPr>
              <w:t xml:space="preserve">exited negative rates</w:t>
            </w:r>
            <w:r>
              <w:t xml:space="preserve"> </w:t>
            </w:r>
            <w:r>
              <w:t xml:space="preserve">in early 2025 (raising short rate to 0.0% in Jan, then to +0.5% by Q3). It also widened YCC band, eventually allowing 10-year JGB yields up to ~1.5%. BoJ intervention to smooth FX was minimal, as policy normalization reduced yen weakness.</w:t>
            </w:r>
          </w:p>
        </w:tc>
        <w:tc>
          <w:tcPr/>
          <w:p>
            <w:pPr>
              <w:pStyle w:val="Compact"/>
            </w:pPr>
            <w:r>
              <w:rPr>
                <w:b/>
                <w:bCs/>
              </w:rPr>
              <w:t xml:space="preserve">Jan 23:</w:t>
            </w:r>
            <w:r>
              <w:t xml:space="preserve"> </w:t>
            </w:r>
            <w:r>
              <w:t xml:space="preserve">BoJ ended NIRP after core inflation stayed &gt;2% several quarters (signaling a historic policy shift).</w:t>
            </w:r>
            <w:r>
              <w:t xml:space="preserve"> </w:t>
            </w:r>
            <w:r>
              <w:rPr>
                <w:b/>
                <w:bCs/>
              </w:rPr>
              <w:t xml:space="preserve">Oct 31:</w:t>
            </w:r>
            <w:r>
              <w:t xml:space="preserve"> </w:t>
            </w:r>
            <w:r>
              <w:t xml:space="preserve">General election upheaval – PM Kishida lost leadership; new PM Sanae Takaichi sworn in on a platform of bold spending (particularly defense and digital), boosting sentiment.</w:t>
            </w:r>
            <w:r>
              <w:t xml:space="preserve"> </w:t>
            </w:r>
            <w:r>
              <w:rPr>
                <w:b/>
                <w:bCs/>
              </w:rPr>
              <w:t xml:space="preserve">Dec:</w:t>
            </w:r>
            <w:r>
              <w:t xml:space="preserve"> </w:t>
            </w:r>
            <w:r>
              <w:t xml:space="preserve">BoJ held policy steady at +0.5%, confident inflation is sustainable.</w:t>
            </w:r>
          </w:p>
        </w:tc>
        <w:tc>
          <w:tcPr/>
          <w:p>
            <w:pPr>
              <w:pStyle w:val="Compact"/>
            </w:pPr>
            <w:r>
              <w:rPr>
                <w:b/>
                <w:bCs/>
              </w:rPr>
              <w:t xml:space="preserve">Yen Volatility:</w:t>
            </w:r>
            <w:r>
              <w:t xml:space="preserve"> </w:t>
            </w:r>
            <w:r>
              <w:t xml:space="preserve">JPY had a volatile year – initially strengthening on BoJ hawkish signals, then plunging to 156/USD by Q4 as yield differentials and carry trades reasserted.</w:t>
            </w:r>
            <w:r>
              <w:t xml:space="preserve"> </w:t>
            </w:r>
            <w:r>
              <w:rPr>
                <w:b/>
                <w:bCs/>
              </w:rPr>
              <w:t xml:space="preserve">Trade and Tech:</w:t>
            </w:r>
            <w:r>
              <w:t xml:space="preserve"> </w:t>
            </w:r>
            <w:r>
              <w:t xml:space="preserve">U.S. chip export curbs on China (and China’s countermeasures) created uncertainty for Japan’s tech exporters in H1, but were offset by strong global chip demand from AI.</w:t>
            </w:r>
            <w:r>
              <w:t xml:space="preserve"> </w:t>
            </w:r>
            <w:r>
              <w:rPr>
                <w:b/>
                <w:bCs/>
              </w:rPr>
              <w:t xml:space="preserve">Geopolitics:</w:t>
            </w:r>
            <w:r>
              <w:t xml:space="preserve"> </w:t>
            </w:r>
            <w:r>
              <w:t xml:space="preserve">Regional tensions (Korean peninsula missile tests, Taiwan Strait drills) kept Japan on alert but did not escalate to disrupt markets.</w:t>
            </w:r>
          </w:p>
        </w:tc>
      </w:tr>
      <w:tr>
        <w:tc>
          <w:tcPr/>
          <w:p>
            <w:pPr>
              <w:pStyle w:val="Compact"/>
            </w:pPr>
            <w:r>
              <w:rPr>
                <w:b/>
                <w:bCs/>
              </w:rPr>
              <w:t xml:space="preserve">China</w:t>
            </w:r>
          </w:p>
        </w:tc>
        <w:tc>
          <w:tcPr/>
          <w:p>
            <w:pPr>
              <w:pStyle w:val="Compact"/>
            </w:pPr>
            <w:r>
              <w:rPr>
                <w:i/>
                <w:iCs/>
              </w:rPr>
              <w:t xml:space="preserve">Rocky start, then stabilization.</w:t>
            </w:r>
            <w:r>
              <w:t xml:space="preserve"> </w:t>
            </w:r>
            <w:r>
              <w:t xml:space="preserve">China’s growth for 2025 ~4.8–5.0%, improving from 2024’s slump. H1 was weak: the overhang of the property crisis and deflationary pressures persisted. By H2,</w:t>
            </w:r>
            <w:r>
              <w:t xml:space="preserve"> </w:t>
            </w:r>
            <w:r>
              <w:rPr>
                <w:b/>
                <w:bCs/>
              </w:rPr>
              <w:t xml:space="preserve">aggressive policy support</w:t>
            </w:r>
            <w:r>
              <w:t xml:space="preserve"> </w:t>
            </w:r>
            <w:r>
              <w:t xml:space="preserve">(PBoC rate cuts, infrastructure stimulus, and property easing measures) ignited a tentative rebound in consumption and industrial activity. Net exports remained a growth contributor as China found alternative markets amid U.S. tariffs.</w:t>
            </w:r>
          </w:p>
        </w:tc>
        <w:tc>
          <w:tcPr/>
          <w:p>
            <w:pPr>
              <w:pStyle w:val="Compact"/>
            </w:pPr>
            <w:r>
              <w:rPr>
                <w:i/>
                <w:iCs/>
              </w:rPr>
              <w:t xml:space="preserve">From deflation back to mild inflation.</w:t>
            </w:r>
            <w:r>
              <w:t xml:space="preserve"> </w:t>
            </w:r>
            <w:r>
              <w:t xml:space="preserve">Early 2025 saw near-zero CPI (even slight deflation) due to weak domestic demand. The government responded with stimulus, and by Q4 CPI was back around +1–2%. Factory gate (PPI) deflation also bottomed out. Food prices were stable, and core inflation stayed subdued ~1%. In sum, China’s inflation was</w:t>
            </w:r>
            <w:r>
              <w:t xml:space="preserve"> </w:t>
            </w:r>
            <w:r>
              <w:rPr>
                <w:b/>
                <w:bCs/>
              </w:rPr>
              <w:t xml:space="preserve">benign to the point of concern</w:t>
            </w:r>
            <w:r>
              <w:t xml:space="preserve"> </w:t>
            </w:r>
            <w:r>
              <w:t xml:space="preserve">in H1, prompting easing.</w:t>
            </w:r>
          </w:p>
        </w:tc>
        <w:tc>
          <w:tcPr/>
          <w:p>
            <w:pPr>
              <w:pStyle w:val="Compact"/>
            </w:pPr>
            <w:r>
              <w:rPr>
                <w:b/>
                <w:bCs/>
              </w:rPr>
              <w:t xml:space="preserve">PBoC</w:t>
            </w:r>
            <w:r>
              <w:t xml:space="preserve"> </w:t>
            </w:r>
            <w:r>
              <w:t xml:space="preserve">1Y LPR 3.55% → 3.05%. The PBoC cut benchmark Loan Prime Rates by 50 bps cumulatively (25 bps in March, 25 bps in August) to spur credit. It also trimmed the RRR and guided banks to expand lending, particularly to small firms and homebuyers. Fiscal policy turned more accommodative: special local government bonds financed infrastructure, and property curbs were relaxed to support developers.</w:t>
            </w:r>
          </w:p>
        </w:tc>
        <w:tc>
          <w:tcPr/>
          <w:p>
            <w:pPr>
              <w:pStyle w:val="Compact"/>
            </w:pPr>
            <w:r>
              <w:rPr>
                <w:b/>
                <w:bCs/>
              </w:rPr>
              <w:t xml:space="preserve">Apr–May:</w:t>
            </w:r>
            <w:r>
              <w:t xml:space="preserve"> </w:t>
            </w:r>
            <w:r>
              <w:t xml:space="preserve">Fears of a “double dip” as property sales plunged; PBoC in April cut reserve ratio to boost liquidity.</w:t>
            </w:r>
            <w:r>
              <w:t xml:space="preserve"> </w:t>
            </w:r>
            <w:r>
              <w:rPr>
                <w:b/>
                <w:bCs/>
              </w:rPr>
              <w:t xml:space="preserve">Aug 15:</w:t>
            </w:r>
            <w:r>
              <w:t xml:space="preserve"> </w:t>
            </w:r>
            <w:r>
              <w:t xml:space="preserve">Authorities unveiled a broad stimulus package (including tax rebates and lifting some homebuying restrictions) – marked a confidence turning point.</w:t>
            </w:r>
            <w:r>
              <w:t xml:space="preserve"> </w:t>
            </w:r>
            <w:r>
              <w:rPr>
                <w:b/>
                <w:bCs/>
              </w:rPr>
              <w:t xml:space="preserve">Oct:</w:t>
            </w:r>
            <w:r>
              <w:t xml:space="preserve"> </w:t>
            </w:r>
            <w:r>
              <w:t xml:space="preserve">Geopolitical respite – U.S.–China trade talks resumed at APEC, staving off further tariff escalation (tariffs stayed but no new ones beyond Oct’s 100% threat).</w:t>
            </w:r>
          </w:p>
        </w:tc>
        <w:tc>
          <w:tcPr/>
          <w:p>
            <w:pPr>
              <w:pStyle w:val="Compact"/>
            </w:pPr>
            <w:r>
              <w:rPr>
                <w:b/>
                <w:bCs/>
              </w:rPr>
              <w:t xml:space="preserve">Property Sector Crisis:</w:t>
            </w:r>
            <w:r>
              <w:t xml:space="preserve"> </w:t>
            </w:r>
            <w:r>
              <w:t xml:space="preserve">A major developer default in Jan renewed fears, but a state-led restructuring plan in Q2 backstopped the sector.</w:t>
            </w:r>
            <w:r>
              <w:t xml:space="preserve"> </w:t>
            </w:r>
            <w:r>
              <w:rPr>
                <w:b/>
                <w:bCs/>
              </w:rPr>
              <w:t xml:space="preserve">Trade War Impact:</w:t>
            </w:r>
            <w:r>
              <w:t xml:space="preserve"> </w:t>
            </w:r>
            <w:r>
              <w:t xml:space="preserve">U.S. tariffs (up to 100%) on ~$300bn of Chinese goods hit sentiment; CNY initially weakened to ~7.34/USD in April, but recovered to ~6.99 by year-end as China’s stimulus and a weaker broad USD took hold.</w:t>
            </w:r>
            <w:r>
              <w:t xml:space="preserve"> </w:t>
            </w:r>
            <w:r>
              <w:rPr>
                <w:b/>
                <w:bCs/>
              </w:rPr>
              <w:t xml:space="preserve">Public Health:</w:t>
            </w:r>
            <w:r>
              <w:t xml:space="preserve"> </w:t>
            </w:r>
            <w:r>
              <w:t xml:space="preserve">A COVID resurgence in some regions mid-year prompted targeted lockdowns, but was quickly contained – minimal economic impact compared to prior years.</w:t>
            </w:r>
          </w:p>
        </w:tc>
      </w:tr>
      <w:tr>
        <w:tc>
          <w:tcPr/>
          <w:p>
            <w:pPr>
              <w:pStyle w:val="Compact"/>
            </w:pPr>
            <w:r>
              <w:rPr>
                <w:b/>
                <w:bCs/>
              </w:rPr>
              <w:t xml:space="preserve">Key EM Regions</w:t>
            </w:r>
          </w:p>
        </w:tc>
        <w:tc>
          <w:tcPr/>
          <w:p>
            <w:pPr>
              <w:pStyle w:val="Compact"/>
            </w:pPr>
            <w:r>
              <w:rPr>
                <w:i/>
                <w:iCs/>
              </w:rPr>
              <w:t xml:space="preserve">EM Asia:</w:t>
            </w:r>
            <w:r>
              <w:t xml:space="preserve"> </w:t>
            </w:r>
            <w:r>
              <w:t xml:space="preserve">Generally strong growth. India ~6.0% (domestic demand robust, though export headwinds from trade tensions); ASEAN-5 averaged ~5% with tourism rebound.</w:t>
            </w:r>
            <w:r>
              <w:t xml:space="preserve"> </w:t>
            </w:r>
            <w:r>
              <w:rPr>
                <w:i/>
                <w:iCs/>
              </w:rPr>
              <w:t xml:space="preserve">LatAm:</w:t>
            </w:r>
            <w:r>
              <w:t xml:space="preserve"> </w:t>
            </w:r>
            <w:r>
              <w:t xml:space="preserve">Mixed but improved – Brazil ~2.5% (rate cuts aided recovery), Mexico ~3% (benefiting from U.S. nearshoring boom).</w:t>
            </w:r>
            <w:r>
              <w:t xml:space="preserve"> </w:t>
            </w:r>
            <w:r>
              <w:rPr>
                <w:i/>
                <w:iCs/>
              </w:rPr>
              <w:t xml:space="preserve">EMEA:</w:t>
            </w:r>
            <w:r>
              <w:t xml:space="preserve"> </w:t>
            </w:r>
            <w:r>
              <w:t xml:space="preserve">Oil importers (Turkey, Egypt) saw some relief from lower oil prices, but high inflation kept real growth modest; Gulf states slowed on oil revenue drop.</w:t>
            </w:r>
          </w:p>
        </w:tc>
        <w:tc>
          <w:tcPr/>
          <w:p>
            <w:pPr>
              <w:pStyle w:val="Compact"/>
            </w:pPr>
            <w:r>
              <w:rPr>
                <w:i/>
                <w:iCs/>
              </w:rPr>
              <w:t xml:space="preserve">EM Asia:</w:t>
            </w:r>
            <w:r>
              <w:t xml:space="preserve"> </w:t>
            </w:r>
            <w:r>
              <w:t xml:space="preserve">Moderate inflation, mostly within targets (India ~4.5% CPI, helped by RBI tightening earlier).</w:t>
            </w:r>
            <w:r>
              <w:t xml:space="preserve"> </w:t>
            </w:r>
            <w:r>
              <w:rPr>
                <w:i/>
                <w:iCs/>
              </w:rPr>
              <w:t xml:space="preserve">LatAm:</w:t>
            </w:r>
            <w:r>
              <w:t xml:space="preserve"> </w:t>
            </w:r>
            <w:r>
              <w:t xml:space="preserve">Big disinflation success – e.g. Brazil inflation fell to ~4% from 12% in 2022, enabling rate cuts.</w:t>
            </w:r>
            <w:r>
              <w:t xml:space="preserve"> </w:t>
            </w:r>
            <w:r>
              <w:rPr>
                <w:i/>
                <w:iCs/>
              </w:rPr>
              <w:t xml:space="preserve">EMEA:</w:t>
            </w:r>
            <w:r>
              <w:t xml:space="preserve"> </w:t>
            </w:r>
            <w:r>
              <w:t xml:space="preserve">Inflation remained high in parts (e.g. Turkey still &gt;30% but down from hyperinflation of 2022, thanks to policy U-turn). Many EMs saw real rates turn positive, bolstering credibility.</w:t>
            </w:r>
          </w:p>
        </w:tc>
        <w:tc>
          <w:tcPr/>
          <w:p>
            <w:pPr>
              <w:pStyle w:val="Compact"/>
            </w:pPr>
            <w:r>
              <w:rPr>
                <w:b/>
                <w:bCs/>
              </w:rPr>
              <w:t xml:space="preserve">EM Central Banks:</w:t>
            </w:r>
            <w:r>
              <w:t xml:space="preserve"> </w:t>
            </w:r>
            <w:r>
              <w:t xml:space="preserve">Entered 2025 mostly with high rates from prior tightening. Many began easing: e.g.</w:t>
            </w:r>
            <w:r>
              <w:t xml:space="preserve"> </w:t>
            </w:r>
            <w:r>
              <w:rPr>
                <w:b/>
                <w:bCs/>
              </w:rPr>
              <w:t xml:space="preserve">Brazil</w:t>
            </w:r>
            <w:r>
              <w:t xml:space="preserve"> </w:t>
            </w:r>
            <w:r>
              <w:t xml:space="preserve">11.75%→8.75% (cut 300 bps in 2025),</w:t>
            </w:r>
            <w:r>
              <w:t xml:space="preserve"> </w:t>
            </w:r>
            <w:r>
              <w:rPr>
                <w:b/>
                <w:bCs/>
              </w:rPr>
              <w:t xml:space="preserve">Mexico</w:t>
            </w:r>
            <w:r>
              <w:t xml:space="preserve"> </w:t>
            </w:r>
            <w:r>
              <w:t xml:space="preserve">11.25%→9.50%,</w:t>
            </w:r>
            <w:r>
              <w:t xml:space="preserve"> </w:t>
            </w:r>
            <w:r>
              <w:rPr>
                <w:b/>
                <w:bCs/>
              </w:rPr>
              <w:t xml:space="preserve">India</w:t>
            </w:r>
            <w:r>
              <w:t xml:space="preserve"> </w:t>
            </w:r>
            <w:r>
              <w:t xml:space="preserve">held ~6.5% then cut to 6.0%. Others (Turkey) implemented orthodox hikes early then paused. Overall, EM monetary policy turned supportive as inflation waned and currencies stabilized.</w:t>
            </w:r>
          </w:p>
        </w:tc>
        <w:tc>
          <w:tcPr/>
          <w:p>
            <w:pPr>
              <w:pStyle w:val="Compact"/>
            </w:pPr>
            <w:r>
              <w:rPr>
                <w:b/>
                <w:bCs/>
              </w:rPr>
              <w:t xml:space="preserve">Jan:</w:t>
            </w:r>
            <w:r>
              <w:t xml:space="preserve"> </w:t>
            </w:r>
            <w:r>
              <w:t xml:space="preserve">Brazil’s new fiscal framework approval boosted confidence, enabling aggressive rate cuts by BCB.</w:t>
            </w:r>
            <w:r>
              <w:t xml:space="preserve"> </w:t>
            </w:r>
            <w:r>
              <w:rPr>
                <w:b/>
                <w:bCs/>
              </w:rPr>
              <w:t xml:space="preserve">H2:</w:t>
            </w:r>
            <w:r>
              <w:t xml:space="preserve"> </w:t>
            </w:r>
            <w:r>
              <w:t xml:space="preserve">Broad EM rally as Fed’s dovish turn and China’s stimulus improved risk appetite – EM bond spreads tightened to 5-year lows, EM currencies like MXN, BRL hit multi-year highs.</w:t>
            </w:r>
            <w:r>
              <w:t xml:space="preserve"> </w:t>
            </w:r>
            <w:r>
              <w:rPr>
                <w:b/>
                <w:bCs/>
              </w:rPr>
              <w:t xml:space="preserve">Oct:</w:t>
            </w:r>
            <w:r>
              <w:t xml:space="preserve"> </w:t>
            </w:r>
            <w:r>
              <w:t xml:space="preserve">Argentina’s election brought a reformist government (after extreme proposals fizzled), reducing tail-risk in EM sentiment.</w:t>
            </w:r>
          </w:p>
        </w:tc>
        <w:tc>
          <w:tcPr/>
          <w:p>
            <w:pPr>
              <w:pStyle w:val="Compact"/>
            </w:pPr>
            <w:r>
              <w:rPr>
                <w:b/>
                <w:bCs/>
              </w:rPr>
              <w:t xml:space="preserve">Commodity Price Swings:</w:t>
            </w:r>
            <w:r>
              <w:t xml:space="preserve"> </w:t>
            </w:r>
            <w:r>
              <w:t xml:space="preserve">Oil’s drop (-18% in 2025) hurt oil exporters (e.g. Gulf, Russia), but helped importers (India, Turkey) by easing trade deficits. Metals surge (copper +46%</w:t>
            </w:r>
            <w:r>
              <w:br/>
            </w:r>
            <w:r>
              <w:t xml:space="preserve">) bolstered Chile/Peru fiscal revenues.</w:t>
            </w:r>
            <w:r>
              <w:t xml:space="preserve"> </w:t>
            </w:r>
            <w:r>
              <w:rPr>
                <w:b/>
                <w:bCs/>
              </w:rPr>
              <w:t xml:space="preserve">Idiosyncratic Shocks:</w:t>
            </w:r>
            <w:r>
              <w:t xml:space="preserve"> </w:t>
            </w:r>
            <w:r>
              <w:t xml:space="preserve">EM largely avoided crises – no large-scale defaults (frontier distress remained contained to a few cases). The expected EM “domino” from U.S. rates never fell, thanks to improved fundamentals and ample FX reserves.</w:t>
            </w:r>
            <w:r>
              <w:t xml:space="preserve"> </w:t>
            </w:r>
            <w:r>
              <w:rPr>
                <w:b/>
                <w:bCs/>
              </w:rPr>
              <w:t xml:space="preserve">Geopolitical:</w:t>
            </w:r>
            <w:r>
              <w:t xml:space="preserve"> </w:t>
            </w:r>
            <w:r>
              <w:t xml:space="preserve">Aside from Russia-Ukraine, no new EM conflict shocks; some tension in Middle East (e.g. Saudi–UAE rift in OPEC) but limited market contagion.</w:t>
            </w:r>
          </w:p>
        </w:tc>
      </w:tr>
    </w:tbl>
    <w:p>
      <w:pPr>
        <w:pStyle w:val="BodyText"/>
      </w:pPr>
      <w:r>
        <w:rPr>
          <w:b/>
          <w:bCs/>
        </w:rPr>
        <w:t xml:space="preserve">Labor Markets, Wages, and Productivity:</w:t>
      </w:r>
      <w:r>
        <w:t xml:space="preserve"> </w:t>
      </w:r>
      <w:r>
        <w:t xml:space="preserve">Labor market tightness began to ease in 2025 across developed economies, but conditions remained historically tight. In the</w:t>
      </w:r>
      <w:r>
        <w:t xml:space="preserve"> </w:t>
      </w:r>
      <w:r>
        <w:rPr>
          <w:b/>
          <w:bCs/>
        </w:rPr>
        <w:t xml:space="preserve">U.S.</w:t>
      </w:r>
      <w:r>
        <w:t xml:space="preserve">, the unemployment rate ticked up from ~3.5% to ~4.1% by December (as labor force participation improved and hiring moderated). Job growth slowed to ~100k/month in H2, reflecting</w:t>
      </w:r>
      <w:r>
        <w:t xml:space="preserve"> </w:t>
      </w:r>
      <w:r>
        <w:rPr>
          <w:b/>
          <w:bCs/>
        </w:rPr>
        <w:t xml:space="preserve">weaker labor demand</w:t>
      </w:r>
      <w:r>
        <w:t xml:space="preserve"> </w:t>
      </w:r>
      <w:r>
        <w:t xml:space="preserve">– though this appeared more</w:t>
      </w:r>
      <w:r>
        <w:t xml:space="preserve"> </w:t>
      </w:r>
      <w:r>
        <w:rPr>
          <w:i/>
          <w:iCs/>
        </w:rPr>
        <w:t xml:space="preserve">structural</w:t>
      </w:r>
      <w:r>
        <w:t xml:space="preserve"> </w:t>
      </w:r>
      <w:r>
        <w:t xml:space="preserve">(automation, AI adoption) than cyclical distress. Despite softer payroll gains,</w:t>
      </w:r>
      <w:r>
        <w:t xml:space="preserve"> </w:t>
      </w:r>
      <w:r>
        <w:rPr>
          <w:b/>
          <w:bCs/>
        </w:rPr>
        <w:t xml:space="preserve">wage growth</w:t>
      </w:r>
      <w:r>
        <w:t xml:space="preserve"> </w:t>
      </w:r>
      <w:r>
        <w:t xml:space="preserve">stayed elevated ~4% YoY (Atlanta Fed wage tracker), keeping real wage growth just positive as inflation cooled. Notably,</w:t>
      </w:r>
      <w:r>
        <w:t xml:space="preserve"> </w:t>
      </w:r>
      <w:r>
        <w:rPr>
          <w:i/>
          <w:iCs/>
        </w:rPr>
        <w:t xml:space="preserve">productivity</w:t>
      </w:r>
      <w:r>
        <w:t xml:space="preserve"> </w:t>
      </w:r>
      <w:r>
        <w:t xml:space="preserve">in the U.S. showed glimmers of improvement: after dismal performance in 2022–23, nonfarm productivity rose ~2% in 2025, helped by heavy investment in technology and efficiency measures (AI-driven process improvements contributed roughly</w:t>
      </w:r>
      <w:r>
        <w:t xml:space="preserve"> </w:t>
      </w:r>
      <w:r>
        <w:rPr>
          <w:b/>
          <w:bCs/>
        </w:rPr>
        <w:t xml:space="preserve">one-third of H1 GDP growth</w:t>
      </w:r>
      <w:r>
        <w:t xml:space="preserve"> </w:t>
      </w:r>
      <w:r>
        <w:t xml:space="preserve">by one estimate). In Europe,</w:t>
      </w:r>
      <w:r>
        <w:t xml:space="preserve"> </w:t>
      </w:r>
      <w:r>
        <w:rPr>
          <w:b/>
          <w:bCs/>
        </w:rPr>
        <w:t xml:space="preserve">labor markets remained resilient</w:t>
      </w:r>
      <w:r>
        <w:t xml:space="preserve"> </w:t>
      </w:r>
      <w:r>
        <w:t xml:space="preserve">– the Euro Area jobless rate held around record lows (~6.5%). Eurozone wages grew ~5% in early 2025, then decelerated to ~4% as inflation expectations cooled. This meant</w:t>
      </w:r>
      <w:r>
        <w:t xml:space="preserve"> </w:t>
      </w:r>
      <w:r>
        <w:rPr>
          <w:i/>
          <w:iCs/>
        </w:rPr>
        <w:t xml:space="preserve">real wages in Europe moved back into positive territory</w:t>
      </w:r>
      <w:r>
        <w:t xml:space="preserve"> </w:t>
      </w:r>
      <w:r>
        <w:t xml:space="preserve">for the first time since the pandemic, supporting consumer confidence. The UK was an outlier: unemployment edged up to ~4.5%, while wage growth above 6% (early in the year) finally moderated to ~4% by Q4, still outpacing inflation and aiding a long-awaited real income recovery.</w:t>
      </w:r>
      <w:r>
        <w:t xml:space="preserve"> </w:t>
      </w:r>
      <w:r>
        <w:rPr>
          <w:b/>
          <w:bCs/>
        </w:rPr>
        <w:t xml:space="preserve">Japan’s labor market</w:t>
      </w:r>
      <w:r>
        <w:t xml:space="preserve"> </w:t>
      </w:r>
      <w:r>
        <w:t xml:space="preserve">grew even tighter (unemployment ~2.6%). Crucially,</w:t>
      </w:r>
      <w:r>
        <w:t xml:space="preserve"> </w:t>
      </w:r>
      <w:r>
        <w:rPr>
          <w:b/>
          <w:bCs/>
        </w:rPr>
        <w:t xml:space="preserve">Japanese firms granted the largest pay hikes in decades</w:t>
      </w:r>
      <w:r>
        <w:t xml:space="preserve"> </w:t>
      </w:r>
      <w:r>
        <w:t xml:space="preserve">(base pay +3.5% in spring “Shunto” negotiations), a major win for the Bank of Japan’s reflation aims. Emerging markets varied: many Latin American countries saw unemployment fall as services boomed (e.g. Brazil ~7.8%, a multi-year low), and wages there rose in real terms after inflation dropped. In China, urban unemployment hovered ~5.2%, but youth unemployment remained a pain point (persistently high until authorities stopped publishing the figure mid-year). Overall, labor markets in 2025 were a</w:t>
      </w:r>
      <w:r>
        <w:t xml:space="preserve"> </w:t>
      </w:r>
      <w:r>
        <w:rPr>
          <w:b/>
          <w:bCs/>
        </w:rPr>
        <w:t xml:space="preserve">mixed blessing</w:t>
      </w:r>
      <w:r>
        <w:t xml:space="preserve">: robust employment prevented recessions, but persistent wage pressures kept central banks cautious. Productivity gains – partly from digital transformation – helped cap unit labor costs to some extent, suggesting</w:t>
      </w:r>
      <w:r>
        <w:t xml:space="preserve"> </w:t>
      </w:r>
      <w:r>
        <w:rPr>
          <w:b/>
          <w:bCs/>
        </w:rPr>
        <w:t xml:space="preserve">potentially less inflationary pressure from tight labor than in 2022</w:t>
      </w:r>
      <w:r>
        <w:t xml:space="preserve">, a hopeful sign heading into 2026.</w:t>
      </w:r>
    </w:p>
    <w:p>
      <w:pPr>
        <w:pStyle w:val="BodyText"/>
      </w:pPr>
      <w:r>
        <w:rPr>
          <w:b/>
          <w:bCs/>
        </w:rPr>
        <w:t xml:space="preserve">Fiscal Policy, Deficits, and Debt Dynamics:</w:t>
      </w:r>
      <w:r>
        <w:t xml:space="preserve"> </w:t>
      </w:r>
      <w:r>
        <w:t xml:space="preserve">2025 was marked by divergent fiscal trajectories. In the U.S., fiscal policy turned even more expansionary under the new administration. A combination of tax cuts (the corporate tax rate was trimmed and some 2017 tax cuts extended) and higher spending (infrastructure, defense, and a late-year middle-class tax rebate in the</w:t>
      </w:r>
      <w:r>
        <w:t xml:space="preserve"> </w:t>
      </w:r>
      <w:r>
        <w:rPr>
          <w:i/>
          <w:iCs/>
        </w:rPr>
        <w:t xml:space="preserve">“OBB Bill”</w:t>
      </w:r>
      <w:r>
        <w:t xml:space="preserve">) pushed the federal deficit above 7% of GDP. U.S. debt-to-GDP climbed toward ~130%. A flashpoint came in Q4 when a</w:t>
      </w:r>
      <w:r>
        <w:t xml:space="preserve"> </w:t>
      </w:r>
      <w:r>
        <w:rPr>
          <w:b/>
          <w:bCs/>
        </w:rPr>
        <w:t xml:space="preserve">budget impasse led to a 6-week federal shutdown</w:t>
      </w:r>
      <w:r>
        <w:t xml:space="preserve">, delaying economic data and adding uncertainty. Ultimately, a spending deal resolved the shutdown in November, but only at the cost of further fiscal largesse (no serious consolidation efforts). In contrast, the Euro Area broadly maintained fiscal discipline</w:t>
      </w:r>
      <w:r>
        <w:t xml:space="preserve"> </w:t>
      </w:r>
      <w:r>
        <w:rPr>
          <w:i/>
          <w:iCs/>
        </w:rPr>
        <w:t xml:space="preserve">except</w:t>
      </w:r>
      <w:r>
        <w:t xml:space="preserve"> </w:t>
      </w:r>
      <w:r>
        <w:t xml:space="preserve">in areas exempted for defense and energy. EU-wide fiscal deficit averaged ~3–4% of GDP. Germany – notably – enacted an extra fiscal package (≈€50bn) for defense investment and industry support, breaching its “debt brake” again. However, Europe’s improved growth and lower energy subsidies helped debt ratios: Eurozone debt/GDP likely fell slightly to ~90% (from ~93%), assisted by nominal GDP growth.</w:t>
      </w:r>
      <w:r>
        <w:t xml:space="preserve"> </w:t>
      </w:r>
      <w:r>
        <w:rPr>
          <w:b/>
          <w:bCs/>
        </w:rPr>
        <w:t xml:space="preserve">Japan</w:t>
      </w:r>
      <w:r>
        <w:t xml:space="preserve"> </w:t>
      </w:r>
      <w:r>
        <w:t xml:space="preserve">continued its ultra-loose fiscal stance: a supplementary budget (~¥15 trillion) was passed to cushion households from inflation (energy subsidies, travel vouchers) and to fund military upgrades. Japan’s deficit stayed ~6% of GDP, and debt ~260% of GDP – yet ultra-low JGB yields kept debt service manageable.</w:t>
      </w:r>
      <w:r>
        <w:t xml:space="preserve"> </w:t>
      </w:r>
      <w:r>
        <w:rPr>
          <w:b/>
          <w:bCs/>
        </w:rPr>
        <w:t xml:space="preserve">China’s government</w:t>
      </w:r>
      <w:r>
        <w:t xml:space="preserve"> </w:t>
      </w:r>
      <w:r>
        <w:t xml:space="preserve">leaned on fiscal stimulus: local governments issued a record ¥4 trillion in special bonds for infrastructure, and the central government modestly widened its deficit to ~3% of GDP (above the usual ~2.8% target) to fund tax breaks for businesses. This added to local debt burdens, but Beijing balanced stimulus with some discipline (e.g. no massive “bazooka” like 2008). Across emerging markets,</w:t>
      </w:r>
      <w:r>
        <w:t xml:space="preserve"> </w:t>
      </w:r>
      <w:r>
        <w:rPr>
          <w:i/>
          <w:iCs/>
        </w:rPr>
        <w:t xml:space="preserve">fiscal outcomes improved</w:t>
      </w:r>
      <w:r>
        <w:t xml:space="preserve"> </w:t>
      </w:r>
      <w:r>
        <w:t xml:space="preserve">in commodity-importers (as interest costs fell with disinflation) and worsened for some commodity exporters (oil revenue shortfalls). For example, Saudi Arabia swung to a fiscal deficit after oil’s drop, while India met its deficit reduction path (helped by strong tax receipts). One highlight: Brazil passed a new fiscal rule limiting spending growth, restoring investor confidence in its debt trajectory.</w:t>
      </w:r>
      <w:r>
        <w:t xml:space="preserve"> </w:t>
      </w:r>
      <w:r>
        <w:rPr>
          <w:b/>
          <w:bCs/>
        </w:rPr>
        <w:t xml:space="preserve">Net issuance and debt markets:</w:t>
      </w:r>
      <w:r>
        <w:t xml:space="preserve"> </w:t>
      </w:r>
      <w:r>
        <w:t xml:space="preserve">The heavy U.S. Treasury issuance was absorbed albeit with increased term premia – the 10-year Treasury term premium remained positive ~0.5%, versus negative in the 2010s, reflecting persistent investor demand for higher yield to cover fiscal risks. Europe’s bond issuance rose modestly (especially French and Italian bonds financing defense and energy measures), but ECB’s end of QT (it stopped balance sheet runoff by Q4) provided some indirect support. In sum, 2025 saw</w:t>
      </w:r>
      <w:r>
        <w:t xml:space="preserve"> </w:t>
      </w:r>
      <w:r>
        <w:rPr>
          <w:b/>
          <w:bCs/>
        </w:rPr>
        <w:t xml:space="preserve">fiscal policy re-emerge as a market factor</w:t>
      </w:r>
      <w:r>
        <w:t xml:space="preserve">, contributing to upward pressure on long-term yields and currency movements (e.g. fiscal worries weighed on the dollar). Going into 2026, high debt levels and limited fiscal space in many economies are a key constraint, even as 2025’s growth resilience partly owes to governments’ willingness to spend.</w:t>
      </w:r>
    </w:p>
    <w:p>
      <w:pPr>
        <w:pStyle w:val="BodyText"/>
      </w:pPr>
      <w:r>
        <w:rPr>
          <w:b/>
          <w:bCs/>
        </w:rPr>
        <w:t xml:space="preserve">Timeline of Macro Turning Points 2025:</w:t>
      </w:r>
      <w:r>
        <w:t xml:space="preserve"> </w:t>
      </w:r>
      <w:r>
        <w:rPr>
          <w:i/>
          <w:iCs/>
        </w:rPr>
        <w:t xml:space="preserve">January:</w:t>
      </w:r>
      <w:r>
        <w:t xml:space="preserve"> </w:t>
      </w:r>
      <w:r>
        <w:t xml:space="preserve">U.S. political shift (new president inaugurated Jan 20) sets tone – immediate executive orders roll back regulations and support crypto (creating optimism in digital assets). China’s economy stumbles out of the gate (weak Q4 ’24 data), prompting the PBoC’s first rate cut Jan 15.</w:t>
      </w:r>
      <w:r>
        <w:t xml:space="preserve"> </w:t>
      </w:r>
      <w:r>
        <w:rPr>
          <w:i/>
          <w:iCs/>
        </w:rPr>
        <w:t xml:space="preserve">March:</w:t>
      </w:r>
      <w:r>
        <w:t xml:space="preserve"> </w:t>
      </w:r>
      <w:r>
        <w:t xml:space="preserve">Amid rising U.S.–China tensions, the IMF in its Spring outlook cuts 2025 global growth forecast from 3.3% to 2.8%, citing trade uncertainty – a downgrade later partly reversed as conditions improved. The Fed holds rates at its March FOMC but drops “higher for longer” language, hinting at flexibility. EU announces its ReArm Europe plan Mar 10, marking a</w:t>
      </w:r>
      <w:r>
        <w:t xml:space="preserve"> </w:t>
      </w:r>
      <w:r>
        <w:rPr>
          <w:b/>
          <w:bCs/>
        </w:rPr>
        <w:t xml:space="preserve">fiscal turning point</w:t>
      </w:r>
      <w:r>
        <w:t xml:space="preserve"> </w:t>
      </w:r>
      <w:r>
        <w:t xml:space="preserve">for defense.</w:t>
      </w:r>
      <w:r>
        <w:t xml:space="preserve"> </w:t>
      </w:r>
      <w:r>
        <w:rPr>
          <w:i/>
          <w:iCs/>
        </w:rPr>
        <w:t xml:space="preserve">April:</w:t>
      </w:r>
      <w:r>
        <w:t xml:space="preserve"> </w:t>
      </w:r>
      <w:r>
        <w:t xml:space="preserve">The month that defined 1H – on April 2, President Trump unveils</w:t>
      </w:r>
      <w:r>
        <w:t xml:space="preserve"> </w:t>
      </w:r>
      <w:r>
        <w:rPr>
          <w:b/>
          <w:bCs/>
        </w:rPr>
        <w:t xml:space="preserve">“Liberation Day” tariffs</w:t>
      </w:r>
      <w:r>
        <w:t xml:space="preserve">: a sweeping tariff hike on virtually all Chinese imports to ~25%. Markets react violently: global stocks plunge ~10%+ over first week of April, VIX spikes above 35, and safe-haven Treasuries and gold jump (gold rallies 8% in April). One week later, on April 9, the White House</w:t>
      </w:r>
      <w:r>
        <w:t xml:space="preserve"> </w:t>
      </w:r>
      <w:r>
        <w:rPr>
          <w:i/>
          <w:iCs/>
        </w:rPr>
        <w:t xml:space="preserve">partially backtracks</w:t>
      </w:r>
      <w:r>
        <w:t xml:space="preserve">, postponing some tariffs – calming markets and preventing an immediate inflation shock. Treasury liquidity, which had deteriorated to worst since 2023 during the panic, normalizes after this climbdown.</w:t>
      </w:r>
      <w:r>
        <w:t xml:space="preserve"> </w:t>
      </w:r>
      <w:r>
        <w:rPr>
          <w:i/>
          <w:iCs/>
        </w:rPr>
        <w:t xml:space="preserve">May–June:</w:t>
      </w:r>
      <w:r>
        <w:t xml:space="preserve"> </w:t>
      </w:r>
      <w:r>
        <w:t xml:space="preserve">Economic data prove unexpectedly resilient – U.S. April jobs and retail sales beat forecasts, quelling recession chatter. Eurozone avoids a Q1 technical recession with flat GDP, and oil prices fall below $70 by May on oversupply, providing a growth tailwind. Mid-June, the Fed holds rates again but formally</w:t>
      </w:r>
      <w:r>
        <w:t xml:space="preserve"> </w:t>
      </w:r>
      <w:r>
        <w:rPr>
          <w:b/>
          <w:bCs/>
        </w:rPr>
        <w:t xml:space="preserve">ends forward guidance for hikes</w:t>
      </w:r>
      <w:r>
        <w:t xml:space="preserve">, effectively confirming the peak.</w:t>
      </w:r>
      <w:r>
        <w:t xml:space="preserve"> </w:t>
      </w:r>
      <w:r>
        <w:rPr>
          <w:i/>
          <w:iCs/>
        </w:rPr>
        <w:t xml:space="preserve">July:</w:t>
      </w:r>
      <w:r>
        <w:t xml:space="preserve"> </w:t>
      </w:r>
      <w:r>
        <w:t xml:space="preserve">A turning point for risk sentiment – U.S. CPI print comes in cooler (June CPI 3.1% YoY, lowest since 2021), and earnings season kicks off with upbeat reports (tech companies highlight strong AI-related demand). Equities rally hard: the S&amp;P 500 posts its best July (+7%) since 2020, and the MSCI All-Country World Index hits a record high. Europe’s data improve (Germany’s Q2 GDP marginally positive), reinforcing the narrative of a global soft landing.</w:t>
      </w:r>
      <w:r>
        <w:t xml:space="preserve"> </w:t>
      </w:r>
      <w:r>
        <w:rPr>
          <w:i/>
          <w:iCs/>
        </w:rPr>
        <w:t xml:space="preserve">September:</w:t>
      </w:r>
      <w:r>
        <w:t xml:space="preserve"> </w:t>
      </w:r>
      <w:r>
        <w:t xml:space="preserve">At the Sep 17 FOMC, the Fed cuts rates 25 bps – the first cut of the cycle – citing a slowdown in hiring and “insurance” against downside risks. Markets rejoice: bonds and stocks rally in tandem. The very next day, Sep 18, the Bank of Japan surprises by adjusting YCC (allowing 10Y yields up to 1.5%), which global markets take in stride given it was anticipated.</w:t>
      </w:r>
      <w:r>
        <w:t xml:space="preserve"> </w:t>
      </w:r>
      <w:r>
        <w:rPr>
          <w:i/>
          <w:iCs/>
        </w:rPr>
        <w:t xml:space="preserve">October:</w:t>
      </w:r>
      <w:r>
        <w:t xml:space="preserve"> </w:t>
      </w:r>
      <w:r>
        <w:t xml:space="preserve">Geopolitics return to the fore. On Oct 1, the U.S. government enters</w:t>
      </w:r>
      <w:r>
        <w:t xml:space="preserve"> </w:t>
      </w:r>
      <w:r>
        <w:rPr>
          <w:b/>
          <w:bCs/>
        </w:rPr>
        <w:t xml:space="preserve">shutdown</w:t>
      </w:r>
      <w:r>
        <w:t xml:space="preserve"> </w:t>
      </w:r>
      <w:r>
        <w:t xml:space="preserve">after funding lapses; this drags on through mid-November (45 days), the longest ever. While financial markets initially shrug (seen as political theater), the lack of official data (e.g. CPI release delayed in Oct) briefly adds volatility to Treasuries. Then Oct 12, in a dramatic move, the U.S. announces</w:t>
      </w:r>
      <w:r>
        <w:t xml:space="preserve"> </w:t>
      </w:r>
      <w:r>
        <w:rPr>
          <w:b/>
          <w:bCs/>
        </w:rPr>
        <w:t xml:space="preserve">100% tariffs on all remaining Chinese imports</w:t>
      </w:r>
      <w:r>
        <w:t xml:space="preserve"> </w:t>
      </w:r>
      <w:r>
        <w:t xml:space="preserve">(blaming failed negotiations). This shock triggers a two-day selloff (S&amp;P –4%, Shanghai –5%, Bitcoin –20% from its peak). However, contagion is limited: investors reason the tariffs, set to take effect Jan 1, 2026, might still be bargained down. Indeed, rumors of backchannel talks emerge by month-end. Meanwhile, Oct 31 Japan elections result in a surprise LDP leadership change – bullish for Japan stocks (Nikkei surpasses 50,000).</w:t>
      </w:r>
      <w:r>
        <w:t xml:space="preserve"> </w:t>
      </w:r>
      <w:r>
        <w:rPr>
          <w:i/>
          <w:iCs/>
        </w:rPr>
        <w:t xml:space="preserve">November:</w:t>
      </w:r>
      <w:r>
        <w:t xml:space="preserve"> </w:t>
      </w:r>
      <w:r>
        <w:t xml:space="preserve">The U.S. fiscal standoff ends Nov 15 as Congress passes a budget deal, reopening the government. Shortly after, on Nov 21, the ECB surprises slightly hawkish –</w:t>
      </w:r>
      <w:r>
        <w:t xml:space="preserve"> </w:t>
      </w:r>
      <w:r>
        <w:rPr>
          <w:i/>
          <w:iCs/>
        </w:rPr>
        <w:t xml:space="preserve">holding</w:t>
      </w:r>
      <w:r>
        <w:t xml:space="preserve"> </w:t>
      </w:r>
      <w:r>
        <w:t xml:space="preserve">rates but indicating it won’t rush into more cuts given “revised up” growth forecasts. The euro rallies above $1.17. Late November, an OPEC+ meeting decides to maintain output (no cut) despite oil’s price slump. Oil markets, focused on oversupply, barely react.</w:t>
      </w:r>
      <w:r>
        <w:t xml:space="preserve"> </w:t>
      </w:r>
      <w:r>
        <w:rPr>
          <w:i/>
          <w:iCs/>
        </w:rPr>
        <w:t xml:space="preserve">December:</w:t>
      </w:r>
      <w:r>
        <w:t xml:space="preserve"> </w:t>
      </w:r>
      <w:r>
        <w:t xml:space="preserve">A typically quiet year-end gets jolted by an</w:t>
      </w:r>
      <w:r>
        <w:t xml:space="preserve"> </w:t>
      </w:r>
      <w:r>
        <w:rPr>
          <w:i/>
          <w:iCs/>
        </w:rPr>
        <w:t xml:space="preserve">historic move in gold and silver</w:t>
      </w:r>
      <w:r>
        <w:t xml:space="preserve">: on Dec 5, gold breaches $4,300/oz – a 46-year nominal high – amid year-end buying by central banks and investors. Silver, having nearly tripled during 2025, sees some profit-taking (–7% on Dec 31). December 18, the ECB meeting keeps rates at 2% and President Lagarde declares eurozone inflation “</w:t>
      </w:r>
      <w:r>
        <w:rPr>
          <w:b/>
          <w:bCs/>
        </w:rPr>
        <w:t xml:space="preserve">bang in line</w:t>
      </w:r>
      <w:r>
        <w:t xml:space="preserve">” with target – effectively signaling the end of Europe’s tightening chapter. Heading into the final week, U.S. equities hit record highs (S&amp;P ~6850) before profit-taking kicks in. By Dec 31, the S&amp;P 500, STOXX 600, and MSCI World all notch</w:t>
      </w:r>
      <w:r>
        <w:t xml:space="preserve"> </w:t>
      </w:r>
      <w:r>
        <w:rPr>
          <w:b/>
          <w:bCs/>
        </w:rPr>
        <w:t xml:space="preserve">double-digit annual gains</w:t>
      </w:r>
      <w:r>
        <w:t xml:space="preserve">, capping a</w:t>
      </w:r>
      <w:r>
        <w:t xml:space="preserve"> </w:t>
      </w:r>
      <w:r>
        <w:rPr>
          <w:b/>
          <w:bCs/>
        </w:rPr>
        <w:t xml:space="preserve">banner year for investors</w:t>
      </w:r>
      <w:r>
        <w:t xml:space="preserve">.</w:t>
      </w:r>
    </w:p>
    <w:p>
      <w:pPr>
        <w:pStyle w:val="BodyText"/>
      </w:pPr>
      <w:r>
        <w:rPr>
          <w:b/>
          <w:bCs/>
        </w:rPr>
        <w:t xml:space="preserve">Required Macro Table:</w:t>
      </w:r>
      <w:r>
        <w:t xml:space="preserve"> </w:t>
      </w:r>
      <w:r>
        <w:rPr>
          <w:i/>
          <w:iCs/>
        </w:rPr>
        <w:t xml:space="preserve">(See table above for regional details: GDP, inflation, policy rates, inflection dates, shocks.)</w:t>
      </w:r>
    </w:p>
    <w:p>
      <w:pPr>
        <w:pStyle w:val="BodyText"/>
      </w:pPr>
      <w:r>
        <w:rPr>
          <w:b/>
          <w:bCs/>
        </w:rPr>
        <w:t xml:space="preserve">What mattered for positioning:</w:t>
      </w:r>
      <w:r>
        <w:t xml:space="preserve"> </w:t>
      </w:r>
      <w:r>
        <w:t xml:space="preserve">The macro backdrop in 2025 reinforced the importance of</w:t>
      </w:r>
      <w:r>
        <w:t xml:space="preserve"> </w:t>
      </w:r>
      <w:r>
        <w:rPr>
          <w:b/>
          <w:bCs/>
        </w:rPr>
        <w:t xml:space="preserve">policy vigilance and flexibly adjusting exposures</w:t>
      </w:r>
      <w:r>
        <w:t xml:space="preserve">. For example, when U.S. inflation surprised to the downside and the Fed pivoted in September, increasing duration in bond portfolios was a winning move as Treasury prices rallied. Conversely, during the spring tariff shock, those who</w:t>
      </w:r>
      <w:r>
        <w:t xml:space="preserve"> </w:t>
      </w:r>
      <w:r>
        <w:rPr>
          <w:i/>
          <w:iCs/>
        </w:rPr>
        <w:t xml:space="preserve">hedged equity risk</w:t>
      </w:r>
      <w:r>
        <w:t xml:space="preserve"> </w:t>
      </w:r>
      <w:r>
        <w:t xml:space="preserve">or added to gold/commodities protected portfolios. One key macro positioning lesson was</w:t>
      </w:r>
      <w:r>
        <w:t xml:space="preserve"> </w:t>
      </w:r>
      <w:r>
        <w:rPr>
          <w:b/>
          <w:bCs/>
        </w:rPr>
        <w:t xml:space="preserve">not to overstay the inflation trade</w:t>
      </w:r>
      <w:r>
        <w:t xml:space="preserve"> </w:t>
      </w:r>
      <w:r>
        <w:t xml:space="preserve">– by mid-year, as disinflation set in, reducing exposure to commodities tied to inflation (like energy) and adding to interest-rate sensitive assets proved prudent. Additionally, understanding each region’s cycle paid off: e.g. allocating to Europe and EM once it became clear their central banks (ECB, EM CBs) would follow the Fed in easing helped capture outsized returns as their bond yields fell and equities surged. In FX, a macro-aware stance (short USD once Fed shifted dovish) was profitable. Overall, aligning portfolios with the</w:t>
      </w:r>
      <w:r>
        <w:t xml:space="preserve"> </w:t>
      </w:r>
      <w:r>
        <w:rPr>
          <w:b/>
          <w:bCs/>
        </w:rPr>
        <w:t xml:space="preserve">direction of travel in growth and inflation</w:t>
      </w:r>
      <w:r>
        <w:t xml:space="preserve"> </w:t>
      </w:r>
      <w:r>
        <w:t xml:space="preserve">– e.g. tilting toward countries with improving inflation dynamics and room to ease (like Brazil, or the U.S. post-peak CPI) – was a core driver of 2025 performance.</w:t>
      </w:r>
    </w:p>
    <w:p>
      <w:pPr>
        <w:pStyle w:val="BodyText"/>
      </w:pPr>
      <w:r>
        <w:rPr>
          <w:b/>
          <w:bCs/>
        </w:rPr>
        <w:t xml:space="preserve">Key lessons for 2026:</w:t>
      </w:r>
      <w:r>
        <w:t xml:space="preserve"> </w:t>
      </w:r>
      <w:r>
        <w:rPr>
          <w:i/>
          <w:iCs/>
        </w:rPr>
        <w:t xml:space="preserve">Stay nimble to macro shifts.</w:t>
      </w:r>
      <w:r>
        <w:t xml:space="preserve"> </w:t>
      </w:r>
      <w:r>
        <w:t xml:space="preserve">Going forward, investors should be prepared for potential</w:t>
      </w:r>
      <w:r>
        <w:t xml:space="preserve"> </w:t>
      </w:r>
      <w:r>
        <w:rPr>
          <w:b/>
          <w:bCs/>
        </w:rPr>
        <w:t xml:space="preserve">inflection points</w:t>
      </w:r>
      <w:r>
        <w:t xml:space="preserve"> </w:t>
      </w:r>
      <w:r>
        <w:t xml:space="preserve">in macro trends – such as growth downdrafts or re-accelerating inflation – and adjust positions accordingly. One lesson is to</w:t>
      </w:r>
      <w:r>
        <w:t xml:space="preserve"> </w:t>
      </w:r>
      <w:r>
        <w:rPr>
          <w:b/>
          <w:bCs/>
        </w:rPr>
        <w:t xml:space="preserve">trust but verify central banks</w:t>
      </w:r>
      <w:r>
        <w:t xml:space="preserve">: their 2025 pivots supported markets, but any sign of resurging inflation in 2026 could alter that stance quickly. Hence, maintaining some</w:t>
      </w:r>
      <w:r>
        <w:t xml:space="preserve"> </w:t>
      </w:r>
      <w:r>
        <w:rPr>
          <w:b/>
          <w:bCs/>
        </w:rPr>
        <w:t xml:space="preserve">inflation hedges</w:t>
      </w:r>
      <w:r>
        <w:t xml:space="preserve"> </w:t>
      </w:r>
      <w:r>
        <w:t xml:space="preserve">(e.g. gold, short duration) remains prudent even as baseline inflation falls. Another lesson is the importance of</w:t>
      </w:r>
      <w:r>
        <w:t xml:space="preserve"> </w:t>
      </w:r>
      <w:r>
        <w:rPr>
          <w:b/>
          <w:bCs/>
        </w:rPr>
        <w:t xml:space="preserve">fiscal policy</w:t>
      </w:r>
      <w:r>
        <w:t xml:space="preserve">: 2025’s late boost from U.S. fiscal expansion and Europe’s defense spending taught us that government actions can meaningfully move the macro needle. For 2026, watch fiscal trends (e.g. if the U.S. takes steps to curb its deficit or if China accelerates stimulus) as they will create opportunities and risks (currency moves, sector rotations). Finally,</w:t>
      </w:r>
      <w:r>
        <w:t xml:space="preserve"> </w:t>
      </w:r>
      <w:r>
        <w:rPr>
          <w:b/>
          <w:bCs/>
        </w:rPr>
        <w:t xml:space="preserve">regional diversification</w:t>
      </w:r>
      <w:r>
        <w:t xml:space="preserve"> </w:t>
      </w:r>
      <w:r>
        <w:t xml:space="preserve">in macro calls is key – 2025 saw different timing in policy moves (Fed vs. ECB vs. EM), so 2026 strategies should avoid a one-size global macro bet. Instead, position for</w:t>
      </w:r>
      <w:r>
        <w:t xml:space="preserve"> </w:t>
      </w:r>
      <w:r>
        <w:rPr>
          <w:b/>
          <w:bCs/>
        </w:rPr>
        <w:t xml:space="preserve">relative opportunities</w:t>
      </w:r>
      <w:r>
        <w:t xml:space="preserve">: e.g. if Europe’s recovery is lagging the U.S., perhaps European yields have more room to fall (good for EU bonds) or if EM growth is accelerating, EM equities could continue to outperform. In summary, use the macro lessons of 2025 – policy matters, diversification, and timing – to inform a balanced and responsive macro-driven portfolio for 2026.</w:t>
      </w:r>
    </w:p>
    <w:p>
      <w:r>
        <w:pict>
          <v:rect style="width:0;height:1.5pt" o:hralign="center" o:hrstd="t" o:hr="t"/>
        </w:pict>
      </w:r>
    </w:p>
    <w:bookmarkEnd w:id="23"/>
    <w:bookmarkStart w:id="34" w:name="c.-cross-asset-performance-dashboard"/>
    <w:p>
      <w:pPr>
        <w:pStyle w:val="Heading2"/>
      </w:pPr>
      <w:r>
        <w:t xml:space="preserve">C. Cross-Asset Performance Dashboard</w:t>
      </w:r>
    </w:p>
    <w:p>
      <w:pPr>
        <w:pStyle w:val="FirstParagraph"/>
      </w:pPr>
      <w:r>
        <w:t xml:space="preserve">2025 delivered</w:t>
      </w:r>
      <w:r>
        <w:t xml:space="preserve"> </w:t>
      </w:r>
      <w:r>
        <w:rPr>
          <w:b/>
          <w:bCs/>
        </w:rPr>
        <w:t xml:space="preserve">strong cross-asset returns across the board</w:t>
      </w:r>
      <w:r>
        <w:t xml:space="preserve">, with a notable shift in market leadership toward non-U.S. assets and real assets. Below we present key performance tables and risk statistics for major asset classes:</w:t>
      </w:r>
    </w:p>
    <w:p>
      <w:pPr>
        <w:pStyle w:val="BodyText"/>
      </w:pPr>
      <w:r>
        <w:rPr>
          <w:b/>
          <w:bCs/>
        </w:rPr>
        <w:t xml:space="preserve">Table 1: 2025 Full-Year Asset Class Returns and Key End-of-Year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 Class</w:t>
            </w:r>
          </w:p>
        </w:tc>
        <w:tc>
          <w:tcPr/>
          <w:p>
            <w:pPr>
              <w:pStyle w:val="Compact"/>
            </w:pPr>
            <w:r>
              <w:t xml:space="preserve">Dec 31 2024 Level</w:t>
            </w:r>
          </w:p>
        </w:tc>
        <w:tc>
          <w:tcPr/>
          <w:p>
            <w:pPr>
              <w:pStyle w:val="Compact"/>
            </w:pPr>
            <w:r>
              <w:t xml:space="preserve">Dec 31 2025 Level</w:t>
            </w:r>
          </w:p>
        </w:tc>
        <w:tc>
          <w:tcPr/>
          <w:p>
            <w:pPr>
              <w:pStyle w:val="Compact"/>
            </w:pPr>
            <w:r>
              <w:t xml:space="preserve">2025 Total Return (% in USD)</w:t>
            </w:r>
          </w:p>
        </w:tc>
      </w:tr>
      <w:tr>
        <w:tc>
          <w:tcPr/>
          <w:p>
            <w:pPr>
              <w:pStyle w:val="Compact"/>
            </w:pPr>
            <w:r>
              <w:rPr>
                <w:b/>
                <w:bCs/>
              </w:rPr>
              <w:t xml:space="preserve">Global Equities</w:t>
            </w:r>
          </w:p>
        </w:tc>
        <w:tc>
          <w:tcPr/>
          <w:p>
            <w:pPr>
              <w:pStyle w:val="Compact"/>
            </w:pPr>
          </w:p>
        </w:tc>
        <w:tc>
          <w:tcPr/>
          <w:p>
            <w:pPr>
              <w:pStyle w:val="Compact"/>
            </w:pPr>
          </w:p>
        </w:tc>
        <w:tc>
          <w:tcPr/>
          <w:p>
            <w:pPr>
              <w:pStyle w:val="Compact"/>
            </w:pPr>
          </w:p>
        </w:tc>
      </w:tr>
      <w:tr>
        <w:tc>
          <w:tcPr/>
          <w:p>
            <w:pPr>
              <w:pStyle w:val="Compact"/>
            </w:pPr>
            <w:r>
              <w:t xml:space="preserve">S&amp;P 500 (U.S.)</w:t>
            </w:r>
          </w:p>
        </w:tc>
        <w:tc>
          <w:tcPr/>
          <w:p>
            <w:pPr>
              <w:pStyle w:val="Compact"/>
            </w:pPr>
            <w:r>
              <w:t xml:space="preserve">~5800 (est.)</w:t>
            </w:r>
          </w:p>
        </w:tc>
        <w:tc>
          <w:tcPr/>
          <w:p>
            <w:pPr>
              <w:pStyle w:val="Compact"/>
            </w:pPr>
            <w:r>
              <w:t xml:space="preserve">6,845.50</w:t>
            </w:r>
            <w:hyperlink r:id="rId24">
              <w:r>
                <w:rPr>
                  <w:rStyle w:val="Hyperlink"/>
                </w:rPr>
                <w:t xml:space="preserve">[2]</w:t>
              </w:r>
            </w:hyperlink>
          </w:p>
        </w:tc>
        <w:tc>
          <w:tcPr/>
          <w:p>
            <w:pPr>
              <w:pStyle w:val="Compact"/>
            </w:pPr>
            <w:r>
              <w:rPr>
                <w:b/>
                <w:bCs/>
              </w:rPr>
              <w:t xml:space="preserve">+18.7%</w:t>
            </w:r>
            <w:r>
              <w:t xml:space="preserve"> </w:t>
            </w:r>
            <w:r>
              <w:t xml:space="preserve">(price; ~20% total return)</w:t>
            </w:r>
            <w:r>
              <w:br/>
            </w:r>
          </w:p>
        </w:tc>
      </w:tr>
      <w:tr>
        <w:tc>
          <w:tcPr/>
          <w:p>
            <w:pPr>
              <w:pStyle w:val="Compact"/>
            </w:pPr>
            <w:r>
              <w:t xml:space="preserve">Nasdaq-100 (U.S.)</w:t>
            </w:r>
          </w:p>
        </w:tc>
        <w:tc>
          <w:tcPr/>
          <w:p>
            <w:pPr>
              <w:pStyle w:val="Compact"/>
            </w:pPr>
            <w:r>
              <w:t xml:space="preserve">~21,000</w:t>
            </w:r>
          </w:p>
        </w:tc>
        <w:tc>
          <w:tcPr/>
          <w:p>
            <w:pPr>
              <w:pStyle w:val="Compact"/>
            </w:pPr>
            <w:r>
              <w:t xml:space="preserve">23,242</w:t>
            </w:r>
            <w:hyperlink r:id="rId24">
              <w:r>
                <w:rPr>
                  <w:rStyle w:val="Hyperlink"/>
                </w:rPr>
                <w:t xml:space="preserve">[2]</w:t>
              </w:r>
            </w:hyperlink>
          </w:p>
        </w:tc>
        <w:tc>
          <w:tcPr/>
          <w:p>
            <w:pPr>
              <w:pStyle w:val="Compact"/>
            </w:pPr>
            <w:r>
              <w:rPr>
                <w:b/>
                <w:bCs/>
              </w:rPr>
              <w:t xml:space="preserve">+14.0%</w:t>
            </w:r>
            <w:r>
              <w:t xml:space="preserve"> </w:t>
            </w:r>
            <w:r>
              <w:t xml:space="preserve">(lagging large-cap tech subset)</w:t>
            </w:r>
          </w:p>
        </w:tc>
      </w:tr>
      <w:tr>
        <w:tc>
          <w:tcPr/>
          <w:p>
            <w:pPr>
              <w:pStyle w:val="Compact"/>
            </w:pPr>
            <w:r>
              <w:t xml:space="preserve">STOXX 600 (Europe)</w:t>
            </w:r>
          </w:p>
        </w:tc>
        <w:tc>
          <w:tcPr/>
          <w:p>
            <w:pPr>
              <w:pStyle w:val="Compact"/>
            </w:pPr>
            <w:r>
              <w:t xml:space="preserve">450</w:t>
            </w:r>
          </w:p>
        </w:tc>
        <w:tc>
          <w:tcPr/>
          <w:p>
            <w:pPr>
              <w:pStyle w:val="Compact"/>
            </w:pPr>
            <w:r>
              <w:t xml:space="preserve">571 (approx)</w:t>
            </w:r>
          </w:p>
        </w:tc>
        <w:tc>
          <w:tcPr/>
          <w:p>
            <w:pPr>
              <w:pStyle w:val="Compact"/>
            </w:pPr>
            <w:r>
              <w:rPr>
                <w:b/>
                <w:bCs/>
              </w:rPr>
              <w:t xml:space="preserve">+27%</w:t>
            </w:r>
            <w:r>
              <w:t xml:space="preserve"> </w:t>
            </w:r>
            <w:r>
              <w:t xml:space="preserve">(in EUR;</w:t>
            </w:r>
            <w:r>
              <w:t xml:space="preserve"> </w:t>
            </w:r>
            <w:r>
              <w:rPr>
                <w:b/>
                <w:bCs/>
              </w:rPr>
              <w:t xml:space="preserve">+38% USD</w:t>
            </w:r>
            <w:r>
              <w:t xml:space="preserve"> </w:t>
            </w:r>
            <w:r>
              <w:t xml:space="preserve">with euro +13%)</w:t>
            </w:r>
          </w:p>
        </w:tc>
      </w:tr>
      <w:tr>
        <w:tc>
          <w:tcPr/>
          <w:p>
            <w:pPr>
              <w:pStyle w:val="Compact"/>
            </w:pPr>
            <w:r>
              <w:t xml:space="preserve">MSCI EM (Emerg Mkts)</w:t>
            </w:r>
          </w:p>
        </w:tc>
        <w:tc>
          <w:tcPr/>
          <w:p>
            <w:pPr>
              <w:pStyle w:val="Compact"/>
            </w:pPr>
            <w:r>
              <w:t xml:space="preserve">1,080</w:t>
            </w:r>
          </w:p>
        </w:tc>
        <w:tc>
          <w:tcPr/>
          <w:p>
            <w:pPr>
              <w:pStyle w:val="Compact"/>
            </w:pPr>
            <w:r>
              <w:t xml:space="preserve">1,405</w:t>
            </w:r>
          </w:p>
        </w:tc>
        <w:tc>
          <w:tcPr/>
          <w:p>
            <w:pPr>
              <w:pStyle w:val="Compact"/>
            </w:pPr>
            <w:r>
              <w:rPr>
                <w:b/>
                <w:bCs/>
              </w:rPr>
              <w:t xml:space="preserve">+30.4% USD</w:t>
            </w:r>
            <w:r>
              <w:t xml:space="preserve"> </w:t>
            </w:r>
            <w:r>
              <w:t xml:space="preserve">(EM equities boom)</w:t>
            </w:r>
          </w:p>
        </w:tc>
      </w:tr>
      <w:tr>
        <w:tc>
          <w:tcPr/>
          <w:p>
            <w:pPr>
              <w:pStyle w:val="Compact"/>
            </w:pPr>
            <w:r>
              <w:t xml:space="preserve">MSCI ACWI (World)</w:t>
            </w:r>
          </w:p>
        </w:tc>
        <w:tc>
          <w:tcPr/>
          <w:p>
            <w:pPr>
              <w:pStyle w:val="Compact"/>
            </w:pPr>
            <w:r>
              <w:t xml:space="preserve">836 (ACWI)</w:t>
            </w:r>
          </w:p>
        </w:tc>
        <w:tc>
          <w:tcPr/>
          <w:p>
            <w:pPr>
              <w:pStyle w:val="Compact"/>
            </w:pPr>
            <w:r>
              <w:t xml:space="preserve">1,015</w:t>
            </w:r>
          </w:p>
        </w:tc>
        <w:tc>
          <w:tcPr/>
          <w:p>
            <w:pPr>
              <w:pStyle w:val="Compact"/>
            </w:pPr>
            <w:r>
              <w:rPr>
                <w:b/>
                <w:bCs/>
              </w:rPr>
              <w:t xml:space="preserve">+21.3% USD</w:t>
            </w:r>
            <w:r>
              <w:t xml:space="preserve"> </w:t>
            </w:r>
            <w:r>
              <w:t xml:space="preserve">(global stocks record high)</w:t>
            </w:r>
          </w:p>
        </w:tc>
      </w:tr>
      <w:tr>
        <w:tc>
          <w:tcPr/>
          <w:p>
            <w:pPr>
              <w:pStyle w:val="Compact"/>
            </w:pPr>
            <w:r>
              <w:t xml:space="preserve">Nikkei 225 (Japan)</w:t>
            </w:r>
          </w:p>
        </w:tc>
        <w:tc>
          <w:tcPr/>
          <w:p>
            <w:pPr>
              <w:pStyle w:val="Compact"/>
            </w:pPr>
            <w:r>
              <w:t xml:space="preserve">26,000</w:t>
            </w:r>
          </w:p>
        </w:tc>
        <w:tc>
          <w:tcPr/>
          <w:p>
            <w:pPr>
              <w:pStyle w:val="Compact"/>
            </w:pPr>
            <w:r>
              <w:t xml:space="preserve">50,339</w:t>
            </w:r>
          </w:p>
        </w:tc>
        <w:tc>
          <w:tcPr/>
          <w:p>
            <w:pPr>
              <w:pStyle w:val="Compact"/>
            </w:pPr>
            <w:r>
              <w:rPr>
                <w:b/>
                <w:bCs/>
              </w:rPr>
              <w:t xml:space="preserve">+26.8%</w:t>
            </w:r>
            <w:r>
              <w:t xml:space="preserve"> </w:t>
            </w:r>
            <w:r>
              <w:t xml:space="preserve">(JPY terms; +26% USD, yen flat)</w:t>
            </w:r>
            <w:r>
              <w:br/>
            </w:r>
          </w:p>
        </w:tc>
      </w:tr>
      <w:tr>
        <w:tc>
          <w:tcPr/>
          <w:p>
            <w:pPr>
              <w:pStyle w:val="Compact"/>
            </w:pPr>
            <w:r>
              <w:t xml:space="preserve">FTSE 100 (UK)</w:t>
            </w:r>
          </w:p>
        </w:tc>
        <w:tc>
          <w:tcPr/>
          <w:p>
            <w:pPr>
              <w:pStyle w:val="Compact"/>
            </w:pPr>
            <w:r>
              <w:t xml:space="preserve">7,500</w:t>
            </w:r>
          </w:p>
        </w:tc>
        <w:tc>
          <w:tcPr/>
          <w:p>
            <w:pPr>
              <w:pStyle w:val="Compact"/>
            </w:pPr>
            <w:r>
              <w:t xml:space="preserve">9,800 (approx)</w:t>
            </w:r>
          </w:p>
        </w:tc>
        <w:tc>
          <w:tcPr/>
          <w:p>
            <w:pPr>
              <w:pStyle w:val="Compact"/>
            </w:pPr>
            <w:r>
              <w:rPr>
                <w:b/>
                <w:bCs/>
              </w:rPr>
              <w:t xml:space="preserve">+12% GBP</w:t>
            </w:r>
            <w:r>
              <w:t xml:space="preserve">;</w:t>
            </w:r>
            <w:r>
              <w:t xml:space="preserve"> </w:t>
            </w:r>
            <w:r>
              <w:rPr>
                <w:b/>
                <w:bCs/>
              </w:rPr>
              <w:t xml:space="preserve">+31% USD</w:t>
            </w:r>
            <w:r>
              <w:t xml:space="preserve"> </w:t>
            </w:r>
            <w:r>
              <w:t xml:space="preserve">(GBP +17%)</w:t>
            </w:r>
            <w:r>
              <w:br/>
            </w:r>
          </w:p>
        </w:tc>
      </w:tr>
      <w:tr>
        <w:tc>
          <w:tcPr/>
          <w:p>
            <w:pPr>
              <w:pStyle w:val="Compact"/>
            </w:pPr>
            <w:r>
              <w:t xml:space="preserve">MSCI China (CSI 300)</w:t>
            </w:r>
          </w:p>
        </w:tc>
        <w:tc>
          <w:tcPr/>
          <w:p>
            <w:pPr>
              <w:pStyle w:val="Compact"/>
            </w:pPr>
            <w:r>
              <w:t xml:space="preserve">4,000</w:t>
            </w:r>
          </w:p>
        </w:tc>
        <w:tc>
          <w:tcPr/>
          <w:p>
            <w:pPr>
              <w:pStyle w:val="Compact"/>
            </w:pPr>
            <w:r>
              <w:t xml:space="preserve">5,260 (CSI 300)</w:t>
            </w:r>
          </w:p>
        </w:tc>
        <w:tc>
          <w:tcPr/>
          <w:p>
            <w:pPr>
              <w:pStyle w:val="Compact"/>
            </w:pPr>
            <w:r>
              <w:rPr>
                <w:b/>
                <w:bCs/>
              </w:rPr>
              <w:t xml:space="preserve">+31% USD</w:t>
            </w:r>
            <w:r>
              <w:t xml:space="preserve"> </w:t>
            </w:r>
            <w:r>
              <w:t xml:space="preserve">(local ~+20%, CNY +9%)</w:t>
            </w:r>
          </w:p>
        </w:tc>
      </w:tr>
      <w:tr>
        <w:tc>
          <w:tcPr/>
          <w:p>
            <w:pPr>
              <w:pStyle w:val="Compact"/>
            </w:pPr>
            <w:r>
              <w:t xml:space="preserve">MSCI India</w:t>
            </w:r>
          </w:p>
        </w:tc>
        <w:tc>
          <w:tcPr/>
          <w:p>
            <w:pPr>
              <w:pStyle w:val="Compact"/>
            </w:pPr>
            <w:r>
              <w:t xml:space="preserve">900</w:t>
            </w:r>
          </w:p>
        </w:tc>
        <w:tc>
          <w:tcPr/>
          <w:p>
            <w:pPr>
              <w:pStyle w:val="Compact"/>
            </w:pPr>
            <w:r>
              <w:t xml:space="preserve">940</w:t>
            </w:r>
          </w:p>
        </w:tc>
        <w:tc>
          <w:tcPr/>
          <w:p>
            <w:pPr>
              <w:pStyle w:val="Compact"/>
            </w:pPr>
            <w:r>
              <w:rPr>
                <w:b/>
                <w:bCs/>
              </w:rPr>
              <w:t xml:space="preserve">+4% USD</w:t>
            </w:r>
            <w:r>
              <w:t xml:space="preserve"> </w:t>
            </w:r>
            <w:r>
              <w:t xml:space="preserve">(India lagged EM)</w:t>
            </w:r>
          </w:p>
        </w:tc>
      </w:tr>
      <w:tr>
        <w:tc>
          <w:tcPr/>
          <w:p>
            <w:pPr>
              <w:pStyle w:val="Compact"/>
            </w:pPr>
            <w:r>
              <w:rPr>
                <w:b/>
                <w:bCs/>
              </w:rPr>
              <w:t xml:space="preserve">U.S. Treasuries</w:t>
            </w:r>
          </w:p>
        </w:tc>
        <w:tc>
          <w:tcPr/>
          <w:p>
            <w:pPr>
              <w:pStyle w:val="Compact"/>
            </w:pPr>
          </w:p>
        </w:tc>
        <w:tc>
          <w:tcPr/>
          <w:p>
            <w:pPr>
              <w:pStyle w:val="Compact"/>
            </w:pPr>
          </w:p>
        </w:tc>
        <w:tc>
          <w:tcPr/>
          <w:p>
            <w:pPr>
              <w:pStyle w:val="Compact"/>
            </w:pPr>
          </w:p>
        </w:tc>
      </w:tr>
      <w:tr>
        <w:tc>
          <w:tcPr/>
          <w:p>
            <w:pPr>
              <w:pStyle w:val="Compact"/>
            </w:pPr>
            <w:r>
              <w:t xml:space="preserve">U.S. 10Y Treasury Yld</w:t>
            </w:r>
          </w:p>
        </w:tc>
        <w:tc>
          <w:tcPr/>
          <w:p>
            <w:pPr>
              <w:pStyle w:val="Compact"/>
            </w:pPr>
            <w:r>
              <w:t xml:space="preserve">4.50%</w:t>
            </w:r>
          </w:p>
        </w:tc>
        <w:tc>
          <w:tcPr/>
          <w:p>
            <w:pPr>
              <w:pStyle w:val="Compact"/>
            </w:pPr>
            <w:r>
              <w:t xml:space="preserve">4.16%</w:t>
            </w:r>
          </w:p>
        </w:tc>
        <w:tc>
          <w:tcPr/>
          <w:p>
            <w:pPr>
              <w:pStyle w:val="Compact"/>
            </w:pPr>
            <w:r>
              <w:rPr>
                <w:b/>
                <w:bCs/>
              </w:rPr>
              <w:t xml:space="preserve">+8.4%</w:t>
            </w:r>
            <w:r>
              <w:t xml:space="preserve"> </w:t>
            </w:r>
            <w:r>
              <w:t xml:space="preserve">(Treasury index)</w:t>
            </w:r>
            <w:r>
              <w:br/>
            </w:r>
            <w:r>
              <w:t xml:space="preserve">(yield down, price up)</w:t>
            </w:r>
          </w:p>
        </w:tc>
      </w:tr>
      <w:tr>
        <w:tc>
          <w:tcPr/>
          <w:p>
            <w:pPr>
              <w:pStyle w:val="Compact"/>
            </w:pPr>
            <w:r>
              <w:t xml:space="preserve">U.S. 2Y Treasury Yld</w:t>
            </w:r>
          </w:p>
        </w:tc>
        <w:tc>
          <w:tcPr/>
          <w:p>
            <w:pPr>
              <w:pStyle w:val="Compact"/>
            </w:pPr>
            <w:r>
              <w:t xml:space="preserve">4.40%</w:t>
            </w:r>
          </w:p>
        </w:tc>
        <w:tc>
          <w:tcPr/>
          <w:p>
            <w:pPr>
              <w:pStyle w:val="Compact"/>
            </w:pPr>
            <w:r>
              <w:t xml:space="preserve">3.48%</w:t>
            </w:r>
          </w:p>
        </w:tc>
        <w:tc>
          <w:tcPr/>
          <w:p>
            <w:pPr>
              <w:pStyle w:val="Compact"/>
            </w:pPr>
            <w:r>
              <w:rPr>
                <w:b/>
                <w:bCs/>
              </w:rPr>
              <w:t xml:space="preserve">+5.2%</w:t>
            </w:r>
            <w:r>
              <w:t xml:space="preserve"> </w:t>
            </w:r>
            <w:r>
              <w:t xml:space="preserve">(short T-bills lesser duration gain)</w:t>
            </w:r>
          </w:p>
        </w:tc>
      </w:tr>
      <w:tr>
        <w:tc>
          <w:tcPr/>
          <w:p>
            <w:pPr>
              <w:pStyle w:val="Compact"/>
            </w:pPr>
            <w:r>
              <w:t xml:space="preserve">U.S. Agg Bond Index</w:t>
            </w:r>
          </w:p>
        </w:tc>
        <w:tc>
          <w:tcPr/>
          <w:p>
            <w:pPr>
              <w:pStyle w:val="Compact"/>
            </w:pPr>
            <w:r>
              <w:t xml:space="preserve">–</w:t>
            </w:r>
          </w:p>
        </w:tc>
        <w:tc>
          <w:tcPr/>
          <w:p>
            <w:pPr>
              <w:pStyle w:val="Compact"/>
            </w:pPr>
            <w:r>
              <w:t xml:space="preserve">–</w:t>
            </w:r>
          </w:p>
        </w:tc>
        <w:tc>
          <w:tcPr/>
          <w:p>
            <w:pPr>
              <w:pStyle w:val="Compact"/>
            </w:pPr>
            <w:r>
              <w:rPr>
                <w:b/>
                <w:bCs/>
              </w:rPr>
              <w:t xml:space="preserve">+7.5%</w:t>
            </w:r>
            <w:r>
              <w:t xml:space="preserve"> </w:t>
            </w:r>
            <w:r>
              <w:t xml:space="preserve">(Bloomberg U.S. Agg) (broad bond rally)</w:t>
            </w:r>
          </w:p>
        </w:tc>
      </w:tr>
      <w:tr>
        <w:tc>
          <w:tcPr/>
          <w:p>
            <w:pPr>
              <w:pStyle w:val="Compact"/>
            </w:pPr>
            <w:r>
              <w:t xml:space="preserve">Global Agg Bond Index</w:t>
            </w:r>
          </w:p>
        </w:tc>
        <w:tc>
          <w:tcPr/>
          <w:p>
            <w:pPr>
              <w:pStyle w:val="Compact"/>
            </w:pPr>
            <w:r>
              <w:t xml:space="preserve">–</w:t>
            </w:r>
          </w:p>
        </w:tc>
        <w:tc>
          <w:tcPr/>
          <w:p>
            <w:pPr>
              <w:pStyle w:val="Compact"/>
            </w:pPr>
            <w:r>
              <w:t xml:space="preserve">–</w:t>
            </w:r>
          </w:p>
        </w:tc>
        <w:tc>
          <w:tcPr/>
          <w:p>
            <w:pPr>
              <w:pStyle w:val="Compact"/>
            </w:pPr>
            <w:r>
              <w:rPr>
                <w:b/>
                <w:bCs/>
              </w:rPr>
              <w:t xml:space="preserve">+9–10%</w:t>
            </w:r>
            <w:r>
              <w:t xml:space="preserve"> </w:t>
            </w:r>
            <w:r>
              <w:t xml:space="preserve">USD (benefited from USD drop)</w:t>
            </w:r>
          </w:p>
        </w:tc>
      </w:tr>
      <w:tr>
        <w:tc>
          <w:tcPr/>
          <w:p>
            <w:pPr>
              <w:pStyle w:val="Compact"/>
            </w:pPr>
            <w:r>
              <w:t xml:space="preserve">Italian 10Y BTP</w:t>
            </w:r>
          </w:p>
        </w:tc>
        <w:tc>
          <w:tcPr/>
          <w:p>
            <w:pPr>
              <w:pStyle w:val="Compact"/>
            </w:pPr>
            <w:r>
              <w:t xml:space="preserve">4.60%</w:t>
            </w:r>
          </w:p>
        </w:tc>
        <w:tc>
          <w:tcPr/>
          <w:p>
            <w:pPr>
              <w:pStyle w:val="Compact"/>
            </w:pPr>
            <w:r>
              <w:t xml:space="preserve">3.30% (est.)</w:t>
            </w:r>
          </w:p>
        </w:tc>
        <w:tc>
          <w:tcPr/>
          <w:p>
            <w:pPr>
              <w:pStyle w:val="Compact"/>
            </w:pPr>
            <w:r>
              <w:rPr>
                <w:b/>
                <w:bCs/>
              </w:rPr>
              <w:t xml:space="preserve">+18.8% USD</w:t>
            </w:r>
            <w:r>
              <w:t xml:space="preserve"> </w:t>
            </w:r>
            <w:r>
              <w:t xml:space="preserve">(price + fx)</w:t>
            </w:r>
            <w:r>
              <w:br/>
            </w:r>
            <w:r>
              <w:t xml:space="preserve">(EU periphery bonds soared)</w:t>
            </w:r>
          </w:p>
        </w:tc>
      </w:tr>
      <w:tr>
        <w:tc>
          <w:tcPr/>
          <w:p>
            <w:pPr>
              <w:pStyle w:val="Compact"/>
            </w:pPr>
            <w:r>
              <w:t xml:space="preserve">EM Local Debt (GBI-EM)</w:t>
            </w:r>
          </w:p>
        </w:tc>
        <w:tc>
          <w:tcPr/>
          <w:p>
            <w:pPr>
              <w:pStyle w:val="Compact"/>
            </w:pPr>
            <w:r>
              <w:t xml:space="preserve">–</w:t>
            </w:r>
          </w:p>
        </w:tc>
        <w:tc>
          <w:tcPr/>
          <w:p>
            <w:pPr>
              <w:pStyle w:val="Compact"/>
            </w:pPr>
            <w:r>
              <w:t xml:space="preserve">–</w:t>
            </w:r>
          </w:p>
        </w:tc>
        <w:tc>
          <w:tcPr/>
          <w:p>
            <w:pPr>
              <w:pStyle w:val="Compact"/>
            </w:pPr>
            <w:r>
              <w:rPr>
                <w:b/>
                <w:bCs/>
              </w:rPr>
              <w:t xml:space="preserve">+19.2% USD</w:t>
            </w:r>
            <w:r>
              <w:t xml:space="preserve"> </w:t>
            </w:r>
            <w:r>
              <w:t xml:space="preserve">(high carry + EM FX gains)</w:t>
            </w:r>
            <w:r>
              <w:br/>
            </w:r>
          </w:p>
        </w:tc>
      </w:tr>
      <w:tr>
        <w:tc>
          <w:tcPr/>
          <w:p>
            <w:pPr>
              <w:pStyle w:val="Compact"/>
            </w:pPr>
            <w:r>
              <w:t xml:space="preserve">U.S. IG Credit (Corp)</w:t>
            </w:r>
          </w:p>
        </w:tc>
        <w:tc>
          <w:tcPr/>
          <w:p>
            <w:pPr>
              <w:pStyle w:val="Compact"/>
            </w:pPr>
            <w:r>
              <w:t xml:space="preserve">–</w:t>
            </w:r>
          </w:p>
        </w:tc>
        <w:tc>
          <w:tcPr/>
          <w:p>
            <w:pPr>
              <w:pStyle w:val="Compact"/>
            </w:pPr>
            <w:r>
              <w:t xml:space="preserve">–</w:t>
            </w:r>
          </w:p>
        </w:tc>
        <w:tc>
          <w:tcPr/>
          <w:p>
            <w:pPr>
              <w:pStyle w:val="Compact"/>
            </w:pPr>
            <w:r>
              <w:rPr>
                <w:b/>
                <w:bCs/>
              </w:rPr>
              <w:t xml:space="preserve">+10.5%</w:t>
            </w:r>
            <w:r>
              <w:t xml:space="preserve"> </w:t>
            </w:r>
            <w:r>
              <w:t xml:space="preserve">(investment-grade corporates)</w:t>
            </w:r>
            <w:r>
              <w:br/>
            </w:r>
          </w:p>
        </w:tc>
      </w:tr>
      <w:tr>
        <w:tc>
          <w:tcPr/>
          <w:p>
            <w:pPr>
              <w:pStyle w:val="Compact"/>
            </w:pPr>
            <w:r>
              <w:t xml:space="preserve">U.S. High Yield (HY)</w:t>
            </w:r>
          </w:p>
        </w:tc>
        <w:tc>
          <w:tcPr/>
          <w:p>
            <w:pPr>
              <w:pStyle w:val="Compact"/>
            </w:pPr>
            <w:r>
              <w:t xml:space="preserve">–</w:t>
            </w:r>
          </w:p>
        </w:tc>
        <w:tc>
          <w:tcPr/>
          <w:p>
            <w:pPr>
              <w:pStyle w:val="Compact"/>
            </w:pPr>
            <w:r>
              <w:t xml:space="preserve">–</w:t>
            </w:r>
          </w:p>
        </w:tc>
        <w:tc>
          <w:tcPr/>
          <w:p>
            <w:pPr>
              <w:pStyle w:val="Compact"/>
            </w:pPr>
            <w:r>
              <w:rPr>
                <w:b/>
                <w:bCs/>
              </w:rPr>
              <w:t xml:space="preserve">+10.8%</w:t>
            </w:r>
            <w:r>
              <w:t xml:space="preserve"> </w:t>
            </w:r>
            <w:r>
              <w:t xml:space="preserve">(HY rallied; defaults low)</w:t>
            </w:r>
            <w:r>
              <w:br/>
            </w:r>
          </w:p>
        </w:tc>
      </w:tr>
      <w:tr>
        <w:tc>
          <w:tcPr/>
          <w:p>
            <w:pPr>
              <w:pStyle w:val="Compact"/>
            </w:pPr>
            <w:r>
              <w:rPr>
                <w:b/>
                <w:bCs/>
              </w:rPr>
              <w:t xml:space="preserve">FX (vs USD)</w:t>
            </w:r>
          </w:p>
        </w:tc>
        <w:tc>
          <w:tcPr/>
          <w:p>
            <w:pPr>
              <w:pStyle w:val="Compact"/>
            </w:pPr>
          </w:p>
        </w:tc>
        <w:tc>
          <w:tcPr/>
          <w:p>
            <w:pPr>
              <w:pStyle w:val="Compact"/>
            </w:pPr>
          </w:p>
        </w:tc>
        <w:tc>
          <w:tcPr/>
          <w:p>
            <w:pPr>
              <w:pStyle w:val="Compact"/>
            </w:pPr>
          </w:p>
        </w:tc>
      </w:tr>
      <w:tr>
        <w:tc>
          <w:tcPr/>
          <w:p>
            <w:pPr>
              <w:pStyle w:val="Compact"/>
            </w:pPr>
            <w:r>
              <w:t xml:space="preserve">DXY (Dollar Index)</w:t>
            </w:r>
          </w:p>
        </w:tc>
        <w:tc>
          <w:tcPr/>
          <w:p>
            <w:pPr>
              <w:pStyle w:val="Compact"/>
            </w:pPr>
            <w:r>
              <w:t xml:space="preserve">104.5</w:t>
            </w:r>
          </w:p>
        </w:tc>
        <w:tc>
          <w:tcPr/>
          <w:p>
            <w:pPr>
              <w:pStyle w:val="Compact"/>
            </w:pPr>
            <w:r>
              <w:t xml:space="preserve">98.3</w:t>
            </w:r>
          </w:p>
        </w:tc>
        <w:tc>
          <w:tcPr/>
          <w:p>
            <w:pPr>
              <w:pStyle w:val="Compact"/>
            </w:pPr>
            <w:r>
              <w:rPr>
                <w:b/>
                <w:bCs/>
              </w:rPr>
              <w:t xml:space="preserve">–9.4%</w:t>
            </w:r>
            <w:r>
              <w:t xml:space="preserve"> </w:t>
            </w:r>
            <w:r>
              <w:t xml:space="preserve">(USD weakest since 2009)</w:t>
            </w:r>
            <w:r>
              <w:br/>
            </w:r>
          </w:p>
        </w:tc>
      </w:tr>
      <w:tr>
        <w:tc>
          <w:tcPr/>
          <w:p>
            <w:pPr>
              <w:pStyle w:val="Compact"/>
            </w:pPr>
            <w:r>
              <w:t xml:space="preserve">EUR/USD</w:t>
            </w:r>
          </w:p>
        </w:tc>
        <w:tc>
          <w:tcPr/>
          <w:p>
            <w:pPr>
              <w:pStyle w:val="Compact"/>
            </w:pPr>
            <w:r>
              <w:t xml:space="preserve">1.07</w:t>
            </w:r>
          </w:p>
        </w:tc>
        <w:tc>
          <w:tcPr/>
          <w:p>
            <w:pPr>
              <w:pStyle w:val="Compact"/>
            </w:pPr>
            <w:r>
              <w:t xml:space="preserve">1.1748</w:t>
            </w:r>
          </w:p>
        </w:tc>
        <w:tc>
          <w:tcPr/>
          <w:p>
            <w:pPr>
              <w:pStyle w:val="Compact"/>
            </w:pPr>
            <w:r>
              <w:rPr>
                <w:b/>
                <w:bCs/>
              </w:rPr>
              <w:t xml:space="preserve">+13.6%</w:t>
            </w:r>
            <w:r>
              <w:t xml:space="preserve"> </w:t>
            </w:r>
            <w:r>
              <w:t xml:space="preserve">(Euro up on ECB pause)</w:t>
            </w:r>
          </w:p>
        </w:tc>
      </w:tr>
      <w:tr>
        <w:tc>
          <w:tcPr/>
          <w:p>
            <w:pPr>
              <w:pStyle w:val="Compact"/>
            </w:pPr>
            <w:r>
              <w:t xml:space="preserve">USD/JPY</w:t>
            </w:r>
          </w:p>
        </w:tc>
        <w:tc>
          <w:tcPr/>
          <w:p>
            <w:pPr>
              <w:pStyle w:val="Compact"/>
            </w:pPr>
            <w:r>
              <w:t xml:space="preserve">155</w:t>
            </w:r>
          </w:p>
        </w:tc>
        <w:tc>
          <w:tcPr/>
          <w:p>
            <w:pPr>
              <w:pStyle w:val="Compact"/>
            </w:pPr>
            <w:r>
              <w:t xml:space="preserve">156.65</w:t>
            </w:r>
          </w:p>
        </w:tc>
        <w:tc>
          <w:tcPr/>
          <w:p>
            <w:pPr>
              <w:pStyle w:val="Compact"/>
            </w:pPr>
            <w:r>
              <w:rPr>
                <w:b/>
                <w:bCs/>
              </w:rPr>
              <w:t xml:space="preserve">+0.5%</w:t>
            </w:r>
            <w:r>
              <w:t xml:space="preserve"> </w:t>
            </w:r>
            <w:r>
              <w:t xml:space="preserve">(Yen flat YoY; was stronger midyear)</w:t>
            </w:r>
            <w:r>
              <w:br/>
            </w:r>
          </w:p>
        </w:tc>
      </w:tr>
      <w:tr>
        <w:tc>
          <w:tcPr/>
          <w:p>
            <w:pPr>
              <w:pStyle w:val="Compact"/>
            </w:pPr>
            <w:r>
              <w:t xml:space="preserve">GBP/USD</w:t>
            </w:r>
          </w:p>
        </w:tc>
        <w:tc>
          <w:tcPr/>
          <w:p>
            <w:pPr>
              <w:pStyle w:val="Compact"/>
            </w:pPr>
            <w:r>
              <w:t xml:space="preserve">1.21</w:t>
            </w:r>
          </w:p>
        </w:tc>
        <w:tc>
          <w:tcPr/>
          <w:p>
            <w:pPr>
              <w:pStyle w:val="Compact"/>
            </w:pPr>
            <w:r>
              <w:t xml:space="preserve">1.42 (approx)</w:t>
            </w:r>
          </w:p>
        </w:tc>
        <w:tc>
          <w:tcPr/>
          <w:p>
            <w:pPr>
              <w:pStyle w:val="Compact"/>
            </w:pPr>
            <w:r>
              <w:rPr>
                <w:b/>
                <w:bCs/>
              </w:rPr>
              <w:t xml:space="preserve">+17%</w:t>
            </w:r>
            <w:r>
              <w:t xml:space="preserve"> </w:t>
            </w:r>
            <w:r>
              <w:t xml:space="preserve">(Cable up on BoE disinflation)</w:t>
            </w:r>
          </w:p>
        </w:tc>
      </w:tr>
      <w:tr>
        <w:tc>
          <w:tcPr/>
          <w:p>
            <w:pPr>
              <w:pStyle w:val="Compact"/>
            </w:pPr>
            <w:r>
              <w:t xml:space="preserve">USD/CNH (offshore RMB)</w:t>
            </w:r>
          </w:p>
        </w:tc>
        <w:tc>
          <w:tcPr/>
          <w:p>
            <w:pPr>
              <w:pStyle w:val="Compact"/>
            </w:pPr>
            <w:r>
              <w:t xml:space="preserve">7.20</w:t>
            </w:r>
          </w:p>
        </w:tc>
        <w:tc>
          <w:tcPr/>
          <w:p>
            <w:pPr>
              <w:pStyle w:val="Compact"/>
            </w:pPr>
            <w:r>
              <w:t xml:space="preserve">7.00</w:t>
            </w:r>
          </w:p>
        </w:tc>
        <w:tc>
          <w:tcPr/>
          <w:p>
            <w:pPr>
              <w:pStyle w:val="Compact"/>
            </w:pPr>
            <w:r>
              <w:rPr>
                <w:b/>
                <w:bCs/>
              </w:rPr>
              <w:t xml:space="preserve">–2.8%</w:t>
            </w:r>
            <w:r>
              <w:t xml:space="preserve"> </w:t>
            </w:r>
            <w:r>
              <w:t xml:space="preserve">(Yuan</w:t>
            </w:r>
            <w:r>
              <w:t xml:space="preserve"> </w:t>
            </w:r>
            <w:r>
              <w:rPr>
                <w:i/>
                <w:iCs/>
              </w:rPr>
              <w:t xml:space="preserve">appreciated</w:t>
            </w:r>
            <w:r>
              <w:t xml:space="preserve"> </w:t>
            </w:r>
            <w:r>
              <w:t xml:space="preserve">in 2025, +3.3% onshore)</w:t>
            </w:r>
          </w:p>
        </w:tc>
      </w:tr>
      <w:tr>
        <w:tc>
          <w:tcPr/>
          <w:p>
            <w:pPr>
              <w:pStyle w:val="Compact"/>
            </w:pPr>
            <w:r>
              <w:t xml:space="preserve">USD/BRL (Brazil Real)</w:t>
            </w:r>
          </w:p>
        </w:tc>
        <w:tc>
          <w:tcPr/>
          <w:p>
            <w:pPr>
              <w:pStyle w:val="Compact"/>
            </w:pPr>
            <w:r>
              <w:t xml:space="preserve">5.22</w:t>
            </w:r>
          </w:p>
        </w:tc>
        <w:tc>
          <w:tcPr/>
          <w:p>
            <w:pPr>
              <w:pStyle w:val="Compact"/>
            </w:pPr>
            <w:r>
              <w:t xml:space="preserve">4.40</w:t>
            </w:r>
          </w:p>
        </w:tc>
        <w:tc>
          <w:tcPr/>
          <w:p>
            <w:pPr>
              <w:pStyle w:val="Compact"/>
            </w:pPr>
            <w:r>
              <w:rPr>
                <w:b/>
                <w:bCs/>
              </w:rPr>
              <w:t xml:space="preserve">–15.7%</w:t>
            </w:r>
            <w:r>
              <w:t xml:space="preserve"> </w:t>
            </w:r>
            <w:r>
              <w:t xml:space="preserve">(BRL strongest since 2019 on carry)</w:t>
            </w:r>
          </w:p>
        </w:tc>
      </w:tr>
      <w:tr>
        <w:tc>
          <w:tcPr/>
          <w:p>
            <w:pPr>
              <w:pStyle w:val="Compact"/>
            </w:pPr>
            <w:r>
              <w:t xml:space="preserve">USD/MXN (Mex Peso)</w:t>
            </w:r>
          </w:p>
        </w:tc>
        <w:tc>
          <w:tcPr/>
          <w:p>
            <w:pPr>
              <w:pStyle w:val="Compact"/>
            </w:pPr>
            <w:r>
              <w:t xml:space="preserve">19.5</w:t>
            </w:r>
          </w:p>
        </w:tc>
        <w:tc>
          <w:tcPr/>
          <w:p>
            <w:pPr>
              <w:pStyle w:val="Compact"/>
            </w:pPr>
            <w:r>
              <w:t xml:space="preserve">16.0</w:t>
            </w:r>
          </w:p>
        </w:tc>
        <w:tc>
          <w:tcPr/>
          <w:p>
            <w:pPr>
              <w:pStyle w:val="Compact"/>
            </w:pPr>
            <w:r>
              <w:rPr>
                <w:b/>
                <w:bCs/>
              </w:rPr>
              <w:t xml:space="preserve">–17.9%</w:t>
            </w:r>
            <w:r>
              <w:t xml:space="preserve"> </w:t>
            </w:r>
            <w:r>
              <w:t xml:space="preserve">(MXN rally on nearshoring flows)</w:t>
            </w:r>
          </w:p>
        </w:tc>
      </w:tr>
      <w:tr>
        <w:tc>
          <w:tcPr/>
          <w:p>
            <w:pPr>
              <w:pStyle w:val="Compact"/>
            </w:pPr>
            <w:r>
              <w:rPr>
                <w:b/>
                <w:bCs/>
              </w:rPr>
              <w:t xml:space="preserve">Commodities</w:t>
            </w:r>
          </w:p>
        </w:tc>
        <w:tc>
          <w:tcPr/>
          <w:p>
            <w:pPr>
              <w:pStyle w:val="Compact"/>
            </w:pPr>
          </w:p>
        </w:tc>
        <w:tc>
          <w:tcPr/>
          <w:p>
            <w:pPr>
              <w:pStyle w:val="Compact"/>
            </w:pPr>
          </w:p>
        </w:tc>
        <w:tc>
          <w:tcPr/>
          <w:p>
            <w:pPr>
              <w:pStyle w:val="Compact"/>
            </w:pPr>
          </w:p>
        </w:tc>
      </w:tr>
      <w:tr>
        <w:tc>
          <w:tcPr/>
          <w:p>
            <w:pPr>
              <w:pStyle w:val="Compact"/>
            </w:pPr>
            <w:r>
              <w:t xml:space="preserve">Brent Crude (USD/bbl)</w:t>
            </w:r>
          </w:p>
        </w:tc>
        <w:tc>
          <w:tcPr/>
          <w:p>
            <w:pPr>
              <w:pStyle w:val="Compact"/>
            </w:pPr>
            <w:r>
              <w:t xml:space="preserve">$85</w:t>
            </w:r>
          </w:p>
        </w:tc>
        <w:tc>
          <w:tcPr/>
          <w:p>
            <w:pPr>
              <w:pStyle w:val="Compact"/>
            </w:pPr>
            <w:r>
              <w:t xml:space="preserve">$60.85</w:t>
            </w:r>
          </w:p>
        </w:tc>
        <w:tc>
          <w:tcPr/>
          <w:p>
            <w:pPr>
              <w:pStyle w:val="Compact"/>
            </w:pPr>
            <w:r>
              <w:rPr>
                <w:b/>
                <w:bCs/>
              </w:rPr>
              <w:t xml:space="preserve">–28%</w:t>
            </w:r>
            <w:r>
              <w:t xml:space="preserve"> </w:t>
            </w:r>
            <w:r>
              <w:t xml:space="preserve">(oil’s worst drop since 2020)</w:t>
            </w:r>
          </w:p>
        </w:tc>
      </w:tr>
      <w:tr>
        <w:tc>
          <w:tcPr/>
          <w:p>
            <w:pPr>
              <w:pStyle w:val="Compact"/>
            </w:pPr>
            <w:r>
              <w:t xml:space="preserve">WTI Crude (USD/bbl)</w:t>
            </w:r>
          </w:p>
        </w:tc>
        <w:tc>
          <w:tcPr/>
          <w:p>
            <w:pPr>
              <w:pStyle w:val="Compact"/>
            </w:pPr>
            <w:r>
              <w:t xml:space="preserve">$80</w:t>
            </w:r>
          </w:p>
        </w:tc>
        <w:tc>
          <w:tcPr/>
          <w:p>
            <w:pPr>
              <w:pStyle w:val="Compact"/>
            </w:pPr>
            <w:r>
              <w:t xml:space="preserve">$57.42</w:t>
            </w:r>
          </w:p>
        </w:tc>
        <w:tc>
          <w:tcPr/>
          <w:p>
            <w:pPr>
              <w:pStyle w:val="Compact"/>
            </w:pPr>
            <w:r>
              <w:rPr>
                <w:b/>
                <w:bCs/>
              </w:rPr>
              <w:t xml:space="preserve">–30%</w:t>
            </w:r>
            <w:r>
              <w:t xml:space="preserve"> </w:t>
            </w:r>
            <w:r>
              <w:t xml:space="preserve">(oversupply, demand fears)</w:t>
            </w:r>
          </w:p>
        </w:tc>
      </w:tr>
      <w:tr>
        <w:tc>
          <w:tcPr/>
          <w:p>
            <w:pPr>
              <w:pStyle w:val="Compact"/>
            </w:pPr>
            <w:r>
              <w:t xml:space="preserve">Nat Gas (Henry Hub)</w:t>
            </w:r>
          </w:p>
        </w:tc>
        <w:tc>
          <w:tcPr/>
          <w:p>
            <w:pPr>
              <w:pStyle w:val="Compact"/>
            </w:pPr>
            <w:r>
              <w:t xml:space="preserve">$4.0</w:t>
            </w:r>
          </w:p>
        </w:tc>
        <w:tc>
          <w:tcPr/>
          <w:p>
            <w:pPr>
              <w:pStyle w:val="Compact"/>
            </w:pPr>
            <w:r>
              <w:t xml:space="preserve">$2.7</w:t>
            </w:r>
          </w:p>
        </w:tc>
        <w:tc>
          <w:tcPr/>
          <w:p>
            <w:pPr>
              <w:pStyle w:val="Compact"/>
            </w:pPr>
            <w:r>
              <w:rPr>
                <w:b/>
                <w:bCs/>
              </w:rPr>
              <w:t xml:space="preserve">–32%</w:t>
            </w:r>
            <w:r>
              <w:t xml:space="preserve"> </w:t>
            </w:r>
            <w:r>
              <w:t xml:space="preserve">(mild winter, ample supply)</w:t>
            </w:r>
          </w:p>
        </w:tc>
      </w:tr>
      <w:tr>
        <w:tc>
          <w:tcPr/>
          <w:p>
            <w:pPr>
              <w:pStyle w:val="Compact"/>
            </w:pPr>
            <w:r>
              <w:t xml:space="preserve">Gold (Spot, USD/oz)</w:t>
            </w:r>
          </w:p>
        </w:tc>
        <w:tc>
          <w:tcPr/>
          <w:p>
            <w:pPr>
              <w:pStyle w:val="Compact"/>
            </w:pPr>
            <w:r>
              <w:t xml:space="preserve">$1,830</w:t>
            </w:r>
          </w:p>
        </w:tc>
        <w:tc>
          <w:tcPr/>
          <w:p>
            <w:pPr>
              <w:pStyle w:val="Compact"/>
            </w:pPr>
            <w:r>
              <w:t xml:space="preserve">$4,312</w:t>
            </w:r>
          </w:p>
        </w:tc>
        <w:tc>
          <w:tcPr/>
          <w:p>
            <w:pPr>
              <w:pStyle w:val="Compact"/>
            </w:pPr>
            <w:r>
              <w:rPr>
                <w:b/>
                <w:bCs/>
              </w:rPr>
              <w:t xml:space="preserve">+136%</w:t>
            </w:r>
            <w:r>
              <w:t xml:space="preserve"> </w:t>
            </w:r>
            <w:r>
              <w:t xml:space="preserve">(46-year high;</w:t>
            </w:r>
            <w:r>
              <w:t xml:space="preserve"> </w:t>
            </w:r>
            <w:r>
              <w:rPr>
                <w:b/>
                <w:bCs/>
              </w:rPr>
              <w:t xml:space="preserve">+66%</w:t>
            </w:r>
            <w:r>
              <w:t xml:space="preserve"> </w:t>
            </w:r>
            <w:r>
              <w:t xml:space="preserve">YTD)</w:t>
            </w:r>
          </w:p>
        </w:tc>
      </w:tr>
      <w:tr>
        <w:tc>
          <w:tcPr/>
          <w:p>
            <w:pPr>
              <w:pStyle w:val="Compact"/>
            </w:pPr>
            <w:r>
              <w:t xml:space="preserve">Silver (Spot, USD/oz)</w:t>
            </w:r>
          </w:p>
        </w:tc>
        <w:tc>
          <w:tcPr/>
          <w:p>
            <w:pPr>
              <w:pStyle w:val="Compact"/>
            </w:pPr>
            <w:r>
              <w:t xml:space="preserve">$24</w:t>
            </w:r>
          </w:p>
        </w:tc>
        <w:tc>
          <w:tcPr/>
          <w:p>
            <w:pPr>
              <w:pStyle w:val="Compact"/>
            </w:pPr>
            <w:r>
              <w:t xml:space="preserve">$71.04</w:t>
            </w:r>
          </w:p>
        </w:tc>
        <w:tc>
          <w:tcPr/>
          <w:p>
            <w:pPr>
              <w:pStyle w:val="Compact"/>
            </w:pPr>
            <w:r>
              <w:rPr>
                <w:b/>
                <w:bCs/>
              </w:rPr>
              <w:t xml:space="preserve">+196%</w:t>
            </w:r>
            <w:r>
              <w:t xml:space="preserve"> </w:t>
            </w:r>
            <w:r>
              <w:t xml:space="preserve">(record annual surge; 149% YTD)</w:t>
            </w:r>
          </w:p>
        </w:tc>
      </w:tr>
      <w:tr>
        <w:tc>
          <w:tcPr/>
          <w:p>
            <w:pPr>
              <w:pStyle w:val="Compact"/>
            </w:pPr>
            <w:r>
              <w:t xml:space="preserve">Copper (USD/lb)</w:t>
            </w:r>
          </w:p>
        </w:tc>
        <w:tc>
          <w:tcPr/>
          <w:p>
            <w:pPr>
              <w:pStyle w:val="Compact"/>
            </w:pPr>
            <w:r>
              <w:t xml:space="preserve">$3.80</w:t>
            </w:r>
          </w:p>
        </w:tc>
        <w:tc>
          <w:tcPr/>
          <w:p>
            <w:pPr>
              <w:pStyle w:val="Compact"/>
            </w:pPr>
            <w:r>
              <w:t xml:space="preserve">$5.50 (est.)</w:t>
            </w:r>
          </w:p>
        </w:tc>
        <w:tc>
          <w:tcPr/>
          <w:p>
            <w:pPr>
              <w:pStyle w:val="Compact"/>
            </w:pPr>
            <w:r>
              <w:rPr>
                <w:b/>
                <w:bCs/>
              </w:rPr>
              <w:t xml:space="preserve">+45.6%</w:t>
            </w:r>
            <w:r>
              <w:t xml:space="preserve"> </w:t>
            </w:r>
            <w:r>
              <w:t xml:space="preserve">(Dr. Copper up on China, EV demand)</w:t>
            </w:r>
            <w:r>
              <w:br/>
            </w:r>
          </w:p>
        </w:tc>
      </w:tr>
      <w:tr>
        <w:tc>
          <w:tcPr/>
          <w:p>
            <w:pPr>
              <w:pStyle w:val="Compact"/>
            </w:pPr>
            <w:r>
              <w:t xml:space="preserve">Bloomberg Cmdty Index</w:t>
            </w:r>
          </w:p>
        </w:tc>
        <w:tc>
          <w:tcPr/>
          <w:p>
            <w:pPr>
              <w:pStyle w:val="Compact"/>
            </w:pPr>
            <w:r>
              <w:t xml:space="preserve">108</w:t>
            </w:r>
          </w:p>
        </w:tc>
        <w:tc>
          <w:tcPr/>
          <w:p>
            <w:pPr>
              <w:pStyle w:val="Compact"/>
            </w:pPr>
            <w:r>
              <w:t xml:space="preserve">109</w:t>
            </w:r>
          </w:p>
        </w:tc>
        <w:tc>
          <w:tcPr/>
          <w:p>
            <w:pPr>
              <w:pStyle w:val="Compact"/>
            </w:pPr>
            <w:r>
              <w:rPr>
                <w:b/>
                <w:bCs/>
              </w:rPr>
              <w:t xml:space="preserve">+0.8%</w:t>
            </w:r>
            <w:r>
              <w:t xml:space="preserve"> </w:t>
            </w:r>
            <w:r>
              <w:t xml:space="preserve">(broad commodities flat – oil down offset metals up)</w:t>
            </w:r>
            <w:r>
              <w:br/>
            </w:r>
          </w:p>
        </w:tc>
      </w:tr>
      <w:tr>
        <w:tc>
          <w:tcPr/>
          <w:p>
            <w:pPr>
              <w:pStyle w:val="Compact"/>
            </w:pPr>
            <w:r>
              <w:rPr>
                <w:b/>
                <w:bCs/>
              </w:rPr>
              <w:t xml:space="preserve">Crypto</w:t>
            </w:r>
          </w:p>
        </w:tc>
        <w:tc>
          <w:tcPr/>
          <w:p>
            <w:pPr>
              <w:pStyle w:val="Compact"/>
            </w:pPr>
          </w:p>
        </w:tc>
        <w:tc>
          <w:tcPr/>
          <w:p>
            <w:pPr>
              <w:pStyle w:val="Compact"/>
            </w:pPr>
          </w:p>
        </w:tc>
        <w:tc>
          <w:tcPr/>
          <w:p>
            <w:pPr>
              <w:pStyle w:val="Compact"/>
            </w:pPr>
          </w:p>
        </w:tc>
      </w:tr>
      <w:tr>
        <w:tc>
          <w:tcPr/>
          <w:p>
            <w:pPr>
              <w:pStyle w:val="Compact"/>
            </w:pPr>
            <w:r>
              <w:t xml:space="preserve">Bitcoin (BTC)</w:t>
            </w:r>
          </w:p>
        </w:tc>
        <w:tc>
          <w:tcPr/>
          <w:p>
            <w:pPr>
              <w:pStyle w:val="Compact"/>
            </w:pPr>
            <w:r>
              <w:t xml:space="preserve">$60,000</w:t>
            </w:r>
          </w:p>
        </w:tc>
        <w:tc>
          <w:tcPr/>
          <w:p>
            <w:pPr>
              <w:pStyle w:val="Compact"/>
            </w:pPr>
            <w:r>
              <w:t xml:space="preserve">$88,000</w:t>
            </w:r>
          </w:p>
        </w:tc>
        <w:tc>
          <w:tcPr/>
          <w:p>
            <w:pPr>
              <w:pStyle w:val="Compact"/>
            </w:pPr>
            <w:r>
              <w:rPr>
                <w:b/>
                <w:bCs/>
              </w:rPr>
              <w:t xml:space="preserve">+~5%</w:t>
            </w:r>
            <w:r>
              <w:t xml:space="preserve"> </w:t>
            </w:r>
            <w:r>
              <w:t xml:space="preserve">(volatility: hit $126k then fell)</w:t>
            </w:r>
          </w:p>
        </w:tc>
      </w:tr>
      <w:tr>
        <w:tc>
          <w:tcPr/>
          <w:p>
            <w:pPr>
              <w:pStyle w:val="Compact"/>
            </w:pPr>
            <w:r>
              <w:t xml:space="preserve">Ethereum (ETH)</w:t>
            </w:r>
          </w:p>
        </w:tc>
        <w:tc>
          <w:tcPr/>
          <w:p>
            <w:pPr>
              <w:pStyle w:val="Compact"/>
            </w:pPr>
            <w:r>
              <w:t xml:space="preserve">$4,000</w:t>
            </w:r>
          </w:p>
        </w:tc>
        <w:tc>
          <w:tcPr/>
          <w:p>
            <w:pPr>
              <w:pStyle w:val="Compact"/>
            </w:pPr>
            <w:r>
              <w:t xml:space="preserve">$2,972</w:t>
            </w:r>
          </w:p>
        </w:tc>
        <w:tc>
          <w:tcPr/>
          <w:p>
            <w:pPr>
              <w:pStyle w:val="Compact"/>
            </w:pPr>
            <w:r>
              <w:rPr>
                <w:b/>
                <w:bCs/>
              </w:rPr>
              <w:t xml:space="preserve">–25%</w:t>
            </w:r>
            <w:r>
              <w:t xml:space="preserve"> </w:t>
            </w:r>
            <w:r>
              <w:t xml:space="preserve">(ether underperformed BTC)</w:t>
            </w:r>
          </w:p>
        </w:tc>
      </w:tr>
      <w:tr>
        <w:tc>
          <w:tcPr/>
          <w:p>
            <w:pPr>
              <w:pStyle w:val="Compact"/>
            </w:pPr>
            <w:r>
              <w:t xml:space="preserve">Bloomberg Galaxy Crypto Index</w:t>
            </w:r>
          </w:p>
        </w:tc>
        <w:tc>
          <w:tcPr/>
          <w:p>
            <w:pPr>
              <w:pStyle w:val="Compact"/>
            </w:pPr>
            <w:r>
              <w:t xml:space="preserve">1,500</w:t>
            </w:r>
          </w:p>
        </w:tc>
        <w:tc>
          <w:tcPr/>
          <w:p>
            <w:pPr>
              <w:pStyle w:val="Compact"/>
            </w:pPr>
            <w:r>
              <w:t xml:space="preserve">1,300</w:t>
            </w:r>
          </w:p>
        </w:tc>
        <w:tc>
          <w:tcPr/>
          <w:p>
            <w:pPr>
              <w:pStyle w:val="Compact"/>
            </w:pPr>
            <w:r>
              <w:rPr>
                <w:b/>
                <w:bCs/>
              </w:rPr>
              <w:t xml:space="preserve">–13%</w:t>
            </w:r>
            <w:r>
              <w:t xml:space="preserve"> </w:t>
            </w:r>
            <w:r>
              <w:t xml:space="preserve">(crypto index down,</w:t>
            </w:r>
            <w:r>
              <w:t xml:space="preserve"> </w:t>
            </w:r>
            <w:r>
              <w:rPr>
                <w:b/>
                <w:bCs/>
              </w:rPr>
              <w:t xml:space="preserve">gains erased</w:t>
            </w:r>
            <w:r>
              <w:t xml:space="preserve"> </w:t>
            </w:r>
            <w:r>
              <w:t xml:space="preserve">by Q4 slump)</w:t>
            </w:r>
            <w:hyperlink r:id="rId25">
              <w:r>
                <w:rPr>
                  <w:rStyle w:val="Hyperlink"/>
                </w:rPr>
                <w:t xml:space="preserve">[3]</w:t>
              </w:r>
            </w:hyperlink>
          </w:p>
        </w:tc>
      </w:tr>
    </w:tbl>
    <w:p>
      <w:pPr>
        <w:pStyle w:val="BodyText"/>
      </w:pPr>
      <w:r>
        <w:t xml:space="preserve">※</w:t>
      </w:r>
      <w:r>
        <w:t xml:space="preserve"> </w:t>
      </w:r>
      <w:r>
        <w:rPr>
          <w:b/>
          <w:bCs/>
        </w:rPr>
        <w:t xml:space="preserve">Sources:</w:t>
      </w:r>
      <w:r>
        <w:t xml:space="preserve"> </w:t>
      </w:r>
      <w:r>
        <w:t xml:space="preserve">Bloomberg, Reuters, SeekingAlpha/CapitalSpectator. All returns USD-based. Equity returns assume price change (dividends add ~1.5–3% extra for developed markets). Commodities and crypto are spot price changes. FX shown as USD value, so negative % = USD weakness. (Chart:</w:t>
      </w:r>
      <w:r>
        <w:t xml:space="preserve"> </w:t>
      </w:r>
      <w:r>
        <w:rPr>
          <w:b/>
          <w:bCs/>
        </w:rPr>
        <w:t xml:space="preserve">2025 Asset Class Performance</w:t>
      </w:r>
      <w:r>
        <w:t xml:space="preserve"> </w:t>
      </w:r>
      <w:r>
        <w:t xml:space="preserve">below illustrates the broad-based gains.)</w:t>
      </w:r>
    </w:p>
    <w:p>
      <w:pPr>
        <w:pStyle w:val="BodyText"/>
      </w:pPr>
      <w:r>
        <w:br/>
      </w:r>
      <w:r>
        <w:rPr>
          <w:i/>
          <w:iCs/>
        </w:rPr>
        <w:t xml:space="preserve">2025 was an exceptional year for cross-asset returns, with equities (especially international), precious metals, and even bonds posting strong gains. The chart above (USD returns) highlights the standout performers (e.g. silver, gold, copper, European and EM equities) versus laggards (oil, USD).</w:t>
      </w:r>
    </w:p>
    <w:p>
      <w:pPr>
        <w:pStyle w:val="BodyText"/>
      </w:pPr>
      <w:r>
        <w:rPr>
          <w:b/>
          <w:bCs/>
        </w:rPr>
        <w:t xml:space="preserve">Table 2: 2025 Risk and Drawdown Statistics (Select Assets)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 / Index</w:t>
            </w:r>
          </w:p>
        </w:tc>
        <w:tc>
          <w:tcPr/>
          <w:p>
            <w:pPr>
              <w:pStyle w:val="Compact"/>
            </w:pPr>
            <w:r>
              <w:t xml:space="preserve">Realized Volatility (Ann. %)¹</w:t>
            </w:r>
          </w:p>
        </w:tc>
        <w:tc>
          <w:tcPr/>
          <w:p>
            <w:pPr>
              <w:pStyle w:val="Compact"/>
            </w:pPr>
            <w:r>
              <w:t xml:space="preserve">Max Drawdown² (%)</w:t>
            </w:r>
          </w:p>
        </w:tc>
        <w:tc>
          <w:tcPr/>
          <w:p>
            <w:pPr>
              <w:pStyle w:val="Compact"/>
            </w:pPr>
            <w:r>
              <w:t xml:space="preserve">Worst Month (% Return)</w:t>
            </w:r>
          </w:p>
        </w:tc>
        <w:tc>
          <w:tcPr/>
          <w:p>
            <w:pPr>
              <w:pStyle w:val="Compact"/>
            </w:pPr>
            <w:r>
              <w:t xml:space="preserve">Best Month (% Return)</w:t>
            </w:r>
          </w:p>
        </w:tc>
      </w:tr>
      <w:tr>
        <w:tc>
          <w:tcPr/>
          <w:p>
            <w:pPr>
              <w:pStyle w:val="Compact"/>
            </w:pPr>
            <w:r>
              <w:t xml:space="preserve">S&amp;P 500 (U.S. Eq)</w:t>
            </w:r>
          </w:p>
        </w:tc>
        <w:tc>
          <w:tcPr/>
          <w:p>
            <w:pPr>
              <w:pStyle w:val="Compact"/>
            </w:pPr>
            <w:r>
              <w:t xml:space="preserve">~18% (near 10y avg)</w:t>
            </w:r>
          </w:p>
        </w:tc>
        <w:tc>
          <w:tcPr/>
          <w:p>
            <w:pPr>
              <w:pStyle w:val="Compact"/>
            </w:pPr>
            <w:r>
              <w:t xml:space="preserve">–16.5% (Jan–Apr trough)</w:t>
            </w:r>
          </w:p>
        </w:tc>
        <w:tc>
          <w:tcPr/>
          <w:p>
            <w:pPr>
              <w:pStyle w:val="Compact"/>
            </w:pPr>
            <w:r>
              <w:t xml:space="preserve">April (–9.0%)³</w:t>
            </w:r>
          </w:p>
        </w:tc>
        <w:tc>
          <w:tcPr/>
          <w:p>
            <w:pPr>
              <w:pStyle w:val="Compact"/>
            </w:pPr>
            <w:r>
              <w:t xml:space="preserve">July (+7.2%)³</w:t>
            </w:r>
          </w:p>
        </w:tc>
      </w:tr>
      <w:tr>
        <w:tc>
          <w:tcPr/>
          <w:p>
            <w:pPr>
              <w:pStyle w:val="Compact"/>
            </w:pPr>
            <w:r>
              <w:t xml:space="preserve">MSCI AC World (Eq)</w:t>
            </w:r>
          </w:p>
        </w:tc>
        <w:tc>
          <w:tcPr/>
          <w:p>
            <w:pPr>
              <w:pStyle w:val="Compact"/>
            </w:pPr>
            <w:r>
              <w:t xml:space="preserve">~16%</w:t>
            </w:r>
          </w:p>
        </w:tc>
        <w:tc>
          <w:tcPr/>
          <w:p>
            <w:pPr>
              <w:pStyle w:val="Compact"/>
            </w:pPr>
            <w:r>
              <w:t xml:space="preserve">–14% (Apr low)</w:t>
            </w:r>
          </w:p>
        </w:tc>
        <w:tc>
          <w:tcPr/>
          <w:p>
            <w:pPr>
              <w:pStyle w:val="Compact"/>
            </w:pPr>
            <w:r>
              <w:t xml:space="preserve">April (–8%)</w:t>
            </w:r>
          </w:p>
        </w:tc>
        <w:tc>
          <w:tcPr/>
          <w:p>
            <w:pPr>
              <w:pStyle w:val="Compact"/>
            </w:pPr>
            <w:r>
              <w:t xml:space="preserve">July (+6%)</w:t>
            </w:r>
          </w:p>
        </w:tc>
      </w:tr>
      <w:tr>
        <w:tc>
          <w:tcPr/>
          <w:p>
            <w:pPr>
              <w:pStyle w:val="Compact"/>
            </w:pPr>
            <w:r>
              <w:t xml:space="preserve">MSCI EM (Eq)</w:t>
            </w:r>
          </w:p>
        </w:tc>
        <w:tc>
          <w:tcPr/>
          <w:p>
            <w:pPr>
              <w:pStyle w:val="Compact"/>
            </w:pPr>
            <w:r>
              <w:t xml:space="preserve">~20% (higher vol)</w:t>
            </w:r>
          </w:p>
        </w:tc>
        <w:tc>
          <w:tcPr/>
          <w:p>
            <w:pPr>
              <w:pStyle w:val="Compact"/>
            </w:pPr>
            <w:r>
              <w:t xml:space="preserve">–12% (Mar–Apr)</w:t>
            </w:r>
          </w:p>
        </w:tc>
        <w:tc>
          <w:tcPr/>
          <w:p>
            <w:pPr>
              <w:pStyle w:val="Compact"/>
            </w:pPr>
            <w:r>
              <w:t xml:space="preserve">March (–7%)</w:t>
            </w:r>
          </w:p>
        </w:tc>
        <w:tc>
          <w:tcPr/>
          <w:p>
            <w:pPr>
              <w:pStyle w:val="Compact"/>
            </w:pPr>
            <w:r>
              <w:t xml:space="preserve">August (+9%)</w:t>
            </w:r>
          </w:p>
        </w:tc>
      </w:tr>
      <w:tr>
        <w:tc>
          <w:tcPr/>
          <w:p>
            <w:pPr>
              <w:pStyle w:val="Compact"/>
            </w:pPr>
            <w:r>
              <w:t xml:space="preserve">NASDAQ-100 (U.S.)</w:t>
            </w:r>
          </w:p>
        </w:tc>
        <w:tc>
          <w:tcPr/>
          <w:p>
            <w:pPr>
              <w:pStyle w:val="Compact"/>
            </w:pPr>
            <w:r>
              <w:t xml:space="preserve">~22% (tech vol)</w:t>
            </w:r>
          </w:p>
        </w:tc>
        <w:tc>
          <w:tcPr/>
          <w:p>
            <w:pPr>
              <w:pStyle w:val="Compact"/>
            </w:pPr>
            <w:r>
              <w:t xml:space="preserve">–18% (Apr low)</w:t>
            </w:r>
          </w:p>
        </w:tc>
        <w:tc>
          <w:tcPr/>
          <w:p>
            <w:pPr>
              <w:pStyle w:val="Compact"/>
            </w:pPr>
            <w:r>
              <w:t xml:space="preserve">April (–10%)</w:t>
            </w:r>
          </w:p>
        </w:tc>
        <w:tc>
          <w:tcPr/>
          <w:p>
            <w:pPr>
              <w:pStyle w:val="Compact"/>
            </w:pPr>
            <w:r>
              <w:t xml:space="preserve">June (+8%)</w:t>
            </w:r>
          </w:p>
        </w:tc>
      </w:tr>
      <w:tr>
        <w:tc>
          <w:tcPr/>
          <w:p>
            <w:pPr>
              <w:pStyle w:val="Compact"/>
            </w:pPr>
            <w:r>
              <w:t xml:space="preserve">U.S. Treasuries (Agg)</w:t>
            </w:r>
          </w:p>
        </w:tc>
        <w:tc>
          <w:tcPr/>
          <w:p>
            <w:pPr>
              <w:pStyle w:val="Compact"/>
            </w:pPr>
            <w:r>
              <w:t xml:space="preserve">~7% (moderate)</w:t>
            </w:r>
          </w:p>
        </w:tc>
        <w:tc>
          <w:tcPr/>
          <w:p>
            <w:pPr>
              <w:pStyle w:val="Compact"/>
            </w:pPr>
            <w:r>
              <w:t xml:space="preserve">–5% (Oct mini-selloff)</w:t>
            </w:r>
          </w:p>
        </w:tc>
        <w:tc>
          <w:tcPr/>
          <w:p>
            <w:pPr>
              <w:pStyle w:val="Compact"/>
            </w:pPr>
            <w:r>
              <w:t xml:space="preserve">October (–1.2%)</w:t>
            </w:r>
          </w:p>
        </w:tc>
        <w:tc>
          <w:tcPr/>
          <w:p>
            <w:pPr>
              <w:pStyle w:val="Compact"/>
            </w:pPr>
            <w:r>
              <w:t xml:space="preserve">March (+3.0%)</w:t>
            </w:r>
          </w:p>
        </w:tc>
      </w:tr>
      <w:tr>
        <w:tc>
          <w:tcPr/>
          <w:p>
            <w:pPr>
              <w:pStyle w:val="Compact"/>
            </w:pPr>
            <w:r>
              <w:t xml:space="preserve">U.S. HY Credit</w:t>
            </w:r>
          </w:p>
        </w:tc>
        <w:tc>
          <w:tcPr/>
          <w:p>
            <w:pPr>
              <w:pStyle w:val="Compact"/>
            </w:pPr>
            <w:r>
              <w:t xml:space="preserve">~6%</w:t>
            </w:r>
          </w:p>
        </w:tc>
        <w:tc>
          <w:tcPr/>
          <w:p>
            <w:pPr>
              <w:pStyle w:val="Compact"/>
            </w:pPr>
            <w:r>
              <w:t xml:space="preserve">–4% (Apr spread widen)</w:t>
            </w:r>
          </w:p>
        </w:tc>
        <w:tc>
          <w:tcPr/>
          <w:p>
            <w:pPr>
              <w:pStyle w:val="Compact"/>
            </w:pPr>
            <w:r>
              <w:t xml:space="preserve">April (–1.5%)</w:t>
            </w:r>
          </w:p>
        </w:tc>
        <w:tc>
          <w:tcPr/>
          <w:p>
            <w:pPr>
              <w:pStyle w:val="Compact"/>
            </w:pPr>
            <w:r>
              <w:t xml:space="preserve">July (+2.5%)</w:t>
            </w:r>
          </w:p>
        </w:tc>
      </w:tr>
      <w:tr>
        <w:tc>
          <w:tcPr/>
          <w:p>
            <w:pPr>
              <w:pStyle w:val="Compact"/>
            </w:pPr>
            <w:r>
              <w:t xml:space="preserve">Gold (spot)</w:t>
            </w:r>
          </w:p>
        </w:tc>
        <w:tc>
          <w:tcPr/>
          <w:p>
            <w:pPr>
              <w:pStyle w:val="Compact"/>
            </w:pPr>
            <w:r>
              <w:t xml:space="preserve">~25% (surge in vol)</w:t>
            </w:r>
          </w:p>
        </w:tc>
        <w:tc>
          <w:tcPr/>
          <w:p>
            <w:pPr>
              <w:pStyle w:val="Compact"/>
            </w:pPr>
            <w:r>
              <w:t xml:space="preserve">–8% (Dec pullback from high)</w:t>
            </w:r>
          </w:p>
        </w:tc>
        <w:tc>
          <w:tcPr/>
          <w:p>
            <w:pPr>
              <w:pStyle w:val="Compact"/>
            </w:pPr>
            <w:r>
              <w:t xml:space="preserve">Dec (–7.1%)</w:t>
            </w:r>
          </w:p>
        </w:tc>
        <w:tc>
          <w:tcPr/>
          <w:p>
            <w:pPr>
              <w:pStyle w:val="Compact"/>
            </w:pPr>
            <w:r>
              <w:t xml:space="preserve">May (+15%)</w:t>
            </w:r>
          </w:p>
        </w:tc>
      </w:tr>
      <w:tr>
        <w:tc>
          <w:tcPr/>
          <w:p>
            <w:pPr>
              <w:pStyle w:val="Compact"/>
            </w:pPr>
            <w:r>
              <w:t xml:space="preserve">Oil (Brent)</w:t>
            </w:r>
          </w:p>
        </w:tc>
        <w:tc>
          <w:tcPr/>
          <w:p>
            <w:pPr>
              <w:pStyle w:val="Compact"/>
            </w:pPr>
            <w:r>
              <w:t xml:space="preserve">~30% (volatile)</w:t>
            </w:r>
          </w:p>
        </w:tc>
        <w:tc>
          <w:tcPr/>
          <w:p>
            <w:pPr>
              <w:pStyle w:val="Compact"/>
            </w:pPr>
            <w:r>
              <w:t xml:space="preserve">–32% (peak-to-trough)</w:t>
            </w:r>
          </w:p>
        </w:tc>
        <w:tc>
          <w:tcPr/>
          <w:p>
            <w:pPr>
              <w:pStyle w:val="Compact"/>
            </w:pPr>
            <w:r>
              <w:t xml:space="preserve">August (–12%)</w:t>
            </w:r>
          </w:p>
        </w:tc>
        <w:tc>
          <w:tcPr/>
          <w:p>
            <w:pPr>
              <w:pStyle w:val="Compact"/>
            </w:pPr>
            <w:r>
              <w:t xml:space="preserve">January (+5%)</w:t>
            </w:r>
          </w:p>
        </w:tc>
      </w:tr>
      <w:tr>
        <w:tc>
          <w:tcPr/>
          <w:p>
            <w:pPr>
              <w:pStyle w:val="Compact"/>
            </w:pPr>
            <w:r>
              <w:t xml:space="preserve">Bitcoin (BTC)</w:t>
            </w:r>
          </w:p>
        </w:tc>
        <w:tc>
          <w:tcPr/>
          <w:p>
            <w:pPr>
              <w:pStyle w:val="Compact"/>
            </w:pPr>
            <w:r>
              <w:t xml:space="preserve">~60% (high vol)</w:t>
            </w:r>
          </w:p>
        </w:tc>
        <w:tc>
          <w:tcPr/>
          <w:p>
            <w:pPr>
              <w:pStyle w:val="Compact"/>
            </w:pPr>
            <w:r>
              <w:t xml:space="preserve">–35% (Oct–Nov crash)</w:t>
            </w:r>
          </w:p>
        </w:tc>
        <w:tc>
          <w:tcPr/>
          <w:p>
            <w:pPr>
              <w:pStyle w:val="Compact"/>
            </w:pPr>
            <w:r>
              <w:t xml:space="preserve">November (–25%)</w:t>
            </w:r>
          </w:p>
        </w:tc>
        <w:tc>
          <w:tcPr/>
          <w:p>
            <w:pPr>
              <w:pStyle w:val="Compact"/>
            </w:pPr>
            <w:r>
              <w:t xml:space="preserve">September (+20%)</w:t>
            </w:r>
          </w:p>
        </w:tc>
      </w:tr>
      <w:tr>
        <w:tc>
          <w:tcPr/>
          <w:p>
            <w:pPr>
              <w:pStyle w:val="Compact"/>
            </w:pPr>
            <w:r>
              <w:t xml:space="preserve">60/40 Portfolio⁴</w:t>
            </w:r>
          </w:p>
        </w:tc>
        <w:tc>
          <w:tcPr/>
          <w:p>
            <w:pPr>
              <w:pStyle w:val="Compact"/>
            </w:pPr>
            <w:r>
              <w:t xml:space="preserve">~10% (balanced)</w:t>
            </w:r>
          </w:p>
        </w:tc>
        <w:tc>
          <w:tcPr/>
          <w:p>
            <w:pPr>
              <w:pStyle w:val="Compact"/>
            </w:pPr>
            <w:r>
              <w:t xml:space="preserve">–10% (Apr)</w:t>
            </w:r>
          </w:p>
        </w:tc>
        <w:tc>
          <w:tcPr/>
          <w:p>
            <w:pPr>
              <w:pStyle w:val="Compact"/>
            </w:pPr>
            <w:r>
              <w:t xml:space="preserve">April (–5%)</w:t>
            </w:r>
          </w:p>
        </w:tc>
        <w:tc>
          <w:tcPr/>
          <w:p>
            <w:pPr>
              <w:pStyle w:val="Compact"/>
            </w:pPr>
            <w:r>
              <w:t xml:space="preserve">July (+5.5%)</w:t>
            </w:r>
          </w:p>
        </w:tc>
      </w:tr>
    </w:tbl>
    <w:p>
      <w:pPr>
        <w:pStyle w:val="BodyText"/>
      </w:pPr>
      <w:r>
        <w:t xml:space="preserve">¹</w:t>
      </w:r>
      <w:r>
        <w:t xml:space="preserve"> </w:t>
      </w:r>
      <w:r>
        <w:rPr>
          <w:i/>
          <w:iCs/>
        </w:rPr>
        <w:t xml:space="preserve">Realized volatility</w:t>
      </w:r>
      <w:r>
        <w:t xml:space="preserve"> </w:t>
      </w:r>
      <w:r>
        <w:t xml:space="preserve">is the annualized standard deviation of daily returns in 2025.</w:t>
      </w:r>
      <w:r>
        <w:br/>
      </w:r>
      <w:r>
        <w:t xml:space="preserve">²</w:t>
      </w:r>
      <w:r>
        <w:t xml:space="preserve"> </w:t>
      </w:r>
      <w:r>
        <w:rPr>
          <w:i/>
          <w:iCs/>
        </w:rPr>
        <w:t xml:space="preserve">Max drawdown</w:t>
      </w:r>
      <w:r>
        <w:t xml:space="preserve"> </w:t>
      </w:r>
      <w:r>
        <w:t xml:space="preserve">is the peak-to-trough decline during 2025.</w:t>
      </w:r>
      <w:r>
        <w:br/>
      </w:r>
      <w:r>
        <w:t xml:space="preserve">³ S&amp;P’s worst month was April (–9%) when trade war fears peaked; best was July on disinflation optimism (approximate).</w:t>
      </w:r>
      <w:r>
        <w:br/>
      </w:r>
      <w:r>
        <w:t xml:space="preserve">⁴ 60% S&amp;P 500 / 40% U.S. Agg bonds portfolio.</w:t>
      </w:r>
    </w:p>
    <w:p>
      <w:pPr>
        <w:pStyle w:val="BodyText"/>
      </w:pPr>
      <w:r>
        <w:rPr>
          <w:b/>
          <w:bCs/>
        </w:rPr>
        <w:t xml:space="preserve">Key Observations:</w:t>
      </w:r>
      <w:r>
        <w:t xml:space="preserve"> </w:t>
      </w:r>
      <w:r>
        <w:t xml:space="preserve">Equity volatility was</w:t>
      </w:r>
      <w:r>
        <w:t xml:space="preserve"> </w:t>
      </w:r>
      <w:r>
        <w:rPr>
          <w:b/>
          <w:bCs/>
        </w:rPr>
        <w:t xml:space="preserve">bifurcated</w:t>
      </w:r>
      <w:r>
        <w:t xml:space="preserve"> </w:t>
      </w:r>
      <w:r>
        <w:t xml:space="preserve">– periods of high turbulence (VIX spikes in spring &gt; 30) followed by extended calm as markets rallied (VIX &lt; 15 in late-year). The S&amp;P 500’s –16.5% drawdown occurred early (from Jan high to April 8 low), after which it ground to new highs. Global equities had a similar ~14% drawdown.</w:t>
      </w:r>
      <w:r>
        <w:t xml:space="preserve"> </w:t>
      </w:r>
      <w:r>
        <w:rPr>
          <w:b/>
          <w:bCs/>
        </w:rPr>
        <w:t xml:space="preserve">Emerging equities</w:t>
      </w:r>
      <w:r>
        <w:t xml:space="preserve"> </w:t>
      </w:r>
      <w:r>
        <w:t xml:space="preserve">saw smaller drawdowns (they had underperformed in 2024, so less excess froth to shake out) and actually outperformed during the April turmoil – e.g. MSCI EM was down ~–12% vs S&amp;P –16%, as China’s market proved resilient post-tariff (helped by stimulus hopes).</w:t>
      </w:r>
      <w:r>
        <w:t xml:space="preserve"> </w:t>
      </w:r>
      <w:r>
        <w:rPr>
          <w:b/>
          <w:bCs/>
        </w:rPr>
        <w:t xml:space="preserve">Bonds:</w:t>
      </w:r>
      <w:r>
        <w:t xml:space="preserve"> </w:t>
      </w:r>
      <w:r>
        <w:t xml:space="preserve">U.S. Treasuries had mild volatility; their max drawdown (about –5%) came in a brief early-October yield surge when the 10Y hit ~4.8% before retreating. By contrast, 2022’s bond drawdowns were far worse – so 2025 was a return to bonds acting as a buffer.</w:t>
      </w:r>
      <w:r>
        <w:t xml:space="preserve"> </w:t>
      </w:r>
      <w:r>
        <w:rPr>
          <w:b/>
          <w:bCs/>
        </w:rPr>
        <w:t xml:space="preserve">Gold’s volatility</w:t>
      </w:r>
      <w:r>
        <w:t xml:space="preserve"> </w:t>
      </w:r>
      <w:r>
        <w:t xml:space="preserve">picked up markedly as prices skyrocketed – its best month (May) saw +15% (on central-bank buying and dollar slide), and in December it swung –7% as some profits were taken.</w:t>
      </w:r>
      <w:r>
        <w:t xml:space="preserve"> </w:t>
      </w:r>
      <w:r>
        <w:rPr>
          <w:b/>
          <w:bCs/>
        </w:rPr>
        <w:t xml:space="preserve">Oil</w:t>
      </w:r>
      <w:r>
        <w:t xml:space="preserve"> </w:t>
      </w:r>
      <w:r>
        <w:t xml:space="preserve">had the largest drawdown, consistent with its bear market: Brent fell over 30% from the year’s high (&gt; $80) to low (~$55).</w:t>
      </w:r>
      <w:r>
        <w:t xml:space="preserve"> </w:t>
      </w:r>
      <w:r>
        <w:rPr>
          <w:b/>
          <w:bCs/>
        </w:rPr>
        <w:t xml:space="preserve">Bitcoin’s</w:t>
      </w:r>
      <w:r>
        <w:t xml:space="preserve"> </w:t>
      </w:r>
      <w:r>
        <w:t xml:space="preserve">max drawdown of 35% occurred rapidly after its October peak, highlighting crypto’s extreme risk – notably, the Q4 crypto crash was the single worst monthly performance among major assets (–25% in Nov). Finally, a</w:t>
      </w:r>
      <w:r>
        <w:t xml:space="preserve"> </w:t>
      </w:r>
      <w:r>
        <w:rPr>
          <w:b/>
          <w:bCs/>
        </w:rPr>
        <w:t xml:space="preserve">60/40 portfolio</w:t>
      </w:r>
      <w:r>
        <w:t xml:space="preserve"> </w:t>
      </w:r>
      <w:r>
        <w:t xml:space="preserve">had a max drawdown of ~–10% (in April’s stock selloff), far less severe than 2022’s &gt;20% drop, and recovered to finish up strongly.</w:t>
      </w:r>
      <w:r>
        <w:t xml:space="preserve"> </w:t>
      </w:r>
      <w:r>
        <w:rPr>
          <w:b/>
          <w:bCs/>
        </w:rPr>
        <w:t xml:space="preserve">Cross-asset correlations</w:t>
      </w:r>
      <w:r>
        <w:t xml:space="preserve"> </w:t>
      </w:r>
      <w:r>
        <w:t xml:space="preserve">also shifted in 2025: in April’s rout, bonds</w:t>
      </w:r>
      <w:r>
        <w:t xml:space="preserve"> </w:t>
      </w:r>
      <w:r>
        <w:rPr>
          <w:i/>
          <w:iCs/>
        </w:rPr>
        <w:t xml:space="preserve">rallied</w:t>
      </w:r>
      <w:r>
        <w:t xml:space="preserve"> </w:t>
      </w:r>
      <w:r>
        <w:t xml:space="preserve">(yields fell) while stocks fell – restoring the negative stock–bond correlation (≈ –0.5) that had broken in 2022. Meanwhile, gold and stocks showed a</w:t>
      </w:r>
      <w:r>
        <w:t xml:space="preserve"> </w:t>
      </w:r>
      <w:r>
        <w:rPr>
          <w:b/>
          <w:bCs/>
        </w:rPr>
        <w:t xml:space="preserve">negative correlation</w:t>
      </w:r>
      <w:r>
        <w:t xml:space="preserve"> </w:t>
      </w:r>
      <w:r>
        <w:t xml:space="preserve">for much of the year (gold up on risk-off), whereas oil and equities turned</w:t>
      </w:r>
      <w:r>
        <w:t xml:space="preserve"> </w:t>
      </w:r>
      <w:r>
        <w:rPr>
          <w:i/>
          <w:iCs/>
        </w:rPr>
        <w:t xml:space="preserve">positively correlated</w:t>
      </w:r>
      <w:r>
        <w:t xml:space="preserve"> </w:t>
      </w:r>
      <w:r>
        <w:t xml:space="preserve">(both down in H1 on growth fears, then both up modestly in Q4). These correlation dynamics improved diversification effects.</w:t>
      </w:r>
    </w:p>
    <w:p>
      <w:pPr>
        <w:pStyle w:val="BodyText"/>
      </w:pPr>
      <w:r>
        <w:rPr>
          <w:b/>
          <w:bCs/>
        </w:rPr>
        <w:t xml:space="preserve">Notable Cross-Asset Volatility Episodes:</w:t>
      </w:r>
      <w:r>
        <w:t xml:space="preserve"> </w:t>
      </w:r>
      <w:r>
        <w:t xml:space="preserve">Two episodes stand out –</w:t>
      </w:r>
      <w:r>
        <w:t xml:space="preserve"> </w:t>
      </w:r>
      <w:r>
        <w:rPr>
          <w:b/>
          <w:bCs/>
        </w:rPr>
        <w:t xml:space="preserve">(1)</w:t>
      </w:r>
      <w:r>
        <w:t xml:space="preserve"> </w:t>
      </w:r>
      <w:r>
        <w:rPr>
          <w:i/>
          <w:iCs/>
        </w:rPr>
        <w:t xml:space="preserve">April Tariff Turmoil:</w:t>
      </w:r>
      <w:r>
        <w:t xml:space="preserve"> </w:t>
      </w:r>
      <w:r>
        <w:t xml:space="preserve">The MOVE index (bond vol) jumped to ~140 in early April (from ~100), as illiquidity hit Treasuries; simultaneously, the VIX spiked above 35. This synchronized vol surge lasted ~2 weeks but subsided quickly after tariff delays.</w:t>
      </w:r>
      <w:r>
        <w:t xml:space="preserve"> </w:t>
      </w:r>
      <w:r>
        <w:rPr>
          <w:b/>
          <w:bCs/>
        </w:rPr>
        <w:t xml:space="preserve">(2)</w:t>
      </w:r>
      <w:r>
        <w:t xml:space="preserve"> </w:t>
      </w:r>
      <w:r>
        <w:rPr>
          <w:i/>
          <w:iCs/>
        </w:rPr>
        <w:t xml:space="preserve">Autumn Angst (Oct–Nov):</w:t>
      </w:r>
      <w:r>
        <w:t xml:space="preserve"> </w:t>
      </w:r>
      <w:r>
        <w:t xml:space="preserve">A more contained mini-spike occurred in mid-October – VIX briefly to ~25 on tariff escalation and war jitters, and Bitcoin volatility spiked as crypto markets unraveled. Yet equity vol receded by late Nov as Fed cuts and solid earnings reassured investors. By December, the VIX averaged just ~13 – multi-year lows, reflecting complacency or confidence that the worst had passed.</w:t>
      </w:r>
      <w:r>
        <w:t xml:space="preserve"> </w:t>
      </w:r>
      <w:r>
        <w:rPr>
          <w:b/>
          <w:bCs/>
        </w:rPr>
        <w:t xml:space="preserve">Cross-asset tail behavior:</w:t>
      </w:r>
      <w:r>
        <w:t xml:space="preserve"> </w:t>
      </w:r>
      <w:r>
        <w:t xml:space="preserve">Notably, there were no major</w:t>
      </w:r>
      <w:r>
        <w:t xml:space="preserve"> </w:t>
      </w:r>
      <w:r>
        <w:rPr>
          <w:i/>
          <w:iCs/>
        </w:rPr>
        <w:t xml:space="preserve">cross-asset contagion</w:t>
      </w:r>
      <w:r>
        <w:t xml:space="preserve"> </w:t>
      </w:r>
      <w:r>
        <w:t xml:space="preserve">events – e.g. the crypto crash did</w:t>
      </w:r>
      <w:r>
        <w:t xml:space="preserve"> </w:t>
      </w:r>
      <w:r>
        <w:rPr>
          <w:i/>
          <w:iCs/>
        </w:rPr>
        <w:t xml:space="preserve">not</w:t>
      </w:r>
      <w:r>
        <w:t xml:space="preserve"> </w:t>
      </w:r>
      <w:r>
        <w:t xml:space="preserve">spill over to equities or credit (regarded as isolated). Nor did we see the kind of systemic stress of March 2023 (bank failures) or March 2020. Credit spreads stayed tight, and no “VaR shock” forced broad deleveraging. This suggests the</w:t>
      </w:r>
      <w:r>
        <w:t xml:space="preserve"> </w:t>
      </w:r>
      <w:r>
        <w:rPr>
          <w:b/>
          <w:bCs/>
        </w:rPr>
        <w:t xml:space="preserve">market plumbing held up well</w:t>
      </w:r>
      <w:r>
        <w:t xml:space="preserve"> </w:t>
      </w:r>
      <w:r>
        <w:t xml:space="preserve">in 2025, aided by ample liquidity and proactive policymaker communication.</w:t>
      </w:r>
    </w:p>
    <w:bookmarkStart w:id="26" w:name="X8bf80446fd9f5657b07ecf92e61b1e712c35d7f"/>
    <w:p>
      <w:pPr>
        <w:pStyle w:val="Heading3"/>
      </w:pPr>
      <w:r>
        <w:rPr>
          <w:b/>
          <w:bCs/>
        </w:rPr>
        <w:t xml:space="preserve">Rates:</w:t>
      </w:r>
      <w:r>
        <w:t xml:space="preserve"> </w:t>
      </w:r>
      <w:r>
        <w:rPr>
          <w:b/>
          <w:bCs/>
        </w:rPr>
        <w:t xml:space="preserve">Global yields peaked and partially retraced</w:t>
      </w:r>
      <w:r>
        <w:t xml:space="preserve"> </w:t>
      </w:r>
      <w:r>
        <w:t xml:space="preserve">in 2025, driving strong bond returns. In the U.S., the Treasury yield curve underwent a</w:t>
      </w:r>
      <w:r>
        <w:t xml:space="preserve"> </w:t>
      </w:r>
      <w:r>
        <w:rPr>
          <w:b/>
          <w:bCs/>
        </w:rPr>
        <w:t xml:space="preserve">bull steepening</w:t>
      </w:r>
      <w:r>
        <w:t xml:space="preserve"> </w:t>
      </w:r>
      <w:r>
        <w:t xml:space="preserve">– short rates fell as the Fed cut, while long rates initially stayed elevated on term premium before easing late year. The 2-year yield dropped from ~4.4% to 3.47%, reflecting expectations of further Fed easing. The 10-year yield ended at ~4.16%, down modestly from ~4.5% start. Importantly, the</w:t>
      </w:r>
      <w:r>
        <w:t xml:space="preserve"> </w:t>
      </w:r>
      <w:r>
        <w:rPr>
          <w:b/>
          <w:bCs/>
        </w:rPr>
        <w:t xml:space="preserve">2s–10s curve un-inverted</w:t>
      </w:r>
      <w:r>
        <w:t xml:space="preserve"> </w:t>
      </w:r>
      <w:r>
        <w:t xml:space="preserve">after nearly two years: it moved from –90 bp inversion to about +65 bp</w:t>
      </w:r>
      <w:r>
        <w:t xml:space="preserve"> </w:t>
      </w:r>
      <w:r>
        <w:rPr>
          <w:i/>
          <w:iCs/>
        </w:rPr>
        <w:t xml:space="preserve">steep</w:t>
      </w:r>
      <w:r>
        <w:t xml:space="preserve"> </w:t>
      </w:r>
      <w:r>
        <w:t xml:space="preserve">(2Y ~3.47%, 10Y ~4.16%) – a classic end-of-tightening signal. Long-maturity (30Y) yields were more stubborn, ending ~4.84%, barely changed from January – reflecting lingering term premium due to debt supply and inflation uncertainty. Indeed,</w:t>
      </w:r>
      <w:r>
        <w:t xml:space="preserve"> </w:t>
      </w:r>
      <w:r>
        <w:rPr>
          <w:b/>
          <w:bCs/>
        </w:rPr>
        <w:t xml:space="preserve">U.S. term premium</w:t>
      </w:r>
      <w:r>
        <w:t xml:space="preserve"> </w:t>
      </w:r>
      <w:r>
        <w:t xml:space="preserve">remained positive (~0.50% by ACM model), whereas it was negative for much of the 2010s, indicating investors demand extra yield for holding duration amid fiscal and price-level concerns. Nonetheless, with Fed cuts anchoring front-end rates and inflation slowing,</w:t>
      </w:r>
      <w:r>
        <w:t xml:space="preserve"> </w:t>
      </w:r>
      <w:r>
        <w:rPr>
          <w:b/>
          <w:bCs/>
        </w:rPr>
        <w:t xml:space="preserve">real yields</w:t>
      </w:r>
      <w:r>
        <w:t xml:space="preserve"> </w:t>
      </w:r>
      <w:r>
        <w:t xml:space="preserve">fell from cycle highs: the 10Y TIPS yield declined from ~1.8% to ~1.2%. Breakeven inflation (10Y) actually ticked</w:t>
      </w:r>
      <w:r>
        <w:t xml:space="preserve"> </w:t>
      </w:r>
      <w:r>
        <w:rPr>
          <w:i/>
          <w:iCs/>
        </w:rPr>
        <w:t xml:space="preserve">up</w:t>
      </w:r>
      <w:r>
        <w:t xml:space="preserve"> </w:t>
      </w:r>
      <w:r>
        <w:t xml:space="preserve">slightly, from ~2.4% to ~2.6%, as investors saw tariffs and wage trends keeping inflation somewhat above 2% longer-term. In sum,</w:t>
      </w:r>
      <w:r>
        <w:t xml:space="preserve"> </w:t>
      </w:r>
      <w:r>
        <w:rPr>
          <w:b/>
          <w:bCs/>
        </w:rPr>
        <w:t xml:space="preserve">bond markets priced in a gentle easing cycle</w:t>
      </w:r>
      <w:r>
        <w:t xml:space="preserve"> </w:t>
      </w:r>
      <w:r>
        <w:t xml:space="preserve">– the Fed delivered less than 1% of cuts, and end-2026 pricing was around 3% Fed Funds, implying no return to zero rates.</w:t>
      </w:r>
    </w:p>
    <w:p>
      <w:pPr>
        <w:pStyle w:val="FirstParagraph"/>
      </w:pPr>
      <w:r>
        <w:rPr>
          <w:b/>
          <w:bCs/>
        </w:rPr>
        <w:t xml:space="preserve">Overseas yields diverged:</w:t>
      </w:r>
      <w:r>
        <w:t xml:space="preserve"> </w:t>
      </w:r>
      <w:r>
        <w:t xml:space="preserve">The</w:t>
      </w:r>
      <w:r>
        <w:t xml:space="preserve"> </w:t>
      </w:r>
      <w:r>
        <w:rPr>
          <w:b/>
          <w:bCs/>
        </w:rPr>
        <w:t xml:space="preserve">Eurozone</w:t>
      </w:r>
      <w:r>
        <w:t xml:space="preserve"> </w:t>
      </w:r>
      <w:r>
        <w:t xml:space="preserve">saw a more dramatic yield drop as inflation plunged. German 10Y bund yields fell from ~2.5% to ~1.8%. More strikingly,</w:t>
      </w:r>
      <w:r>
        <w:t xml:space="preserve"> </w:t>
      </w:r>
      <w:r>
        <w:rPr>
          <w:b/>
          <w:bCs/>
        </w:rPr>
        <w:t xml:space="preserve">peripheral European bonds</w:t>
      </w:r>
      <w:r>
        <w:t xml:space="preserve"> </w:t>
      </w:r>
      <w:r>
        <w:t xml:space="preserve">had a banner year – Italy’s 10Y BTP yield collapsed from ~4.6% to ~3.3%, as recession fears faded and the ECB’s potential backstop (Transmission Protection Instrument) kept spreads in check. The Italy–Germany 10Y spread tightened to ~150 bps (from 200+). UK gilt yields also round-tripped lower: the 10Y UK yield peaked near 4.4% in Feb amid sticky CPI, then sank to ~3.2% by Dec as inflation rapidly declined.</w:t>
      </w:r>
      <w:r>
        <w:t xml:space="preserve"> </w:t>
      </w:r>
      <w:r>
        <w:rPr>
          <w:b/>
          <w:bCs/>
        </w:rPr>
        <w:t xml:space="preserve">Japan</w:t>
      </w:r>
      <w:r>
        <w:t xml:space="preserve"> </w:t>
      </w:r>
      <w:r>
        <w:t xml:space="preserve">is a special case – with the BoJ removing YCC, the 10Y JGB yield rose from 0.50% cap to about 1.4% intraday in Oct, settling ~1.2% by year-end. This was a significant change (highest JGB yields since 2013), but orderly; domestic institutions absorbed supply.</w:t>
      </w:r>
      <w:r>
        <w:t xml:space="preserve"> </w:t>
      </w:r>
      <w:r>
        <w:rPr>
          <w:b/>
          <w:bCs/>
        </w:rPr>
        <w:t xml:space="preserve">Emerging Markets:</w:t>
      </w:r>
      <w:r>
        <w:t xml:space="preserve"> </w:t>
      </w:r>
      <w:r>
        <w:t xml:space="preserve">Most EM local yields fell sharply, reflecting both disinflation and investor inflows. For example, Brazil’s 10Y local bond yield fell from ~12% to ~9%, as the central bank’s aggressive cuts took hold. Even Turkey saw some improvement – from extreme levels &gt;25% down to ~20% as new policy regime gained credibility (though still very high).</w:t>
      </w:r>
      <w:r>
        <w:t xml:space="preserve"> </w:t>
      </w:r>
      <w:r>
        <w:rPr>
          <w:b/>
          <w:bCs/>
        </w:rPr>
        <w:t xml:space="preserve">Credit markets:</w:t>
      </w:r>
      <w:r>
        <w:t xml:space="preserve"> </w:t>
      </w:r>
      <w:r>
        <w:t xml:space="preserve">Despite higher risk-free yields early in the year, credit performed well. U.S. Investment-Grade (IG) corporate spreads tightened to about</w:t>
      </w:r>
      <w:r>
        <w:t xml:space="preserve"> </w:t>
      </w:r>
      <w:r>
        <w:rPr>
          <w:b/>
          <w:bCs/>
        </w:rPr>
        <w:t xml:space="preserve">100 bps</w:t>
      </w:r>
      <w:r>
        <w:t xml:space="preserve">, near post-2007 lows, amid low default rates and investor yield appetite (many saw 5–6% IG yields as attractive). High-yield (HY) spreads also narrowed – from ~450 bps to ~350 bps over Treasuries – and HY total returns topped 10%. Remarkably, 2025 saw</w:t>
      </w:r>
      <w:r>
        <w:t xml:space="preserve"> </w:t>
      </w:r>
      <w:r>
        <w:rPr>
          <w:b/>
          <w:bCs/>
        </w:rPr>
        <w:t xml:space="preserve">no significant credit crisis</w:t>
      </w:r>
      <w:r>
        <w:t xml:space="preserve">: U.S. corporate default rate stayed around ~2% (below historical avg), and even riskier CCC-rated debt rallied, as financing conditions eased by year-end.</w:t>
      </w:r>
    </w:p>
    <w:p>
      <w:pPr>
        <w:pStyle w:val="BodyText"/>
      </w:pPr>
      <w:r>
        <w:rPr>
          <w:b/>
          <w:bCs/>
        </w:rPr>
        <w:t xml:space="preserve">Rates: Key Takeaways</w:t>
      </w:r>
      <w:r>
        <w:t xml:space="preserve"> </w:t>
      </w:r>
      <w:r>
        <w:t xml:space="preserve">–</w:t>
      </w:r>
      <w:r>
        <w:t xml:space="preserve"> </w:t>
      </w:r>
      <w:r>
        <w:rPr>
          <w:i/>
          <w:iCs/>
        </w:rPr>
        <w:t xml:space="preserve">Real yields and term premia moderated:</w:t>
      </w:r>
      <w:r>
        <w:t xml:space="preserve"> </w:t>
      </w:r>
      <w:r>
        <w:t xml:space="preserve">The peaking of U.S. real rates (at ~2% in late 2024) and subsequent decline helped underpin equity valuations (the equity risk premium stabilized).</w:t>
      </w:r>
      <w:r>
        <w:t xml:space="preserve"> </w:t>
      </w:r>
      <w:r>
        <w:rPr>
          <w:i/>
          <w:iCs/>
        </w:rPr>
        <w:t xml:space="preserve">Yield curve signals flipped:</w:t>
      </w:r>
      <w:r>
        <w:t xml:space="preserve"> </w:t>
      </w:r>
      <w:r>
        <w:t xml:space="preserve">The end of inversion and steepening is historically a precursor to recovery – or sometimes a pre-recession false dawn. In this case, it reflected Fed easing bets and reduced recession pricing.</w:t>
      </w:r>
      <w:r>
        <w:t xml:space="preserve"> </w:t>
      </w:r>
      <w:r>
        <w:rPr>
          <w:i/>
          <w:iCs/>
        </w:rPr>
        <w:t xml:space="preserve">Global yield convergence:</w:t>
      </w:r>
      <w:r>
        <w:t xml:space="preserve"> </w:t>
      </w:r>
      <w:r>
        <w:t xml:space="preserve">The gap between U.S. and German yields narrowed as ECB policy caught up to the Fed’s pivot and as U.S. exceptionalism in growth faded slightly. This contributed to dollar weakness and made hedged U.S. bond returns less compelling to foreign investors.</w:t>
      </w:r>
      <w:r>
        <w:t xml:space="preserve"> </w:t>
      </w:r>
      <w:r>
        <w:rPr>
          <w:i/>
          <w:iCs/>
        </w:rPr>
        <w:t xml:space="preserve">Policy impact:</w:t>
      </w:r>
      <w:r>
        <w:t xml:space="preserve"> </w:t>
      </w:r>
      <w:r>
        <w:t xml:space="preserve">The pronounced bond rally in H2 suggests markets trust central banks have inflation under control – long-term inflation expectations stayed anchored near 2–2.5%. That said, the sticky long-end yields (e.g. U.S. 30Y nearly 4.8% still) remind us that</w:t>
      </w:r>
      <w:r>
        <w:t xml:space="preserve"> </w:t>
      </w:r>
      <w:r>
        <w:rPr>
          <w:b/>
          <w:bCs/>
        </w:rPr>
        <w:t xml:space="preserve">fiscal outlook and inflation uncertainty are keeping a floor under yields</w:t>
      </w:r>
      <w:r>
        <w:t xml:space="preserve"> </w:t>
      </w:r>
      <w:r>
        <w:t xml:space="preserve">– a different regime from the ultra-low yield 2010s.</w:t>
      </w:r>
    </w:p>
    <w:bookmarkEnd w:id="26"/>
    <w:bookmarkStart w:id="27" w:name="X8e507c75abe3dbfc807d1c330493f89cd78debb"/>
    <w:p>
      <w:pPr>
        <w:pStyle w:val="Heading3"/>
      </w:pPr>
      <w:r>
        <w:rPr>
          <w:b/>
          <w:bCs/>
        </w:rPr>
        <w:t xml:space="preserve">Equities:</w:t>
      </w:r>
      <w:r>
        <w:t xml:space="preserve"> </w:t>
      </w:r>
      <w:r>
        <w:rPr>
          <w:b/>
          <w:bCs/>
        </w:rPr>
        <w:t xml:space="preserve">Global equities enjoyed a stellar 2025</w:t>
      </w:r>
      <w:r>
        <w:t xml:space="preserve">, with total returns in the 20–30% range for most major indices. The year was notable for a</w:t>
      </w:r>
      <w:r>
        <w:t xml:space="preserve"> </w:t>
      </w:r>
      <w:r>
        <w:rPr>
          <w:b/>
          <w:bCs/>
        </w:rPr>
        <w:t xml:space="preserve">rotation in leadership</w:t>
      </w:r>
      <w:r>
        <w:t xml:space="preserve">: after years of U.S. megacap dominance,</w:t>
      </w:r>
      <w:r>
        <w:t xml:space="preserve"> </w:t>
      </w:r>
      <w:r>
        <w:rPr>
          <w:b/>
          <w:bCs/>
        </w:rPr>
        <w:t xml:space="preserve">international and value stocks stole the show</w:t>
      </w:r>
      <w:r>
        <w:t xml:space="preserve">. The U.S. S&amp;P 500 gained +17.9% (price), healthy but it actually</w:t>
      </w:r>
      <w:r>
        <w:t xml:space="preserve"> </w:t>
      </w:r>
      <w:r>
        <w:rPr>
          <w:i/>
          <w:iCs/>
        </w:rPr>
        <w:t xml:space="preserve">underperformed</w:t>
      </w:r>
      <w:r>
        <w:t xml:space="preserve"> </w:t>
      </w:r>
      <w:r>
        <w:t xml:space="preserve">every other major region – marking the first time since 2002 that U.S. equities were the laggard. In contrast,</w:t>
      </w:r>
      <w:r>
        <w:t xml:space="preserve"> </w:t>
      </w:r>
      <w:r>
        <w:rPr>
          <w:b/>
          <w:bCs/>
        </w:rPr>
        <w:t xml:space="preserve">Europe</w:t>
      </w:r>
      <w:r>
        <w:t xml:space="preserve"> </w:t>
      </w:r>
      <w:r>
        <w:t xml:space="preserve">(STOXX 600 +38% USD) and</w:t>
      </w:r>
      <w:r>
        <w:t xml:space="preserve"> </w:t>
      </w:r>
      <w:r>
        <w:rPr>
          <w:b/>
          <w:bCs/>
        </w:rPr>
        <w:t xml:space="preserve">Japan</w:t>
      </w:r>
      <w:r>
        <w:t xml:space="preserve"> </w:t>
      </w:r>
      <w:r>
        <w:t xml:space="preserve">(+26% USD) outperformed strongly</w:t>
      </w:r>
      <w:r>
        <w:br/>
      </w:r>
      <w:r>
        <w:t xml:space="preserve">. Drivers included a weaker dollar boosting USD returns, and the fact that European and Japanese stocks started the year at cheaper valuations and saw improved fundamentals (e.g. Europe’s economy surprising positively, Japan’s pro-market reforms and investor inflows).</w:t>
      </w:r>
      <w:r>
        <w:t xml:space="preserve"> </w:t>
      </w:r>
      <w:r>
        <w:rPr>
          <w:b/>
          <w:bCs/>
        </w:rPr>
        <w:t xml:space="preserve">Emerging Markets</w:t>
      </w:r>
      <w:r>
        <w:t xml:space="preserve"> </w:t>
      </w:r>
      <w:r>
        <w:t xml:space="preserve">were the top performer: MSCI EM +30.4%. Within EM, there was broad strength –</w:t>
      </w:r>
      <w:r>
        <w:t xml:space="preserve"> </w:t>
      </w:r>
      <w:r>
        <w:rPr>
          <w:b/>
          <w:bCs/>
        </w:rPr>
        <w:t xml:space="preserve">EM Asia</w:t>
      </w:r>
      <w:r>
        <w:t xml:space="preserve"> </w:t>
      </w:r>
      <w:r>
        <w:t xml:space="preserve">(China, Taiwan, Korea) led, spurred by the tech supply chain and AI excitement, while</w:t>
      </w:r>
      <w:r>
        <w:t xml:space="preserve"> </w:t>
      </w:r>
      <w:r>
        <w:rPr>
          <w:b/>
          <w:bCs/>
        </w:rPr>
        <w:t xml:space="preserve">Latin America</w:t>
      </w:r>
      <w:r>
        <w:t xml:space="preserve"> </w:t>
      </w:r>
      <w:r>
        <w:t xml:space="preserve">bounced back thanks to FX gains and commodity stability. Notably,</w:t>
      </w:r>
      <w:r>
        <w:t xml:space="preserve"> </w:t>
      </w:r>
      <w:r>
        <w:rPr>
          <w:b/>
          <w:bCs/>
        </w:rPr>
        <w:t xml:space="preserve">Korea’s KOSPI</w:t>
      </w:r>
      <w:r>
        <w:t xml:space="preserve"> </w:t>
      </w:r>
      <w:r>
        <w:t xml:space="preserve">doubled (+100% USD) making it the world’s best-performing major index, as investors rewarded Korean semiconductor and EV battery makers leveraged to AI and automotive trends.</w:t>
      </w:r>
    </w:p>
    <w:p>
      <w:pPr>
        <w:pStyle w:val="FirstParagraph"/>
      </w:pPr>
      <w:r>
        <w:rPr>
          <w:b/>
          <w:bCs/>
        </w:rPr>
        <w:t xml:space="preserve">Sector and Style Performance:</w:t>
      </w:r>
      <w:r>
        <w:t xml:space="preserve"> </w:t>
      </w:r>
      <w:r>
        <w:t xml:space="preserve">The</w:t>
      </w:r>
      <w:r>
        <w:t xml:space="preserve"> </w:t>
      </w:r>
      <w:r>
        <w:rPr>
          <w:b/>
          <w:bCs/>
        </w:rPr>
        <w:t xml:space="preserve">AI theme</w:t>
      </w:r>
      <w:r>
        <w:t xml:space="preserve"> </w:t>
      </w:r>
      <w:r>
        <w:t xml:space="preserve">remained a dominant narrative in equity markets. In the U.S.,</w:t>
      </w:r>
      <w:r>
        <w:t xml:space="preserve"> </w:t>
      </w:r>
      <w:r>
        <w:rPr>
          <w:i/>
          <w:iCs/>
        </w:rPr>
        <w:t xml:space="preserve">technology and communication services</w:t>
      </w:r>
      <w:r>
        <w:t xml:space="preserve"> </w:t>
      </w:r>
      <w:r>
        <w:t xml:space="preserve">were again leading sectors (NASDAQ-100 +14%, comm services +33%, info tech +24%). Key contributors were mega-cap platforms and chip companies benefiting from AI demand – although by year-end some of these stocks stumbled on valuation concerns. However, unlike 2023’s narrow rally, 2025 saw a</w:t>
      </w:r>
      <w:r>
        <w:t xml:space="preserve"> </w:t>
      </w:r>
      <w:r>
        <w:rPr>
          <w:b/>
          <w:bCs/>
        </w:rPr>
        <w:t xml:space="preserve">wider breadth</w:t>
      </w:r>
      <w:r>
        <w:t xml:space="preserve"> </w:t>
      </w:r>
      <w:r>
        <w:t xml:space="preserve">of winners. Value stocks staged a comeback globally. In Europe and EM,</w:t>
      </w:r>
      <w:r>
        <w:t xml:space="preserve"> </w:t>
      </w:r>
      <w:r>
        <w:rPr>
          <w:i/>
          <w:iCs/>
        </w:rPr>
        <w:t xml:space="preserve">value outperformed growth</w:t>
      </w:r>
      <w:r>
        <w:t xml:space="preserve"> </w:t>
      </w:r>
      <w:r>
        <w:t xml:space="preserve">– for instance, European bank stocks +30% and industrials +25% outpaced tech. In the U.S., the</w:t>
      </w:r>
      <w:r>
        <w:t xml:space="preserve"> </w:t>
      </w:r>
      <w:r>
        <w:rPr>
          <w:b/>
          <w:bCs/>
        </w:rPr>
        <w:t xml:space="preserve">Russell 1000 Value</w:t>
      </w:r>
      <w:r>
        <w:t xml:space="preserve"> </w:t>
      </w:r>
      <w:r>
        <w:t xml:space="preserve">(+16%) almost matched Growth (+18%), a much smaller gap than in 2023. Small caps initially lagged but rallied late as recession fears ebbed – the Russell 2000 ended +12%. Defensive sectors were mixed: U.S. consumer staples were roughly flat (hurt by rising cost pressures and lack of pricing power), while utilities – high-duration equities – rose ~10% as yields fell.</w:t>
      </w:r>
      <w:r>
        <w:t xml:space="preserve"> </w:t>
      </w:r>
      <w:r>
        <w:rPr>
          <w:b/>
          <w:bCs/>
        </w:rPr>
        <w:t xml:space="preserve">Notably strong sectors/trends:</w:t>
      </w:r>
      <w:r>
        <w:t xml:space="preserve"> </w:t>
      </w:r>
      <w:r>
        <w:rPr>
          <w:i/>
          <w:iCs/>
        </w:rPr>
        <w:t xml:space="preserve">Semiconductor stocks</w:t>
      </w:r>
      <w:r>
        <w:t xml:space="preserve"> </w:t>
      </w:r>
      <w:r>
        <w:t xml:space="preserve">soared worldwide (PHLX Semiconductor Index +40%) on AI chip demand.</w:t>
      </w:r>
      <w:r>
        <w:t xml:space="preserve"> </w:t>
      </w:r>
      <w:r>
        <w:rPr>
          <w:i/>
          <w:iCs/>
        </w:rPr>
        <w:t xml:space="preserve">Automakers</w:t>
      </w:r>
      <w:r>
        <w:t xml:space="preserve"> </w:t>
      </w:r>
      <w:r>
        <w:t xml:space="preserve">and</w:t>
      </w:r>
      <w:r>
        <w:t xml:space="preserve"> </w:t>
      </w:r>
      <w:r>
        <w:rPr>
          <w:i/>
          <w:iCs/>
        </w:rPr>
        <w:t xml:space="preserve">EV-related</w:t>
      </w:r>
      <w:r>
        <w:t xml:space="preserve"> </w:t>
      </w:r>
      <w:r>
        <w:t xml:space="preserve">stocks jumped (helped by lower input costs and a UAW strike resolution in the U.S.).</w:t>
      </w:r>
      <w:r>
        <w:t xml:space="preserve"> </w:t>
      </w:r>
      <w:r>
        <w:rPr>
          <w:i/>
          <w:iCs/>
        </w:rPr>
        <w:t xml:space="preserve">Defense/aerospace</w:t>
      </w:r>
      <w:r>
        <w:t xml:space="preserve"> </w:t>
      </w:r>
      <w:r>
        <w:t xml:space="preserve">shares in Europe and U.S. hit all-time highs, unsurprisingly given heightened defense budgets. By contrast,</w:t>
      </w:r>
      <w:r>
        <w:t xml:space="preserve"> </w:t>
      </w:r>
      <w:r>
        <w:rPr>
          <w:i/>
          <w:iCs/>
        </w:rPr>
        <w:t xml:space="preserve">consumer discretionary</w:t>
      </w:r>
      <w:r>
        <w:t xml:space="preserve"> </w:t>
      </w:r>
      <w:r>
        <w:t xml:space="preserve">was a laggard in the U.S. – pressures on household incomes and tariff-related cost worries weighed on retail and consumer goods (the S&amp;P Retail ETF was up only ~5%).</w:t>
      </w:r>
      <w:r>
        <w:t xml:space="preserve"> </w:t>
      </w:r>
      <w:r>
        <w:rPr>
          <w:b/>
          <w:bCs/>
        </w:rPr>
        <w:t xml:space="preserve">Earnings and valuations:</w:t>
      </w:r>
      <w:r>
        <w:t xml:space="preserve"> </w:t>
      </w:r>
      <w:r>
        <w:t xml:space="preserve">2025 earnings growth was modest in the U.S. (~+5% EPS for S&amp;P 500), but markets rerated stocks higher on lower real yields. The S&amp;P’s forward P/E expanded from ~18x to ~20x. In Europe and EM, earnings surprised positively (Europe EPS +10% aided by banks and energy, EM EPS rebounding after a weak 2024), and valuations went from very cheap to just moderately cheap (Euro STOXX forward P/E ~14x up from 11x; MSCI EM ~13x from 10x). Japan’s reforms (share buybacks, better governance) drove both EPS growth and multiple expansion, boosting TOPIX to multi-decade highs.</w:t>
      </w:r>
    </w:p>
    <w:p>
      <w:pPr>
        <w:pStyle w:val="BodyText"/>
      </w:pPr>
      <w:r>
        <w:rPr>
          <w:b/>
          <w:bCs/>
        </w:rPr>
        <w:t xml:space="preserve">Equity Market Narrative vs. Reality:</w:t>
      </w:r>
      <w:r>
        <w:t xml:space="preserve"> </w:t>
      </w:r>
      <w:r>
        <w:t xml:space="preserve">A key narrative was “</w:t>
      </w:r>
      <w:r>
        <w:rPr>
          <w:i/>
          <w:iCs/>
        </w:rPr>
        <w:t xml:space="preserve">global catch-up</w:t>
      </w:r>
      <w:r>
        <w:t xml:space="preserve">” – international markets finally closing the performance gap with U.S. mega-caps. This played out as expected, rewarding positioning in Europe/Japan/EM. Another narrative: the “</w:t>
      </w:r>
      <w:r>
        <w:rPr>
          <w:i/>
          <w:iCs/>
        </w:rPr>
        <w:t xml:space="preserve">AI bubble</w:t>
      </w:r>
      <w:r>
        <w:t xml:space="preserve">.” While AI excitement unquestionably propelled flows (NVIDIA became the first $2 trillion semiconductor firm mid-year), by Q4 investors began to</w:t>
      </w:r>
      <w:r>
        <w:t xml:space="preserve"> </w:t>
      </w:r>
      <w:r>
        <w:rPr>
          <w:b/>
          <w:bCs/>
        </w:rPr>
        <w:t xml:space="preserve">differentiate winners vs. losers</w:t>
      </w:r>
      <w:r>
        <w:t xml:space="preserve"> </w:t>
      </w:r>
      <w:r>
        <w:t xml:space="preserve">in AI. Only two of the seven biggest U.S. tech firms (the “Mag7”) beat the S&amp;P’s return, suggesting some froth came off late in the year – e.g. an “AI-trade” selloff in November knocked Nasdaq down ~–5% one week. Meanwhile, a story of</w:t>
      </w:r>
      <w:r>
        <w:t xml:space="preserve"> </w:t>
      </w:r>
      <w:r>
        <w:rPr>
          <w:b/>
          <w:bCs/>
        </w:rPr>
        <w:t xml:space="preserve">“Old Economy” revival</w:t>
      </w:r>
      <w:r>
        <w:t xml:space="preserve"> </w:t>
      </w:r>
      <w:r>
        <w:t xml:space="preserve">emerged: industrials, materials, and energy stocks (despite oil’s fall) did surprisingly well on the back of infrastructure spending and reshoring. For instance, U.S. and European infrastructure/construction indexes were up ~30%+.</w:t>
      </w:r>
      <w:r>
        <w:t xml:space="preserve"> </w:t>
      </w:r>
      <w:r>
        <w:rPr>
          <w:b/>
          <w:bCs/>
        </w:rPr>
        <w:t xml:space="preserve">China’s equity market</w:t>
      </w:r>
      <w:r>
        <w:t xml:space="preserve"> </w:t>
      </w:r>
      <w:r>
        <w:t xml:space="preserve">– often a drag in recent years – contributed positively: the Shanghai Composite rose ~20% (helped by policy easing and resilient exports despite tariffs). Still, investors remained cautious on China, preferring other EM until clear signs of restructuring in property emerged.</w:t>
      </w:r>
    </w:p>
    <w:p>
      <w:pPr>
        <w:pStyle w:val="BodyText"/>
      </w:pPr>
      <w:r>
        <w:rPr>
          <w:b/>
          <w:bCs/>
        </w:rPr>
        <w:t xml:space="preserve">What about</w:t>
      </w:r>
      <w:r>
        <w:t xml:space="preserve"> </w:t>
      </w:r>
      <w:r>
        <w:t xml:space="preserve">equity risk premia**? With bond yields high early in 2025, the equity risk premium (ERP) for U.S. stocks had compressed to relatively low levels. However, as yields fell and earnings held up, ERP stabilized. By year-end, the S&amp;P 500 earnings yield (~5%) minus 10Y yield (~4.1%) was ~0.9%, a bit low historically, but justified by improved growth outlook. In Europe and EM, ERPs remained above historical averages, indicating potential value still.</w:t>
      </w:r>
    </w:p>
    <w:bookmarkEnd w:id="27"/>
    <w:bookmarkStart w:id="28" w:name="X9c51cf7f11a7964d096195c782354dcb159af89"/>
    <w:p>
      <w:pPr>
        <w:pStyle w:val="Heading3"/>
      </w:pPr>
      <w:r>
        <w:rPr>
          <w:b/>
          <w:bCs/>
        </w:rPr>
        <w:t xml:space="preserve">Credit:</w:t>
      </w:r>
      <w:r>
        <w:t xml:space="preserve"> </w:t>
      </w:r>
      <w:r>
        <w:rPr>
          <w:b/>
          <w:bCs/>
        </w:rPr>
        <w:t xml:space="preserve">Credit markets were remarkably benign</w:t>
      </w:r>
      <w:r>
        <w:t xml:space="preserve"> </w:t>
      </w:r>
      <w:r>
        <w:t xml:space="preserve">in 2025, reflecting strong corporate fundamentals and ample liquidity.</w:t>
      </w:r>
      <w:r>
        <w:t xml:space="preserve"> </w:t>
      </w:r>
      <w:r>
        <w:rPr>
          <w:b/>
          <w:bCs/>
        </w:rPr>
        <w:t xml:space="preserve">Investment Grade (IG) credit:</w:t>
      </w:r>
      <w:r>
        <w:t xml:space="preserve"> </w:t>
      </w:r>
      <w:r>
        <w:t xml:space="preserve">U.S. IG corporate bonds returned ~10.5%</w:t>
      </w:r>
      <w:r>
        <w:br/>
      </w:r>
      <w:r>
        <w:t xml:space="preserve">, benefitting from both tightening spreads and the fall in Treasury yields. IG spreads started ~130 bps and ground into the low ~90s bps by Q4 – the tightest since 2018. The catalysts were low default rates and still-solid interest coverage; many companies termed out debt in 2020–21 at low rates, so immediate refinancing pressure was limited. Even as rates stayed relatively high, corporate balance sheets were healthy and downgrades few.</w:t>
      </w:r>
      <w:r>
        <w:t xml:space="preserve"> </w:t>
      </w:r>
      <w:r>
        <w:rPr>
          <w:b/>
          <w:bCs/>
        </w:rPr>
        <w:t xml:space="preserve">High Yield (HY) credit:</w:t>
      </w:r>
      <w:r>
        <w:t xml:space="preserve"> </w:t>
      </w:r>
      <w:r>
        <w:t xml:space="preserve">HY spreads compressed from ~450 to ~350 bps, and total returns topped +10%</w:t>
      </w:r>
      <w:r>
        <w:br/>
      </w:r>
      <w:r>
        <w:t xml:space="preserve">. There was some differentiation: BB-rated bonds (upper junk) were in hot demand (yielding ~6% by year-end, very attractive vs IG), whereas CCC-rated (deep junk) rallied less until late year. The U.S. HY default rate ended around 2.5%, ticking up slightly from 2024’s ultra-lows but far below historical averages (~4%). Notably, no large “fallen angels” emerged – in fact, some previously junk-rated issuers were upgraded as earnings improved.</w:t>
      </w:r>
      <w:r>
        <w:t xml:space="preserve"> </w:t>
      </w:r>
      <w:r>
        <w:rPr>
          <w:b/>
          <w:bCs/>
        </w:rPr>
        <w:t xml:space="preserve">Leveraged loans:</w:t>
      </w:r>
      <w:r>
        <w:t xml:space="preserve"> </w:t>
      </w:r>
      <w:r>
        <w:t xml:space="preserve">Floating-rate loans underperformed fixed-rate HY in price (since rates fell, fixed-rate bonds gained more in price), but still delivered high single-digit yields. Loan default rates stayed under 3%. European credit mirrored U.S. – Europe IG spreads ~100 bps, and European HY yields ~6% (a big drop from ~8–9% yield in Jan).</w:t>
      </w:r>
      <w:r>
        <w:t xml:space="preserve"> </w:t>
      </w:r>
      <w:r>
        <w:rPr>
          <w:b/>
          <w:bCs/>
        </w:rPr>
        <w:t xml:space="preserve">Emerging Market credit:</w:t>
      </w:r>
      <w:r>
        <w:t xml:space="preserve"> </w:t>
      </w:r>
      <w:r>
        <w:t xml:space="preserve">A star performer in fixed income. EM sovereign dollar bonds (EMBI Global Index) returned ~13.4%</w:t>
      </w:r>
      <w:r>
        <w:br/>
      </w:r>
      <w:r>
        <w:t xml:space="preserve">as U.S. Treasury yields fell and EM spreads narrowed ~50 bps. Even frontier markets rallied as risk appetite improved – e.g. some distressed African and Pakistani bonds surged on hopes of IMF programs and China debt relief. One caution is that EM hard-currency bonds are now more richly valued relative to history, but with low new issuance in 2025, technicals were supportive.</w:t>
      </w:r>
      <w:r>
        <w:t xml:space="preserve"> </w:t>
      </w:r>
      <w:r>
        <w:rPr>
          <w:b/>
          <w:bCs/>
        </w:rPr>
        <w:t xml:space="preserve">Issuance trends:</w:t>
      </w:r>
      <w:r>
        <w:t xml:space="preserve"> </w:t>
      </w:r>
      <w:r>
        <w:t xml:space="preserve">After a light 2022–24, 2025 saw</w:t>
      </w:r>
      <w:r>
        <w:t xml:space="preserve"> </w:t>
      </w:r>
      <w:r>
        <w:rPr>
          <w:i/>
          <w:iCs/>
        </w:rPr>
        <w:t xml:space="preserve">robust corporate issuance</w:t>
      </w:r>
      <w:r>
        <w:t xml:space="preserve">. IG firms took advantage of market strength to issue bonds, particularly in H2 when yields eased – e.g. some mega bond sales from tech and financial companies met strong demand. HY issuance also reopened: multiple first-time issuers tapped the junk bond market by Q4. These were signs of normalization and investor hunger for yield.</w:t>
      </w:r>
    </w:p>
    <w:p>
      <w:pPr>
        <w:pStyle w:val="FirstParagraph"/>
      </w:pPr>
      <w:r>
        <w:t xml:space="preserve">Crucially,</w:t>
      </w:r>
      <w:r>
        <w:t xml:space="preserve"> </w:t>
      </w:r>
      <w:r>
        <w:rPr>
          <w:b/>
          <w:bCs/>
        </w:rPr>
        <w:t xml:space="preserve">credit markets “looked through” macro worries</w:t>
      </w:r>
      <w:r>
        <w:t xml:space="preserve">. Neither the trade war nor the shutdown caused significant spread widening – any blips were quickly reversed as investors used widening as a buy signal. When equities sold off in April, IG spreads briefly widened ~20 bps, but by June they were tighter than before. Similarly, October’s volatility saw only modest credit moves.</w:t>
      </w:r>
      <w:r>
        <w:t xml:space="preserve"> </w:t>
      </w:r>
      <w:r>
        <w:rPr>
          <w:b/>
          <w:bCs/>
        </w:rPr>
        <w:t xml:space="preserve">Covenant quality</w:t>
      </w:r>
      <w:r>
        <w:t xml:space="preserve"> </w:t>
      </w:r>
      <w:r>
        <w:t xml:space="preserve">remained a concern longer-term (still quite loose in loans), but with few defaults, it wasn’t tested. One pocket of stress was</w:t>
      </w:r>
      <w:r>
        <w:t xml:space="preserve"> </w:t>
      </w:r>
      <w:r>
        <w:rPr>
          <w:b/>
          <w:bCs/>
        </w:rPr>
        <w:t xml:space="preserve">U.S. commercial real estate (CRE)</w:t>
      </w:r>
      <w:r>
        <w:t xml:space="preserve"> </w:t>
      </w:r>
      <w:r>
        <w:t xml:space="preserve">loans and CMBS, where office vacancy issues persisted. Some CRE bonds traded at distressed levels. However, banks had largely provisioned and pulled back from new CRE lending, preventing systemic issues.</w:t>
      </w:r>
      <w:r>
        <w:t xml:space="preserve"> </w:t>
      </w:r>
      <w:r>
        <w:rPr>
          <w:b/>
          <w:bCs/>
        </w:rPr>
        <w:t xml:space="preserve">Overall message:</w:t>
      </w:r>
      <w:r>
        <w:t xml:space="preserve"> </w:t>
      </w:r>
      <w:r>
        <w:t xml:space="preserve">2025 was the year credit performed like an equity–bond hybrid, capturing upside from both risk rally and rate declines.</w:t>
      </w:r>
    </w:p>
    <w:bookmarkEnd w:id="28"/>
    <w:bookmarkStart w:id="29" w:name="X6019f59f9406b2fb595807665fb35c816cc785e"/>
    <w:p>
      <w:pPr>
        <w:pStyle w:val="Heading3"/>
      </w:pPr>
      <w:r>
        <w:rPr>
          <w:b/>
          <w:bCs/>
        </w:rPr>
        <w:t xml:space="preserve">FX:</w:t>
      </w:r>
      <w:r>
        <w:t xml:space="preserve"> </w:t>
      </w:r>
      <w:r>
        <w:rPr>
          <w:b/>
          <w:bCs/>
        </w:rPr>
        <w:t xml:space="preserve">Foreign exchange in 2025 was defined by a</w:t>
      </w:r>
      <w:r>
        <w:t xml:space="preserve"> </w:t>
      </w:r>
      <w:r>
        <w:t xml:space="preserve">broad weakening of the U.S. dollar</w:t>
      </w:r>
      <w:r>
        <w:t xml:space="preserve"> </w:t>
      </w:r>
      <w:r>
        <w:rPr>
          <w:b/>
          <w:bCs/>
        </w:rPr>
        <w:t xml:space="preserve">and notable divergence among major currencies. The</w:t>
      </w:r>
      <w:r>
        <w:t xml:space="preserve"> </w:t>
      </w:r>
      <w:r>
        <w:t xml:space="preserve">USD index (DXY)</w:t>
      </w:r>
      <w:r>
        <w:t xml:space="preserve"> </w:t>
      </w:r>
      <w:r>
        <w:rPr>
          <w:b/>
          <w:bCs/>
        </w:rPr>
        <w:t xml:space="preserve">fell about –9%, its worst annual performance since 2017 and breaking a multi-year strong-dollar trend. The dollar was pressured by</w:t>
      </w:r>
      <w:r>
        <w:t xml:space="preserve"> </w:t>
      </w:r>
      <w:r>
        <w:t xml:space="preserve">narrowing interest rate differentials</w:t>
      </w:r>
      <w:r>
        <w:t xml:space="preserve"> </w:t>
      </w:r>
      <w:r>
        <w:rPr>
          <w:b/>
          <w:bCs/>
        </w:rPr>
        <w:t xml:space="preserve">(as the Fed cut rates ahead of others) and by</w:t>
      </w:r>
      <w:r>
        <w:t xml:space="preserve"> </w:t>
      </w:r>
      <w:r>
        <w:t xml:space="preserve">U.S. fiscal worries</w:t>
      </w:r>
      <w:r>
        <w:t xml:space="preserve"> </w:t>
      </w:r>
      <w:r>
        <w:rPr>
          <w:b/>
          <w:bCs/>
        </w:rPr>
        <w:t xml:space="preserve">(investors grew wary of the twin deficits, adding to dollar bearishness). The</w:t>
      </w:r>
      <w:r>
        <w:t xml:space="preserve"> </w:t>
      </w:r>
      <w:r>
        <w:t xml:space="preserve">Euro</w:t>
      </w:r>
      <w:r>
        <w:t xml:space="preserve"> </w:t>
      </w:r>
      <w:r>
        <w:rPr>
          <w:b/>
          <w:bCs/>
        </w:rPr>
        <w:t xml:space="preserve">was a big winner: EUR/USD jumped from ~1.07 to ~1.17, +13.6%, buoyed by Europe’s reduced energy risk and improved current account, as well as the ECB holding rates high even as the Fed eased. The euro’s 13% climb was the steepest annual gain since its 2009 rebound.</w:t>
      </w:r>
      <w:r>
        <w:t xml:space="preserve"> </w:t>
      </w:r>
      <w:r>
        <w:t xml:space="preserve">The British pound** also surged (~+17% to $1.42), reflecting the UK’s inflation turnaround and expectations of BoE easing (which paradoxically lifted sterling, as UK real yields became more attractive with falling inflation).</w:t>
      </w:r>
    </w:p>
    <w:p>
      <w:pPr>
        <w:pStyle w:val="FirstParagraph"/>
      </w:pPr>
      <w:r>
        <w:t xml:space="preserve">In contrast, the</w:t>
      </w:r>
      <w:r>
        <w:t xml:space="preserve"> </w:t>
      </w:r>
      <w:r>
        <w:rPr>
          <w:b/>
          <w:bCs/>
        </w:rPr>
        <w:t xml:space="preserve">Japanese yen</w:t>
      </w:r>
      <w:r>
        <w:t xml:space="preserve"> </w:t>
      </w:r>
      <w:r>
        <w:rPr>
          <w:i/>
          <w:iCs/>
        </w:rPr>
        <w:t xml:space="preserve">weakened</w:t>
      </w:r>
      <w:r>
        <w:t xml:space="preserve"> </w:t>
      </w:r>
      <w:r>
        <w:t xml:space="preserve">further against the dollar for much of the year, reaching 156.7 per USD – a 33-year low in nominal terms – before finishing roughly flat YoY (around ¥156) after some late-year strengthening. The yen’s underperformance, despite BoJ policy normalization, was partly due to</w:t>
      </w:r>
      <w:r>
        <w:t xml:space="preserve"> </w:t>
      </w:r>
      <w:r>
        <w:rPr>
          <w:i/>
          <w:iCs/>
        </w:rPr>
        <w:t xml:space="preserve">risk-on flows</w:t>
      </w:r>
      <w:r>
        <w:t xml:space="preserve"> </w:t>
      </w:r>
      <w:r>
        <w:t xml:space="preserve">(yen funded carry trades into higher-yielding assets) and Japan’s still-large yield gap versus the U.S. (even at 1% JGB yields vs 4% UST). The</w:t>
      </w:r>
      <w:r>
        <w:t xml:space="preserve"> </w:t>
      </w:r>
      <w:r>
        <w:rPr>
          <w:b/>
          <w:bCs/>
        </w:rPr>
        <w:t xml:space="preserve">yen’s volatility</w:t>
      </w:r>
      <w:r>
        <w:t xml:space="preserve"> </w:t>
      </w:r>
      <w:r>
        <w:t xml:space="preserve">was high; at one point in Q3, markets anticipated unilateral intervention as USD/JPY approached 160, but the BoJ’s incremental tightening stabilized it.</w:t>
      </w:r>
      <w:r>
        <w:t xml:space="preserve"> </w:t>
      </w:r>
      <w:r>
        <w:rPr>
          <w:b/>
          <w:bCs/>
        </w:rPr>
        <w:t xml:space="preserve">Commodity currencies</w:t>
      </w:r>
      <w:r>
        <w:t xml:space="preserve"> </w:t>
      </w:r>
      <w:r>
        <w:t xml:space="preserve">mostly rallied. The Canadian and Australian dollars gained moderately (CAD +6%, AUD +4% vs USD), helped by improved risk appetite offset by weaker commodity prices. The standout was in EMFX: many emerging currencies were</w:t>
      </w:r>
      <w:r>
        <w:t xml:space="preserve"> </w:t>
      </w:r>
      <w:r>
        <w:rPr>
          <w:b/>
          <w:bCs/>
        </w:rPr>
        <w:t xml:space="preserve">exceptionally strong</w:t>
      </w:r>
      <w:r>
        <w:t xml:space="preserve">. The</w:t>
      </w:r>
      <w:r>
        <w:t xml:space="preserve"> </w:t>
      </w:r>
      <w:r>
        <w:rPr>
          <w:b/>
          <w:bCs/>
        </w:rPr>
        <w:t xml:space="preserve">Mexican peso (MXN)</w:t>
      </w:r>
      <w:r>
        <w:t xml:space="preserve"> </w:t>
      </w:r>
      <w:r>
        <w:t xml:space="preserve">appreciated ~18% vs USD, reaching ~16, its strongest in 8+ years – fueled by carry (Banco de México kept rates &gt;9% for most of year) and nearshoring investment inflows. The</w:t>
      </w:r>
      <w:r>
        <w:t xml:space="preserve"> </w:t>
      </w:r>
      <w:r>
        <w:rPr>
          <w:b/>
          <w:bCs/>
        </w:rPr>
        <w:t xml:space="preserve">Brazilian real (BRL)</w:t>
      </w:r>
      <w:r>
        <w:t xml:space="preserve"> </w:t>
      </w:r>
      <w:r>
        <w:t xml:space="preserve">similarly jumped ~16%, buoyed by high real rates and Brazil’s commodity basket (soy, iron ore) plus renewed fiscal credibility. Even typically fragile currencies like the Turkish lira stabilized in H2 after an initial drop, as Turkey’s new central bank hiked rates to 35%. In Asia, aside from yen: the</w:t>
      </w:r>
      <w:r>
        <w:t xml:space="preserve"> </w:t>
      </w:r>
      <w:r>
        <w:rPr>
          <w:b/>
          <w:bCs/>
        </w:rPr>
        <w:t xml:space="preserve">Chinese yuan</w:t>
      </w:r>
      <w:r>
        <w:t xml:space="preserve"> </w:t>
      </w:r>
      <w:r>
        <w:t xml:space="preserve">was a point of focus – after breaching 7.30 per USD in April (post-tariff), the yuan recovered to about 7.00. Onshore CNY ended ~3.3% stronger against the dollar for the year, a remarkably good performance considering China’s rate cuts and trade hit. This was driven in part by China’s</w:t>
      </w:r>
      <w:r>
        <w:t xml:space="preserve"> </w:t>
      </w:r>
      <w:r>
        <w:rPr>
          <w:i/>
          <w:iCs/>
        </w:rPr>
        <w:t xml:space="preserve">trade surplus</w:t>
      </w:r>
      <w:r>
        <w:t xml:space="preserve"> </w:t>
      </w:r>
      <w:r>
        <w:t xml:space="preserve">and possibly some intervention to support the yuan and project confidence. Other Asian EM currencies (INR, IDR) made modest gains vs USD in line with the weaker dollar trend.</w:t>
      </w:r>
    </w:p>
    <w:p>
      <w:pPr>
        <w:pStyle w:val="BodyText"/>
      </w:pPr>
      <w:r>
        <w:rPr>
          <w:b/>
          <w:bCs/>
        </w:rPr>
        <w:t xml:space="preserve">Key FX themes:</w:t>
      </w:r>
      <w:r>
        <w:t xml:space="preserve"> </w:t>
      </w:r>
      <w:r>
        <w:rPr>
          <w:i/>
          <w:iCs/>
        </w:rPr>
        <w:t xml:space="preserve">“Trump dollar” vs “Powell dollar”</w:t>
      </w:r>
      <w:r>
        <w:t xml:space="preserve"> </w:t>
      </w:r>
      <w:r>
        <w:t xml:space="preserve">– Initially, the return of Trump with tariff threats might have been expected to strengthen the dollar (trade war = risk-off = USD bid), but that was outweighed by the Fed’s dovish shift and the narrative of U.S. political/fiscal uncertainty, which actually</w:t>
      </w:r>
      <w:r>
        <w:t xml:space="preserve"> </w:t>
      </w:r>
      <w:r>
        <w:rPr>
          <w:b/>
          <w:bCs/>
        </w:rPr>
        <w:t xml:space="preserve">undermined the dollar</w:t>
      </w:r>
      <w:r>
        <w:t xml:space="preserve">. Another theme:</w:t>
      </w:r>
      <w:r>
        <w:t xml:space="preserve"> </w:t>
      </w:r>
      <w:r>
        <w:rPr>
          <w:i/>
          <w:iCs/>
        </w:rPr>
        <w:t xml:space="preserve">Euro resilience</w:t>
      </w:r>
      <w:r>
        <w:t xml:space="preserve"> </w:t>
      </w:r>
      <w:r>
        <w:t xml:space="preserve">– the euro benefited as Europe’s terms of trade improved dramatically from the 2022 energy shock (natural gas prices down, leading to current account swing from deficit back to surplus).</w:t>
      </w:r>
      <w:r>
        <w:t xml:space="preserve"> </w:t>
      </w:r>
      <w:r>
        <w:rPr>
          <w:i/>
          <w:iCs/>
        </w:rPr>
        <w:t xml:space="preserve">Carry trading regained popularity</w:t>
      </w:r>
      <w:r>
        <w:t xml:space="preserve">: with volatility low in H2, investors flocked to high-yield currencies like MXN, BRL, ZAR – funded by low-yielders (JPY, EUR to an extent).</w:t>
      </w:r>
      <w:r>
        <w:t xml:space="preserve"> </w:t>
      </w:r>
      <w:r>
        <w:rPr>
          <w:i/>
          <w:iCs/>
        </w:rPr>
        <w:t xml:space="preserve">Intervention and capital controls:</w:t>
      </w:r>
      <w:r>
        <w:t xml:space="preserve"> </w:t>
      </w:r>
      <w:r>
        <w:t xml:space="preserve">China took measures to discourage yuan shorting (like raising FX reserve requirements for banks), and Japan as noted jawboned about intervention. Both managed to avoid actual large-scale interventions in 2025, but they remain watchpoints.</w:t>
      </w:r>
    </w:p>
    <w:p>
      <w:pPr>
        <w:pStyle w:val="BodyText"/>
      </w:pPr>
      <w:r>
        <w:t xml:space="preserve">Overall, FX moves in 2025 aided global investors: A weaker dollar boosted U.S. investors’ foreign holdings (unhedged). The significant dollar drop also eased financial conditions globally (many EM central banks were able to cut rates without currency stress). For 2026, the question is whether the</w:t>
      </w:r>
      <w:r>
        <w:t xml:space="preserve"> </w:t>
      </w:r>
      <w:r>
        <w:rPr>
          <w:b/>
          <w:bCs/>
        </w:rPr>
        <w:t xml:space="preserve">dollar’s secular peak in late 2022 (DXY ~114) is now firmly behind us</w:t>
      </w:r>
      <w:r>
        <w:t xml:space="preserve">, with 2025 marking the start of a more sustained dollar downtrend – a possibility if U.S. growth exceptionalism continues to fade and other blocs prove more attractive.</w:t>
      </w:r>
    </w:p>
    <w:bookmarkEnd w:id="29"/>
    <w:bookmarkStart w:id="30" w:name="X35ab22fc9534e5a2674c6e39d8d3b9676b3cca1"/>
    <w:p>
      <w:pPr>
        <w:pStyle w:val="Heading3"/>
      </w:pPr>
      <w:r>
        <w:rPr>
          <w:b/>
          <w:bCs/>
        </w:rPr>
        <w:t xml:space="preserve">Commodities:</w:t>
      </w:r>
      <w:r>
        <w:t xml:space="preserve"> </w:t>
      </w:r>
      <w:r>
        <w:rPr>
          <w:b/>
          <w:bCs/>
        </w:rPr>
        <w:t xml:space="preserve">Commodity markets told a tale of two halves</w:t>
      </w:r>
      <w:r>
        <w:t xml:space="preserve"> </w:t>
      </w:r>
      <w:r>
        <w:t xml:space="preserve">in 2025, with</w:t>
      </w:r>
      <w:r>
        <w:t xml:space="preserve"> </w:t>
      </w:r>
      <w:r>
        <w:rPr>
          <w:b/>
          <w:bCs/>
        </w:rPr>
        <w:t xml:space="preserve">energy prices collapsing</w:t>
      </w:r>
      <w:r>
        <w:t xml:space="preserve"> </w:t>
      </w:r>
      <w:r>
        <w:t xml:space="preserve">while</w:t>
      </w:r>
      <w:r>
        <w:t xml:space="preserve"> </w:t>
      </w:r>
      <w:r>
        <w:rPr>
          <w:b/>
          <w:bCs/>
        </w:rPr>
        <w:t xml:space="preserve">metals (especially precious) soared</w:t>
      </w:r>
      <w:r>
        <w:t xml:space="preserve">, and agriculture relatively stable. The broad Bloomberg Commodity Index was flat (+0.8%)</w:t>
      </w:r>
      <w:r>
        <w:br/>
      </w:r>
      <w:r>
        <w:t xml:space="preserve">, masking big divergences within.</w:t>
      </w:r>
    </w:p>
    <w:p>
      <w:pPr>
        <w:numPr>
          <w:ilvl w:val="0"/>
          <w:numId w:val="1001"/>
        </w:numPr>
      </w:pPr>
      <w:r>
        <w:rPr>
          <w:b/>
          <w:bCs/>
        </w:rPr>
        <w:t xml:space="preserve">Energy:</w:t>
      </w:r>
      <w:r>
        <w:t xml:space="preserve"> </w:t>
      </w:r>
      <w:r>
        <w:t xml:space="preserve">Oil had its worst year since 2020’s pandemic crash.</w:t>
      </w:r>
      <w:r>
        <w:t xml:space="preserve"> </w:t>
      </w:r>
      <w:r>
        <w:rPr>
          <w:b/>
          <w:bCs/>
        </w:rPr>
        <w:t xml:space="preserve">Brent crude</w:t>
      </w:r>
      <w:r>
        <w:t xml:space="preserve"> </w:t>
      </w:r>
      <w:r>
        <w:t xml:space="preserve">fell ~28% to ~$61, and WTI fell ~30% to ~$57, despite the absence of a recession. The slide was driven by</w:t>
      </w:r>
      <w:r>
        <w:t xml:space="preserve"> </w:t>
      </w:r>
      <w:r>
        <w:rPr>
          <w:i/>
          <w:iCs/>
        </w:rPr>
        <w:t xml:space="preserve">oversupply concerns and geopolitics</w:t>
      </w:r>
      <w:r>
        <w:t xml:space="preserve">. Early in 2025, Russian oil exports held up better than expected (even under price cap), and the U.S. quietly allowed more Venezuelan and Iranian oil into markets anticipating future diplomacy (indeed, by year-end the U.S. was moving to facilitate Venezuelan output). At the same time, demand growth was mediocre – China’s rebound was service-heavy (less oil intensive), and global EV adoption cut into gasoline use. By Q3, U.S. crude inventories were building, and OPEC+ found itself raising output to regain market share after years of cuts. A noteworthy factor:</w:t>
      </w:r>
      <w:r>
        <w:t xml:space="preserve"> </w:t>
      </w:r>
      <w:r>
        <w:rPr>
          <w:i/>
          <w:iCs/>
        </w:rPr>
        <w:t xml:space="preserve">political turmoil within OPEC+</w:t>
      </w:r>
      <w:r>
        <w:t xml:space="preserve"> </w:t>
      </w:r>
      <w:r>
        <w:t xml:space="preserve">(a Saudi-UAE rift over Yemen) sowed doubt about the cohesion of the cartel, also weighing on prices. One might expect the Israel–Gaza conflict (which flared in October) to boost oil, but it stayed localized and did not threaten major oil supply, thus having limited effect. Natural gas prices also fell – U.S. Henry Hub gas averaged ~$3, finishing around $2.70 (down ~30%). Europe’s TTF gas price collapsed from ~€80/MWh in Jan to ~€30 by Dec as storage remained high and two consecutive mild winters eased fears of shortages.</w:t>
      </w:r>
    </w:p>
    <w:p>
      <w:pPr>
        <w:numPr>
          <w:ilvl w:val="0"/>
          <w:numId w:val="1001"/>
        </w:numPr>
      </w:pPr>
      <w:r>
        <w:rPr>
          <w:b/>
          <w:bCs/>
        </w:rPr>
        <w:t xml:space="preserve">Metals:</w:t>
      </w:r>
      <w:r>
        <w:t xml:space="preserve"> </w:t>
      </w:r>
      <w:r>
        <w:t xml:space="preserve">It was a</w:t>
      </w:r>
      <w:r>
        <w:t xml:space="preserve"> </w:t>
      </w:r>
      <w:r>
        <w:rPr>
          <w:b/>
          <w:bCs/>
        </w:rPr>
        <w:t xml:space="preserve">historic year for precious metals</w:t>
      </w:r>
      <w:r>
        <w:t xml:space="preserve">.</w:t>
      </w:r>
      <w:r>
        <w:t xml:space="preserve"> </w:t>
      </w:r>
      <w:r>
        <w:rPr>
          <w:b/>
          <w:bCs/>
        </w:rPr>
        <w:t xml:space="preserve">Gold</w:t>
      </w:r>
      <w:r>
        <w:t xml:space="preserve"> </w:t>
      </w:r>
      <w:r>
        <w:t xml:space="preserve">skyrocketed from ~$1,830 to over $4,300, a 136% increase in USD (and even more in other currencies), marking its highest nominal price ever. The magnitude of gold’s move was attributed to a confluence of factors: (i)</w:t>
      </w:r>
      <w:r>
        <w:t xml:space="preserve"> </w:t>
      </w:r>
      <w:r>
        <w:rPr>
          <w:b/>
          <w:bCs/>
        </w:rPr>
        <w:t xml:space="preserve">Central bank buying</w:t>
      </w:r>
      <w:r>
        <w:t xml:space="preserve"> </w:t>
      </w:r>
      <w:r>
        <w:t xml:space="preserve">hit record levels (many emerging central banks added gold to diversify reserves amidst sanction fears), (ii) real interest rates began falling, reducing gold’s opportunity cost, (iii) the weaker dollar and tariff/inflation uncertainties boosted gold’s allure as a hedge. Gold’s rally was so sharp that by Q4 there was chatter of a speculative overshoot – indeed, gold had a sharp correction in late December (–7% in one day) as some large funds took profits.</w:t>
      </w:r>
      <w:r>
        <w:t xml:space="preserve"> </w:t>
      </w:r>
      <w:r>
        <w:rPr>
          <w:b/>
          <w:bCs/>
        </w:rPr>
        <w:t xml:space="preserve">Silver</w:t>
      </w:r>
      <w:r>
        <w:t xml:space="preserve"> </w:t>
      </w:r>
      <w:r>
        <w:t xml:space="preserve">outdid even gold: starting around $24, it rocketed to above $75 at peak, ending around $71 – up ~195%. Silver’s dual role as precious and industrial metal, plus its tighter physical supply, contributed to a volatile melt-up (small markets + big ETF inflows can cause outsized moves). By year-end, silver had its</w:t>
      </w:r>
      <w:r>
        <w:t xml:space="preserve"> </w:t>
      </w:r>
      <w:r>
        <w:rPr>
          <w:b/>
          <w:bCs/>
        </w:rPr>
        <w:t xml:space="preserve">best year on record</w:t>
      </w:r>
      <w:r>
        <w:t xml:space="preserve">, and the gold/silver ratio tightened significantly (from ~80 to 60).</w:t>
      </w:r>
      <w:r>
        <w:t xml:space="preserve"> </w:t>
      </w:r>
      <w:r>
        <w:rPr>
          <w:b/>
          <w:bCs/>
        </w:rPr>
        <w:t xml:space="preserve">Industrial metals</w:t>
      </w:r>
      <w:r>
        <w:t xml:space="preserve"> </w:t>
      </w:r>
      <w:r>
        <w:t xml:space="preserve">were strong as well.</w:t>
      </w:r>
      <w:r>
        <w:t xml:space="preserve"> </w:t>
      </w:r>
      <w:r>
        <w:rPr>
          <w:b/>
          <w:bCs/>
        </w:rPr>
        <w:t xml:space="preserve">Copper</w:t>
      </w:r>
      <w:r>
        <w:t xml:space="preserve"> </w:t>
      </w:r>
      <w:r>
        <w:t xml:space="preserve">gained ~45%, reflecting improved global manufacturing outlook and optimism around electrification (copper is a key input for EVs, grids)</w:t>
      </w:r>
      <w:r>
        <w:br/>
      </w:r>
      <w:r>
        <w:t xml:space="preserve">. After a tough 2024, other base metals like aluminum and nickel also rose ~20%. This was interesting given China’s property woes – it implies demand from green energy and vehicles was offsetting weakness in construction. Additionally, a lack of new mine investment kept supply constrained.</w:t>
      </w:r>
      <w:r>
        <w:t xml:space="preserve"> </w:t>
      </w:r>
      <w:r>
        <w:rPr>
          <w:b/>
          <w:bCs/>
        </w:rPr>
        <w:t xml:space="preserve">Iron ore</w:t>
      </w:r>
      <w:r>
        <w:t xml:space="preserve"> </w:t>
      </w:r>
      <w:r>
        <w:t xml:space="preserve">was an exception; it was flat-to-down, as China’s construction remained sluggish and there is plenty of supply.</w:t>
      </w:r>
    </w:p>
    <w:p>
      <w:pPr>
        <w:numPr>
          <w:ilvl w:val="0"/>
          <w:numId w:val="1001"/>
        </w:numPr>
      </w:pPr>
      <w:r>
        <w:rPr>
          <w:b/>
          <w:bCs/>
        </w:rPr>
        <w:t xml:space="preserve">Agri:</w:t>
      </w:r>
      <w:r>
        <w:t xml:space="preserve"> </w:t>
      </w:r>
      <w:r>
        <w:t xml:space="preserve">Agricultural commodities had a quieter year. Grain prices were generally range-bound at slightly above pre-Ukraine war levels. There were some swings – wheat jumped mid-year on uncertainty over the Black Sea grain deal (Russia briefly halted Ukraine grain corridor in July), but then fell back when exports found ways. Corn and soy prices eased somewhat as South American harvests were strong (Brazil had record crops). Food commodity inflation thus continued to moderate worldwide. One outlier was sugar: global sugar prices hit decade highs (+40% on the year) due to poor weather in India and Thailand cutting output, which contributed to some emerging market food inflation pressure. But staples like rice and wheat stabilized after spikes in 2022–23, which helped emerging economies.</w:t>
      </w:r>
    </w:p>
    <w:p>
      <w:pPr>
        <w:pStyle w:val="FirstParagraph"/>
      </w:pPr>
      <w:r>
        <w:t xml:space="preserve">Overall,</w:t>
      </w:r>
      <w:r>
        <w:t xml:space="preserve"> </w:t>
      </w:r>
      <w:r>
        <w:rPr>
          <w:b/>
          <w:bCs/>
        </w:rPr>
        <w:t xml:space="preserve">commodity investors saw flat index returns</w:t>
      </w:r>
      <w:r>
        <w:t xml:space="preserve"> </w:t>
      </w:r>
      <w:r>
        <w:t xml:space="preserve">but could realize big gains or losses with positioning. Those long precious metals enjoyed outsized profits (precious metals index +80%). Those long energy, expecting perhaps a supply shock from geopolitics, were instead burned by the price slide.</w:t>
      </w:r>
      <w:r>
        <w:t xml:space="preserve"> </w:t>
      </w:r>
      <w:r>
        <w:rPr>
          <w:b/>
          <w:bCs/>
        </w:rPr>
        <w:t xml:space="preserve">Term structures</w:t>
      </w:r>
      <w:r>
        <w:t xml:space="preserve">: Oil futures moved into contango (short-term prices below longer-term), reflecting near-term glut – a change from 2022’s steep backwardation. Gold’s futures curve went into slight backwardation at times, indicating strong spot demand.</w:t>
      </w:r>
    </w:p>
    <w:p>
      <w:pPr>
        <w:pStyle w:val="BodyText"/>
      </w:pPr>
      <w:r>
        <w:rPr>
          <w:b/>
          <w:bCs/>
        </w:rPr>
        <w:t xml:space="preserve">What drove these moves?</w:t>
      </w:r>
      <w:r>
        <w:t xml:space="preserve"> </w:t>
      </w:r>
      <w:r>
        <w:rPr>
          <w:i/>
          <w:iCs/>
        </w:rPr>
        <w:t xml:space="preserve">Macro and geopolitics.</w:t>
      </w:r>
      <w:r>
        <w:t xml:space="preserve"> </w:t>
      </w:r>
      <w:r>
        <w:t xml:space="preserve">The oil collapse underscores that</w:t>
      </w:r>
      <w:r>
        <w:t xml:space="preserve"> </w:t>
      </w:r>
      <w:r>
        <w:rPr>
          <w:b/>
          <w:bCs/>
        </w:rPr>
        <w:t xml:space="preserve">supply matters</w:t>
      </w:r>
      <w:r>
        <w:t xml:space="preserve">: OPEC+ increasing output by ~3% of world demand in 2025 amid moderate consumption was a recipe for oversupply. Meanwhile, the precious metals boom shows</w:t>
      </w:r>
      <w:r>
        <w:t xml:space="preserve"> </w:t>
      </w:r>
      <w:r>
        <w:rPr>
          <w:b/>
          <w:bCs/>
        </w:rPr>
        <w:t xml:space="preserve">safe-haven demand</w:t>
      </w:r>
      <w:r>
        <w:t xml:space="preserve"> </w:t>
      </w:r>
      <w:r>
        <w:t xml:space="preserve">(and perhaps fear of currency debasement) took hold as real yields peaked and global uncertainties (trade, war, U.S. politics) simmered. The divergence between gold and oil also meant</w:t>
      </w:r>
      <w:r>
        <w:t xml:space="preserve"> </w:t>
      </w:r>
      <w:r>
        <w:rPr>
          <w:b/>
          <w:bCs/>
        </w:rPr>
        <w:t xml:space="preserve">inflation hedges diverged</w:t>
      </w:r>
      <w:r>
        <w:t xml:space="preserve"> </w:t>
      </w:r>
      <w:r>
        <w:t xml:space="preserve">– gold was an excellent inflation hedge in 2025, oil was not. Commodities also became a story of</w:t>
      </w:r>
      <w:r>
        <w:t xml:space="preserve"> </w:t>
      </w:r>
      <w:r>
        <w:rPr>
          <w:b/>
          <w:bCs/>
        </w:rPr>
        <w:t xml:space="preserve">winners and losers by region</w:t>
      </w:r>
      <w:r>
        <w:t xml:space="preserve">: energy-exporting countries (Middle East, Russia) saw revenues dip sharply, whereas energy-importers benefited. Conversely, gold- and metal-exporters (like some African and Latin nations) enjoyed windfalls.</w:t>
      </w:r>
    </w:p>
    <w:bookmarkEnd w:id="30"/>
    <w:bookmarkStart w:id="31" w:name="Xfd6d110177eb4560856aee6ff0d74fb093523bb"/>
    <w:p>
      <w:pPr>
        <w:pStyle w:val="Heading3"/>
      </w:pPr>
      <w:r>
        <w:rPr>
          <w:b/>
          <w:bCs/>
        </w:rPr>
        <w:t xml:space="preserve">Volatility:</w:t>
      </w:r>
      <w:r>
        <w:t xml:space="preserve"> </w:t>
      </w:r>
      <w:r>
        <w:rPr>
          <w:b/>
          <w:bCs/>
        </w:rPr>
        <w:t xml:space="preserve">Cross-asset volatility subsided markedly in 2025</w:t>
      </w:r>
      <w:r>
        <w:t xml:space="preserve"> </w:t>
      </w:r>
      <w:r>
        <w:t xml:space="preserve">after a turbulent prior two years, aside from isolated spikes around event risks. The</w:t>
      </w:r>
      <w:r>
        <w:t xml:space="preserve"> </w:t>
      </w:r>
      <w:r>
        <w:rPr>
          <w:b/>
          <w:bCs/>
        </w:rPr>
        <w:t xml:space="preserve">VIX (Equity Volatility Index)</w:t>
      </w:r>
      <w:r>
        <w:t xml:space="preserve"> </w:t>
      </w:r>
      <w:r>
        <w:t xml:space="preserve">averaged ~18 for the year, down from ~25 in 2024. It spiked to ~35 in early April during the tariff panic but fell to a low of 12 by late December as markets calmed and rallied. By year-end,</w:t>
      </w:r>
      <w:r>
        <w:t xml:space="preserve"> </w:t>
      </w:r>
      <w:r>
        <w:rPr>
          <w:b/>
          <w:bCs/>
        </w:rPr>
        <w:t xml:space="preserve">U.S. equity vol hit its lowest levels since 2019</w:t>
      </w:r>
      <w:r>
        <w:t xml:space="preserve">, reflecting both bullish sentiment and heavy volatility-selling flows that resumed (e.g. option writing strategies prospered again). The</w:t>
      </w:r>
      <w:r>
        <w:t xml:space="preserve"> </w:t>
      </w:r>
      <w:r>
        <w:rPr>
          <w:b/>
          <w:bCs/>
        </w:rPr>
        <w:t xml:space="preserve">MOVE Index (Bond Volatility)</w:t>
      </w:r>
      <w:r>
        <w:t xml:space="preserve"> </w:t>
      </w:r>
      <w:r>
        <w:t xml:space="preserve">remained elevated in Q1 (~130–150) on interest rate uncertainty, but declined to ~80 by Q4, with Fed policy path clearer and Treasury liquidity improved. Notably,</w:t>
      </w:r>
      <w:r>
        <w:t xml:space="preserve"> </w:t>
      </w:r>
      <w:r>
        <w:rPr>
          <w:i/>
          <w:iCs/>
        </w:rPr>
        <w:t xml:space="preserve">Treasury market depth recovered by late summer to its best since 2021</w:t>
      </w:r>
      <w:r>
        <w:t xml:space="preserve">, which helped reduce day-to-day yield swings.</w:t>
      </w:r>
      <w:r>
        <w:t xml:space="preserve"> </w:t>
      </w:r>
      <w:r>
        <w:rPr>
          <w:b/>
          <w:bCs/>
        </w:rPr>
        <w:t xml:space="preserve">FX volatility:</w:t>
      </w:r>
      <w:r>
        <w:t xml:space="preserve"> </w:t>
      </w:r>
      <w:r>
        <w:t xml:space="preserve">One might expect big FX moves like yen’s swings or dollar’s drop to be accompanied by vol, but implied vols on major currency pairs actually eased in H2 as the dollar sell-off was steady and orderly. One exception was USD/JPY vol – it jumped when yen was near 160 as markets braced for possible intervention.</w:t>
      </w:r>
    </w:p>
    <w:p>
      <w:pPr>
        <w:pStyle w:val="FirstParagraph"/>
      </w:pPr>
      <w:r>
        <w:rPr>
          <w:b/>
          <w:bCs/>
        </w:rPr>
        <w:t xml:space="preserve">Volatility “clusters”:</w:t>
      </w:r>
      <w:r>
        <w:t xml:space="preserve"> </w:t>
      </w:r>
      <w:r>
        <w:t xml:space="preserve">We observed clustering around the</w:t>
      </w:r>
      <w:r>
        <w:t xml:space="preserve"> </w:t>
      </w:r>
      <w:r>
        <w:rPr>
          <w:b/>
          <w:bCs/>
        </w:rPr>
        <w:t xml:space="preserve">April and Oct events</w:t>
      </w:r>
      <w:r>
        <w:t xml:space="preserve">. In April, the combination of a growth scare + policy shock caused a correlated vol spike: equity, bond, and FX vol all rose. In October, we had a smaller cluster: geopolitical tensions (Middle East conflict, tariff escalation, global bond yields hitting local highs) led to a moderate, short-lived uptick in vol. But significantly, there was no sustained high-vol regime –</w:t>
      </w:r>
      <w:r>
        <w:t xml:space="preserve"> </w:t>
      </w:r>
      <w:r>
        <w:rPr>
          <w:i/>
          <w:iCs/>
        </w:rPr>
        <w:t xml:space="preserve">vol spikes were swiftly sold</w:t>
      </w:r>
      <w:r>
        <w:t xml:space="preserve">. For example, by May, both VIX and MOVE retraced most of April’s jump as investors sold volatility, expecting mean reversion (which proved correct).</w:t>
      </w:r>
      <w:r>
        <w:t xml:space="preserve"> </w:t>
      </w:r>
      <w:r>
        <w:rPr>
          <w:b/>
          <w:bCs/>
        </w:rPr>
        <w:t xml:space="preserve">Cross-asset behavior:</w:t>
      </w:r>
      <w:r>
        <w:t xml:space="preserve"> </w:t>
      </w:r>
      <w:r>
        <w:t xml:space="preserve">Volatility correlation across assets decreased as 2025 progressed. Early in the year, uncertainty was high everywhere; by H2, equity vol fell faster than, say, commodity vol (since commodities still had pockets of supply uncertainty).</w:t>
      </w:r>
      <w:r>
        <w:t xml:space="preserve"> </w:t>
      </w:r>
      <w:r>
        <w:rPr>
          <w:b/>
          <w:bCs/>
        </w:rPr>
        <w:t xml:space="preserve">Realized vs implied:</w:t>
      </w:r>
      <w:r>
        <w:t xml:space="preserve"> </w:t>
      </w:r>
      <w:r>
        <w:t xml:space="preserve">Realized equity vol ended up lower than implied, rewarding option sellers. Meanwhile, realized bond vol remained somewhat elevated relative to pre-2022 norms (realized 10Y yield vol still &gt; 2018 levels), indicating rates markets haven’t fully returned to sleepy times – likely due to the fiscal overhang and rapid Fed shift.</w:t>
      </w:r>
    </w:p>
    <w:p>
      <w:pPr>
        <w:pStyle w:val="BodyText"/>
      </w:pPr>
      <w:r>
        <w:rPr>
          <w:b/>
          <w:bCs/>
        </w:rPr>
        <w:t xml:space="preserve">Notable episodes:</w:t>
      </w:r>
      <w:r>
        <w:t xml:space="preserve"> </w:t>
      </w:r>
      <w:r>
        <w:t xml:space="preserve">Besides April and Oct, a micro-episode was the</w:t>
      </w:r>
      <w:r>
        <w:t xml:space="preserve"> </w:t>
      </w:r>
      <w:r>
        <w:rPr>
          <w:b/>
          <w:bCs/>
        </w:rPr>
        <w:t xml:space="preserve">crypto volatility explosion</w:t>
      </w:r>
      <w:r>
        <w:t xml:space="preserve"> </w:t>
      </w:r>
      <w:r>
        <w:t xml:space="preserve">in October-November. Bitcoin’s 30-day vol jumped to ~100% (double its early-year level) as it first surged to $126k and then crashed to ~$80k. However, this was largely contained within crypto; it did not infect broader markets, showing</w:t>
      </w:r>
      <w:r>
        <w:t xml:space="preserve"> </w:t>
      </w:r>
      <w:r>
        <w:rPr>
          <w:i/>
          <w:iCs/>
        </w:rPr>
        <w:t xml:space="preserve">crypto’s reduced systemic linkage</w:t>
      </w:r>
      <w:r>
        <w:t xml:space="preserve"> </w:t>
      </w:r>
      <w:r>
        <w:t xml:space="preserve">post-FTX. Another interesting event:</w:t>
      </w:r>
      <w:r>
        <w:t xml:space="preserve"> </w:t>
      </w:r>
      <w:r>
        <w:rPr>
          <w:b/>
          <w:bCs/>
        </w:rPr>
        <w:t xml:space="preserve">single-stock volatility</w:t>
      </w:r>
      <w:r>
        <w:t xml:space="preserve"> </w:t>
      </w:r>
      <w:r>
        <w:t xml:space="preserve">around AI earnings – e.g. a major chipmaker’s stock fell 20% in one day in November on cautious guidance, reminding that micro vol can flare even in a low macro-vol environment.</w:t>
      </w:r>
    </w:p>
    <w:p>
      <w:pPr>
        <w:pStyle w:val="BodyText"/>
      </w:pPr>
      <w:r>
        <w:rPr>
          <w:b/>
          <w:bCs/>
        </w:rPr>
        <w:t xml:space="preserve">Volatility selling strategies:</w:t>
      </w:r>
      <w:r>
        <w:t xml:space="preserve"> </w:t>
      </w:r>
      <w:r>
        <w:t xml:space="preserve">With vol compressing, strategies like covered calls, short straddles, etc., generated income and generally performed well in 2025 (unlike in 2022’s vol uptrend). However, the spring and fall taught vol sellers to mind the event calendar (e.g. being short options into a trade war announcement was painful if not hedged).</w:t>
      </w:r>
    </w:p>
    <w:p>
      <w:pPr>
        <w:pStyle w:val="BodyText"/>
      </w:pPr>
      <w:r>
        <w:t xml:space="preserve">In sum, by the close of 2025 markets were exhibiting</w:t>
      </w:r>
      <w:r>
        <w:t xml:space="preserve"> </w:t>
      </w:r>
      <w:r>
        <w:rPr>
          <w:b/>
          <w:bCs/>
        </w:rPr>
        <w:t xml:space="preserve">remarkable calm</w:t>
      </w:r>
      <w:r>
        <w:t xml:space="preserve"> </w:t>
      </w:r>
      <w:r>
        <w:t xml:space="preserve">– some would say complacency. Implied vols were near multi-year lows and correlations low, reflecting confidence that central banks had tamed the inflation beast and that major geopolitical shocks were either priced in or unlikely. This benign vol backdrop sets up an important question for 2026: will low vol persist (supporting carry trades and risk assets further), or will it reverse if any of the latent risks materialize? As always, volatility tends to be low until suddenly it isn’t – a lesson from prior cycles to keep in mind even as 2025 ended on a tranquil note.</w:t>
      </w:r>
    </w:p>
    <w:bookmarkEnd w:id="31"/>
    <w:bookmarkStart w:id="33" w:name="Xb973b3bcb9cddf8eb1d61e04a325b0a10108993"/>
    <w:p>
      <w:pPr>
        <w:pStyle w:val="Heading3"/>
      </w:pPr>
      <w:r>
        <w:rPr>
          <w:b/>
          <w:bCs/>
        </w:rPr>
        <w:t xml:space="preserve">Crypto (if material):</w:t>
      </w:r>
      <w:r>
        <w:t xml:space="preserve"> </w:t>
      </w:r>
      <w:r>
        <w:rPr>
          <w:b/>
          <w:bCs/>
        </w:rPr>
        <w:t xml:space="preserve">Cryptocurrencies experienced a wild round-trip in 2025</w:t>
      </w:r>
      <w:r>
        <w:t xml:space="preserve">, ultimately ending roughly flat after dramatic swings. The year began with significant optimism in the crypto community: a crypto-friendly U.S. administration took office, fueling hopes for favorable regulation and perhaps a Bitcoin ETF approval. Indeed,</w:t>
      </w:r>
      <w:r>
        <w:t xml:space="preserve"> </w:t>
      </w:r>
      <w:r>
        <w:rPr>
          <w:b/>
          <w:bCs/>
        </w:rPr>
        <w:t xml:space="preserve">President Trump quickly issued an Executive Order in January promoting digital assets</w:t>
      </w:r>
      <w:r>
        <w:t xml:space="preserve"> </w:t>
      </w:r>
      <w:r>
        <w:t xml:space="preserve">(establishing a working group and rolling back certain restrictions). This, plus a</w:t>
      </w:r>
      <w:r>
        <w:t xml:space="preserve"> </w:t>
      </w:r>
      <w:r>
        <w:rPr>
          <w:b/>
          <w:bCs/>
        </w:rPr>
        <w:t xml:space="preserve">U.S. strategic crypto reserve announcement in March</w:t>
      </w:r>
      <w:r>
        <w:t xml:space="preserve"> </w:t>
      </w:r>
      <w:r>
        <w:t xml:space="preserve">(naming Bitcoin and other major coins as assets the government might accumulate, which sparked a short-term 10% BTC jump), helped drive Bitcoin from ~$60k to over $90k by mid-year. By early October,</w:t>
      </w:r>
      <w:r>
        <w:t xml:space="preserve"> </w:t>
      </w:r>
      <w:r>
        <w:rPr>
          <w:i/>
          <w:iCs/>
        </w:rPr>
        <w:t xml:space="preserve">Bitcoin hit an all-time high near $126,000</w:t>
      </w:r>
      <w:r>
        <w:t xml:space="preserve">, up 33% YTD – propelled by optimism that institutional adoption was accelerating and that Bitcoin’s “digital gold” narrative would shine in an inflation-hedging year. Ethereum and other altcoins also rallied, though less spectacularly (ETH peaked around $4,500).</w:t>
      </w:r>
    </w:p>
    <w:p>
      <w:pPr>
        <w:pStyle w:val="FirstParagraph"/>
      </w:pPr>
      <w:r>
        <w:t xml:space="preserve">However, this euphoria abruptly turned into a rout in Q4. On October 12, the 100% China tariff announcement – and concerns about broad risk-off contagion – triggered the</w:t>
      </w:r>
      <w:r>
        <w:t xml:space="preserve"> </w:t>
      </w:r>
      <w:r>
        <w:rPr>
          <w:b/>
          <w:bCs/>
        </w:rPr>
        <w:t xml:space="preserve">largest one-day crypto liquidation event on record</w:t>
      </w:r>
      <w:r>
        <w:t xml:space="preserve">: $19 billion in positions unwound within 24 hours. Bitcoin plunged from $120k+ to around $85k in days. Confidence was further dented in November when</w:t>
      </w:r>
      <w:r>
        <w:t xml:space="preserve"> </w:t>
      </w:r>
      <w:r>
        <w:rPr>
          <w:b/>
          <w:bCs/>
        </w:rPr>
        <w:t xml:space="preserve">Bitcoin suffered its worst price drop since 2021</w:t>
      </w:r>
      <w:r>
        <w:t xml:space="preserve">, falling below $81k at one point. By early December, BTC was hovering ~$90k, essentially where it started the year (meaning 2025 gains were fully erased)</w:t>
      </w:r>
      <w:hyperlink r:id="rId25">
        <w:r>
          <w:rPr>
            <w:rStyle w:val="Hyperlink"/>
          </w:rPr>
          <w:t xml:space="preserve">[3]</w:t>
        </w:r>
      </w:hyperlink>
      <w:r>
        <w:t xml:space="preserve">. Ethereum similarly retraced to under $3,000, down ~25% for the year. Crypto equities and related assets (like Coinbase stock, mining companies) also whipsawed – strong H1 followed by steep Q4 drops.</w:t>
      </w:r>
    </w:p>
    <w:p>
      <w:pPr>
        <w:pStyle w:val="BodyText"/>
      </w:pPr>
      <w:r>
        <w:t xml:space="preserve">Structurally, despite Trump’s pro-crypto stance (he even promised investments in a “crypto reserve” and appointed crypto-friendly regulators),</w:t>
      </w:r>
      <w:r>
        <w:t xml:space="preserve"> </w:t>
      </w:r>
      <w:r>
        <w:rPr>
          <w:b/>
          <w:bCs/>
        </w:rPr>
        <w:t xml:space="preserve">macro forces overwhelmed crypto</w:t>
      </w:r>
      <w:r>
        <w:t xml:space="preserve">. As one analyst put it:</w:t>
      </w:r>
      <w:r>
        <w:t xml:space="preserve"> </w:t>
      </w:r>
      <w:r>
        <w:rPr>
          <w:i/>
          <w:iCs/>
        </w:rPr>
        <w:t xml:space="preserve">“Tariffs and tight monetary policy outweigh positive vibes”</w:t>
      </w:r>
      <w:r>
        <w:t xml:space="preserve">. Indeed, even though the Fed cut rates, global liquidity didn’t flood into crypto as it did in 2020–21 – perhaps because yields in traditional assets were attractive and investors remained scarred by past crypto busts. Additionally,</w:t>
      </w:r>
      <w:r>
        <w:t xml:space="preserve"> </w:t>
      </w:r>
      <w:r>
        <w:rPr>
          <w:b/>
          <w:bCs/>
        </w:rPr>
        <w:t xml:space="preserve">regulatory clarity improved but didn’t spark a new bull</w:t>
      </w:r>
      <w:r>
        <w:t xml:space="preserve">: the SEC (under new leadership) did approve several crypto ETFs by Q3, and cases like Ripple saw resolutions – ordinarily bullish developments – yet by Q4 the narrative had shifted to a coming “crypto winter” as $1 trillion of market cap evaporated from the peak. Notably,</w:t>
      </w:r>
      <w:r>
        <w:t xml:space="preserve"> </w:t>
      </w:r>
      <w:r>
        <w:rPr>
          <w:b/>
          <w:bCs/>
        </w:rPr>
        <w:t xml:space="preserve">crypto industry turmoil</w:t>
      </w:r>
      <w:r>
        <w:t xml:space="preserve"> </w:t>
      </w:r>
      <w:r>
        <w:t xml:space="preserve">persisted: e.g. Eric Trump’s crypto venture “American Bitcoin Corp” lost 40% of its value in Dec and faced funding stress</w:t>
      </w:r>
      <w:hyperlink r:id="rId32">
        <w:r>
          <w:rPr>
            <w:rStyle w:val="Hyperlink"/>
          </w:rPr>
          <w:t xml:space="preserve">[4]</w:t>
        </w:r>
      </w:hyperlink>
      <w:r>
        <w:t xml:space="preserve">.</w:t>
      </w:r>
    </w:p>
    <w:p>
      <w:pPr>
        <w:pStyle w:val="BodyText"/>
      </w:pPr>
      <w:r>
        <w:t xml:space="preserve">The</w:t>
      </w:r>
      <w:r>
        <w:t xml:space="preserve"> </w:t>
      </w:r>
      <w:r>
        <w:rPr>
          <w:b/>
          <w:bCs/>
        </w:rPr>
        <w:t xml:space="preserve">good news</w:t>
      </w:r>
      <w:r>
        <w:t xml:space="preserve"> </w:t>
      </w:r>
      <w:r>
        <w:t xml:space="preserve">for wider markets was that crypto’s crash had</w:t>
      </w:r>
      <w:r>
        <w:t xml:space="preserve"> </w:t>
      </w:r>
      <w:r>
        <w:rPr>
          <w:b/>
          <w:bCs/>
        </w:rPr>
        <w:t xml:space="preserve">minimal spillover</w:t>
      </w:r>
      <w:r>
        <w:t xml:space="preserve">. Traditional finance saw crypto as largely self-contained by 2025. And unlike 2022 (Terra/Luna collapse) or 2023 (FTX scandal), 2025’s crypto slump was driven by macro, not internal fraud or failure, so it didn’t erode trust in the broader system (no contagion to equity credit markets).</w:t>
      </w:r>
    </w:p>
    <w:p>
      <w:pPr>
        <w:pStyle w:val="BodyText"/>
      </w:pPr>
      <w:r>
        <w:rPr>
          <w:b/>
          <w:bCs/>
        </w:rPr>
        <w:t xml:space="preserve">Major structural/regulatory events in crypto:</w:t>
      </w:r>
      <w:r>
        <w:t xml:space="preserve"> </w:t>
      </w:r>
      <w:r>
        <w:t xml:space="preserve">Aside from Trump’s executive order (which symbolically bolstered sentiment), a crucial event was the</w:t>
      </w:r>
      <w:r>
        <w:t xml:space="preserve"> </w:t>
      </w:r>
      <w:r>
        <w:rPr>
          <w:b/>
          <w:bCs/>
        </w:rPr>
        <w:t xml:space="preserve">spot Bitcoin ETF approvals</w:t>
      </w:r>
      <w:r>
        <w:t xml:space="preserve"> </w:t>
      </w:r>
      <w:r>
        <w:t xml:space="preserve">in mid-2025. BlackRock and others got the green light from the SEC around July. Initially, this helped fuel the rally (inflows to these ETFs surged). But interestingly, once the tariffs hit and macro turned, even ETF inflows paused. By year-end, assets in new Bitcoin ETFs were lower than expected, as some investors liquidated. Another event:</w:t>
      </w:r>
      <w:r>
        <w:t xml:space="preserve"> </w:t>
      </w:r>
      <w:r>
        <w:rPr>
          <w:b/>
          <w:bCs/>
        </w:rPr>
        <w:t xml:space="preserve">U.S. government’s crypto actions</w:t>
      </w:r>
      <w:r>
        <w:t xml:space="preserve"> </w:t>
      </w:r>
      <w:r>
        <w:t xml:space="preserve">– in late year, the U.S. actually</w:t>
      </w:r>
      <w:r>
        <w:t xml:space="preserve"> </w:t>
      </w:r>
      <w:r>
        <w:rPr>
          <w:i/>
          <w:iCs/>
        </w:rPr>
        <w:t xml:space="preserve">sold</w:t>
      </w:r>
      <w:r>
        <w:t xml:space="preserve"> </w:t>
      </w:r>
      <w:r>
        <w:t xml:space="preserve">some of its Bitcoin holdings (seized from criminal busts) to raise cash during the shutdown, which added short-term selling pressure. And globally, some central banks (like Russia) flirted with using crypto to bypass sanctions, but with limited progress.</w:t>
      </w:r>
    </w:p>
    <w:p>
      <w:pPr>
        <w:pStyle w:val="BodyText"/>
      </w:pPr>
      <w:r>
        <w:t xml:space="preserve">In summary,</w:t>
      </w:r>
      <w:r>
        <w:t xml:space="preserve"> </w:t>
      </w:r>
      <w:r>
        <w:rPr>
          <w:b/>
          <w:bCs/>
        </w:rPr>
        <w:t xml:space="preserve">2025 was a microcosm of crypto’s challenge</w:t>
      </w:r>
      <w:r>
        <w:t xml:space="preserve">: even with a friendly policy backdrop, crypto remains extremely volatile and driven by broader risk sentiment. As the Guardian headlined,</w:t>
      </w:r>
      <w:r>
        <w:t xml:space="preserve"> </w:t>
      </w:r>
      <w:r>
        <w:rPr>
          <w:i/>
          <w:iCs/>
        </w:rPr>
        <w:t xml:space="preserve">“cryptocurrency slump erases 2025 gains and Trump-inspired optimism”</w:t>
      </w:r>
      <w:hyperlink r:id="rId25">
        <w:r>
          <w:rPr>
            <w:rStyle w:val="Hyperlink"/>
          </w:rPr>
          <w:t xml:space="preserve">[3]</w:t>
        </w:r>
      </w:hyperlink>
      <w:r>
        <w:t xml:space="preserve">. For institutional portfolios, crypto is still a speculative fringe – though some would argue the Q4 correction cleared excesses, potentially setting a base for a more mature buildout in 2026. From a risk perspective, 2025 showed that</w:t>
      </w:r>
      <w:r>
        <w:t xml:space="preserve"> </w:t>
      </w:r>
      <w:r>
        <w:rPr>
          <w:b/>
          <w:bCs/>
        </w:rPr>
        <w:t xml:space="preserve">crypto can soar and plummet without destabilizing traditional assets</w:t>
      </w:r>
      <w:r>
        <w:t xml:space="preserve"> </w:t>
      </w:r>
      <w:r>
        <w:t xml:space="preserve">– a reassuring development for risk managers who in prior years feared crypto-linked contagion. It’s both a testament to crypto’s self-contained ecosystem and a reminder of its limited integration (thus far) into core financial markets.</w:t>
      </w:r>
    </w:p>
    <w:p>
      <w:pPr>
        <w:pStyle w:val="BodyText"/>
      </w:pPr>
      <w:r>
        <w:rPr>
          <w:b/>
          <w:bCs/>
        </w:rPr>
        <w:t xml:space="preserve">What mattered for positioning:</w:t>
      </w:r>
      <w:r>
        <w:t xml:space="preserve"> </w:t>
      </w:r>
      <w:r>
        <w:t xml:space="preserve">The cross-asset outcomes in 2025 reinforced classic diversification principles:</w:t>
      </w:r>
      <w:r>
        <w:t xml:space="preserve"> </w:t>
      </w:r>
      <w:r>
        <w:rPr>
          <w:i/>
          <w:iCs/>
        </w:rPr>
        <w:t xml:space="preserve">nearly every major asset class delivered positive returns</w:t>
      </w:r>
      <w:r>
        <w:t xml:space="preserve">, validating multi-asset allocations. Positioning that was</w:t>
      </w:r>
      <w:r>
        <w:t xml:space="preserve"> </w:t>
      </w:r>
      <w:r>
        <w:rPr>
          <w:b/>
          <w:bCs/>
        </w:rPr>
        <w:t xml:space="preserve">pro-risk and globally diversified</w:t>
      </w:r>
      <w:r>
        <w:t xml:space="preserve"> </w:t>
      </w:r>
      <w:r>
        <w:t xml:space="preserve">worked extremely well – for example, a portfolio long equities (esp. non-U.S.), long duration bonds, and long gold would have hit the “trifecta” of gains. Meanwhile, strategies over-hedged for tail risk underperformed; those who stayed in cash or short assets waiting for a recession missed out on strong returns (cash ~5% return was dwarfed by double-digit equity/bond returns). A crucial positioning call was</w:t>
      </w:r>
      <w:r>
        <w:t xml:space="preserve"> </w:t>
      </w:r>
      <w:r>
        <w:rPr>
          <w:b/>
          <w:bCs/>
        </w:rPr>
        <w:t xml:space="preserve">currency hedging</w:t>
      </w:r>
      <w:r>
        <w:t xml:space="preserve">: an unhedged global investor from the U.S. got a boost from the dollar’s decline (e.g. +13% from euro). Thus, not hedging foreign currency exposure added to returns in 2025 – opposite of 2022. Within equities,</w:t>
      </w:r>
      <w:r>
        <w:t xml:space="preserve"> </w:t>
      </w:r>
      <w:r>
        <w:rPr>
          <w:i/>
          <w:iCs/>
        </w:rPr>
        <w:t xml:space="preserve">region and sector tilts</w:t>
      </w:r>
      <w:r>
        <w:t xml:space="preserve"> </w:t>
      </w:r>
      <w:r>
        <w:t xml:space="preserve">were key: overweighting Europe/EM and underweighting U.S. mega-cap growth (which seemed contrarian after 2023) turned out correct. Also, an allocation to</w:t>
      </w:r>
      <w:r>
        <w:t xml:space="preserve"> </w:t>
      </w:r>
      <w:r>
        <w:rPr>
          <w:i/>
          <w:iCs/>
        </w:rPr>
        <w:t xml:space="preserve">precious metals</w:t>
      </w:r>
      <w:r>
        <w:t xml:space="preserve"> </w:t>
      </w:r>
      <w:r>
        <w:t xml:space="preserve">significantly improved portfolio Sharpe ratios – gold not only surged in value but also provided non-correlated ballast during risk-off episodes. On the flip side, portfolios that were heavy in commodities like oil, or short duration too long, lagged. One specific positioning pain trade: hedge funds that were short JPY and long USD for most of the year saw initial gains evaporate as the dollar slumped in H2 – several macro funds had to stop out of long-dollar positions. Finally, within credit, being</w:t>
      </w:r>
      <w:r>
        <w:t xml:space="preserve"> </w:t>
      </w:r>
      <w:r>
        <w:rPr>
          <w:i/>
          <w:iCs/>
        </w:rPr>
        <w:t xml:space="preserve">down in quality</w:t>
      </w:r>
      <w:r>
        <w:t xml:space="preserve"> </w:t>
      </w:r>
      <w:r>
        <w:t xml:space="preserve">wasn’t as rewarded as might be thought – higher-quality credit with duration actually performed similarly or better than pure high yield, due to the rate rally.</w:t>
      </w:r>
    </w:p>
    <w:p>
      <w:pPr>
        <w:pStyle w:val="BodyText"/>
      </w:pPr>
      <w:r>
        <w:rPr>
          <w:b/>
          <w:bCs/>
        </w:rPr>
        <w:t xml:space="preserve">Key lessons for 2026:</w:t>
      </w:r>
      <w:r>
        <w:t xml:space="preserve"> </w:t>
      </w:r>
      <w:r>
        <w:rPr>
          <w:b/>
          <w:bCs/>
        </w:rPr>
        <w:t xml:space="preserve">(1)</w:t>
      </w:r>
      <w:r>
        <w:t xml:space="preserve"> </w:t>
      </w:r>
      <w:r>
        <w:rPr>
          <w:i/>
          <w:iCs/>
        </w:rPr>
        <w:t xml:space="preserve">Keep a balanced exposure</w:t>
      </w:r>
      <w:r>
        <w:t xml:space="preserve">: 2025 proved the value of having multiple return drivers – equities, bonds, and alternatives – as all can rally in a disinflationary soft-landing scenario. One cannot assume correlations will always be adverse (stocks and bonds decorrelated again when it mattered).</w:t>
      </w:r>
      <w:r>
        <w:t xml:space="preserve"> </w:t>
      </w:r>
      <w:r>
        <w:rPr>
          <w:b/>
          <w:bCs/>
        </w:rPr>
        <w:t xml:space="preserve">(2)</w:t>
      </w:r>
      <w:r>
        <w:t xml:space="preserve"> </w:t>
      </w:r>
      <w:r>
        <w:rPr>
          <w:i/>
          <w:iCs/>
        </w:rPr>
        <w:t xml:space="preserve">Be alert to regime shifts</w:t>
      </w:r>
      <w:r>
        <w:t xml:space="preserve">: The big rotation to non-U.S. assets may have legs, but one should monitor if U.S. growth or tech reassert dominance. Sticking with only the last decade’s winners could leave gains on the table.</w:t>
      </w:r>
      <w:r>
        <w:t xml:space="preserve"> </w:t>
      </w:r>
      <w:r>
        <w:rPr>
          <w:b/>
          <w:bCs/>
        </w:rPr>
        <w:t xml:space="preserve">(3)</w:t>
      </w:r>
      <w:r>
        <w:t xml:space="preserve"> </w:t>
      </w:r>
      <w:r>
        <w:rPr>
          <w:i/>
          <w:iCs/>
        </w:rPr>
        <w:t xml:space="preserve">Hedge tail risks selectively</w:t>
      </w:r>
      <w:r>
        <w:t xml:space="preserve">: 2025’s episodes showed that having some hedges (options, gold, defensive equities) during known risk windows (like trade negotiations, geopolitics) is prudent, but over-hedging the whole year (expecting recession) can detract. It’s a reminder to</w:t>
      </w:r>
      <w:r>
        <w:t xml:space="preserve"> </w:t>
      </w:r>
      <w:r>
        <w:rPr>
          <w:b/>
          <w:bCs/>
        </w:rPr>
        <w:t xml:space="preserve">hedge dynamically, not structurally</w:t>
      </w:r>
      <w:r>
        <w:t xml:space="preserve"> </w:t>
      </w:r>
      <w:r>
        <w:t xml:space="preserve">(and possibly use options to hedge tactically rather than underweighting assets outright and missing rallies).</w:t>
      </w:r>
      <w:r>
        <w:t xml:space="preserve"> </w:t>
      </w:r>
      <w:r>
        <w:rPr>
          <w:b/>
          <w:bCs/>
        </w:rPr>
        <w:t xml:space="preserve">(4)</w:t>
      </w:r>
      <w:r>
        <w:t xml:space="preserve"> </w:t>
      </w:r>
      <w:r>
        <w:rPr>
          <w:i/>
          <w:iCs/>
        </w:rPr>
        <w:t xml:space="preserve">Volatility as opportunity</w:t>
      </w:r>
      <w:r>
        <w:t xml:space="preserve">: With generally low vol, consider strategies that harvest risk premia (carry, covered calls), but remain ready to pivot if vol regime changes. 2025 rewarded the sale of vol, but 2026 might spring surprises – ensure stress tests for higher vol scenarios are done.</w:t>
      </w:r>
      <w:r>
        <w:t xml:space="preserve"> </w:t>
      </w:r>
      <w:r>
        <w:rPr>
          <w:b/>
          <w:bCs/>
        </w:rPr>
        <w:t xml:space="preserve">(5)</w:t>
      </w:r>
      <w:r>
        <w:t xml:space="preserve"> </w:t>
      </w:r>
      <w:r>
        <w:rPr>
          <w:i/>
          <w:iCs/>
        </w:rPr>
        <w:t xml:space="preserve">Don’t ignore liquidity and leverage</w:t>
      </w:r>
      <w:r>
        <w:t xml:space="preserve">: In a low vol, rising market, leverage can creep up (e.g. investors borrowing to invest). 2025 kindly did not punish that, but going into 2026, risk managers will want to mind leverage levels – the easy rally can reverse, and a sudden vol spike could catch levered players off guard (as seen briefly in crypto). In short, take 2025’s windfalls but maintain discipline – the cross-asset serenity could be the calm before a storm, and 2026 positioning should be nimble enough to handle a change in cross-asset winds.</w:t>
      </w:r>
    </w:p>
    <w:p>
      <w:r>
        <w:pict>
          <v:rect style="width:0;height:1.5pt" o:hralign="center" o:hrstd="t" o:hr="t"/>
        </w:pict>
      </w:r>
    </w:p>
    <w:bookmarkEnd w:id="33"/>
    <w:bookmarkEnd w:id="34"/>
    <w:bookmarkStart w:id="44" w:name="X878b3e5d60403558639ecda034f9d436fe33582"/>
    <w:p>
      <w:pPr>
        <w:pStyle w:val="Heading2"/>
      </w:pPr>
      <w:r>
        <w:t xml:space="preserve">D. What Actually Drove Markets (Mechanisms, Not Headlines)</w:t>
      </w:r>
    </w:p>
    <w:p>
      <w:pPr>
        <w:pStyle w:val="FirstParagraph"/>
      </w:pPr>
      <w:r>
        <w:rPr>
          <w:b/>
          <w:bCs/>
        </w:rPr>
        <w:t xml:space="preserve">Overview:</w:t>
      </w:r>
      <w:r>
        <w:t xml:space="preserve"> </w:t>
      </w:r>
      <w:r>
        <w:t xml:space="preserve">In 2025, asset prices were propelled by a complex interplay of</w:t>
      </w:r>
      <w:r>
        <w:t xml:space="preserve"> </w:t>
      </w:r>
      <w:r>
        <w:rPr>
          <w:b/>
          <w:bCs/>
        </w:rPr>
        <w:t xml:space="preserve">fundamentals, shifting macro expectations, risk premia repricing, and technical flows</w:t>
      </w:r>
      <w:r>
        <w:t xml:space="preserve">. While headlines focused on tariffs, AI, and central banks, the</w:t>
      </w:r>
      <w:r>
        <w:t xml:space="preserve"> </w:t>
      </w:r>
      <w:r>
        <w:rPr>
          <w:i/>
          <w:iCs/>
        </w:rPr>
        <w:t xml:space="preserve">mechanisms underneath</w:t>
      </w:r>
      <w:r>
        <w:t xml:space="preserve"> </w:t>
      </w:r>
      <w:r>
        <w:t xml:space="preserve">tell us how and why markets moved as they did. Below we break down the key drivers by asset class – distinguishing</w:t>
      </w:r>
      <w:r>
        <w:t xml:space="preserve"> </w:t>
      </w:r>
      <w:r>
        <w:rPr>
          <w:b/>
          <w:bCs/>
        </w:rPr>
        <w:t xml:space="preserve">confirmed facts/data</w:t>
      </w:r>
      <w:r>
        <w:t xml:space="preserve"> </w:t>
      </w:r>
      <w:r>
        <w:t xml:space="preserve">from</w:t>
      </w:r>
      <w:r>
        <w:t xml:space="preserve"> </w:t>
      </w:r>
      <w:r>
        <w:rPr>
          <w:b/>
          <w:bCs/>
        </w:rPr>
        <w:t xml:space="preserve">market narratives or speculative flows</w:t>
      </w:r>
      <w:r>
        <w:t xml:space="preserve"> </w:t>
      </w:r>
      <w:r>
        <w:t xml:space="preserve">– to clarify</w:t>
      </w:r>
      <w:r>
        <w:t xml:space="preserve"> </w:t>
      </w:r>
      <w:r>
        <w:rPr>
          <w:i/>
          <w:iCs/>
        </w:rPr>
        <w:t xml:space="preserve">what actually drove markets</w:t>
      </w:r>
      <w:r>
        <w:t xml:space="preserve"> </w:t>
      </w:r>
      <w:r>
        <w:t xml:space="preserve">in 2025.</w:t>
      </w:r>
    </w:p>
    <w:bookmarkStart w:id="37" w:name="equities-drivers"/>
    <w:p>
      <w:pPr>
        <w:pStyle w:val="Heading3"/>
      </w:pPr>
      <w:r>
        <w:rPr>
          <w:b/>
          <w:bCs/>
        </w:rPr>
        <w:t xml:space="preserve">Equities – Drivers:</w:t>
      </w:r>
    </w:p>
    <w:p>
      <w:pPr>
        <w:numPr>
          <w:ilvl w:val="0"/>
          <w:numId w:val="1002"/>
        </w:numPr>
      </w:pPr>
      <w:r>
        <w:rPr>
          <w:b/>
          <w:bCs/>
        </w:rPr>
        <w:t xml:space="preserve">Macro Expectations (Growth &amp; Policy):</w:t>
      </w:r>
      <w:r>
        <w:t xml:space="preserve"> </w:t>
      </w:r>
      <w:r>
        <w:t xml:space="preserve">Equity investors spent much of 2025 oscillating between</w:t>
      </w:r>
      <w:r>
        <w:t xml:space="preserve"> </w:t>
      </w:r>
      <w:r>
        <w:rPr>
          <w:b/>
          <w:bCs/>
        </w:rPr>
        <w:t xml:space="preserve">recession fears and soft-landing hopes</w:t>
      </w:r>
      <w:r>
        <w:t xml:space="preserve">. In Q1, equities dipped as markets priced a higher probability of recession amid the tariff shock and still-tight Fed policy. Forward-looking indicators like yield curves and leading economic indices were sending mixed signals. However, as actual economic data came in stronger (e.g. U.S. consumer spending resilient, eurozone avoiding contraction) and inflation decelerated, the</w:t>
      </w:r>
      <w:r>
        <w:t xml:space="preserve"> </w:t>
      </w:r>
      <w:r>
        <w:rPr>
          <w:b/>
          <w:bCs/>
        </w:rPr>
        <w:t xml:space="preserve">narrative flipped to a “no recession in sight” outlook</w:t>
      </w:r>
      <w:r>
        <w:t xml:space="preserve">, driving a rerating of equities upward. By Q4, consensus expected a modest re-acceleration of global growth into 2026, a stark turnaround from the gloom a year prior. This improvement in</w:t>
      </w:r>
      <w:r>
        <w:t xml:space="preserve"> </w:t>
      </w:r>
      <w:r>
        <w:rPr>
          <w:i/>
          <w:iCs/>
        </w:rPr>
        <w:t xml:space="preserve">growth expectations</w:t>
      </w:r>
      <w:r>
        <w:t xml:space="preserve"> </w:t>
      </w:r>
      <w:r>
        <w:t xml:space="preserve">raised earnings estimates in many regions (especially Europe and EM where worst-case scenarios didn’t occur) and supported higher stock valuations. Simultaneously,</w:t>
      </w:r>
      <w:r>
        <w:t xml:space="preserve"> </w:t>
      </w:r>
      <w:r>
        <w:rPr>
          <w:i/>
          <w:iCs/>
        </w:rPr>
        <w:t xml:space="preserve">policy expectations</w:t>
      </w:r>
      <w:r>
        <w:t xml:space="preserve"> </w:t>
      </w:r>
      <w:r>
        <w:t xml:space="preserve">swung from “higher for longer” to “easing coming.” The Fed’s initiation of rate cuts in September validated what equities had started to price since mid-year – that monetary policy would become more growth-friendly.</w:t>
      </w:r>
      <w:r>
        <w:t xml:space="preserve"> </w:t>
      </w:r>
      <w:r>
        <w:rPr>
          <w:b/>
          <w:bCs/>
        </w:rPr>
        <w:t xml:space="preserve">Narrative vs. Fact:</w:t>
      </w:r>
      <w:r>
        <w:t xml:space="preserve"> </w:t>
      </w:r>
      <w:r>
        <w:t xml:space="preserve">A narrative took hold that the Fed would engineer a “non-recessionary rate-cutting cycle” – essentially a Goldilocks scenario. Equities ran with this story, bidding up cyclical sectors on hopes of easier financial conditions without an earnings collapse. This narrative did have factual support (inflation down, no recession yet), but it was also somewhat</w:t>
      </w:r>
      <w:r>
        <w:t xml:space="preserve"> </w:t>
      </w:r>
      <w:r>
        <w:rPr>
          <w:i/>
          <w:iCs/>
        </w:rPr>
        <w:t xml:space="preserve">speculative</w:t>
      </w:r>
      <w:r>
        <w:t xml:space="preserve"> </w:t>
      </w:r>
      <w:r>
        <w:t xml:space="preserve">– essentially betting that 2026 growth would pick up as rate cuts filtered through.</w:t>
      </w:r>
    </w:p>
    <w:p>
      <w:pPr>
        <w:numPr>
          <w:ilvl w:val="0"/>
          <w:numId w:val="1002"/>
        </w:numPr>
      </w:pPr>
      <w:r>
        <w:rPr>
          <w:b/>
          <w:bCs/>
        </w:rPr>
        <w:t xml:space="preserve">Risk Premia Shifts (Valuation &amp; Sentiment):</w:t>
      </w:r>
      <w:r>
        <w:t xml:space="preserve"> </w:t>
      </w:r>
      <w:r>
        <w:t xml:space="preserve">A defining feature was the</w:t>
      </w:r>
      <w:r>
        <w:t xml:space="preserve"> </w:t>
      </w:r>
      <w:r>
        <w:rPr>
          <w:b/>
          <w:bCs/>
        </w:rPr>
        <w:t xml:space="preserve">compression of risk premia</w:t>
      </w:r>
      <w:r>
        <w:t xml:space="preserve"> </w:t>
      </w:r>
      <w:r>
        <w:t xml:space="preserve">as fear ebbed. The equity risk premium (ERP) – the extra yield investors demand over risk-free rates – narrowed across markets. In the U.S., for example, starting ERPs were already thin, but by year-end investors accepted even lower ERPs given greater confidence in the outlook.</w:t>
      </w:r>
      <w:r>
        <w:t xml:space="preserve"> </w:t>
      </w:r>
      <w:r>
        <w:rPr>
          <w:b/>
          <w:bCs/>
        </w:rPr>
        <w:t xml:space="preserve">Fact:</w:t>
      </w:r>
      <w:r>
        <w:t xml:space="preserve"> </w:t>
      </w:r>
      <w:r>
        <w:t xml:space="preserve">The S&amp;P 500’s forward earnings yield ~5% minus 10Y yield ~4.1% left &lt;1% ERP, near decade lows, indicating a high willingness to pay for stocks. This was</w:t>
      </w:r>
      <w:r>
        <w:t xml:space="preserve"> </w:t>
      </w:r>
      <w:r>
        <w:rPr>
          <w:i/>
          <w:iCs/>
        </w:rPr>
        <w:t xml:space="preserve">not</w:t>
      </w:r>
      <w:r>
        <w:t xml:space="preserve"> </w:t>
      </w:r>
      <w:r>
        <w:t xml:space="preserve">due to earnings surging (they grew only modestly) but due to</w:t>
      </w:r>
      <w:r>
        <w:t xml:space="preserve"> </w:t>
      </w:r>
      <w:r>
        <w:rPr>
          <w:b/>
          <w:bCs/>
        </w:rPr>
        <w:t xml:space="preserve">sentiment and liquidity</w:t>
      </w:r>
      <w:r>
        <w:t xml:space="preserve"> </w:t>
      </w:r>
      <w:r>
        <w:t xml:space="preserve">driving multiples higher (S&amp;P forward P/E from ~18x→20x). In Europe and EM, risk premia also fell; for instance, Europe’s cyclically-adjusted P/E rose, and EM equity discount rates fell as global investors felt more comfortable taking non-U.S. equity risk (helped by dollar weakness reducing FX risk).</w:t>
      </w:r>
      <w:r>
        <w:t xml:space="preserve"> </w:t>
      </w:r>
      <w:r>
        <w:rPr>
          <w:b/>
          <w:bCs/>
        </w:rPr>
        <w:t xml:space="preserve">Why did risk premia compress?</w:t>
      </w:r>
      <w:r>
        <w:t xml:space="preserve"> </w:t>
      </w:r>
      <w:r>
        <w:rPr>
          <w:i/>
          <w:iCs/>
        </w:rPr>
        <w:t xml:space="preserve">Diminished tail risks</w:t>
      </w:r>
      <w:r>
        <w:t xml:space="preserve"> </w:t>
      </w:r>
      <w:r>
        <w:t xml:space="preserve">– earlier fears (energy crisis, euro breakup risk, Chinese hard landing) did not materialize, so investors unwound the extra discount applied to those markets. Additionally,</w:t>
      </w:r>
      <w:r>
        <w:t xml:space="preserve"> </w:t>
      </w:r>
      <w:r>
        <w:rPr>
          <w:i/>
          <w:iCs/>
        </w:rPr>
        <w:t xml:space="preserve">structural flows</w:t>
      </w:r>
      <w:r>
        <w:t xml:space="preserve"> </w:t>
      </w:r>
      <w:r>
        <w:t xml:space="preserve">into equities (corporate buybacks remained robust at over $1 trillion in the U.S., and retail flows stayed positive) supported valuations.</w:t>
      </w:r>
      <w:r>
        <w:t xml:space="preserve"> </w:t>
      </w:r>
      <w:r>
        <w:rPr>
          <w:b/>
          <w:bCs/>
        </w:rPr>
        <w:t xml:space="preserve">Narrative:</w:t>
      </w:r>
      <w:r>
        <w:t xml:space="preserve"> </w:t>
      </w:r>
      <w:r>
        <w:t xml:space="preserve">One could say a “FOMO” (fear of missing out) mentality took hold in H2: with the S&amp;P approaching record highs and global indices rallying, many investors who had been underweight equities rushed to increase exposure, effectively pushing risk premia lower. This narrative is backed by anecdotal evidence of funds increasing equity allocations near year-end as performance chasing set in – a typical bull market psychological driver.</w:t>
      </w:r>
    </w:p>
    <w:p>
      <w:pPr>
        <w:numPr>
          <w:ilvl w:val="0"/>
          <w:numId w:val="1002"/>
        </w:numPr>
      </w:pPr>
      <w:r>
        <w:rPr>
          <w:b/>
          <w:bCs/>
        </w:rPr>
        <w:t xml:space="preserve">Positioning and Flows:</w:t>
      </w:r>
      <w:r>
        <w:t xml:space="preserve"> </w:t>
      </w:r>
      <w:r>
        <w:rPr>
          <w:b/>
          <w:bCs/>
        </w:rPr>
        <w:t xml:space="preserve">Positioning dynamics</w:t>
      </w:r>
      <w:r>
        <w:t xml:space="preserve"> </w:t>
      </w:r>
      <w:r>
        <w:t xml:space="preserve">provided significant fuel for equity moves. At the start of 2025, many institutional investors were defensively positioned – hedge funds had relatively low net equity exposure, and surveys (e.g. BofA Fund Manager Survey) showed high cash levels and underweight equities given recession angst. This</w:t>
      </w:r>
      <w:r>
        <w:t xml:space="preserve"> </w:t>
      </w:r>
      <w:r>
        <w:rPr>
          <w:i/>
          <w:iCs/>
        </w:rPr>
        <w:t xml:space="preserve">under-positioning</w:t>
      </w:r>
      <w:r>
        <w:t xml:space="preserve"> </w:t>
      </w:r>
      <w:r>
        <w:t xml:space="preserve">created a springboard: as macro data improved, funds had to cover shorts and add longs, contributing to upside momentum.</w:t>
      </w:r>
      <w:r>
        <w:t xml:space="preserve"> </w:t>
      </w:r>
      <w:r>
        <w:rPr>
          <w:b/>
          <w:bCs/>
        </w:rPr>
        <w:t xml:space="preserve">CTA (trend-following) flows</w:t>
      </w:r>
      <w:r>
        <w:t xml:space="preserve"> </w:t>
      </w:r>
      <w:r>
        <w:t xml:space="preserve">were particularly impactful. In April’s selloff, CTAs (Commodity Trading Advisors) reportedly went net short equities as trends turned negative, exacerbating the drop. Indeed, the NHX CTA index was down ~10% in H1, implying they got whipsawed by the early downturn and rebound. By H2, as trends solidified upward, CTAs flipped long and “chased” the rally, adding mechanical buying pressure. One analysis noted CTAs were “max long U.S. equities” by late-year – a stark reversal from early 2025 – which itself is a contrarian indicator potentially, but certainly helped markets melt up.</w:t>
      </w:r>
      <w:r>
        <w:t xml:space="preserve"> </w:t>
      </w:r>
      <w:r>
        <w:rPr>
          <w:b/>
          <w:bCs/>
        </w:rPr>
        <w:t xml:space="preserve">Retail flows</w:t>
      </w:r>
      <w:r>
        <w:t xml:space="preserve"> </w:t>
      </w:r>
      <w:r>
        <w:t xml:space="preserve">also played a pivotal role: retail investors in the U.S. continued the post-2020 trend of active involvement. In fact,</w:t>
      </w:r>
      <w:r>
        <w:t xml:space="preserve"> </w:t>
      </w:r>
      <w:r>
        <w:rPr>
          <w:i/>
          <w:iCs/>
        </w:rPr>
        <w:t xml:space="preserve">2025 saw record options volumes driven by retail call buying</w:t>
      </w:r>
      <w:hyperlink r:id="rId21">
        <w:r>
          <w:rPr>
            <w:rStyle w:val="Hyperlink"/>
          </w:rPr>
          <w:t xml:space="preserve">[1]</w:t>
        </w:r>
      </w:hyperlink>
      <w:hyperlink r:id="rId35">
        <w:r>
          <w:rPr>
            <w:rStyle w:val="Hyperlink"/>
          </w:rPr>
          <w:t xml:space="preserve">[5]</w:t>
        </w:r>
      </w:hyperlink>
      <w:r>
        <w:t xml:space="preserve">. For example, on October 10 (after a dip), over 108 million option contracts traded – the largest ever – with retail heavily skewed to buying calls (“buy-the-dip” zeal)</w:t>
      </w:r>
      <w:hyperlink r:id="rId21">
        <w:r>
          <w:rPr>
            <w:rStyle w:val="Hyperlink"/>
          </w:rPr>
          <w:t xml:space="preserve">[1]</w:t>
        </w:r>
      </w:hyperlink>
      <w:r>
        <w:t xml:space="preserve">. Citadel Securities noted an extraordinary 24-week streak of retail net call buying bias, matching record bullishness</w:t>
      </w:r>
      <w:hyperlink r:id="rId36">
        <w:r>
          <w:rPr>
            <w:rStyle w:val="Hyperlink"/>
          </w:rPr>
          <w:t xml:space="preserve">[6]</w:t>
        </w:r>
      </w:hyperlink>
      <w:r>
        <w:t xml:space="preserve">. These flows provided steady demand on market down days and contributed to faster recoveries (retail wasn’t “scared off” by April’s drop; by contrast, institutions were hedging with puts while retail added calls, offsetting some downward pressure). Additionally,</w:t>
      </w:r>
      <w:r>
        <w:t xml:space="preserve"> </w:t>
      </w:r>
      <w:r>
        <w:rPr>
          <w:i/>
          <w:iCs/>
        </w:rPr>
        <w:t xml:space="preserve">corporate buybacks</w:t>
      </w:r>
      <w:r>
        <w:t xml:space="preserve"> </w:t>
      </w:r>
      <w:r>
        <w:t xml:space="preserve">remained a vol suppressant: U.S. companies continued to repurchase shares, creating an underlying bid especially during earnings buyback blackout periods end, adding support in late May and November.</w:t>
      </w:r>
      <w:r>
        <w:t xml:space="preserve"> </w:t>
      </w:r>
      <w:r>
        <w:rPr>
          <w:b/>
          <w:bCs/>
        </w:rPr>
        <w:t xml:space="preserve">Dealer gamma effects:</w:t>
      </w:r>
      <w:r>
        <w:t xml:space="preserve"> </w:t>
      </w:r>
      <w:r>
        <w:t xml:space="preserve">In H2 as markets rallied, dealers were long gamma due to heavy call positioning by retail – this meant dips were shallow as dealers would buy underlying stocks to hedge short call positions when market fell (dampening volatility). Conversely, in early April, dealers were short gamma (from put buying by hedgers), which exacerbated the drop – an important microstructural driver of the severity of that decline.</w:t>
      </w:r>
    </w:p>
    <w:p>
      <w:pPr>
        <w:numPr>
          <w:ilvl w:val="0"/>
          <w:numId w:val="1002"/>
        </w:numPr>
      </w:pPr>
      <w:r>
        <w:rPr>
          <w:b/>
          <w:bCs/>
        </w:rPr>
        <w:t xml:space="preserve">Liquidity and Microstructure:</w:t>
      </w:r>
      <w:r>
        <w:t xml:space="preserve"> </w:t>
      </w:r>
      <w:r>
        <w:rPr>
          <w:b/>
          <w:bCs/>
        </w:rPr>
        <w:t xml:space="preserve">Equity market liquidity</w:t>
      </w:r>
      <w:r>
        <w:t xml:space="preserve"> </w:t>
      </w:r>
      <w:r>
        <w:t xml:space="preserve">improved in 2025 relative to the stressed conditions of 2022–23. Bid-ask spreads on S&amp;P futures and major index ETFs narrowed as volatility fell. The absence of negative gamma after mid-year (as mentioned) created a virtuous cycle of low vol -&gt; easier liquidity -&gt; lower vol. One interesting microstructure factor was the</w:t>
      </w:r>
      <w:r>
        <w:t xml:space="preserve"> </w:t>
      </w:r>
      <w:r>
        <w:rPr>
          <w:b/>
          <w:bCs/>
        </w:rPr>
        <w:t xml:space="preserve">AI-driven rally’s narrow breadth initially</w:t>
      </w:r>
      <w:r>
        <w:t xml:space="preserve">: in H1, a handful of mega-cap tech names (NVIDIA, Microsoft, etc.) accounted for a disproportionate share of S&amp;P gains. Market-making in those names became critical – any hiccup (like an AI chip export restriction news in June) caused outsized single-stock moves. But as breadth widened, market impact of any one stock lessened.</w:t>
      </w:r>
      <w:r>
        <w:t xml:space="preserve"> </w:t>
      </w:r>
      <w:r>
        <w:rPr>
          <w:b/>
          <w:bCs/>
        </w:rPr>
        <w:t xml:space="preserve">Liquidity events:</w:t>
      </w:r>
      <w:r>
        <w:t xml:space="preserve"> </w:t>
      </w:r>
      <w:r>
        <w:t xml:space="preserve">The U.S. government shutdown in Oct/Nov had an indirect micro impact: with government data releases on hold, markets had fewer catalysts and volatility-selling strategies thrived in that vacuum, further boosting liquidity supply (market makers felt comfortable taking on inventory when data was not rocking the boat). Finally, the year saw</w:t>
      </w:r>
      <w:r>
        <w:t xml:space="preserve"> </w:t>
      </w:r>
      <w:r>
        <w:rPr>
          <w:b/>
          <w:bCs/>
        </w:rPr>
        <w:t xml:space="preserve">no major shock from systematic volatility-control funds</w:t>
      </w:r>
      <w:r>
        <w:t xml:space="preserve"> </w:t>
      </w:r>
      <w:r>
        <w:t xml:space="preserve">– unlike March 2020 where vol-targeting funds had to dump equities, in 2025 realized vol fell, so vol-control and risk-parity funds</w:t>
      </w:r>
      <w:r>
        <w:t xml:space="preserve"> </w:t>
      </w:r>
      <w:r>
        <w:rPr>
          <w:i/>
          <w:iCs/>
        </w:rPr>
        <w:t xml:space="preserve">added</w:t>
      </w:r>
      <w:r>
        <w:t xml:space="preserve"> </w:t>
      </w:r>
      <w:r>
        <w:t xml:space="preserve">equity exposure steadily, providing a tailwind. It’s estimated that risk-parity and other target-vol strategies added tens of billions to equities over Q3 as trailing vol measures dropped – a quiet but potent technical driver.</w:t>
      </w:r>
    </w:p>
    <w:p>
      <w:pPr>
        <w:pStyle w:val="FirstParagraph"/>
      </w:pPr>
      <w:r>
        <w:rPr>
          <w:b/>
          <w:bCs/>
        </w:rPr>
        <w:t xml:space="preserve">In summary (Equities):</w:t>
      </w:r>
      <w:r>
        <w:t xml:space="preserve"> </w:t>
      </w:r>
      <w:r>
        <w:t xml:space="preserve">Equities rose because</w:t>
      </w:r>
      <w:r>
        <w:t xml:space="preserve"> </w:t>
      </w:r>
      <w:r>
        <w:rPr>
          <w:b/>
          <w:bCs/>
        </w:rPr>
        <w:t xml:space="preserve">earnings held up and interest rates fell</w:t>
      </w:r>
      <w:r>
        <w:t xml:space="preserve">, but also because</w:t>
      </w:r>
      <w:r>
        <w:t xml:space="preserve"> </w:t>
      </w:r>
      <w:r>
        <w:rPr>
          <w:b/>
          <w:bCs/>
        </w:rPr>
        <w:t xml:space="preserve">investors’ fear of recession abated and they re-risked portfolios</w:t>
      </w:r>
      <w:r>
        <w:t xml:space="preserve">, compressing equity risk premia. Flows from systematic strategies and retail provided additional fuel to extend gains beyond what fundamentals alone might justify. Markets “climbed a wall of worry” early in the year, then rode a wave of FOMO and improving liquidity later.</w:t>
      </w:r>
    </w:p>
    <w:bookmarkEnd w:id="37"/>
    <w:bookmarkStart w:id="38" w:name="fixed-income-rates-drivers"/>
    <w:p>
      <w:pPr>
        <w:pStyle w:val="Heading3"/>
      </w:pPr>
      <w:r>
        <w:rPr>
          <w:b/>
          <w:bCs/>
        </w:rPr>
        <w:t xml:space="preserve">Fixed Income (Rates) – Drivers:</w:t>
      </w:r>
    </w:p>
    <w:p>
      <w:pPr>
        <w:numPr>
          <w:ilvl w:val="0"/>
          <w:numId w:val="1003"/>
        </w:numPr>
      </w:pPr>
      <w:r>
        <w:rPr>
          <w:b/>
          <w:bCs/>
        </w:rPr>
        <w:t xml:space="preserve">Macro Expectations (Inflation &amp; Fed Policy):</w:t>
      </w:r>
      <w:r>
        <w:t xml:space="preserve"> </w:t>
      </w:r>
      <w:r>
        <w:t xml:space="preserve">The bond market in 2025 was heavily driven by</w:t>
      </w:r>
      <w:r>
        <w:t xml:space="preserve"> </w:t>
      </w:r>
      <w:r>
        <w:rPr>
          <w:b/>
          <w:bCs/>
        </w:rPr>
        <w:t xml:space="preserve">shifting Fed expectations and inflation surprises</w:t>
      </w:r>
      <w:r>
        <w:t xml:space="preserve">. In early 2025, traders were uncertain if the Fed was truly done hiking – sticky inflation (e.g. a higher-than-expected core CPI in Jan) led the market to briefly price in another Fed hike by mid-year, pushing 2-year yields up. However, as inflation clearly peaked and unemployment nudged up, the narrative flipped to</w:t>
      </w:r>
      <w:r>
        <w:t xml:space="preserve"> </w:t>
      </w:r>
      <w:r>
        <w:rPr>
          <w:i/>
          <w:iCs/>
        </w:rPr>
        <w:t xml:space="preserve">Fed will cut</w:t>
      </w:r>
      <w:r>
        <w:t xml:space="preserve">. By mid-year, incoming inflation data consistently undershot forecasts (especially headline CPI/PCE), causing a</w:t>
      </w:r>
      <w:r>
        <w:t xml:space="preserve"> </w:t>
      </w:r>
      <w:r>
        <w:rPr>
          <w:i/>
          <w:iCs/>
        </w:rPr>
        <w:t xml:space="preserve">bullish repricing</w:t>
      </w:r>
      <w:r>
        <w:t xml:space="preserve"> </w:t>
      </w:r>
      <w:r>
        <w:t xml:space="preserve">of the Fed path. For example, after a benign June CPI report, Eurodollar/futures shifted to price an earlier first cut. The actual Fed cuts in Sep, Nov confirmed the direction. Thus,</w:t>
      </w:r>
      <w:r>
        <w:t xml:space="preserve"> </w:t>
      </w:r>
      <w:r>
        <w:rPr>
          <w:b/>
          <w:bCs/>
        </w:rPr>
        <w:t xml:space="preserve">Treasury yields’ decline in H2</w:t>
      </w:r>
      <w:r>
        <w:t xml:space="preserve"> </w:t>
      </w:r>
      <w:r>
        <w:t xml:space="preserve">was fundamentally driven by</w:t>
      </w:r>
      <w:r>
        <w:t xml:space="preserve"> </w:t>
      </w:r>
      <w:r>
        <w:rPr>
          <w:b/>
          <w:bCs/>
        </w:rPr>
        <w:t xml:space="preserve">inflation coming under control and the Fed turning dovish</w:t>
      </w:r>
      <w:r>
        <w:t xml:space="preserve"> </w:t>
      </w:r>
      <w:r>
        <w:t xml:space="preserve">–</w:t>
      </w:r>
      <w:r>
        <w:t xml:space="preserve"> </w:t>
      </w:r>
      <w:r>
        <w:rPr>
          <w:i/>
          <w:iCs/>
        </w:rPr>
        <w:t xml:space="preserve">factually evidenced</w:t>
      </w:r>
      <w:r>
        <w:t xml:space="preserve"> </w:t>
      </w:r>
      <w:r>
        <w:t xml:space="preserve">by core PCE falling toward 3% and Fed statements emphasizing “policy is sufficiently restrictive.” At the long end, inflation expectations and term premium played a tug-of-war: the 10Y breakeven rising a bit suggests the market saw tariffs adding maybe ~0.2–0.3% to medium-term inflation (not a big spike, but enough to nudge breakevens). However, that was offset by</w:t>
      </w:r>
      <w:r>
        <w:t xml:space="preserve"> </w:t>
      </w:r>
      <w:r>
        <w:rPr>
          <w:i/>
          <w:iCs/>
        </w:rPr>
        <w:t xml:space="preserve">lower real rate expectations</w:t>
      </w:r>
      <w:r>
        <w:t xml:space="preserve"> </w:t>
      </w:r>
      <w:r>
        <w:t xml:space="preserve">as the neutral rate narrative pulled back (some began arguing the Fed would settle near 2.5–3% neutral rather than higher).</w:t>
      </w:r>
      <w:r>
        <w:t xml:space="preserve"> </w:t>
      </w:r>
      <w:r>
        <w:rPr>
          <w:b/>
          <w:bCs/>
        </w:rPr>
        <w:t xml:space="preserve">Narrative:</w:t>
      </w:r>
      <w:r>
        <w:t xml:space="preserve"> </w:t>
      </w:r>
      <w:r>
        <w:t xml:space="preserve">A common narrative in rates was the “immaculate disinflation” – i.e. that inflation could fall without recession, letting the Fed ease modestly without fear of re-igniting prices. This narrative encouraged duration buying, as evidenced by strong demand at Treasury auctions in late 2025 when yields dipped (investors weren’t demanding a huge inflation premium, believing the story that inflation was beaten).</w:t>
      </w:r>
    </w:p>
    <w:p>
      <w:pPr>
        <w:numPr>
          <w:ilvl w:val="0"/>
          <w:numId w:val="1003"/>
        </w:numPr>
      </w:pPr>
      <w:r>
        <w:rPr>
          <w:b/>
          <w:bCs/>
        </w:rPr>
        <w:t xml:space="preserve">Risk Premia (Term Premium &amp; Curve):</w:t>
      </w:r>
      <w:r>
        <w:t xml:space="preserve"> </w:t>
      </w:r>
      <w:r>
        <w:t xml:space="preserve">The year saw a</w:t>
      </w:r>
      <w:r>
        <w:t xml:space="preserve"> </w:t>
      </w:r>
      <w:r>
        <w:rPr>
          <w:b/>
          <w:bCs/>
        </w:rPr>
        <w:t xml:space="preserve">notable move in term premia</w:t>
      </w:r>
      <w:r>
        <w:t xml:space="preserve">. In 2024, term premia had spiked (10Y term premium went from negative to strongly positive) due to debt supply and uncertainty. In 2025, some of that premium</w:t>
      </w:r>
      <w:r>
        <w:t xml:space="preserve"> </w:t>
      </w:r>
      <w:r>
        <w:rPr>
          <w:b/>
          <w:bCs/>
        </w:rPr>
        <w:t xml:space="preserve">dissipated after April’s scare</w:t>
      </w:r>
      <w:r>
        <w:t xml:space="preserve">. Specifically, the tariff shock in April initially raised concerns of higher inflation, but when that didn’t materialize, long-term bonds rallied – term premium eased. Also, clarity on Fed policy (once cuts began) reduced uncertainty, typically compressing term premium. The</w:t>
      </w:r>
      <w:r>
        <w:t xml:space="preserve"> </w:t>
      </w:r>
      <w:r>
        <w:rPr>
          <w:i/>
          <w:iCs/>
        </w:rPr>
        <w:t xml:space="preserve">yield curve shape</w:t>
      </w:r>
      <w:r>
        <w:t xml:space="preserve"> </w:t>
      </w:r>
      <w:r>
        <w:t xml:space="preserve">reflects risk premia shifts too: the deeply inverted curve of early 2025 was partially an expression of high term premium (investors demanding extra yield on long bonds because of long-run risks). As confidence grew that inflation was headed lower and the Fed wouldn’t lose control,</w:t>
      </w:r>
      <w:r>
        <w:t xml:space="preserve"> </w:t>
      </w:r>
      <w:r>
        <w:rPr>
          <w:b/>
          <w:bCs/>
        </w:rPr>
        <w:t xml:space="preserve">investors were willing to accept lower term premiums</w:t>
      </w:r>
      <w:r>
        <w:t xml:space="preserve"> </w:t>
      </w:r>
      <w:r>
        <w:t xml:space="preserve">– thus the curve steepened from the long end as long yields fell relative to short. Still, by year-end, the term premium was not back to zero – partly because</w:t>
      </w:r>
      <w:r>
        <w:t xml:space="preserve"> </w:t>
      </w:r>
      <w:r>
        <w:rPr>
          <w:b/>
          <w:bCs/>
        </w:rPr>
        <w:t xml:space="preserve">fiscal risk premia</w:t>
      </w:r>
      <w:r>
        <w:t xml:space="preserve"> </w:t>
      </w:r>
      <w:r>
        <w:t xml:space="preserve">stayed elevated. The U.S. running &gt;7% GDP deficits in a full-employment economy was a concern for bond buyers. One sign: the 30Y yield remained quite high vs 10Y (steep 10s-30s), indicating investors wanted extra yield for ultra-long maturity (sensitive to debt sustainability). So, while</w:t>
      </w:r>
      <w:r>
        <w:t xml:space="preserve"> </w:t>
      </w:r>
      <w:r>
        <w:rPr>
          <w:i/>
          <w:iCs/>
        </w:rPr>
        <w:t xml:space="preserve">cyclical</w:t>
      </w:r>
      <w:r>
        <w:t xml:space="preserve"> </w:t>
      </w:r>
      <w:r>
        <w:t xml:space="preserve">risk premia (Fed/inflation) fell,</w:t>
      </w:r>
      <w:r>
        <w:t xml:space="preserve"> </w:t>
      </w:r>
      <w:r>
        <w:rPr>
          <w:i/>
          <w:iCs/>
        </w:rPr>
        <w:t xml:space="preserve">structural</w:t>
      </w:r>
      <w:r>
        <w:t xml:space="preserve"> </w:t>
      </w:r>
      <w:r>
        <w:t xml:space="preserve">risk premia (debt, supply) stayed.</w:t>
      </w:r>
    </w:p>
    <w:p>
      <w:pPr>
        <w:numPr>
          <w:ilvl w:val="0"/>
          <w:numId w:val="1003"/>
        </w:numPr>
      </w:pPr>
      <w:r>
        <w:rPr>
          <w:b/>
          <w:bCs/>
        </w:rPr>
        <w:t xml:space="preserve">Positioning and Flows:</w:t>
      </w:r>
      <w:r>
        <w:t xml:space="preserve"> </w:t>
      </w:r>
      <w:r>
        <w:rPr>
          <w:b/>
          <w:bCs/>
        </w:rPr>
        <w:t xml:space="preserve">Positioning in rates</w:t>
      </w:r>
      <w:r>
        <w:t xml:space="preserve"> </w:t>
      </w:r>
      <w:r>
        <w:t xml:space="preserve">underwent a big pivot. Coming into 2025, many macro funds were short Treasuries (a popular trade in 2022–24 as yields rose). As recession fears failed to immediately play out, some held onto shorts expecting the Fed to stay hawkish. But by Q2, those shorts began to cover en masse when data turned dovish – leading to rapid declines in yields. One could see this in CFTC positioning: speculative shorts in 10Y notes hit multi-year highs in March then shrank by summer. This short-covering amplified the bond rally. Additionally,</w:t>
      </w:r>
      <w:r>
        <w:t xml:space="preserve"> </w:t>
      </w:r>
      <w:r>
        <w:rPr>
          <w:i/>
          <w:iCs/>
        </w:rPr>
        <w:t xml:space="preserve">liability-driven investors</w:t>
      </w:r>
      <w:r>
        <w:t xml:space="preserve"> </w:t>
      </w:r>
      <w:r>
        <w:t xml:space="preserve">(e.g. pension funds and insurance companies) saw an opportunity in H2 to lock in high yields for long durations. Many pensions, now better funded after 2022–23, reallocated into long bonds to immunize liabilities. This structural flow (often via swaps) put downward pressure on 20–30Y yields. On the other hand, the</w:t>
      </w:r>
      <w:r>
        <w:t xml:space="preserve"> </w:t>
      </w:r>
      <w:r>
        <w:rPr>
          <w:b/>
          <w:bCs/>
        </w:rPr>
        <w:t xml:space="preserve">Fed’s QT</w:t>
      </w:r>
      <w:r>
        <w:t xml:space="preserve"> </w:t>
      </w:r>
      <w:r>
        <w:t xml:space="preserve">continued in the background, slowly reducing its bond holdings. This was a source of</w:t>
      </w:r>
      <w:r>
        <w:t xml:space="preserve"> </w:t>
      </w:r>
      <w:r>
        <w:rPr>
          <w:i/>
          <w:iCs/>
        </w:rPr>
        <w:t xml:space="preserve">supply</w:t>
      </w:r>
      <w:r>
        <w:t xml:space="preserve"> </w:t>
      </w:r>
      <w:r>
        <w:t xml:space="preserve">the market had to absorb. By estimates, Fed QT added about $600 billion of Treasuries supply to private markets in 2025. However, this was offset by demand from yield-hungry investors (both domestic and foreign) once yields peaked ~5%.</w:t>
      </w:r>
      <w:r>
        <w:t xml:space="preserve"> </w:t>
      </w:r>
      <w:r>
        <w:rPr>
          <w:b/>
          <w:bCs/>
        </w:rPr>
        <w:t xml:space="preserve">Foreign flows:</w:t>
      </w:r>
      <w:r>
        <w:t xml:space="preserve"> </w:t>
      </w:r>
      <w:r>
        <w:t xml:space="preserve">After hedging costs eased (with Fed cuts reducing USD hedging costs), foreign buyers like Japanese life insurers and European investors increased purchases of U.S. Treasuries in H2. This was a reversal from 2022 when hedged yields were unattractive – in late 2025, hedged U.S. 10Y yields for Japanese investors were around ~3%, much better than &lt;1% at home, prompting flows into Treasuries when USD/JPY stabilized.</w:t>
      </w:r>
      <w:r>
        <w:t xml:space="preserve"> </w:t>
      </w:r>
      <w:r>
        <w:rPr>
          <w:b/>
          <w:bCs/>
        </w:rPr>
        <w:t xml:space="preserve">Narrative vs Fact on flows:</w:t>
      </w:r>
      <w:r>
        <w:t xml:space="preserve"> </w:t>
      </w:r>
      <w:r>
        <w:t xml:space="preserve">There was a narrative mid-year of “bond vigilantes” retreating – i.e. that after pushing yields up in 2024, speculators were now aligning with the Fed’s view and no longer shorting bonds, which</w:t>
      </w:r>
      <w:r>
        <w:t xml:space="preserve"> </w:t>
      </w:r>
      <w:r>
        <w:rPr>
          <w:i/>
          <w:iCs/>
        </w:rPr>
        <w:t xml:space="preserve">factually</w:t>
      </w:r>
      <w:r>
        <w:t xml:space="preserve"> </w:t>
      </w:r>
      <w:r>
        <w:t xml:space="preserve">lines up with the observed short-covering. Conversely, one narrative was that China (a large holder) might sell U.S. Treasuries in retaliation to tariffs. However, there’s scant evidence of large Chinese selling – U.S. TIC data didn’t show a sharp drop in Chinese holdings, implying this remained a</w:t>
      </w:r>
      <w:r>
        <w:t xml:space="preserve"> </w:t>
      </w:r>
      <w:r>
        <w:rPr>
          <w:i/>
          <w:iCs/>
        </w:rPr>
        <w:t xml:space="preserve">speculative fear</w:t>
      </w:r>
      <w:r>
        <w:t xml:space="preserve"> </w:t>
      </w:r>
      <w:r>
        <w:t xml:space="preserve">not realized.</w:t>
      </w:r>
    </w:p>
    <w:p>
      <w:pPr>
        <w:numPr>
          <w:ilvl w:val="0"/>
          <w:numId w:val="1003"/>
        </w:numPr>
      </w:pPr>
      <w:r>
        <w:rPr>
          <w:b/>
          <w:bCs/>
        </w:rPr>
        <w:t xml:space="preserve">Liquidity and Microstructure:</w:t>
      </w:r>
      <w:r>
        <w:t xml:space="preserve"> </w:t>
      </w:r>
      <w:r>
        <w:rPr>
          <w:b/>
          <w:bCs/>
        </w:rPr>
        <w:t xml:space="preserve">Bond market microstructure</w:t>
      </w:r>
      <w:r>
        <w:t xml:space="preserve"> </w:t>
      </w:r>
      <w:r>
        <w:t xml:space="preserve">improved as volatility fell, but liquidity was tested at times. In April, Treasury market depth hit its worst since the 2023 bank turmoil, showing how a shock (tariffs) can scare off market-makers. Bid-ask spreads widened and price impact per trade increased. But after the tariff scare, the Treasury launched its</w:t>
      </w:r>
      <w:r>
        <w:t xml:space="preserve"> </w:t>
      </w:r>
      <w:r>
        <w:rPr>
          <w:b/>
          <w:bCs/>
        </w:rPr>
        <w:t xml:space="preserve">buyback program</w:t>
      </w:r>
      <w:r>
        <w:t xml:space="preserve"> </w:t>
      </w:r>
      <w:r>
        <w:t xml:space="preserve">(announced at May refunding) aimed at supporting liquidity by buying off-the-run bonds. These small, regular buybacks (liquidity operations of ~$4bn each) helped stabilize liquidity in older issues. By late 2025, those metrics had normalized or even improved compared to the prior year, as noted by the NY Fed’s analysis. Another micro factor:</w:t>
      </w:r>
      <w:r>
        <w:t xml:space="preserve"> </w:t>
      </w:r>
      <w:r>
        <w:rPr>
          <w:b/>
          <w:bCs/>
        </w:rPr>
        <w:t xml:space="preserve">supply timing.</w:t>
      </w:r>
      <w:r>
        <w:t xml:space="preserve"> </w:t>
      </w:r>
      <w:r>
        <w:t xml:space="preserve">The U.S. Treasury’s quarterly refundings were moments of potential volatility. In August, Treasury announced smaller-than-expected increases to auction sizes (given the high yields already doing some work) – this</w:t>
      </w:r>
      <w:r>
        <w:t xml:space="preserve"> </w:t>
      </w:r>
      <w:r>
        <w:rPr>
          <w:i/>
          <w:iCs/>
        </w:rPr>
        <w:t xml:space="preserve">fact</w:t>
      </w:r>
      <w:r>
        <w:t xml:space="preserve"> </w:t>
      </w:r>
      <w:r>
        <w:t xml:space="preserve">led to a rally (less supply than feared). At the November refunding, they did increase auction sizes but also increased the frequency of buybacks, which the market took in stride, with minimal impact on yields. This indicated improved absorption capacity.</w:t>
      </w:r>
      <w:r>
        <w:t xml:space="preserve"> </w:t>
      </w:r>
      <w:r>
        <w:rPr>
          <w:b/>
          <w:bCs/>
        </w:rPr>
        <w:t xml:space="preserve">Dealer positioning</w:t>
      </w:r>
      <w:r>
        <w:t xml:space="preserve">: Primary dealers had to underwrite large issuance, but their balance sheets were healthier and regulations eased slightly (the Fed’s Standing Repo Facility gave comfort that dealers could finance Treasuries easily if needed). Thus, supply indigestion never got severe.</w:t>
      </w:r>
      <w:r>
        <w:t xml:space="preserve"> </w:t>
      </w:r>
      <w:r>
        <w:rPr>
          <w:b/>
          <w:bCs/>
        </w:rPr>
        <w:t xml:space="preserve">Eurodollar/Fed Funds futures</w:t>
      </w:r>
      <w:r>
        <w:t xml:space="preserve"> </w:t>
      </w:r>
      <w:r>
        <w:t xml:space="preserve">liquidity was robust as well – open interest was high as hedgers and speculators expressed views on Fed cuts. One microstructure note: with the cessation of LIBOR, interest rate futures fully transitioned to SOFR-based contracts in 2025. The transition went smoothly with no volatility bump, which helped the Fed’s signals transmit cleanly.</w:t>
      </w:r>
    </w:p>
    <w:p>
      <w:pPr>
        <w:pStyle w:val="FirstParagraph"/>
      </w:pPr>
      <w:r>
        <w:t xml:space="preserve">In short,</w:t>
      </w:r>
      <w:r>
        <w:t xml:space="preserve"> </w:t>
      </w:r>
      <w:r>
        <w:rPr>
          <w:b/>
          <w:bCs/>
        </w:rPr>
        <w:t xml:space="preserve">bond markets in 2025 were driven by the realization that inflation was coming down and the Fed would ease</w:t>
      </w:r>
      <w:r>
        <w:t xml:space="preserve">, leading to a reversal of the prior years’ bearish positions and a compression of term premium. Improved liquidity and supportive structural flows (pensions, foreign buyers) allowed the large U.S. issuance to be digested with surprisingly little stress. The</w:t>
      </w:r>
      <w:r>
        <w:t xml:space="preserve"> </w:t>
      </w:r>
      <w:r>
        <w:rPr>
          <w:i/>
          <w:iCs/>
        </w:rPr>
        <w:t xml:space="preserve">mechanistic outcome</w:t>
      </w:r>
      <w:r>
        <w:t xml:space="preserve"> </w:t>
      </w:r>
      <w:r>
        <w:t xml:space="preserve">was a bull steepening of the yield curve and positive total returns for bondholders.</w:t>
      </w:r>
    </w:p>
    <w:bookmarkEnd w:id="38"/>
    <w:bookmarkStart w:id="39" w:name="credit-drivers"/>
    <w:p>
      <w:pPr>
        <w:pStyle w:val="Heading3"/>
      </w:pPr>
      <w:r>
        <w:rPr>
          <w:b/>
          <w:bCs/>
        </w:rPr>
        <w:t xml:space="preserve">Credit – Drivers:</w:t>
      </w:r>
    </w:p>
    <w:p>
      <w:pPr>
        <w:pStyle w:val="Compact"/>
        <w:numPr>
          <w:ilvl w:val="0"/>
          <w:numId w:val="1004"/>
        </w:numPr>
      </w:pPr>
      <w:r>
        <w:rPr>
          <w:b/>
          <w:bCs/>
        </w:rPr>
        <w:t xml:space="preserve">Macro Expectations &amp; Defaults:</w:t>
      </w:r>
      <w:r>
        <w:t xml:space="preserve"> </w:t>
      </w:r>
      <w:r>
        <w:t xml:space="preserve">Credit spreads are highly sensitive to</w:t>
      </w:r>
      <w:r>
        <w:t xml:space="preserve"> </w:t>
      </w:r>
      <w:r>
        <w:rPr>
          <w:b/>
          <w:bCs/>
        </w:rPr>
        <w:t xml:space="preserve">expected default rates and economic outlook</w:t>
      </w:r>
      <w:r>
        <w:t xml:space="preserve">. In 2025, as recession odds diminished and corporate earnings proved resilient, investors marked down expected defaults.</w:t>
      </w:r>
      <w:r>
        <w:t xml:space="preserve"> </w:t>
      </w:r>
      <w:r>
        <w:rPr>
          <w:i/>
          <w:iCs/>
        </w:rPr>
        <w:t xml:space="preserve">Fact:</w:t>
      </w:r>
      <w:r>
        <w:t xml:space="preserve"> </w:t>
      </w:r>
      <w:r>
        <w:t xml:space="preserve">Moody’s started 2025 forecasting a HY default rate ~4% by year-end, but as the year progressed, they revised that lower toward ~3% given benign conditions. Actual defaults remained low, confined to a few idiosyncratic cases (e.g. a distressed retailer and some small energy firms). No systemic wave materialized. This improved outlook –</w:t>
      </w:r>
      <w:r>
        <w:t xml:space="preserve"> </w:t>
      </w:r>
      <w:r>
        <w:rPr>
          <w:i/>
          <w:iCs/>
        </w:rPr>
        <w:t xml:space="preserve">that companies would on balance weather the year without crisis</w:t>
      </w:r>
      <w:r>
        <w:t xml:space="preserve"> </w:t>
      </w:r>
      <w:r>
        <w:t xml:space="preserve">– directly drove credit spreads tighter.</w:t>
      </w:r>
      <w:r>
        <w:t xml:space="preserve"> </w:t>
      </w:r>
      <w:r>
        <w:rPr>
          <w:b/>
          <w:bCs/>
        </w:rPr>
        <w:t xml:space="preserve">Narrative:</w:t>
      </w:r>
      <w:r>
        <w:t xml:space="preserve"> </w:t>
      </w:r>
      <w:r>
        <w:t xml:space="preserve">There was a prevailing narrative by Q3 that “corporates have refinanced and termed out debt, so they can survive high rates.” Indeed, many high-yield companies had termed out maturities to 2026–2028, meaning few faced a need to refinance in 2025, reducing default triggers. Low default</w:t>
      </w:r>
      <w:r>
        <w:t xml:space="preserve"> </w:t>
      </w:r>
      <w:r>
        <w:rPr>
          <w:i/>
          <w:iCs/>
        </w:rPr>
        <w:t xml:space="preserve">actuals</w:t>
      </w:r>
      <w:r>
        <w:t xml:space="preserve"> </w:t>
      </w:r>
      <w:r>
        <w:t xml:space="preserve">reinforced a</w:t>
      </w:r>
      <w:r>
        <w:t xml:space="preserve"> </w:t>
      </w:r>
      <w:r>
        <w:rPr>
          <w:i/>
          <w:iCs/>
        </w:rPr>
        <w:t xml:space="preserve">reach-for-yield</w:t>
      </w:r>
      <w:r>
        <w:t xml:space="preserve"> </w:t>
      </w:r>
      <w:r>
        <w:t xml:space="preserve">narrative: with no storm on the horizon, investors felt credit spreads were too wide relative to fundamentals. This became self-fulfilling as they bought credit and tightened spreads.</w:t>
      </w:r>
    </w:p>
    <w:p>
      <w:pPr>
        <w:pStyle w:val="Compact"/>
        <w:numPr>
          <w:ilvl w:val="0"/>
          <w:numId w:val="1004"/>
        </w:numPr>
      </w:pPr>
      <w:r>
        <w:rPr>
          <w:b/>
          <w:bCs/>
        </w:rPr>
        <w:t xml:space="preserve">Risk Appetite &amp; Flows:</w:t>
      </w:r>
      <w:r>
        <w:t xml:space="preserve"> </w:t>
      </w:r>
      <w:r>
        <w:t xml:space="preserve">Credit, particularly high-yield and EM bonds, benefited from</w:t>
      </w:r>
      <w:r>
        <w:t xml:space="preserve"> </w:t>
      </w:r>
      <w:r>
        <w:rPr>
          <w:b/>
          <w:bCs/>
        </w:rPr>
        <w:t xml:space="preserve">cross-asset rotation flows</w:t>
      </w:r>
      <w:r>
        <w:t xml:space="preserve">. As the year progressed, more capital rotated from government bonds into corporates to pick up spread, and from equities into high-yield to pick up yield with (perceived) limited downside.</w:t>
      </w:r>
      <w:r>
        <w:t xml:space="preserve"> </w:t>
      </w:r>
      <w:r>
        <w:rPr>
          <w:i/>
          <w:iCs/>
        </w:rPr>
        <w:t xml:space="preserve">Evidence:</w:t>
      </w:r>
      <w:r>
        <w:t xml:space="preserve"> </w:t>
      </w:r>
      <w:r>
        <w:t xml:space="preserve">U.S. high-yield mutual funds and ETFs saw net inflows of ~$10bn in 2025 (after outflows in 2022–23), per Lipper, indicating investors returning. Similarly, EM bond funds had strong inflows as rate cuts in EM encouraged local investors to seek higher yields in hard-currency bonds.</w:t>
      </w:r>
      <w:r>
        <w:t xml:space="preserve"> </w:t>
      </w:r>
      <w:r>
        <w:rPr>
          <w:b/>
          <w:bCs/>
        </w:rPr>
        <w:t xml:space="preserve">Positioning:</w:t>
      </w:r>
      <w:r>
        <w:t xml:space="preserve"> </w:t>
      </w:r>
      <w:r>
        <w:t xml:space="preserve">At the start of 2025, many asset managers were underweight credit (fearing deteriorating earnings and leverage). As those tail risks receded, underweights were closed. Real-money accounts extended duration in credit too, not just Treasuries, anticipating spread plus Treasury yield would lock in great total returns.</w:t>
      </w:r>
    </w:p>
    <w:p>
      <w:pPr>
        <w:pStyle w:val="Compact"/>
        <w:numPr>
          <w:ilvl w:val="0"/>
          <w:numId w:val="1004"/>
        </w:numPr>
      </w:pPr>
      <w:r>
        <w:rPr>
          <w:b/>
          <w:bCs/>
        </w:rPr>
        <w:t xml:space="preserve">Liquidity &amp; Dealer Positioning:</w:t>
      </w:r>
      <w:r>
        <w:t xml:space="preserve"> </w:t>
      </w:r>
      <w:r>
        <w:t xml:space="preserve">The credit market’s microstructure was aided by relatively light net issuance.</w:t>
      </w:r>
      <w:r>
        <w:t xml:space="preserve"> </w:t>
      </w:r>
      <w:r>
        <w:rPr>
          <w:i/>
          <w:iCs/>
        </w:rPr>
        <w:t xml:space="preserve">Fact:</w:t>
      </w:r>
      <w:r>
        <w:t xml:space="preserve"> </w:t>
      </w:r>
      <w:r>
        <w:t xml:space="preserve">U.S. investment-grade bond issuance was ~$1.2 trillion, up from 2024 but well below 2017’s highs. Many companies had pre-funded. High-yield gross issuance was about $250bn – a solid pick-up from 2022–24 doldrums, but still moderate historically. This manageable supply meant dealers and the market could absorb new deals without blowing out spreads.</w:t>
      </w:r>
      <w:r>
        <w:t xml:space="preserve"> </w:t>
      </w:r>
      <w:r>
        <w:rPr>
          <w:b/>
          <w:bCs/>
        </w:rPr>
        <w:t xml:space="preserve">Dealer positioning:</w:t>
      </w:r>
      <w:r>
        <w:t xml:space="preserve"> </w:t>
      </w:r>
      <w:r>
        <w:t xml:space="preserve">Dealers reportedly ended 2024 with fairly short inventories in credit (protective stance). As spreads tightened, they kept balance sheets light, not fighting the rally. Secondary market liquidity in corporate bonds actually improved, aided by more electronic trading usage – several days saw &gt;40% of IG volume on electronic RFQ platforms, tightening bid-asks. When volatility is low, bond market-making is easier, thus liquidity stays ample, reinforcing stable spreads.</w:t>
      </w:r>
    </w:p>
    <w:p>
      <w:pPr>
        <w:pStyle w:val="Compact"/>
        <w:numPr>
          <w:ilvl w:val="0"/>
          <w:numId w:val="1004"/>
        </w:numPr>
      </w:pPr>
      <w:r>
        <w:rPr>
          <w:b/>
          <w:bCs/>
        </w:rPr>
        <w:t xml:space="preserve">Technical Factors:</w:t>
      </w:r>
      <w:r>
        <w:t xml:space="preserve"> </w:t>
      </w:r>
      <w:r>
        <w:rPr>
          <w:b/>
          <w:bCs/>
        </w:rPr>
        <w:t xml:space="preserve">Coupon income and carry</w:t>
      </w:r>
      <w:r>
        <w:t xml:space="preserve"> </w:t>
      </w:r>
      <w:r>
        <w:t xml:space="preserve">in credit was very attractive by early 2025 – IG bonds yielding ~5.5%, HY yielding ~8–9%. This carry itself attracted investors in a low-vol environment. With spreads compressing gradually, credit provided a smooth, high-carry trade, making it a darling of many multi-asset portfolios. Some institutional investors (like insurers) significantly added corporate bonds to lock in those yields once it seemed clear yields had peaked. Additionally, as equities got pricier, a narrative formed: “Buy credit, it’s equity-like returns with less risk in this environment.” Indeed, with HY returning ~11%, it nearly matched S&amp;P 500’s 18% but with lower vol and more downside protection (coupons cushion). So allocation shifts – e.g. balanced funds raising credit weight – supported the asset class.</w:t>
      </w:r>
    </w:p>
    <w:p>
      <w:pPr>
        <w:pStyle w:val="Compact"/>
        <w:numPr>
          <w:ilvl w:val="0"/>
          <w:numId w:val="1004"/>
        </w:numPr>
      </w:pPr>
      <w:r>
        <w:rPr>
          <w:b/>
          <w:bCs/>
        </w:rPr>
        <w:t xml:space="preserve">Microstructure:</w:t>
      </w:r>
      <w:r>
        <w:t xml:space="preserve"> </w:t>
      </w:r>
      <w:r>
        <w:t xml:space="preserve">In credit derivatives, the CDX (credit default swap indices) mirrored cash spreads. CDX IG index tightened from ~80 bps to ~60 bps. Some macro hedge funds who shorted CDX as a cheap hedge in Jan found themselves covering those shorts as it tightened – causing further spread tightening (CDS leading cash at times). Meanwhile,</w:t>
      </w:r>
      <w:r>
        <w:t xml:space="preserve"> </w:t>
      </w:r>
      <w:r>
        <w:rPr>
          <w:b/>
          <w:bCs/>
        </w:rPr>
        <w:t xml:space="preserve">fallen angels</w:t>
      </w:r>
      <w:r>
        <w:t xml:space="preserve"> </w:t>
      </w:r>
      <w:r>
        <w:t xml:space="preserve">(downgrades from IG to HY) – which can flood the HY market – were minimal in 2025, removing a supply risk for HY. Conversely, a few</w:t>
      </w:r>
      <w:r>
        <w:t xml:space="preserve"> </w:t>
      </w:r>
      <w:r>
        <w:rPr>
          <w:b/>
          <w:bCs/>
        </w:rPr>
        <w:t xml:space="preserve">rising stars</w:t>
      </w:r>
      <w:r>
        <w:t xml:space="preserve"> </w:t>
      </w:r>
      <w:r>
        <w:t xml:space="preserve">(HY upgraded to IG) like some energy companies exiting junk helped HY technicals by shrinking the universe slightly.</w:t>
      </w:r>
    </w:p>
    <w:p>
      <w:pPr>
        <w:pStyle w:val="Compact"/>
        <w:numPr>
          <w:ilvl w:val="0"/>
          <w:numId w:val="1004"/>
        </w:numPr>
      </w:pPr>
      <w:r>
        <w:rPr>
          <w:b/>
          <w:bCs/>
        </w:rPr>
        <w:t xml:space="preserve">Corporate Fundamentals:</w:t>
      </w:r>
      <w:r>
        <w:t xml:space="preserve"> </w:t>
      </w:r>
      <w:r>
        <w:t xml:space="preserve">On the fundamental side,</w:t>
      </w:r>
      <w:r>
        <w:t xml:space="preserve"> </w:t>
      </w:r>
      <w:r>
        <w:rPr>
          <w:b/>
          <w:bCs/>
        </w:rPr>
        <w:t xml:space="preserve">profit margins</w:t>
      </w:r>
      <w:r>
        <w:t xml:space="preserve"> </w:t>
      </w:r>
      <w:r>
        <w:t xml:space="preserve">compressed a bit for companies due to wage inflation and other costs, but companies cut costs and maintained decent earnings, so interest coverage ratios, though off highs, stayed healthy. Investment grade interest coverage ratio was ~9x, and HY ~3x – both acceptable. Also, many companies termed out debt at low fixed rates earlier, so the impact of Fed rate hikes on interest expense was delayed and mild in 2025. These fundamentals gave factual backing to tight spreads – rating agencies didn’t issue many negative outlooks.</w:t>
      </w:r>
    </w:p>
    <w:p>
      <w:pPr>
        <w:pStyle w:val="FirstParagraph"/>
      </w:pPr>
      <w:r>
        <w:t xml:space="preserve">In essence,</w:t>
      </w:r>
      <w:r>
        <w:t xml:space="preserve"> </w:t>
      </w:r>
      <w:r>
        <w:rPr>
          <w:b/>
          <w:bCs/>
        </w:rPr>
        <w:t xml:space="preserve">credit was driven by a Goldilocks credit environment: moderate growth, falling inflation, and no surge in defaults</w:t>
      </w:r>
      <w:r>
        <w:t xml:space="preserve">. The</w:t>
      </w:r>
      <w:r>
        <w:t xml:space="preserve"> </w:t>
      </w:r>
      <w:r>
        <w:rPr>
          <w:b/>
          <w:bCs/>
        </w:rPr>
        <w:t xml:space="preserve">mechanism</w:t>
      </w:r>
      <w:r>
        <w:t xml:space="preserve"> </w:t>
      </w:r>
      <w:r>
        <w:t xml:space="preserve">was that investors, starved for yield in prior years, now saw an opportunity to grab yield</w:t>
      </w:r>
      <w:r>
        <w:t xml:space="preserve"> </w:t>
      </w:r>
      <w:r>
        <w:rPr>
          <w:i/>
          <w:iCs/>
        </w:rPr>
        <w:t xml:space="preserve">with diminishing risk</w:t>
      </w:r>
      <w:r>
        <w:t xml:space="preserve">, so they poured in, narrowing spreads. It’s worth noting that credit tends to be</w:t>
      </w:r>
      <w:r>
        <w:t xml:space="preserve"> </w:t>
      </w:r>
      <w:r>
        <w:rPr>
          <w:i/>
          <w:iCs/>
        </w:rPr>
        <w:t xml:space="preserve">lead</w:t>
      </w:r>
      <w:r>
        <w:t xml:space="preserve"> </w:t>
      </w:r>
      <w:r>
        <w:t xml:space="preserve">equity in turns – in 2025 credit spreads tightening was confirming the equity rally and actually even suggesting equity could run further (since credit was saying “all clear”).</w:t>
      </w:r>
    </w:p>
    <w:p>
      <w:pPr>
        <w:pStyle w:val="BodyText"/>
      </w:pPr>
      <w:r>
        <w:t xml:space="preserve">One caution: lower-quality credits did rely on refinancing by 2026–27, but in 2025 the market assumed refinancing would be available, so that risk was not priced in yet. Thus, credit markets perhaps priced in a</w:t>
      </w:r>
      <w:r>
        <w:t xml:space="preserve"> </w:t>
      </w:r>
      <w:r>
        <w:rPr>
          <w:i/>
          <w:iCs/>
        </w:rPr>
        <w:t xml:space="preserve">quite rosy scenario</w:t>
      </w:r>
      <w:r>
        <w:t xml:space="preserve"> </w:t>
      </w:r>
      <w:r>
        <w:t xml:space="preserve">– a driver that is more narrative (soft landing continues) than guaranteed fact. Yet, as long as the narrative held, flows and positioning pushed spreads to cycle lows.</w:t>
      </w:r>
    </w:p>
    <w:bookmarkEnd w:id="39"/>
    <w:bookmarkStart w:id="40" w:name="fx-drivers"/>
    <w:p>
      <w:pPr>
        <w:pStyle w:val="Heading3"/>
      </w:pPr>
      <w:r>
        <w:rPr>
          <w:b/>
          <w:bCs/>
        </w:rPr>
        <w:t xml:space="preserve">FX – Drivers:</w:t>
      </w:r>
    </w:p>
    <w:p>
      <w:pPr>
        <w:numPr>
          <w:ilvl w:val="0"/>
          <w:numId w:val="1005"/>
        </w:numPr>
      </w:pPr>
      <w:r>
        <w:rPr>
          <w:b/>
          <w:bCs/>
        </w:rPr>
        <w:t xml:space="preserve">Macro Differentials (Rates &amp; Growth):</w:t>
      </w:r>
      <w:r>
        <w:t xml:space="preserve"> </w:t>
      </w:r>
      <w:r>
        <w:t xml:space="preserve">Currencies largely traded on</w:t>
      </w:r>
      <w:r>
        <w:t xml:space="preserve"> </w:t>
      </w:r>
      <w:r>
        <w:rPr>
          <w:b/>
          <w:bCs/>
        </w:rPr>
        <w:t xml:space="preserve">interest rate differentials and relative growth outlooks</w:t>
      </w:r>
      <w:r>
        <w:t xml:space="preserve">. The most obvious driver was the</w:t>
      </w:r>
      <w:r>
        <w:t xml:space="preserve"> </w:t>
      </w:r>
      <w:r>
        <w:rPr>
          <w:b/>
          <w:bCs/>
        </w:rPr>
        <w:t xml:space="preserve">Fed’s dovish shift</w:t>
      </w:r>
      <w:r>
        <w:t xml:space="preserve"> </w:t>
      </w:r>
      <w:r>
        <w:t xml:space="preserve">reducing the USD’s carry advantage. In 2022–23, the dollar’s strength was built on the Fed hiking fastest. In 2025, once the Fed paused and started cutting while ECB, BoE were still at peak or just pausing, the carry math flipped – euro and pound became more attractive in comparison.</w:t>
      </w:r>
      <w:r>
        <w:t xml:space="preserve"> </w:t>
      </w:r>
      <w:r>
        <w:rPr>
          <w:i/>
          <w:iCs/>
        </w:rPr>
        <w:t xml:space="preserve">Fact:</w:t>
      </w:r>
      <w:r>
        <w:t xml:space="preserve"> </w:t>
      </w:r>
      <w:r>
        <w:t xml:space="preserve">By Q4, the 2Y Germany–U.S. spread moved ~50 bps in Europe’s favor from the start of the year, aligning with euro strength. Similarly, the UK went from behind-the-curve to maybe slightly higher rates than U.S. at points, supporting sterling.</w:t>
      </w:r>
      <w:r>
        <w:t xml:space="preserve"> </w:t>
      </w:r>
      <w:r>
        <w:rPr>
          <w:b/>
          <w:bCs/>
        </w:rPr>
        <w:t xml:space="preserve">Growth factor:</w:t>
      </w:r>
      <w:r>
        <w:t xml:space="preserve"> </w:t>
      </w:r>
      <w:r>
        <w:t xml:space="preserve">The U.S. also lost some relative growth momentum; Europe and EM growth surprised up relative to expectations (even if absolute growth was lower). For instance, Europe’s PMI rebound above 50 in late summer signaled improvement, whereas U.S. PMIs were steady or down slightly. A</w:t>
      </w:r>
      <w:r>
        <w:t xml:space="preserve"> </w:t>
      </w:r>
      <w:r>
        <w:rPr>
          <w:i/>
          <w:iCs/>
        </w:rPr>
        <w:t xml:space="preserve">narrative</w:t>
      </w:r>
      <w:r>
        <w:t xml:space="preserve"> </w:t>
      </w:r>
      <w:r>
        <w:t xml:space="preserve">took hold that</w:t>
      </w:r>
      <w:r>
        <w:t xml:space="preserve"> </w:t>
      </w:r>
      <w:r>
        <w:rPr>
          <w:b/>
          <w:bCs/>
        </w:rPr>
        <w:t xml:space="preserve">Europe and EM had more upside surprise potential</w:t>
      </w:r>
      <w:r>
        <w:t xml:space="preserve"> </w:t>
      </w:r>
      <w:r>
        <w:t xml:space="preserve">in growth, whereas the U.S. might slow. This encouraged dollar selling as global investors reallocated to non-U.S. assets (which often entails selling USD, buying local currencies). Meanwhile,</w:t>
      </w:r>
      <w:r>
        <w:t xml:space="preserve"> </w:t>
      </w:r>
      <w:r>
        <w:rPr>
          <w:b/>
          <w:bCs/>
        </w:rPr>
        <w:t xml:space="preserve">China’s stabilization</w:t>
      </w:r>
      <w:r>
        <w:t xml:space="preserve"> </w:t>
      </w:r>
      <w:r>
        <w:t xml:space="preserve">and avoidance of a yuan crisis was key for EMFX sentiment. The yuan’s recovery from April lows signaled that the feared China hard landing wouldn’t manifest in 2025, boosting confidence in Asia FX broadly.</w:t>
      </w:r>
    </w:p>
    <w:p>
      <w:pPr>
        <w:numPr>
          <w:ilvl w:val="0"/>
          <w:numId w:val="1005"/>
        </w:numPr>
      </w:pPr>
      <w:r>
        <w:rPr>
          <w:b/>
          <w:bCs/>
        </w:rPr>
        <w:t xml:space="preserve">Risk Sentiment &amp; Safe Haven Flows:</w:t>
      </w:r>
      <w:r>
        <w:t xml:space="preserve"> </w:t>
      </w:r>
      <w:r>
        <w:t xml:space="preserve">2025 saw phases of risk-off where typical safe havens (USD, JPY, CHF) would normally benefit, but the dynamics were nuanced. In April’s panic, the</w:t>
      </w:r>
      <w:r>
        <w:t xml:space="preserve"> </w:t>
      </w:r>
      <w:r>
        <w:rPr>
          <w:b/>
          <w:bCs/>
        </w:rPr>
        <w:t xml:space="preserve">dollar initially caught a bid</w:t>
      </w:r>
      <w:r>
        <w:t xml:space="preserve"> </w:t>
      </w:r>
      <w:r>
        <w:t xml:space="preserve">(DXY spiked a bit) but then quickly reversed lower as Fed rate cut expectations surged – meaning the usual “USD as safe haven” was short-circuited by the interest rate effect (bad U.S. news -&gt; Fed cuts -&gt; weaker USD, dominating risk-off flows). The</w:t>
      </w:r>
      <w:r>
        <w:t xml:space="preserve"> </w:t>
      </w:r>
      <w:r>
        <w:rPr>
          <w:b/>
          <w:bCs/>
        </w:rPr>
        <w:t xml:space="preserve">Japanese yen</w:t>
      </w:r>
      <w:r>
        <w:t xml:space="preserve">, another haven, had an up-and-down year. During high global stress (e.g. a brief spike when conflict erupted in Gaza in Oct), yen did firm slightly, but structural factors (Japan’s still-low yields) made yen unattractive in calmer times. On net,</w:t>
      </w:r>
      <w:r>
        <w:t xml:space="preserve"> </w:t>
      </w:r>
      <w:r>
        <w:rPr>
          <w:i/>
          <w:iCs/>
        </w:rPr>
        <w:t xml:space="preserve">carry trades trumped fear</w:t>
      </w:r>
      <w:r>
        <w:t xml:space="preserve"> </w:t>
      </w:r>
      <w:r>
        <w:t xml:space="preserve">in FX for much of the year – i.e. investors favored high-yield currencies as long as extreme tail risk wasn’t imminent, and if a shock hit, any safe-haven rally was quickly unwound once calm returned and carry hunters came back. The</w:t>
      </w:r>
      <w:r>
        <w:t xml:space="preserve"> </w:t>
      </w:r>
      <w:r>
        <w:rPr>
          <w:b/>
          <w:bCs/>
        </w:rPr>
        <w:t xml:space="preserve">Swiss franc</w:t>
      </w:r>
      <w:r>
        <w:t xml:space="preserve"> </w:t>
      </w:r>
      <w:r>
        <w:t xml:space="preserve">remained strong (CHF made multi-decade highs vs EUR) as Switzerland still had low inflation and the franc retains safe-haven status – a fundamentally driven move: Swiss’s current account stayed large and SNB allowed appreciation to fight imported inflation.</w:t>
      </w:r>
    </w:p>
    <w:p>
      <w:pPr>
        <w:numPr>
          <w:ilvl w:val="0"/>
          <w:numId w:val="1005"/>
        </w:numPr>
      </w:pPr>
      <w:r>
        <w:rPr>
          <w:b/>
          <w:bCs/>
        </w:rPr>
        <w:t xml:space="preserve">Flows &amp; Positioning:</w:t>
      </w:r>
      <w:r>
        <w:t xml:space="preserve"> </w:t>
      </w:r>
      <w:r>
        <w:t xml:space="preserve">Positioning in FX was an important driver, especially for the dollar. Starting 2025, speculative positioning (CFTC) was net long USD against major currencies. By year-end, that flipped to net short USD, reflecting the broad selling. These positioning shifts can accelerate trends. For example, once EUR/USD broke above 1.10 (a key technical level), a wave of stop-loss USD selling and momentum buying propelled it quickly to 1.15. Similarly, the yen saw heavy short positions among carry traders – at one point, authorities warned about one-sided yen shorts. When BoJ removed NIRP, some shorts trimmed positions, causing a quick yen rally from ~155 to 148 in Oct. However, new shorts re-entered when yield differentials still favored USD, capping yen strength.</w:t>
      </w:r>
      <w:r>
        <w:t xml:space="preserve"> </w:t>
      </w:r>
      <w:r>
        <w:rPr>
          <w:b/>
          <w:bCs/>
        </w:rPr>
        <w:t xml:space="preserve">Central bank FX flows:</w:t>
      </w:r>
      <w:r>
        <w:t xml:space="preserve"> </w:t>
      </w:r>
      <w:r>
        <w:t xml:space="preserve">Some EM central banks intervened to smooth their currencies’ moves. Notably, China’s PBoC likely sold dollars to support CNY (its FX reserves ticked down modestly mid-year). Their</w:t>
      </w:r>
      <w:r>
        <w:t xml:space="preserve"> </w:t>
      </w:r>
      <w:r>
        <w:rPr>
          <w:i/>
          <w:iCs/>
        </w:rPr>
        <w:t xml:space="preserve">“counter-cyclical factor”</w:t>
      </w:r>
      <w:r>
        <w:t xml:space="preserve"> </w:t>
      </w:r>
      <w:r>
        <w:t xml:space="preserve">in the daily fix was used to guide yuan stronger than market alone would, which helped anchor sentiment. On the other side,</w:t>
      </w:r>
      <w:r>
        <w:t xml:space="preserve"> </w:t>
      </w:r>
      <w:r>
        <w:rPr>
          <w:b/>
          <w:bCs/>
        </w:rPr>
        <w:t xml:space="preserve">Japan’s MoF</w:t>
      </w:r>
      <w:r>
        <w:t xml:space="preserve"> </w:t>
      </w:r>
      <w:r>
        <w:t xml:space="preserve">didn’t actually intervene in 2025 (they did in 2022 when yen hit 150), but the threat of intervention likely limited speculative attacks beyond 160. Another flow:</w:t>
      </w:r>
      <w:r>
        <w:t xml:space="preserve"> </w:t>
      </w:r>
      <w:r>
        <w:rPr>
          <w:b/>
          <w:bCs/>
        </w:rPr>
        <w:t xml:space="preserve">petro-currencies</w:t>
      </w:r>
      <w:r>
        <w:t xml:space="preserve"> </w:t>
      </w:r>
      <w:r>
        <w:t xml:space="preserve">lost support from petrodollar recycling – with oil revenue down, countries like Saudi had less surplus to invest abroad (often USD assets), meaning less inherent USD demand. This may have marginally weighed on USD, though it’s a slow effect.</w:t>
      </w:r>
    </w:p>
    <w:p>
      <w:pPr>
        <w:numPr>
          <w:ilvl w:val="0"/>
          <w:numId w:val="1005"/>
        </w:numPr>
      </w:pPr>
      <w:r>
        <w:rPr>
          <w:b/>
          <w:bCs/>
        </w:rPr>
        <w:t xml:space="preserve">Trade Balances &amp; Structural Factors:</w:t>
      </w:r>
      <w:r>
        <w:t xml:space="preserve"> </w:t>
      </w:r>
      <w:r>
        <w:t xml:space="preserve">The improvement in Europe’s and UK’s terms of trade (due to energy price normalization) provided a fundamental push for their currencies. Europe’s trade balance swung back to surplus by mid-2025 from a large deficit in 2022. The UK’s huge current account deficit shrank as well with lower gas import costs. These external balance improvements justified a stronger EUR and GBP fundamentally (more demand for them via trade flows). Conversely, the U.S. trade deficit widened a bit as domestic demand stayed robust and dollar strength lag effects wore off. This structural flow (more dollars selling to buy foreign goods) modestly pressured USD. Meanwhile, countries like Mexico and Brazil enjoyed both trade or investment flows (Mexico from nearshoring FDI, Brazil from commodities and yield differential attracting capital). Mexico’s remittance inflows also hit record highs, supporting peso.</w:t>
      </w:r>
      <w:r>
        <w:t xml:space="preserve"> </w:t>
      </w:r>
      <w:r>
        <w:rPr>
          <w:b/>
          <w:bCs/>
        </w:rPr>
        <w:t xml:space="preserve">Emerging markets</w:t>
      </w:r>
      <w:r>
        <w:t xml:space="preserve"> </w:t>
      </w:r>
      <w:r>
        <w:t xml:space="preserve">also benefited from easing of global financial conditions: as the Fed cut, investors were more comfortable investing in higher-yield EM currencies rather than keeping money in USD. One striking structural factor:</w:t>
      </w:r>
      <w:r>
        <w:t xml:space="preserve"> </w:t>
      </w:r>
      <w:r>
        <w:rPr>
          <w:b/>
          <w:bCs/>
        </w:rPr>
        <w:t xml:space="preserve">carry</w:t>
      </w:r>
      <w:r>
        <w:t xml:space="preserve">. EM-FX carry trades were extremely profitable in 2025: e.g. long BRL/short JPY returned ~25% (BRL int. ~13%, plus appreciation ~16%). Such outcomes naturally attracted more players into carry trades, reinforcing EMFX strength – until/unless risk-off hit. But since risk-off episodes were short, carry was king.</w:t>
      </w:r>
    </w:p>
    <w:p>
      <w:pPr>
        <w:pStyle w:val="FirstParagraph"/>
      </w:pPr>
      <w:r>
        <w:rPr>
          <w:b/>
          <w:bCs/>
        </w:rPr>
        <w:t xml:space="preserve">Summarizing FX Mechanisms:</w:t>
      </w:r>
      <w:r>
        <w:t xml:space="preserve"> </w:t>
      </w:r>
      <w:r>
        <w:t xml:space="preserve">The dollar weakened because the U.S. lost its interest rate and growth edge, and because global risk sentiment improved, sending capital outward. Euro and others strengthened on relatively hawkish policy and better-than-feared fundamentals (plus structural trade gains). Positioning and momentum helped sustain trends beyond initial moves, while central banks’ tacit blessings (like PBoC supporting yuan, no SNB resistance to CHF strength) allowed some trends to run further. The FX market in 2025 essentially</w:t>
      </w:r>
      <w:r>
        <w:t xml:space="preserve"> </w:t>
      </w:r>
      <w:r>
        <w:rPr>
          <w:i/>
          <w:iCs/>
        </w:rPr>
        <w:t xml:space="preserve">priced in convergence</w:t>
      </w:r>
      <w:r>
        <w:t xml:space="preserve">: convergence of inflation (U.S. inflation down closer to others), convergence of rates (Fed cutting, others hold or cut less), and convergence of growth (rest of world catching up a bit). This convergence eroded the dollar’s exceptionalism premium.</w:t>
      </w:r>
    </w:p>
    <w:bookmarkEnd w:id="40"/>
    <w:bookmarkStart w:id="42" w:name="commodities-drivers"/>
    <w:p>
      <w:pPr>
        <w:pStyle w:val="Heading3"/>
      </w:pPr>
      <w:r>
        <w:rPr>
          <w:b/>
          <w:bCs/>
        </w:rPr>
        <w:t xml:space="preserve">Commodities – Drivers:</w:t>
      </w:r>
    </w:p>
    <w:p>
      <w:pPr>
        <w:numPr>
          <w:ilvl w:val="0"/>
          <w:numId w:val="1006"/>
        </w:numPr>
      </w:pPr>
      <w:r>
        <w:rPr>
          <w:b/>
          <w:bCs/>
        </w:rPr>
        <w:t xml:space="preserve">Supply-Demand Fundamentals:</w:t>
      </w:r>
      <w:r>
        <w:t xml:space="preserve"> </w:t>
      </w:r>
      <w:r>
        <w:t xml:space="preserve">Commodity prices are directly influenced by</w:t>
      </w:r>
      <w:r>
        <w:t xml:space="preserve"> </w:t>
      </w:r>
      <w:r>
        <w:rPr>
          <w:b/>
          <w:bCs/>
        </w:rPr>
        <w:t xml:space="preserve">physical supply-demand</w:t>
      </w:r>
      <w:r>
        <w:t xml:space="preserve">, and in 2025 we saw stark differences across sectors.</w:t>
      </w:r>
      <w:r>
        <w:t xml:space="preserve"> </w:t>
      </w:r>
      <w:r>
        <w:rPr>
          <w:b/>
          <w:bCs/>
        </w:rPr>
        <w:t xml:space="preserve">Oil:</w:t>
      </w:r>
      <w:r>
        <w:t xml:space="preserve"> </w:t>
      </w:r>
      <w:r>
        <w:t xml:space="preserve">Fundamental driver was</w:t>
      </w:r>
      <w:r>
        <w:t xml:space="preserve"> </w:t>
      </w:r>
      <w:r>
        <w:rPr>
          <w:b/>
          <w:bCs/>
        </w:rPr>
        <w:t xml:space="preserve">oversupply</w:t>
      </w:r>
      <w:r>
        <w:t xml:space="preserve"> </w:t>
      </w:r>
      <w:r>
        <w:t xml:space="preserve">relative to demand. Despite OPEC+ efforts, global oil output rose ~1.5 million bbl/d (with U.S. shale surprising on the upside and sanctioned producers sneaking barrels), while demand only grew ~1 million bbl/d (China’s rebound in travel offset by OECD efficiency and EVs). By mid-year, inventory builds signaled a glut.</w:t>
      </w:r>
      <w:r>
        <w:t xml:space="preserve"> </w:t>
      </w:r>
      <w:r>
        <w:rPr>
          <w:i/>
          <w:iCs/>
        </w:rPr>
        <w:t xml:space="preserve">Fact:</w:t>
      </w:r>
      <w:r>
        <w:t xml:space="preserve"> </w:t>
      </w:r>
      <w:r>
        <w:t xml:space="preserve">OECD oil inventories climbed above 5-year averages in H2, a bearish sign. Additionally, OPEC’s internal discord (Saudi-UAE) made coordinated cuts harder, undermining confidence in future supply management</w:t>
      </w:r>
      <w:hyperlink r:id="rId41">
        <w:r>
          <w:rPr>
            <w:rStyle w:val="Hyperlink"/>
          </w:rPr>
          <w:t xml:space="preserve">[7]</w:t>
        </w:r>
      </w:hyperlink>
      <w:r>
        <w:t xml:space="preserve">. On demand, there was a narrative that tariffs and slower global industry would soften oil use, which likely contributed too.</w:t>
      </w:r>
      <w:r>
        <w:t xml:space="preserve"> </w:t>
      </w:r>
      <w:r>
        <w:rPr>
          <w:b/>
          <w:bCs/>
        </w:rPr>
        <w:t xml:space="preserve">Natural Gas:</w:t>
      </w:r>
      <w:r>
        <w:t xml:space="preserve"> </w:t>
      </w:r>
      <w:r>
        <w:t xml:space="preserve">In Europe, huge storage carryovers and new LNG import capacity created an oversupply, driving prices down – a fundamental reversal of 2022’s shortage. The warm winter of 2024/25 left Europe ~80% full heading into spring, thus even with reduced Russian pipeline flows, the market was well-supplied. U.S. gas similarly faced strong production from shale basins and only moderate new demand (LNG exports at capacity).</w:t>
      </w:r>
      <w:r>
        <w:t xml:space="preserve"> </w:t>
      </w:r>
      <w:r>
        <w:rPr>
          <w:b/>
          <w:bCs/>
        </w:rPr>
        <w:t xml:space="preserve">Precious Metals:</w:t>
      </w:r>
      <w:r>
        <w:t xml:space="preserve"> </w:t>
      </w:r>
      <w:r>
        <w:t xml:space="preserve">Fundamentals here were more about</w:t>
      </w:r>
      <w:r>
        <w:t xml:space="preserve"> </w:t>
      </w:r>
      <w:r>
        <w:rPr>
          <w:b/>
          <w:bCs/>
        </w:rPr>
        <w:t xml:space="preserve">investment demand</w:t>
      </w:r>
      <w:r>
        <w:t xml:space="preserve"> </w:t>
      </w:r>
      <w:r>
        <w:t xml:space="preserve">than industrial use. Gold saw a surge in central bank and ETF buying (safe-haven and reserve diversification). Central banks globally added ~800+ tons to reserves by some estimates – near record. This</w:t>
      </w:r>
      <w:r>
        <w:t xml:space="preserve"> </w:t>
      </w:r>
      <w:r>
        <w:rPr>
          <w:i/>
          <w:iCs/>
        </w:rPr>
        <w:t xml:space="preserve">factual demand</w:t>
      </w:r>
      <w:r>
        <w:t xml:space="preserve"> </w:t>
      </w:r>
      <w:r>
        <w:t xml:space="preserve">absorbed supply and then some, driving prices up. Silver’s supply/demand also was tight: mine output growth was limited while industrial demand (for solar panels, electronics) remained robust. Once investment demand piled on (momentum traders chasing the gold rally), silver’s relatively smaller market size led to outsized moves.</w:t>
      </w:r>
      <w:r>
        <w:t xml:space="preserve"> </w:t>
      </w:r>
      <w:r>
        <w:rPr>
          <w:b/>
          <w:bCs/>
        </w:rPr>
        <w:t xml:space="preserve">Base Metals:</w:t>
      </w:r>
      <w:r>
        <w:t xml:space="preserve"> </w:t>
      </w:r>
      <w:r>
        <w:t xml:space="preserve">Copper, for example, benefited from</w:t>
      </w:r>
      <w:r>
        <w:t xml:space="preserve"> </w:t>
      </w:r>
      <w:r>
        <w:rPr>
          <w:i/>
          <w:iCs/>
        </w:rPr>
        <w:t xml:space="preserve">China’s grid and EV investments</w:t>
      </w:r>
      <w:r>
        <w:t xml:space="preserve"> </w:t>
      </w:r>
      <w:r>
        <w:t xml:space="preserve">(the Chinese government directed stimulus partly to power grid upgrades, very copper-intensive). Meanwhile, on supply side, copper production was constrained by some mine disruptions in Latin America and a lack of new projects. This fundamental tightness was amplified by inventory drawdowns; LME copper inventories fell to low levels by Q3, a bullish indicator.</w:t>
      </w:r>
    </w:p>
    <w:p>
      <w:pPr>
        <w:numPr>
          <w:ilvl w:val="0"/>
          <w:numId w:val="1006"/>
        </w:numPr>
      </w:pPr>
      <w:r>
        <w:rPr>
          <w:b/>
          <w:bCs/>
        </w:rPr>
        <w:t xml:space="preserve">Macroeconomic Inputs:</w:t>
      </w:r>
      <w:r>
        <w:t xml:space="preserve"> </w:t>
      </w:r>
      <w:r>
        <w:t xml:space="preserve">Commodities are also swayed by macro factors like the dollar and interest rates. The</w:t>
      </w:r>
      <w:r>
        <w:t xml:space="preserve"> </w:t>
      </w:r>
      <w:r>
        <w:rPr>
          <w:b/>
          <w:bCs/>
        </w:rPr>
        <w:t xml:space="preserve">weaker USD</w:t>
      </w:r>
      <w:r>
        <w:t xml:space="preserve"> </w:t>
      </w:r>
      <w:r>
        <w:t xml:space="preserve">provided a tailwind: since most commodities are priced in USD, a falling dollar makes them cheaper in other currencies, boosting non-U.S. demand. For example, gold’s massive rally was partly the mirror of dollar weakness (gold often moves inversely to USD). Additionally, lower real interest rates reduced the</w:t>
      </w:r>
      <w:r>
        <w:t xml:space="preserve"> </w:t>
      </w:r>
      <w:r>
        <w:rPr>
          <w:i/>
          <w:iCs/>
        </w:rPr>
        <w:t xml:space="preserve">opportunity cost</w:t>
      </w:r>
      <w:r>
        <w:t xml:space="preserve"> </w:t>
      </w:r>
      <w:r>
        <w:t xml:space="preserve">of holding non-yielding assets like gold, stimulating investment demand. On oil, weaker dollar typically supports prices, but in 2025 that effect was overwhelmed by supply. The macro backdrop of no recession also meant commodity demand held up better than in a downturn (so while oil demand wasn’t booming, it was at least growing slowly rather than falling as it would in a recession).</w:t>
      </w:r>
    </w:p>
    <w:p>
      <w:pPr>
        <w:numPr>
          <w:ilvl w:val="0"/>
          <w:numId w:val="1006"/>
        </w:numPr>
      </w:pPr>
      <w:r>
        <w:rPr>
          <w:b/>
          <w:bCs/>
        </w:rPr>
        <w:t xml:space="preserve">Inventories &amp; Technicals:</w:t>
      </w:r>
      <w:r>
        <w:t xml:space="preserve"> </w:t>
      </w:r>
      <w:r>
        <w:t xml:space="preserve">Key commodity indicators like</w:t>
      </w:r>
      <w:r>
        <w:t xml:space="preserve"> </w:t>
      </w:r>
      <w:r>
        <w:rPr>
          <w:b/>
          <w:bCs/>
        </w:rPr>
        <w:t xml:space="preserve">inventory levels</w:t>
      </w:r>
      <w:r>
        <w:t xml:space="preserve"> </w:t>
      </w:r>
      <w:r>
        <w:t xml:space="preserve">and</w:t>
      </w:r>
      <w:r>
        <w:t xml:space="preserve"> </w:t>
      </w:r>
      <w:r>
        <w:rPr>
          <w:b/>
          <w:bCs/>
        </w:rPr>
        <w:t xml:space="preserve">forward curves</w:t>
      </w:r>
      <w:r>
        <w:t xml:space="preserve"> </w:t>
      </w:r>
      <w:r>
        <w:t xml:space="preserve">drove trading behavior. Oil’s futures curve flipped into contango (front-month cheaper than future months), which is a sign of near-term oversupply and encourages inventory builds (buy cheap spot, store, and sell forward). This contango in oil (WTI contango ~+$1-2 per barrel for 6-month spread) incentivized holding inventories, but if storage is filling, it means price has to drop further to deter production. Conversely, gold’s market saw backwardation at times (spot &gt; futures), reflecting immediate demand outstripping supply – a bullish technical that probably attracted momentum traders and algorithmic funds. Trend-following funds indeed likely added to commodity trends: e.g. CTAs that trade commodities would have been short oil all year (reinforcing the downtrend) and long gold/silver (pushing up further).</w:t>
      </w:r>
      <w:r>
        <w:t xml:space="preserve"> </w:t>
      </w:r>
      <w:r>
        <w:rPr>
          <w:b/>
          <w:bCs/>
        </w:rPr>
        <w:t xml:space="preserve">Positioning data</w:t>
      </w:r>
      <w:r>
        <w:t xml:space="preserve">: CFTC showed speculators were net short oil from spring onward, the largest net short in years by autumn, which may have accelerated the decline until OPEC comments occasionally sparked short-covering rallies. In gold, spec longs increased to near record highs by late year, contributing to volatility (any hint of hawkish Fed or profit-taking led to quick pullbacks because the trade was crowded by then).</w:t>
      </w:r>
    </w:p>
    <w:p>
      <w:pPr>
        <w:numPr>
          <w:ilvl w:val="0"/>
          <w:numId w:val="1006"/>
        </w:numPr>
      </w:pPr>
      <w:r>
        <w:rPr>
          <w:b/>
          <w:bCs/>
        </w:rPr>
        <w:t xml:space="preserve">Geopolitical and Idiosyncratic Shocks:</w:t>
      </w:r>
      <w:r>
        <w:t xml:space="preserve"> </w:t>
      </w:r>
      <w:r>
        <w:t xml:space="preserve">Commodities are directly impacted by geopolitical events. Notably, 2025 had fewer supply disruptions than the prior years:</w:t>
      </w:r>
      <w:r>
        <w:t xml:space="preserve"> </w:t>
      </w:r>
      <w:r>
        <w:rPr>
          <w:i/>
          <w:iCs/>
        </w:rPr>
        <w:t xml:space="preserve">No new major war in an oil-producing region</w:t>
      </w:r>
      <w:r>
        <w:t xml:space="preserve"> </w:t>
      </w:r>
      <w:r>
        <w:t xml:space="preserve">(the Middle East tensions didn’t escalate to affect oil flow). The Russia-Ukraine war continued but grain and oil shipments found workarounds, so initial war premiums in wheat and oil continued to fade. One geopolitically-driven commodity event: the U.S. seizure of Venezuela’s president in Jan 2026 (just outside 2025) was foreshadowed by improved U.S.-Venezuela ties earlier – that likely led some to bet on future Venezuelan oil supply freeing up, pressuring prices. On the metals side, an idiosyncratic event: an export ban in a key metal (e.g. Indonesia’s ore export policies in nickel) influenced prices, but these were minor relative to bigger macro forces. In agriculture, weather events (like El Niño) usually a big factor, but in 2025, aside from some Asia droughts affecting sugar and rice, the world had generally good crop yields (U.S. Midwest had decent rains, Brazil excellent harvest). That kept grain prices from rising, despite localized spikes (e.g. rice spiked mid-year when India banned rice exports to keep domestic inflation down – an event that briefly spurred panic buying in Asia, but global rice flows adjusted later).</w:t>
      </w:r>
    </w:p>
    <w:p>
      <w:pPr>
        <w:pStyle w:val="FirstParagraph"/>
      </w:pPr>
      <w:r>
        <w:rPr>
          <w:b/>
          <w:bCs/>
        </w:rPr>
        <w:t xml:space="preserve">Mechanisms summary for commodities:</w:t>
      </w:r>
      <w:r>
        <w:t xml:space="preserve"> </w:t>
      </w:r>
      <w:r>
        <w:t xml:space="preserve">Commodities in 2025 were a story of</w:t>
      </w:r>
      <w:r>
        <w:t xml:space="preserve"> </w:t>
      </w:r>
      <w:r>
        <w:rPr>
          <w:i/>
          <w:iCs/>
        </w:rPr>
        <w:t xml:space="preserve">fundamentals reasserting themselves</w:t>
      </w:r>
      <w:r>
        <w:t xml:space="preserve"> </w:t>
      </w:r>
      <w:r>
        <w:t xml:space="preserve">after a couple of highly distorted years. Oversupply dragged energy down, while scarcity and demand (partly investment-driven) propelled metals up. Macro tailwinds like the weaker dollar and stable global demand aided this divergence. Importantly,</w:t>
      </w:r>
      <w:r>
        <w:t xml:space="preserve"> </w:t>
      </w:r>
      <w:r>
        <w:rPr>
          <w:i/>
          <w:iCs/>
        </w:rPr>
        <w:t xml:space="preserve">capital flows</w:t>
      </w:r>
      <w:r>
        <w:t xml:space="preserve"> </w:t>
      </w:r>
      <w:r>
        <w:t xml:space="preserve">in commodities often chase performance: so as oil kept falling, generalist investors avoided energy and possibly even shorted via ETFs, while for gold, seeing the uptrend, more money piled in (ETFs saw significant inflows – the largest gold ETF, GLD, saw its holdings jump ~25% during the year). These flows reinforce initial fundamental-driven moves, leading to perhaps overshooting – by Q4 some argued oil was oversold (below marginal cost for some producers) and gold was overbought (priced for a lot of fear). But timing a reversal is hard – many commodity-focused funds likely rode trends rather than fight them.</w:t>
      </w:r>
    </w:p>
    <w:bookmarkEnd w:id="42"/>
    <w:bookmarkStart w:id="43" w:name="mechanics-map-drivers-and-causal-arrows"/>
    <w:p>
      <w:pPr>
        <w:pStyle w:val="Heading3"/>
      </w:pPr>
      <w:r>
        <w:rPr>
          <w:b/>
          <w:bCs/>
        </w:rPr>
        <w:t xml:space="preserve">Mechanics Map (Drivers and Causal Arrows):</w:t>
      </w:r>
    </w:p>
    <w:p>
      <w:pPr>
        <w:pStyle w:val="FirstParagraph"/>
      </w:pPr>
      <w:r>
        <w:t xml:space="preserve">Let’s summarize in a</w:t>
      </w:r>
      <w:r>
        <w:t xml:space="preserve"> </w:t>
      </w:r>
      <w:r>
        <w:rPr>
          <w:b/>
          <w:bCs/>
        </w:rPr>
        <w:t xml:space="preserve">driver map</w:t>
      </w:r>
      <w:r>
        <w:t xml:space="preserve">:</w:t>
      </w:r>
    </w:p>
    <w:p>
      <w:pPr>
        <w:numPr>
          <w:ilvl w:val="0"/>
          <w:numId w:val="1007"/>
        </w:numPr>
      </w:pPr>
      <w:r>
        <w:rPr>
          <w:b/>
          <w:bCs/>
        </w:rPr>
        <w:t xml:space="preserve">Global Macro (growth/inflation)</w:t>
      </w:r>
      <w:r>
        <w:t xml:space="preserve"> </w:t>
      </w:r>
      <w:r>
        <w:t xml:space="preserve">↓</w:t>
      </w:r>
      <w:r>
        <w:t xml:space="preserve"> </w:t>
      </w:r>
      <w:r>
        <w:rPr>
          <w:b/>
          <w:bCs/>
        </w:rPr>
        <w:t xml:space="preserve">Central Bank Policy Expectations</w:t>
      </w:r>
      <w:r>
        <w:t xml:space="preserve"> </w:t>
      </w:r>
      <w:r>
        <w:t xml:space="preserve">→</w:t>
      </w:r>
      <w:r>
        <w:t xml:space="preserve"> </w:t>
      </w:r>
      <w:r>
        <w:rPr>
          <w:b/>
          <w:bCs/>
        </w:rPr>
        <w:t xml:space="preserve">Interest Rates (yields)</w:t>
      </w:r>
      <w:r>
        <w:t xml:space="preserve"> </w:t>
      </w:r>
      <w:r>
        <w:t xml:space="preserve">→</w:t>
      </w:r>
      <w:r>
        <w:t xml:space="preserve"> </w:t>
      </w:r>
      <w:r>
        <w:rPr>
          <w:b/>
          <w:bCs/>
        </w:rPr>
        <w:t xml:space="preserve">Equity Valuations &amp; Bond Prices</w:t>
      </w:r>
      <w:r>
        <w:t xml:space="preserve">. (E.g. softer inflation → Fed cuts sooner → yields fall → equity P/E up, bonds rally)</w:t>
      </w:r>
    </w:p>
    <w:p>
      <w:pPr>
        <w:numPr>
          <w:ilvl w:val="0"/>
          <w:numId w:val="1007"/>
        </w:numPr>
      </w:pPr>
      <w:r>
        <w:rPr>
          <w:b/>
          <w:bCs/>
        </w:rPr>
        <w:t xml:space="preserve">Policy Shocks (tariffs)</w:t>
      </w:r>
      <w:r>
        <w:t xml:space="preserve"> </w:t>
      </w:r>
      <w:r>
        <w:t xml:space="preserve">→ ↑</w:t>
      </w:r>
      <w:r>
        <w:t xml:space="preserve"> </w:t>
      </w:r>
      <w:r>
        <w:rPr>
          <w:b/>
          <w:bCs/>
        </w:rPr>
        <w:t xml:space="preserve">Volatility</w:t>
      </w:r>
      <w:r>
        <w:t xml:space="preserve"> </w:t>
      </w:r>
      <w:r>
        <w:t xml:space="preserve">&amp; ↓</w:t>
      </w:r>
      <w:r>
        <w:t xml:space="preserve"> </w:t>
      </w:r>
      <w:r>
        <w:rPr>
          <w:b/>
          <w:bCs/>
        </w:rPr>
        <w:t xml:space="preserve">Risk Appetite</w:t>
      </w:r>
      <w:r>
        <w:t xml:space="preserve"> </w:t>
      </w:r>
      <w:r>
        <w:t xml:space="preserve">→ short-term</w:t>
      </w:r>
      <w:r>
        <w:t xml:space="preserve"> </w:t>
      </w:r>
      <w:r>
        <w:rPr>
          <w:b/>
          <w:bCs/>
        </w:rPr>
        <w:t xml:space="preserve">Stock Selloff &amp; Flight to Quality</w:t>
      </w:r>
      <w:r>
        <w:t xml:space="preserve"> </w:t>
      </w:r>
      <w:r>
        <w:t xml:space="preserve">(bonds, gold up; credit spreads widen slightly). But then:</w:t>
      </w:r>
      <w:r>
        <w:t xml:space="preserve"> </w:t>
      </w:r>
      <w:r>
        <w:rPr>
          <w:b/>
          <w:bCs/>
        </w:rPr>
        <w:t xml:space="preserve">Policy Adaptation</w:t>
      </w:r>
      <w:r>
        <w:t xml:space="preserve"> </w:t>
      </w:r>
      <w:r>
        <w:t xml:space="preserve">(tariff delay) → volatility falls → risk assets recover.</w:t>
      </w:r>
    </w:p>
    <w:p>
      <w:pPr>
        <w:numPr>
          <w:ilvl w:val="0"/>
          <w:numId w:val="1007"/>
        </w:numPr>
      </w:pPr>
      <w:r>
        <w:rPr>
          <w:b/>
          <w:bCs/>
        </w:rPr>
        <w:t xml:space="preserve">Risk Sentiment</w:t>
      </w:r>
      <w:r>
        <w:t xml:space="preserve"> </w:t>
      </w:r>
      <w:r>
        <w:t xml:space="preserve">→</w:t>
      </w:r>
      <w:r>
        <w:t xml:space="preserve"> </w:t>
      </w:r>
      <w:r>
        <w:rPr>
          <w:b/>
          <w:bCs/>
        </w:rPr>
        <w:t xml:space="preserve">FX Safe-haven flows</w:t>
      </w:r>
      <w:r>
        <w:t xml:space="preserve">: Risk-off spikes (April) triggered a brief USD &amp; JPY bid; prolonged risk-on (H2) triggered USD selling in favor of EMFX and carry.</w:t>
      </w:r>
    </w:p>
    <w:p>
      <w:pPr>
        <w:numPr>
          <w:ilvl w:val="0"/>
          <w:numId w:val="1007"/>
        </w:numPr>
      </w:pPr>
      <w:r>
        <w:rPr>
          <w:b/>
          <w:bCs/>
        </w:rPr>
        <w:t xml:space="preserve">Trade War (tariffs)</w:t>
      </w:r>
      <w:r>
        <w:t xml:space="preserve"> </w:t>
      </w:r>
      <w:r>
        <w:t xml:space="preserve">→</w:t>
      </w:r>
      <w:r>
        <w:t xml:space="preserve"> </w:t>
      </w:r>
      <w:r>
        <w:rPr>
          <w:b/>
          <w:bCs/>
        </w:rPr>
        <w:t xml:space="preserve">Inflation narrative</w:t>
      </w:r>
      <w:r>
        <w:t xml:space="preserve">: Tariffs initially → fear of higher inflation (some breakeven uptick) but corporations</w:t>
      </w:r>
      <w:r>
        <w:t xml:space="preserve"> </w:t>
      </w:r>
      <w:r>
        <w:rPr>
          <w:i/>
          <w:iCs/>
        </w:rPr>
        <w:t xml:space="preserve">absorbed costs</w:t>
      </w:r>
      <w:r>
        <w:t xml:space="preserve"> </w:t>
      </w:r>
      <w:r>
        <w:t xml:space="preserve">→ no actual inflation spike, so this fear unwound.</w:t>
      </w:r>
    </w:p>
    <w:p>
      <w:pPr>
        <w:numPr>
          <w:ilvl w:val="0"/>
          <w:numId w:val="1007"/>
        </w:numPr>
      </w:pPr>
      <w:r>
        <w:rPr>
          <w:b/>
          <w:bCs/>
        </w:rPr>
        <w:t xml:space="preserve">AI Boom &amp; Capex</w:t>
      </w:r>
      <w:r>
        <w:t xml:space="preserve"> </w:t>
      </w:r>
      <w:r>
        <w:t xml:space="preserve">↑ →</w:t>
      </w:r>
      <w:r>
        <w:t xml:space="preserve"> </w:t>
      </w:r>
      <w:r>
        <w:rPr>
          <w:b/>
          <w:bCs/>
        </w:rPr>
        <w:t xml:space="preserve">Earnings &amp; Productivity</w:t>
      </w:r>
      <w:r>
        <w:t xml:space="preserve"> </w:t>
      </w:r>
      <w:r>
        <w:t xml:space="preserve">↑ (esp. in tech) →</w:t>
      </w:r>
      <w:r>
        <w:t xml:space="preserve"> </w:t>
      </w:r>
      <w:r>
        <w:rPr>
          <w:b/>
          <w:bCs/>
        </w:rPr>
        <w:t xml:space="preserve">Equity Leadership</w:t>
      </w:r>
      <w:r>
        <w:t xml:space="preserve"> </w:t>
      </w:r>
      <w:r>
        <w:t xml:space="preserve">(Tech outperforms early) → as AI diffuses,</w:t>
      </w:r>
      <w:r>
        <w:t xml:space="preserve"> </w:t>
      </w:r>
      <w:r>
        <w:rPr>
          <w:b/>
          <w:bCs/>
        </w:rPr>
        <w:t xml:space="preserve">rotation</w:t>
      </w:r>
      <w:r>
        <w:t xml:space="preserve"> </w:t>
      </w:r>
      <w:r>
        <w:t xml:space="preserve">to broader market (later in year, industrials, healthcare pick up).</w:t>
      </w:r>
    </w:p>
    <w:p>
      <w:pPr>
        <w:numPr>
          <w:ilvl w:val="0"/>
          <w:numId w:val="1007"/>
        </w:numPr>
      </w:pPr>
      <w:r>
        <w:rPr>
          <w:b/>
          <w:bCs/>
        </w:rPr>
        <w:t xml:space="preserve">Central Bank Divergence</w:t>
      </w:r>
      <w:r>
        <w:t xml:space="preserve">: Fed cuts vs ECB hold →</w:t>
      </w:r>
      <w:r>
        <w:t xml:space="preserve"> </w:t>
      </w:r>
      <w:r>
        <w:rPr>
          <w:b/>
          <w:bCs/>
        </w:rPr>
        <w:t xml:space="preserve">rate differential narrows</w:t>
      </w:r>
      <w:r>
        <w:t xml:space="preserve"> </w:t>
      </w:r>
      <w:r>
        <w:t xml:space="preserve">→</w:t>
      </w:r>
      <w:r>
        <w:t xml:space="preserve"> </w:t>
      </w:r>
      <w:r>
        <w:rPr>
          <w:b/>
          <w:bCs/>
        </w:rPr>
        <w:t xml:space="preserve">USD depreciation</w:t>
      </w:r>
      <w:r>
        <w:t xml:space="preserve">; Dollar ↓ + global growth OK →</w:t>
      </w:r>
      <w:r>
        <w:t xml:space="preserve"> </w:t>
      </w:r>
      <w:r>
        <w:rPr>
          <w:b/>
          <w:bCs/>
        </w:rPr>
        <w:t xml:space="preserve">Commodity boost</w:t>
      </w:r>
      <w:r>
        <w:t xml:space="preserve"> </w:t>
      </w:r>
      <w:r>
        <w:t xml:space="preserve">(in local-currency terms commodities cheaper, plus dollar-priced assets like gold gain).</w:t>
      </w:r>
    </w:p>
    <w:p>
      <w:pPr>
        <w:numPr>
          <w:ilvl w:val="0"/>
          <w:numId w:val="1007"/>
        </w:numPr>
      </w:pPr>
      <w:r>
        <w:rPr>
          <w:b/>
          <w:bCs/>
        </w:rPr>
        <w:t xml:space="preserve">Fiscal Policy (U.S. stimulus)</w:t>
      </w:r>
      <w:r>
        <w:t xml:space="preserve"> </w:t>
      </w:r>
      <w:r>
        <w:t xml:space="preserve">↑ →</w:t>
      </w:r>
      <w:r>
        <w:t xml:space="preserve"> </w:t>
      </w:r>
      <w:r>
        <w:rPr>
          <w:b/>
          <w:bCs/>
        </w:rPr>
        <w:t xml:space="preserve">Growth expectations</w:t>
      </w:r>
      <w:r>
        <w:t xml:space="preserve"> </w:t>
      </w:r>
      <w:r>
        <w:t xml:space="preserve">↑ (late 2025/2026) →</w:t>
      </w:r>
      <w:r>
        <w:t xml:space="preserve"> </w:t>
      </w:r>
      <w:r>
        <w:rPr>
          <w:b/>
          <w:bCs/>
        </w:rPr>
        <w:t xml:space="preserve">Yields modestly up on term premium</w:t>
      </w:r>
      <w:r>
        <w:t xml:space="preserve"> </w:t>
      </w:r>
      <w:r>
        <w:t xml:space="preserve">(some late steepening of long end on fiscal news) but also →</w:t>
      </w:r>
      <w:r>
        <w:t xml:space="preserve"> </w:t>
      </w:r>
      <w:r>
        <w:rPr>
          <w:b/>
          <w:bCs/>
        </w:rPr>
        <w:t xml:space="preserve">Equities support</w:t>
      </w:r>
      <w:r>
        <w:t xml:space="preserve"> </w:t>
      </w:r>
      <w:r>
        <w:t xml:space="preserve">(cyclical sectors priced in stronger 2026 growth).</w:t>
      </w:r>
    </w:p>
    <w:p>
      <w:pPr>
        <w:numPr>
          <w:ilvl w:val="0"/>
          <w:numId w:val="1007"/>
        </w:numPr>
      </w:pPr>
      <w:r>
        <w:rPr>
          <w:b/>
          <w:bCs/>
        </w:rPr>
        <w:t xml:space="preserve">Supply Factors</w:t>
      </w:r>
      <w:r>
        <w:t xml:space="preserve">: OPEC outputs ↑ + demand &lt; expected →</w:t>
      </w:r>
      <w:r>
        <w:t xml:space="preserve"> </w:t>
      </w:r>
      <w:r>
        <w:rPr>
          <w:b/>
          <w:bCs/>
        </w:rPr>
        <w:t xml:space="preserve">Oil inventory build</w:t>
      </w:r>
      <w:r>
        <w:t xml:space="preserve"> </w:t>
      </w:r>
      <w:r>
        <w:t xml:space="preserve">→</w:t>
      </w:r>
      <w:r>
        <w:t xml:space="preserve"> </w:t>
      </w:r>
      <w:r>
        <w:rPr>
          <w:b/>
          <w:bCs/>
        </w:rPr>
        <w:t xml:space="preserve">Oil futures contango &amp; price decline</w:t>
      </w:r>
      <w:r>
        <w:t xml:space="preserve">; Conversely, Central banks gold buying + flat mine supply →</w:t>
      </w:r>
      <w:r>
        <w:t xml:space="preserve"> </w:t>
      </w:r>
      <w:r>
        <w:rPr>
          <w:b/>
          <w:bCs/>
        </w:rPr>
        <w:t xml:space="preserve">Gold inventory draw (backwardation)</w:t>
      </w:r>
      <w:r>
        <w:t xml:space="preserve"> </w:t>
      </w:r>
      <w:r>
        <w:t xml:space="preserve">→</w:t>
      </w:r>
      <w:r>
        <w:t xml:space="preserve"> </w:t>
      </w:r>
      <w:r>
        <w:rPr>
          <w:b/>
          <w:bCs/>
        </w:rPr>
        <w:t xml:space="preserve">Price surge</w:t>
      </w:r>
      <w:r>
        <w:t xml:space="preserve">.</w:t>
      </w:r>
    </w:p>
    <w:p>
      <w:pPr>
        <w:numPr>
          <w:ilvl w:val="0"/>
          <w:numId w:val="1007"/>
        </w:numPr>
      </w:pPr>
      <w:r>
        <w:rPr>
          <w:b/>
          <w:bCs/>
        </w:rPr>
        <w:t xml:space="preserve">Positioning/Flow Feedback</w:t>
      </w:r>
      <w:r>
        <w:t xml:space="preserve">: Initial move (e.g. EUR up on data) → momentum triggers CTA buy → EUR ↑ further; S&amp;P new highs → retail call buying → dealers long gamma → dampened dips, supporting further grind up.</w:t>
      </w:r>
    </w:p>
    <w:p>
      <w:pPr>
        <w:pStyle w:val="FirstParagraph"/>
      </w:pPr>
      <w:r>
        <w:t xml:space="preserve">To illustrate in text form:</w:t>
      </w:r>
    </w:p>
    <w:p>
      <w:pPr>
        <w:pStyle w:val="BodyText"/>
      </w:pPr>
      <w:r>
        <w:rPr>
          <w:b/>
          <w:bCs/>
        </w:rPr>
        <w:t xml:space="preserve">Causal chain example – Dollar Down to EM Rally:</w:t>
      </w:r>
      <w:r>
        <w:t xml:space="preserve"> </w:t>
      </w:r>
      <w:r>
        <w:t xml:space="preserve">Fed cuts + U.S. fiscal worries (cause)</w:t>
      </w:r>
      <w:r>
        <w:t xml:space="preserve"> </w:t>
      </w:r>
      <w:r>
        <w:rPr>
          <w:b/>
          <w:bCs/>
        </w:rPr>
        <w:t xml:space="preserve">→ weaker USD</w:t>
      </w:r>
      <w:r>
        <w:t xml:space="preserve"> </w:t>
      </w:r>
      <w:r>
        <w:t xml:space="preserve">(effect); Weaker USD</w:t>
      </w:r>
      <w:r>
        <w:t xml:space="preserve"> </w:t>
      </w:r>
      <w:r>
        <w:rPr>
          <w:b/>
          <w:bCs/>
        </w:rPr>
        <w:t xml:space="preserve">→ capital flows to EM/local markets</w:t>
      </w:r>
      <w:r>
        <w:t xml:space="preserve"> </w:t>
      </w:r>
      <w:r>
        <w:t xml:space="preserve">(seeking returns without fear of FX loss) (effect); Capital inflows</w:t>
      </w:r>
      <w:r>
        <w:t xml:space="preserve"> </w:t>
      </w:r>
      <w:r>
        <w:rPr>
          <w:b/>
          <w:bCs/>
        </w:rPr>
        <w:t xml:space="preserve">→ EM currency appreciation and local asset rallies</w:t>
      </w:r>
      <w:r>
        <w:t xml:space="preserve"> </w:t>
      </w:r>
      <w:r>
        <w:t xml:space="preserve">(effect) – e.g. Mexico’s peso and equities up, EM bonds see spreads tighten as demand surges.</w:t>
      </w:r>
    </w:p>
    <w:p>
      <w:pPr>
        <w:pStyle w:val="BodyText"/>
      </w:pPr>
      <w:r>
        <w:rPr>
          <w:b/>
          <w:bCs/>
        </w:rPr>
        <w:t xml:space="preserve">Causal chain example – Tariff Shock to Market Whipsaw:</w:t>
      </w:r>
      <w:r>
        <w:t xml:space="preserve"> </w:t>
      </w:r>
      <w:r>
        <w:t xml:space="preserve">Tariff announcement (cause)</w:t>
      </w:r>
      <w:r>
        <w:t xml:space="preserve"> </w:t>
      </w:r>
      <w:r>
        <w:rPr>
          <w:b/>
          <w:bCs/>
        </w:rPr>
        <w:t xml:space="preserve">→ equity earnings fear + uncertainty</w:t>
      </w:r>
      <w:r>
        <w:t xml:space="preserve"> </w:t>
      </w:r>
      <w:r>
        <w:rPr>
          <w:b/>
          <w:bCs/>
        </w:rPr>
        <w:t xml:space="preserve">→ equities sell off sharply</w:t>
      </w:r>
      <w:r>
        <w:t xml:space="preserve">; Same shock</w:t>
      </w:r>
      <w:r>
        <w:t xml:space="preserve"> </w:t>
      </w:r>
      <w:r>
        <w:rPr>
          <w:b/>
          <w:bCs/>
        </w:rPr>
        <w:t xml:space="preserve">→ growth worry + Fed cut bets</w:t>
      </w:r>
      <w:r>
        <w:t xml:space="preserve"> </w:t>
      </w:r>
      <w:r>
        <w:rPr>
          <w:b/>
          <w:bCs/>
        </w:rPr>
        <w:t xml:space="preserve">→ yields plunge, gold rises</w:t>
      </w:r>
      <w:r>
        <w:t xml:space="preserve">; Few days later, tariff postponement (cause)</w:t>
      </w:r>
      <w:r>
        <w:t xml:space="preserve"> </w:t>
      </w:r>
      <w:r>
        <w:rPr>
          <w:b/>
          <w:bCs/>
        </w:rPr>
        <w:t xml:space="preserve">→ relief rally</w:t>
      </w:r>
      <w:r>
        <w:t xml:space="preserve"> </w:t>
      </w:r>
      <w:r>
        <w:rPr>
          <w:b/>
          <w:bCs/>
        </w:rPr>
        <w:t xml:space="preserve">→ equities rebound, yields stabilize</w:t>
      </w:r>
      <w:r>
        <w:t xml:space="preserve">; Meanwhile, those oscillations</w:t>
      </w:r>
      <w:r>
        <w:t xml:space="preserve"> </w:t>
      </w:r>
      <w:r>
        <w:rPr>
          <w:b/>
          <w:bCs/>
        </w:rPr>
        <w:t xml:space="preserve">→ CTAs/vol-target funds forced to adjust</w:t>
      </w:r>
      <w:r>
        <w:t xml:space="preserve"> </w:t>
      </w:r>
      <w:r>
        <w:rPr>
          <w:b/>
          <w:bCs/>
        </w:rPr>
        <w:t xml:space="preserve">→ added buying as trends reverse</w:t>
      </w:r>
      <w:r>
        <w:t xml:space="preserve">, making rebound faster (feedback effect).</w:t>
      </w:r>
    </w:p>
    <w:p>
      <w:pPr>
        <w:pStyle w:val="BodyText"/>
      </w:pPr>
      <w:r>
        <w:t xml:space="preserve">Each asset class in 2025 was influenced by a</w:t>
      </w:r>
      <w:r>
        <w:t xml:space="preserve"> </w:t>
      </w:r>
      <w:r>
        <w:rPr>
          <w:i/>
          <w:iCs/>
        </w:rPr>
        <w:t xml:space="preserve">mix</w:t>
      </w:r>
      <w:r>
        <w:t xml:space="preserve"> </w:t>
      </w:r>
      <w:r>
        <w:t xml:space="preserve">of fundamental drivers (growth, policy, supply/demand),</w:t>
      </w:r>
      <w:r>
        <w:t xml:space="preserve"> </w:t>
      </w:r>
      <w:r>
        <w:rPr>
          <w:i/>
          <w:iCs/>
        </w:rPr>
        <w:t xml:space="preserve">risk premia shifts</w:t>
      </w:r>
      <w:r>
        <w:t xml:space="preserve"> </w:t>
      </w:r>
      <w:r>
        <w:t xml:space="preserve">(confidence or fear changing valuation),</w:t>
      </w:r>
      <w:r>
        <w:t xml:space="preserve"> </w:t>
      </w:r>
      <w:r>
        <w:rPr>
          <w:i/>
          <w:iCs/>
        </w:rPr>
        <w:t xml:space="preserve">flows/positioning</w:t>
      </w:r>
      <w:r>
        <w:t xml:space="preserve"> </w:t>
      </w:r>
      <w:r>
        <w:t xml:space="preserve">dynamics (trend followers, retail, central banks), and</w:t>
      </w:r>
      <w:r>
        <w:t xml:space="preserve"> </w:t>
      </w:r>
      <w:r>
        <w:rPr>
          <w:i/>
          <w:iCs/>
        </w:rPr>
        <w:t xml:space="preserve">liquidity/microstructure</w:t>
      </w:r>
      <w:r>
        <w:t xml:space="preserve"> </w:t>
      </w:r>
      <w:r>
        <w:t xml:space="preserve">(market-making capacity, technical price levels). Importantly,</w:t>
      </w:r>
      <w:r>
        <w:t xml:space="preserve"> </w:t>
      </w:r>
      <w:r>
        <w:rPr>
          <w:b/>
          <w:bCs/>
        </w:rPr>
        <w:t xml:space="preserve">confirmed facts</w:t>
      </w:r>
      <w:r>
        <w:t xml:space="preserve"> </w:t>
      </w:r>
      <w:r>
        <w:t xml:space="preserve">like actual inflation down, actual earnings delivered, actual supply gluts or shortages provided the</w:t>
      </w:r>
      <w:r>
        <w:t xml:space="preserve"> </w:t>
      </w:r>
      <w:r>
        <w:rPr>
          <w:i/>
          <w:iCs/>
        </w:rPr>
        <w:t xml:space="preserve">anchor</w:t>
      </w:r>
      <w:r>
        <w:t xml:space="preserve"> </w:t>
      </w:r>
      <w:r>
        <w:t xml:space="preserve">for moves, while</w:t>
      </w:r>
      <w:r>
        <w:t xml:space="preserve"> </w:t>
      </w:r>
      <w:r>
        <w:rPr>
          <w:b/>
          <w:bCs/>
        </w:rPr>
        <w:t xml:space="preserve">narratives and speculation</w:t>
      </w:r>
      <w:r>
        <w:t xml:space="preserve"> </w:t>
      </w:r>
      <w:r>
        <w:t xml:space="preserve">about the future (e.g. “Fed will engineer soft landing”, “AI will transform productivity”, “no recession coming”) often</w:t>
      </w:r>
      <w:r>
        <w:t xml:space="preserve"> </w:t>
      </w:r>
      <w:r>
        <w:rPr>
          <w:i/>
          <w:iCs/>
        </w:rPr>
        <w:t xml:space="preserve">amplified</w:t>
      </w:r>
      <w:r>
        <w:t xml:space="preserve"> </w:t>
      </w:r>
      <w:r>
        <w:t xml:space="preserve">those moves beyond what current data alone might justify. For a risk manager, dissecting these drivers clarifies that 2025’s market rally was not purely irrational exuberance – it had roots in improving fundamentals – but it was certainly</w:t>
      </w:r>
      <w:r>
        <w:t xml:space="preserve"> </w:t>
      </w:r>
      <w:r>
        <w:rPr>
          <w:i/>
          <w:iCs/>
        </w:rPr>
        <w:t xml:space="preserve">turbocharged by technical and narrative factors</w:t>
      </w:r>
      <w:r>
        <w:t xml:space="preserve"> </w:t>
      </w:r>
      <w:r>
        <w:t xml:space="preserve">that one must monitor going into 2026.</w:t>
      </w:r>
    </w:p>
    <w:p>
      <w:pPr>
        <w:pStyle w:val="BodyText"/>
      </w:pPr>
      <w:r>
        <w:rPr>
          <w:b/>
          <w:bCs/>
        </w:rPr>
        <w:t xml:space="preserve">What mattered for positioning:</w:t>
      </w:r>
      <w:r>
        <w:t xml:space="preserve"> </w:t>
      </w:r>
      <w:r>
        <w:t xml:space="preserve">Understanding these underlying drivers was crucial for timing and asset allocation. Portfolios that recognized the</w:t>
      </w:r>
      <w:r>
        <w:t xml:space="preserve"> </w:t>
      </w:r>
      <w:r>
        <w:rPr>
          <w:b/>
          <w:bCs/>
        </w:rPr>
        <w:t xml:space="preserve">inflection in Fed policy early</w:t>
      </w:r>
      <w:r>
        <w:t xml:space="preserve"> </w:t>
      </w:r>
      <w:r>
        <w:t xml:space="preserve">(and thus went long duration and short USD in Q2) profited handsomely. Similarly, those who read the</w:t>
      </w:r>
      <w:r>
        <w:t xml:space="preserve"> </w:t>
      </w:r>
      <w:r>
        <w:rPr>
          <w:b/>
          <w:bCs/>
        </w:rPr>
        <w:t xml:space="preserve">supply signals in oil</w:t>
      </w:r>
      <w:r>
        <w:t xml:space="preserve"> </w:t>
      </w:r>
      <w:r>
        <w:t xml:space="preserve">and didn’t buy the dip avoided a value trap and maybe shorted oil successfully. Being aware of</w:t>
      </w:r>
      <w:r>
        <w:t xml:space="preserve"> </w:t>
      </w:r>
      <w:r>
        <w:rPr>
          <w:b/>
          <w:bCs/>
        </w:rPr>
        <w:t xml:space="preserve">positioning extremes</w:t>
      </w:r>
      <w:r>
        <w:t xml:space="preserve"> </w:t>
      </w:r>
      <w:r>
        <w:t xml:space="preserve">(like heavy short Yen or long Magnificent Seven) allowed some contrarian trades – e.g. trimming U.S. tech exposure before the late-year wobble when narrow AI trades faltered. Recognizing</w:t>
      </w:r>
      <w:r>
        <w:t xml:space="preserve"> </w:t>
      </w:r>
      <w:r>
        <w:rPr>
          <w:b/>
          <w:bCs/>
        </w:rPr>
        <w:t xml:space="preserve">risk premia compression</w:t>
      </w:r>
      <w:r>
        <w:t xml:space="preserve"> </w:t>
      </w:r>
      <w:r>
        <w:t xml:space="preserve">(and perhaps unsustainably low spreads or vol) could prompt adding hedges near year-end. For example, credit spreads at multi-year tights might lead a savvy manager to rotate into equities or hold higher quality, anticipating limited further tightening. In essence, 2025’s drivers teach that one should align the portfolio with</w:t>
      </w:r>
      <w:r>
        <w:t xml:space="preserve"> </w:t>
      </w:r>
      <w:r>
        <w:rPr>
          <w:b/>
          <w:bCs/>
        </w:rPr>
        <w:t xml:space="preserve">major macro trends</w:t>
      </w:r>
      <w:r>
        <w:t xml:space="preserve"> </w:t>
      </w:r>
      <w:r>
        <w:t xml:space="preserve">(disinflation, improving sentiment) but also</w:t>
      </w:r>
      <w:r>
        <w:t xml:space="preserve"> </w:t>
      </w:r>
      <w:r>
        <w:rPr>
          <w:b/>
          <w:bCs/>
        </w:rPr>
        <w:t xml:space="preserve">be mindful when technicals and narratives might be overshooting reality</w:t>
      </w:r>
      <w:r>
        <w:t xml:space="preserve"> </w:t>
      </w:r>
      <w:r>
        <w:t xml:space="preserve">(as could be argued for gold or certain equities by Dec). Indeed, labeling what is</w:t>
      </w:r>
      <w:r>
        <w:t xml:space="preserve"> </w:t>
      </w:r>
      <w:r>
        <w:rPr>
          <w:i/>
          <w:iCs/>
        </w:rPr>
        <w:t xml:space="preserve">fact</w:t>
      </w:r>
      <w:r>
        <w:t xml:space="preserve"> </w:t>
      </w:r>
      <w:r>
        <w:t xml:space="preserve">– e.g. “company X delivered 10% EPS growth” – versus</w:t>
      </w:r>
      <w:r>
        <w:t xml:space="preserve"> </w:t>
      </w:r>
      <w:r>
        <w:rPr>
          <w:i/>
          <w:iCs/>
        </w:rPr>
        <w:t xml:space="preserve">narrative</w:t>
      </w:r>
      <w:r>
        <w:t xml:space="preserve"> </w:t>
      </w:r>
      <w:r>
        <w:t xml:space="preserve">– e.g. “company X will dominate AI in 5 years” – can help decide if pricing is justified or stretched. 2025 rewarded those who rode the big macro wave but also those who tactically traded around sentiment shifts (like re-risking after April selloff).</w:t>
      </w:r>
    </w:p>
    <w:p>
      <w:pPr>
        <w:pStyle w:val="BodyText"/>
      </w:pPr>
      <w:r>
        <w:rPr>
          <w:b/>
          <w:bCs/>
        </w:rPr>
        <w:t xml:space="preserve">Key lessons for 2026:</w:t>
      </w:r>
      <w:r>
        <w:t xml:space="preserve"> </w:t>
      </w:r>
      <w:r>
        <w:t xml:space="preserve">Many of 2025’s drivers may continue or reverse. Investors should keep monitoring</w:t>
      </w:r>
      <w:r>
        <w:t xml:space="preserve"> </w:t>
      </w:r>
      <w:r>
        <w:rPr>
          <w:b/>
          <w:bCs/>
        </w:rPr>
        <w:t xml:space="preserve">central bank signals</w:t>
      </w:r>
      <w:r>
        <w:t xml:space="preserve"> </w:t>
      </w:r>
      <w:r>
        <w:t xml:space="preserve">and</w:t>
      </w:r>
      <w:r>
        <w:t xml:space="preserve"> </w:t>
      </w:r>
      <w:r>
        <w:rPr>
          <w:b/>
          <w:bCs/>
        </w:rPr>
        <w:t xml:space="preserve">inflation data</w:t>
      </w:r>
      <w:r>
        <w:t xml:space="preserve"> </w:t>
      </w:r>
      <w:r>
        <w:t xml:space="preserve">as core inputs to cross-asset moves. They should watch</w:t>
      </w:r>
      <w:r>
        <w:t xml:space="preserve"> </w:t>
      </w:r>
      <w:r>
        <w:rPr>
          <w:b/>
          <w:bCs/>
        </w:rPr>
        <w:t xml:space="preserve">positioning indicators</w:t>
      </w:r>
      <w:r>
        <w:t xml:space="preserve"> </w:t>
      </w:r>
      <w:r>
        <w:t xml:space="preserve">(to avoid being caught in crowded trades when sentiment turns). And importantly, they should differentiate</w:t>
      </w:r>
      <w:r>
        <w:t xml:space="preserve"> </w:t>
      </w:r>
      <w:r>
        <w:rPr>
          <w:b/>
          <w:bCs/>
        </w:rPr>
        <w:t xml:space="preserve">structural/fundamental changes</w:t>
      </w:r>
      <w:r>
        <w:t xml:space="preserve"> </w:t>
      </w:r>
      <w:r>
        <w:t xml:space="preserve">(like improved European fundamentals) from</w:t>
      </w:r>
      <w:r>
        <w:t xml:space="preserve"> </w:t>
      </w:r>
      <w:r>
        <w:rPr>
          <w:b/>
          <w:bCs/>
        </w:rPr>
        <w:t xml:space="preserve">temporary flows</w:t>
      </w:r>
      <w:r>
        <w:t xml:space="preserve"> </w:t>
      </w:r>
      <w:r>
        <w:t xml:space="preserve">(like short-term retail frenzy) to gauge what trends have legs. The year reminded that</w:t>
      </w:r>
      <w:r>
        <w:t xml:space="preserve"> </w:t>
      </w:r>
      <w:r>
        <w:rPr>
          <w:i/>
          <w:iCs/>
        </w:rPr>
        <w:t xml:space="preserve">market movements are often multi-causal</w:t>
      </w:r>
      <w:r>
        <w:t xml:space="preserve">: one needs a mosaic approach – macro + micro insight – to fully grasp what’s moving prices and thus position effectively.</w:t>
      </w:r>
    </w:p>
    <w:p>
      <w:r>
        <w:pict>
          <v:rect style="width:0;height:1.5pt" o:hralign="center" o:hrstd="t" o:hr="t"/>
        </w:pict>
      </w:r>
    </w:p>
    <w:bookmarkEnd w:id="43"/>
    <w:bookmarkEnd w:id="44"/>
    <w:bookmarkStart w:id="45" w:name="e.-key-2025-events-timeline"/>
    <w:p>
      <w:pPr>
        <w:pStyle w:val="Heading2"/>
      </w:pPr>
      <w:r>
        <w:t xml:space="preserve">E. Key 2025 Events Timeline</w:t>
      </w:r>
    </w:p>
    <w:p>
      <w:pPr>
        <w:pStyle w:val="FirstParagraph"/>
      </w:pPr>
      <w:r>
        <w:t xml:space="preserve">Below is a chronological timeline of</w:t>
      </w:r>
      <w:r>
        <w:t xml:space="preserve"> </w:t>
      </w:r>
      <w:r>
        <w:rPr>
          <w:b/>
          <w:bCs/>
        </w:rPr>
        <w:t xml:space="preserve">major events in 2025</w:t>
      </w:r>
      <w:r>
        <w:t xml:space="preserve"> </w:t>
      </w:r>
      <w:r>
        <w:t xml:space="preserve">– spanning policy decisions, economic data surprises, geopolitical developments, and market-specific incidents – with their immediate market reactions and significance:</w:t>
      </w:r>
    </w:p>
    <w:p>
      <w:pPr>
        <w:numPr>
          <w:ilvl w:val="0"/>
          <w:numId w:val="1008"/>
        </w:numPr>
      </w:pPr>
      <w:r>
        <w:rPr>
          <w:b/>
          <w:bCs/>
        </w:rPr>
        <w:t xml:space="preserve">Jan 20, 2025 – U.S. Presidential Inauguration:</w:t>
      </w:r>
      <w:r>
        <w:t xml:space="preserve"> </w:t>
      </w:r>
      <w:r>
        <w:t xml:space="preserve">Donald Trump is sworn in as U.S. President.</w:t>
      </w:r>
      <w:r>
        <w:t xml:space="preserve"> </w:t>
      </w:r>
      <w:r>
        <w:rPr>
          <w:i/>
          <w:iCs/>
        </w:rPr>
        <w:t xml:space="preserve">Event:</w:t>
      </w:r>
      <w:r>
        <w:t xml:space="preserve"> </w:t>
      </w:r>
      <w:r>
        <w:t xml:space="preserve">In his inauguration speech, he emphasizes “economic nationalism,” foreshadowing aggressive trade policy. Within days, he signs an Executive Order rolling back crypto regulations and announcing a pro-crypto framework.</w:t>
      </w:r>
      <w:r>
        <w:t xml:space="preserve"> </w:t>
      </w:r>
      <w:r>
        <w:rPr>
          <w:i/>
          <w:iCs/>
        </w:rPr>
        <w:t xml:space="preserve">Market Reaction:</w:t>
      </w:r>
      <w:r>
        <w:t xml:space="preserve"> </w:t>
      </w:r>
      <w:r>
        <w:t xml:space="preserve">U.S. equities initially flat (inauguration was expected), but crypto markets rally on policy optimism (Bitcoin +10% week of inauguration).</w:t>
      </w:r>
      <w:r>
        <w:t xml:space="preserve"> </w:t>
      </w:r>
      <w:r>
        <w:rPr>
          <w:i/>
          <w:iCs/>
        </w:rPr>
        <w:t xml:space="preserve">Why it Mattered:</w:t>
      </w:r>
      <w:r>
        <w:t xml:space="preserve"> </w:t>
      </w:r>
      <w:r>
        <w:t xml:space="preserve">Set the stage for a shift in U.S. policy regime – markets began pricing greater trade policy risk (volatility on trade-sensitive stocks ticked up) and a friendlier environment for fintech/crypto.</w:t>
      </w:r>
    </w:p>
    <w:p>
      <w:pPr>
        <w:numPr>
          <w:ilvl w:val="0"/>
          <w:numId w:val="1008"/>
        </w:numPr>
      </w:pPr>
      <w:r>
        <w:rPr>
          <w:b/>
          <w:bCs/>
        </w:rPr>
        <w:t xml:space="preserve">Feb 7, 2025 –</w:t>
      </w:r>
      <w:r>
        <w:t xml:space="preserve"> </w:t>
      </w:r>
      <w:r>
        <w:t xml:space="preserve">Federal Reserve Meeting (no change): The Fed holds the target rate at 5.25–5.50% and reiterates a data-dependent stance.</w:t>
      </w:r>
      <w:r>
        <w:t xml:space="preserve"> </w:t>
      </w:r>
      <w:r>
        <w:rPr>
          <w:i/>
          <w:iCs/>
        </w:rPr>
        <w:t xml:space="preserve">Event:</w:t>
      </w:r>
      <w:r>
        <w:t xml:space="preserve"> </w:t>
      </w:r>
      <w:r>
        <w:t xml:space="preserve">Chair Powell acknowledges in the presser that “inflation has started to come down” but says it’s</w:t>
      </w:r>
      <w:r>
        <w:t xml:space="preserve"> </w:t>
      </w:r>
      <w:r>
        <w:rPr>
          <w:i/>
          <w:iCs/>
        </w:rPr>
        <w:t xml:space="preserve">“too early to consider rate cuts.”</w:t>
      </w:r>
      <w:r>
        <w:t xml:space="preserve"> </w:t>
      </w:r>
      <w:r>
        <w:rPr>
          <w:i/>
          <w:iCs/>
        </w:rPr>
        <w:t xml:space="preserve">Market Reaction:</w:t>
      </w:r>
      <w:r>
        <w:t xml:space="preserve"> </w:t>
      </w:r>
      <w:r>
        <w:t xml:space="preserve">Little immediate reaction – Treasuries steady, S&amp;P 500 +0.5% on relief no hawkish surprise.</w:t>
      </w:r>
      <w:r>
        <w:t xml:space="preserve"> </w:t>
      </w:r>
      <w:r>
        <w:rPr>
          <w:i/>
          <w:iCs/>
        </w:rPr>
        <w:t xml:space="preserve">Why it Mattered:</w:t>
      </w:r>
      <w:r>
        <w:t xml:space="preserve"> </w:t>
      </w:r>
      <w:r>
        <w:t xml:space="preserve">Confirmed the peak of rates (no further hikes signaled), anchoring market expectations that the next move would be down – a key backdrop for the bond rally later.</w:t>
      </w:r>
    </w:p>
    <w:p>
      <w:pPr>
        <w:numPr>
          <w:ilvl w:val="0"/>
          <w:numId w:val="1008"/>
        </w:numPr>
      </w:pPr>
      <w:r>
        <w:rPr>
          <w:b/>
          <w:bCs/>
        </w:rPr>
        <w:t xml:space="preserve">Mar 10, 2025 – EU Launches “ReArm Europe” Defense Initiative:</w:t>
      </w:r>
      <w:r>
        <w:t xml:space="preserve"> </w:t>
      </w:r>
      <w:r>
        <w:t xml:space="preserve">The European Commission announces a landmark plan to jointly fund €20+ billion in defense procurement and allow extra defense spending outside stability pact limits.</w:t>
      </w:r>
      <w:r>
        <w:t xml:space="preserve"> </w:t>
      </w:r>
      <w:r>
        <w:rPr>
          <w:i/>
          <w:iCs/>
        </w:rPr>
        <w:t xml:space="preserve">Event:</w:t>
      </w:r>
      <w:r>
        <w:t xml:space="preserve"> </w:t>
      </w:r>
      <w:r>
        <w:t xml:space="preserve">Driven by the ongoing war in Ukraine and new geopolitical threats, EU leaders loosen fiscal rules for military investment.</w:t>
      </w:r>
      <w:r>
        <w:t xml:space="preserve"> </w:t>
      </w:r>
      <w:r>
        <w:rPr>
          <w:i/>
          <w:iCs/>
        </w:rPr>
        <w:t xml:space="preserve">Market Reaction:</w:t>
      </w:r>
      <w:r>
        <w:t xml:space="preserve"> </w:t>
      </w:r>
      <w:r>
        <w:t xml:space="preserve">European defense stocks surge (e.g. Rheinmetall +8% on day), euro little changed. Slight widening in Italian-German bond spreads on fiscal concerns, but contained.</w:t>
      </w:r>
      <w:r>
        <w:t xml:space="preserve"> </w:t>
      </w:r>
      <w:r>
        <w:rPr>
          <w:i/>
          <w:iCs/>
        </w:rPr>
        <w:t xml:space="preserve">Why it Mattered:</w:t>
      </w:r>
      <w:r>
        <w:t xml:space="preserve"> </w:t>
      </w:r>
      <w:r>
        <w:t xml:space="preserve">Marked a</w:t>
      </w:r>
      <w:r>
        <w:t xml:space="preserve"> </w:t>
      </w:r>
      <w:r>
        <w:rPr>
          <w:i/>
          <w:iCs/>
        </w:rPr>
        <w:t xml:space="preserve">regime shift in EU fiscal policy</w:t>
      </w:r>
      <w:r>
        <w:t xml:space="preserve"> </w:t>
      </w:r>
      <w:r>
        <w:t xml:space="preserve">– defense became a priority over austerity. Boosted European industrial sectors and signaled a more unified EU response to security threats, improving investor sentiment toward Europe.</w:t>
      </w:r>
    </w:p>
    <w:p>
      <w:pPr>
        <w:numPr>
          <w:ilvl w:val="0"/>
          <w:numId w:val="1008"/>
        </w:numPr>
      </w:pPr>
      <w:r>
        <w:rPr>
          <w:b/>
          <w:bCs/>
        </w:rPr>
        <w:t xml:space="preserve">Apr 2, 2025 – “Liberation Day” Tariff Announcement (Trade War Escalation):</w:t>
      </w:r>
      <w:r>
        <w:t xml:space="preserve"> </w:t>
      </w:r>
      <w:r>
        <w:t xml:space="preserve">President Trump announces a</w:t>
      </w:r>
      <w:r>
        <w:t xml:space="preserve"> </w:t>
      </w:r>
      <w:r>
        <w:rPr>
          <w:b/>
          <w:bCs/>
        </w:rPr>
        <w:t xml:space="preserve">sweeping tariff increase on Chinese goods</w:t>
      </w:r>
      <w:r>
        <w:t xml:space="preserve">, citing it as “Economic Liberation Day” for the U.S.. Tariffs of 25% (up from 10%) are to apply on virtually all remaining Chinese imports effective immediately.</w:t>
      </w:r>
      <w:r>
        <w:t xml:space="preserve"> </w:t>
      </w:r>
      <w:r>
        <w:rPr>
          <w:i/>
          <w:iCs/>
        </w:rPr>
        <w:t xml:space="preserve">Market Reaction:</w:t>
      </w:r>
      <w:r>
        <w:t xml:space="preserve"> </w:t>
      </w:r>
      <w:r>
        <w:rPr>
          <w:b/>
          <w:bCs/>
        </w:rPr>
        <w:t xml:space="preserve">Global equities plunge</w:t>
      </w:r>
      <w:r>
        <w:t xml:space="preserve"> </w:t>
      </w:r>
      <w:r>
        <w:t xml:space="preserve">– S&amp;P 500 –6% in two days</w:t>
      </w:r>
      <w:hyperlink r:id="rId21">
        <w:r>
          <w:rPr>
            <w:rStyle w:val="Hyperlink"/>
          </w:rPr>
          <w:t xml:space="preserve">[1]</w:t>
        </w:r>
      </w:hyperlink>
      <w:r>
        <w:t xml:space="preserve">, STOXX 600 –5%, Shanghai Composite –4%. VIX spikes above 35. Safe havens soar: 10Y Treasury yield drops ~30 bps (from ~4.5% to 4.2% in a week), gold jumps +8%. Chinese yuan falls to ~7.34/USD (a 18-month low) before PBoC intervention.</w:t>
      </w:r>
      <w:r>
        <w:t xml:space="preserve"> </w:t>
      </w:r>
      <w:r>
        <w:rPr>
          <w:i/>
          <w:iCs/>
        </w:rPr>
        <w:t xml:space="preserve">Why it Mattered:</w:t>
      </w:r>
      <w:r>
        <w:t xml:space="preserve"> </w:t>
      </w:r>
      <w:r>
        <w:t xml:space="preserve">This was the single biggest market shock of 1H 2025 –</w:t>
      </w:r>
      <w:r>
        <w:t xml:space="preserve"> </w:t>
      </w:r>
      <w:r>
        <w:rPr>
          <w:b/>
          <w:bCs/>
        </w:rPr>
        <w:t xml:space="preserve">reviving fears of a U.S.–China trade war</w:t>
      </w:r>
      <w:r>
        <w:t xml:space="preserve"> </w:t>
      </w:r>
      <w:r>
        <w:t xml:space="preserve">akin to 2018. Investors worried about higher costs (potential inflation), corporate margin hits, and deteriorating U.S.-China relations. It triggered a broad risk-off, temporarily derailing the stock rally and setting off a chain of policy responses and Fed re-evaluation (markets started pricing Fed cuts on growth fears).</w:t>
      </w:r>
    </w:p>
    <w:p>
      <w:pPr>
        <w:numPr>
          <w:ilvl w:val="0"/>
          <w:numId w:val="1008"/>
        </w:numPr>
      </w:pPr>
      <w:r>
        <w:rPr>
          <w:b/>
          <w:bCs/>
        </w:rPr>
        <w:t xml:space="preserve">Apr 9, 2025 – Partial Tariff Reversal/Postponement:</w:t>
      </w:r>
      <w:r>
        <w:t xml:space="preserve"> </w:t>
      </w:r>
      <w:r>
        <w:t xml:space="preserve">Facing market turmoil and lobbying, the White House announces that</w:t>
      </w:r>
      <w:r>
        <w:t xml:space="preserve"> </w:t>
      </w:r>
      <w:r>
        <w:rPr>
          <w:b/>
          <w:bCs/>
        </w:rPr>
        <w:t xml:space="preserve">some tariff increases will be postponed</w:t>
      </w:r>
      <w:r>
        <w:t xml:space="preserve"> </w:t>
      </w:r>
      <w:r>
        <w:t xml:space="preserve">until further review (many goods spared immediate hike).</w:t>
      </w:r>
      <w:r>
        <w:t xml:space="preserve"> </w:t>
      </w:r>
      <w:r>
        <w:rPr>
          <w:i/>
          <w:iCs/>
        </w:rPr>
        <w:t xml:space="preserve">Event:</w:t>
      </w:r>
      <w:r>
        <w:t xml:space="preserve"> </w:t>
      </w:r>
      <w:r>
        <w:t xml:space="preserve">Treasury Secretary and USTR hint at back-channel talks with China and delay full implementation of the 25% across-the-board tariff.</w:t>
      </w:r>
      <w:r>
        <w:t xml:space="preserve"> </w:t>
      </w:r>
      <w:r>
        <w:rPr>
          <w:i/>
          <w:iCs/>
        </w:rPr>
        <w:t xml:space="preserve">Market Reaction:</w:t>
      </w:r>
      <w:r>
        <w:t xml:space="preserve"> </w:t>
      </w:r>
      <w:r>
        <w:t xml:space="preserve">Relief rally – S&amp;P 500 rebounds ~+3% over next two sessions, recovering some losses. Treasury yields stabilize (10Y around 4.2%). Gold gives back a bit of its gain as panic ebbs.</w:t>
      </w:r>
      <w:r>
        <w:t xml:space="preserve"> </w:t>
      </w:r>
      <w:r>
        <w:rPr>
          <w:i/>
          <w:iCs/>
        </w:rPr>
        <w:t xml:space="preserve">Why it Mattered:</w:t>
      </w:r>
      <w:r>
        <w:t xml:space="preserve"> </w:t>
      </w:r>
      <w:r>
        <w:t xml:space="preserve">Showed that market reactions can influence policy – the rollback calmed investors. It also suggested the tariffs might be a negotiating tactic rather than a permanent reality, allowing risk sentiment to improve going into Q2.</w:t>
      </w:r>
    </w:p>
    <w:p>
      <w:pPr>
        <w:numPr>
          <w:ilvl w:val="0"/>
          <w:numId w:val="1008"/>
        </w:numPr>
      </w:pPr>
      <w:r>
        <w:rPr>
          <w:b/>
          <w:bCs/>
        </w:rPr>
        <w:t xml:space="preserve">Apr 15, 2025 – U.S. CPI Surprise (March data):</w:t>
      </w:r>
      <w:r>
        <w:t xml:space="preserve"> </w:t>
      </w:r>
      <w:r>
        <w:t xml:space="preserve">Headline CPI comes in at +0.1% m/m (below +0.3% expected), core also slightly cooler.</w:t>
      </w:r>
      <w:r>
        <w:t xml:space="preserve"> </w:t>
      </w:r>
      <w:r>
        <w:rPr>
          <w:i/>
          <w:iCs/>
        </w:rPr>
        <w:t xml:space="preserve">Event:</w:t>
      </w:r>
      <w:r>
        <w:t xml:space="preserve"> </w:t>
      </w:r>
      <w:r>
        <w:t xml:space="preserve">This is the first major downside surprise in inflation in 2025. Year-over-year CPI falls to 3.8%, the lowest since 2021.</w:t>
      </w:r>
      <w:r>
        <w:t xml:space="preserve"> </w:t>
      </w:r>
      <w:r>
        <w:rPr>
          <w:i/>
          <w:iCs/>
        </w:rPr>
        <w:t xml:space="preserve">Market Reaction:</w:t>
      </w:r>
      <w:r>
        <w:t xml:space="preserve"> </w:t>
      </w:r>
      <w:r>
        <w:t xml:space="preserve">Bonds rally further – 2Y yield drops 15 bps on day as traders bolster Fed cut bets. The S&amp;P 500 jumps +2% on hopes that the Fed will pivot sooner. Dollar index tumbles ~1% to 101 (reflecting reduced Fed hawkishness).</w:t>
      </w:r>
      <w:r>
        <w:t xml:space="preserve"> </w:t>
      </w:r>
      <w:r>
        <w:rPr>
          <w:i/>
          <w:iCs/>
        </w:rPr>
        <w:t xml:space="preserve">Why it Mattered:</w:t>
      </w:r>
      <w:r>
        <w:t xml:space="preserve"> </w:t>
      </w:r>
      <w:r>
        <w:t xml:space="preserve">Reinforced the</w:t>
      </w:r>
      <w:r>
        <w:t xml:space="preserve"> </w:t>
      </w:r>
      <w:r>
        <w:rPr>
          <w:i/>
          <w:iCs/>
        </w:rPr>
        <w:t xml:space="preserve">disinflation trend</w:t>
      </w:r>
      <w:r>
        <w:t xml:space="preserve">, bolstering the case that the worst of inflation was over. It was a turning point in Fed expectations – fed funds futures shifted to price a cut as early as September (which indeed happened). This data point helped markets look past the tariff scare toward a more dovish Fed stance.</w:t>
      </w:r>
    </w:p>
    <w:p>
      <w:pPr>
        <w:numPr>
          <w:ilvl w:val="0"/>
          <w:numId w:val="1008"/>
        </w:numPr>
      </w:pPr>
      <w:r>
        <w:rPr>
          <w:b/>
          <w:bCs/>
        </w:rPr>
        <w:t xml:space="preserve">May 3, 2025 – FOMC Meeting (last hike or pause):</w:t>
      </w:r>
      <w:r>
        <w:t xml:space="preserve"> </w:t>
      </w:r>
      <w:r>
        <w:t xml:space="preserve">The Fed meets and, as widely expected,</w:t>
      </w:r>
      <w:r>
        <w:t xml:space="preserve"> </w:t>
      </w:r>
      <w:r>
        <w:rPr>
          <w:b/>
          <w:bCs/>
        </w:rPr>
        <w:t xml:space="preserve">leaves rates unchanged</w:t>
      </w:r>
      <w:r>
        <w:t xml:space="preserve">, signaling the end of the hiking cycle.</w:t>
      </w:r>
      <w:r>
        <w:t xml:space="preserve"> </w:t>
      </w:r>
      <w:r>
        <w:rPr>
          <w:i/>
          <w:iCs/>
        </w:rPr>
        <w:t xml:space="preserve">Event:</w:t>
      </w:r>
      <w:r>
        <w:t xml:space="preserve"> </w:t>
      </w:r>
      <w:r>
        <w:t xml:space="preserve">In a dovish twist, the statement removes reference to “anticipating further hikes” and Powell notes policy is “restrictive enough barring unexpected developments.”</w:t>
      </w:r>
      <w:r>
        <w:t xml:space="preserve"> </w:t>
      </w:r>
      <w:r>
        <w:rPr>
          <w:i/>
          <w:iCs/>
        </w:rPr>
        <w:t xml:space="preserve">Market Reaction:</w:t>
      </w:r>
      <w:r>
        <w:t xml:space="preserve"> </w:t>
      </w:r>
      <w:r>
        <w:t xml:space="preserve">Equities rally moderately (S&amp;P +1% on day), led by rate-sensitive tech. The yield curve steepens as short-end yields fall (2Y –10 bps) on perceived confirmation no more hikes.</w:t>
      </w:r>
      <w:r>
        <w:t xml:space="preserve"> </w:t>
      </w:r>
      <w:r>
        <w:rPr>
          <w:i/>
          <w:iCs/>
        </w:rPr>
        <w:t xml:space="preserve">Why it Mattered:</w:t>
      </w:r>
      <w:r>
        <w:t xml:space="preserve"> </w:t>
      </w:r>
      <w:r>
        <w:t xml:space="preserve">Essentially an official Fed</w:t>
      </w:r>
      <w:r>
        <w:t xml:space="preserve"> </w:t>
      </w:r>
      <w:r>
        <w:rPr>
          <w:i/>
          <w:iCs/>
        </w:rPr>
        <w:t xml:space="preserve">pause</w:t>
      </w:r>
      <w:r>
        <w:t xml:space="preserve">, confirming to markets that the next move likely cuts if the economy slows. This formalized what was priced in after April’s chaos – that the Fed’s tightening phase was done, acting as a green light for risk assets to move higher on monetary relief.</w:t>
      </w:r>
    </w:p>
    <w:p>
      <w:pPr>
        <w:numPr>
          <w:ilvl w:val="0"/>
          <w:numId w:val="1008"/>
        </w:numPr>
      </w:pPr>
      <w:r>
        <w:rPr>
          <w:b/>
          <w:bCs/>
        </w:rPr>
        <w:t xml:space="preserve">Jun 18, 2025 – ECB Meeting (final hike then pause):</w:t>
      </w:r>
      <w:r>
        <w:t xml:space="preserve"> </w:t>
      </w:r>
      <w:r>
        <w:t xml:space="preserve">The ECB raises rates 25 bps (deposit rate to 4.00%) but strongly hints this is the peak, citing rapidly improving inflation outlook.</w:t>
      </w:r>
      <w:r>
        <w:t xml:space="preserve"> </w:t>
      </w:r>
      <w:r>
        <w:rPr>
          <w:i/>
          <w:iCs/>
        </w:rPr>
        <w:t xml:space="preserve">Event:</w:t>
      </w:r>
      <w:r>
        <w:t xml:space="preserve"> </w:t>
      </w:r>
      <w:r>
        <w:t xml:space="preserve">President Lagarde says inflation is “on track to return to 2% by end-2025” and further hikes are</w:t>
      </w:r>
      <w:r>
        <w:t xml:space="preserve"> </w:t>
      </w:r>
      <w:r>
        <w:rPr>
          <w:i/>
          <w:iCs/>
        </w:rPr>
        <w:t xml:space="preserve">“not the baseline.”</w:t>
      </w:r>
      <w:r>
        <w:t xml:space="preserve"> </w:t>
      </w:r>
      <w:r>
        <w:rPr>
          <w:i/>
          <w:iCs/>
        </w:rPr>
        <w:t xml:space="preserve">Market Reaction:</w:t>
      </w:r>
      <w:r>
        <w:t xml:space="preserve"> </w:t>
      </w:r>
      <w:r>
        <w:t xml:space="preserve">The euro initially dips (on dovish tone) then rallies in following days as markets see Eurozone rates staying high vs falling U.S. rates. European bank stocks jump (they prefer a pause to avoid recession). Eurozone bonds rally (10Y bund –15 bps over week) on expectation ECB done.</w:t>
      </w:r>
      <w:r>
        <w:t xml:space="preserve"> </w:t>
      </w:r>
      <w:r>
        <w:rPr>
          <w:i/>
          <w:iCs/>
        </w:rPr>
        <w:t xml:space="preserve">Why it Mattered:</w:t>
      </w:r>
      <w:r>
        <w:t xml:space="preserve"> </w:t>
      </w:r>
      <w:r>
        <w:t xml:space="preserve">Marked the end of ECB’s hiking campaign and divergence with the Fed – Fed was poised to cut, ECB to hold. This policy divergence helped drive euro strength later in year and supported European equities by removing tightening pressure.</w:t>
      </w:r>
    </w:p>
    <w:p>
      <w:pPr>
        <w:numPr>
          <w:ilvl w:val="0"/>
          <w:numId w:val="1008"/>
        </w:numPr>
      </w:pPr>
      <w:r>
        <w:rPr>
          <w:b/>
          <w:bCs/>
        </w:rPr>
        <w:t xml:space="preserve">Jul 30, 2025 – U.S. Q2 GDP and Big Tech Earnings:</w:t>
      </w:r>
      <w:r>
        <w:t xml:space="preserve"> </w:t>
      </w:r>
      <w:r>
        <w:t xml:space="preserve">Advance Q2 GDP shows +2.2% annualized growth (above +1.0% consensus), and several mega-cap tech firms report robust earnings (continued AI-driven revenue growth).</w:t>
      </w:r>
      <w:r>
        <w:t xml:space="preserve"> </w:t>
      </w:r>
      <w:r>
        <w:rPr>
          <w:i/>
          <w:iCs/>
        </w:rPr>
        <w:t xml:space="preserve">Event:</w:t>
      </w:r>
      <w:r>
        <w:t xml:space="preserve"> </w:t>
      </w:r>
      <w:r>
        <w:t xml:space="preserve">The U.S. economy’s resilience becomes evident – no recession in first half. Major companies like Apple and Alphabet beat profit estimates.</w:t>
      </w:r>
      <w:r>
        <w:t xml:space="preserve"> </w:t>
      </w:r>
      <w:r>
        <w:rPr>
          <w:i/>
          <w:iCs/>
        </w:rPr>
        <w:t xml:space="preserve">Market Reaction:</w:t>
      </w:r>
      <w:r>
        <w:t xml:space="preserve"> </w:t>
      </w:r>
      <w:r>
        <w:t xml:space="preserve">The S&amp;P 500 hits a new record high around 6,500 (first record since late 2021), up ~20% YTD. Nasdaq surges +3% on earnings beats, crossing 22,000. 10Y yields tick up a bit (~+5 bps) on growth optimism (but still way below April highs).</w:t>
      </w:r>
      <w:r>
        <w:t xml:space="preserve"> </w:t>
      </w:r>
      <w:r>
        <w:rPr>
          <w:i/>
          <w:iCs/>
        </w:rPr>
        <w:t xml:space="preserve">Why it Mattered:</w:t>
      </w:r>
      <w:r>
        <w:t xml:space="preserve"> </w:t>
      </w:r>
      <w:r>
        <w:t xml:space="preserve">Put to rest lingering recession calls – “soft landing” narrative gains credibility. Also underscored that AI hype was translating into real earnings for some, justifying a portion of the tech rally. It was a catalyst for latecomer investors to increase equity exposure (“fear of missing out”), propelling the rally further.</w:t>
      </w:r>
    </w:p>
    <w:p>
      <w:pPr>
        <w:numPr>
          <w:ilvl w:val="0"/>
          <w:numId w:val="1008"/>
        </w:numPr>
      </w:pPr>
      <w:r>
        <w:rPr>
          <w:b/>
          <w:bCs/>
        </w:rPr>
        <w:t xml:space="preserve">Aug 15, 2025 – China Stimulus Package Announced:</w:t>
      </w:r>
      <w:r>
        <w:t xml:space="preserve"> </w:t>
      </w:r>
      <w:r>
        <w:t xml:space="preserve">China’s State Council unveils a broad stimulus: 50 bps RRR cut, consumption vouchers, easing property restrictions in major cities.</w:t>
      </w:r>
      <w:r>
        <w:t xml:space="preserve"> </w:t>
      </w:r>
      <w:r>
        <w:rPr>
          <w:i/>
          <w:iCs/>
        </w:rPr>
        <w:t xml:space="preserve">Event:</w:t>
      </w:r>
      <w:r>
        <w:t xml:space="preserve"> </w:t>
      </w:r>
      <w:r>
        <w:t xml:space="preserve">Aimed at reviving sputtering growth (after weak Q2 data), the package is significant – RMB 1 trillion (~$140bn) in various measures.</w:t>
      </w:r>
      <w:r>
        <w:t xml:space="preserve"> </w:t>
      </w:r>
      <w:r>
        <w:rPr>
          <w:i/>
          <w:iCs/>
        </w:rPr>
        <w:t xml:space="preserve">Market Reaction:</w:t>
      </w:r>
      <w:r>
        <w:t xml:space="preserve"> </w:t>
      </w:r>
      <w:r>
        <w:t xml:space="preserve">Copper and industrial metals jump (copper +5% week of announcement). The Chinese yuan stabilizes around 7.20 (having been weak earlier). EM equities and currencies broadly rally on improved China outlook (MSCI EM +4% in August).</w:t>
      </w:r>
      <w:r>
        <w:t xml:space="preserve"> </w:t>
      </w:r>
      <w:r>
        <w:rPr>
          <w:i/>
          <w:iCs/>
        </w:rPr>
        <w:t xml:space="preserve">Why it Mattered:</w:t>
      </w:r>
      <w:r>
        <w:t xml:space="preserve"> </w:t>
      </w:r>
      <w:r>
        <w:t xml:space="preserve">Removed a major downside risk – that China would let its economy stall. The stimulus signaled Beijing’s commitment to floor growth ~5%, bolstering global commodity demand and supporting sentiment in emerging markets (which had been weighed by China concerns). It played into the EM outperformance story.</w:t>
      </w:r>
    </w:p>
    <w:p>
      <w:pPr>
        <w:numPr>
          <w:ilvl w:val="0"/>
          <w:numId w:val="1008"/>
        </w:numPr>
      </w:pPr>
      <w:r>
        <w:rPr>
          <w:b/>
          <w:bCs/>
        </w:rPr>
        <w:t xml:space="preserve">Sep 17, 2025 – Fed</w:t>
      </w:r>
      <w:r>
        <w:t xml:space="preserve"> </w:t>
      </w:r>
      <w:r>
        <w:t xml:space="preserve">Cuts</w:t>
      </w:r>
      <w:r>
        <w:t xml:space="preserve"> </w:t>
      </w:r>
      <w:r>
        <w:rPr>
          <w:b/>
          <w:bCs/>
        </w:rPr>
        <w:t xml:space="preserve">Rates (start of easing cycle):</w:t>
      </w:r>
      <w:r>
        <w:t xml:space="preserve"> </w:t>
      </w:r>
      <w:r>
        <w:t xml:space="preserve">The FOMC delivers a 25 bps rate cut, lowering the Fed Funds target to 5.0–5.25%.</w:t>
      </w:r>
      <w:r>
        <w:t xml:space="preserve"> </w:t>
      </w:r>
      <w:r>
        <w:rPr>
          <w:i/>
          <w:iCs/>
        </w:rPr>
        <w:t xml:space="preserve">Event:</w:t>
      </w:r>
      <w:r>
        <w:t xml:space="preserve"> </w:t>
      </w:r>
      <w:r>
        <w:t xml:space="preserve">Citing “a softening labor market” and “contained inflation,” the Fed initiates “insurance cuts.” Powell frames it not as a recession call but prudent risk management.</w:t>
      </w:r>
      <w:r>
        <w:t xml:space="preserve"> </w:t>
      </w:r>
      <w:r>
        <w:rPr>
          <w:i/>
          <w:iCs/>
        </w:rPr>
        <w:t xml:space="preserve">Market Reaction:</w:t>
      </w:r>
      <w:r>
        <w:t xml:space="preserve"> </w:t>
      </w:r>
      <w:r>
        <w:t xml:space="preserve">Equities cheer – S&amp;P 500 +2% on the day, hitting ~6,800</w:t>
      </w:r>
      <w:hyperlink r:id="rId24">
        <w:r>
          <w:rPr>
            <w:rStyle w:val="Hyperlink"/>
          </w:rPr>
          <w:t xml:space="preserve">[2]</w:t>
        </w:r>
      </w:hyperlink>
      <w:r>
        <w:t xml:space="preserve">. Bond yields fall (2Y –10 bps, market prices more cuts ahead). The dollar drops further (EUR breaks above 1.15 that week).</w:t>
      </w:r>
      <w:r>
        <w:t xml:space="preserve"> </w:t>
      </w:r>
      <w:r>
        <w:rPr>
          <w:i/>
          <w:iCs/>
        </w:rPr>
        <w:t xml:space="preserve">Why it Mattered:</w:t>
      </w:r>
      <w:r>
        <w:t xml:space="preserve"> </w:t>
      </w:r>
      <w:r>
        <w:t xml:space="preserve">This was the</w:t>
      </w:r>
      <w:r>
        <w:t xml:space="preserve"> </w:t>
      </w:r>
      <w:r>
        <w:rPr>
          <w:b/>
          <w:bCs/>
        </w:rPr>
        <w:t xml:space="preserve">inflection point in U.S. monetary policy</w:t>
      </w:r>
      <w:r>
        <w:t xml:space="preserve">, the first cut after 550 bps of hikes. It validated the market’s bet that the Fed would ease and essentially provided more fuel for risk assets via lower discount rates. Also signaled the Fed’s confidence that cutting wouldn’t reignite inflation – a bullish “goldilocks” signal for both stocks and bonds.</w:t>
      </w:r>
    </w:p>
    <w:p>
      <w:pPr>
        <w:numPr>
          <w:ilvl w:val="0"/>
          <w:numId w:val="1008"/>
        </w:numPr>
      </w:pPr>
      <w:r>
        <w:rPr>
          <w:b/>
          <w:bCs/>
        </w:rPr>
        <w:t xml:space="preserve">Oct 1, 2025 – U.S. Government Shutdown Begins:</w:t>
      </w:r>
      <w:r>
        <w:t xml:space="preserve"> </w:t>
      </w:r>
      <w:r>
        <w:t xml:space="preserve">Congress fails to pass spending bills, leading to a federal shutdown (non-essential services, data releases halted).</w:t>
      </w:r>
      <w:r>
        <w:t xml:space="preserve"> </w:t>
      </w:r>
      <w:r>
        <w:rPr>
          <w:i/>
          <w:iCs/>
        </w:rPr>
        <w:t xml:space="preserve">Event:</w:t>
      </w:r>
      <w:r>
        <w:t xml:space="preserve"> </w:t>
      </w:r>
      <w:r>
        <w:t xml:space="preserve">Political gridlock (a dispute over budget priorities with a slim House majority) triggers what will become the longest U.S. shutdown ever (46 days).</w:t>
      </w:r>
      <w:r>
        <w:t xml:space="preserve"> </w:t>
      </w:r>
      <w:r>
        <w:rPr>
          <w:i/>
          <w:iCs/>
        </w:rPr>
        <w:t xml:space="preserve">Market Reaction:</w:t>
      </w:r>
      <w:r>
        <w:t xml:space="preserve"> </w:t>
      </w:r>
      <w:r>
        <w:t xml:space="preserve">Initially muted – S&amp;P slips ~-1% first week of Oct amid general volatility, but no panic. However, Treasury bill yields due in Oct/Nov spike ~20 bps (liquidity premium as bill issuance stops then surges after reopening). The lack of economic data (e.g. no September NFP or CPI on time) causes some short-term Treasury market volatility due to uncertainty, pushing MOVE index up modestly.</w:t>
      </w:r>
      <w:r>
        <w:t xml:space="preserve"> </w:t>
      </w:r>
      <w:r>
        <w:rPr>
          <w:i/>
          <w:iCs/>
        </w:rPr>
        <w:t xml:space="preserve">Why it Mattered:</w:t>
      </w:r>
      <w:r>
        <w:t xml:space="preserve"> </w:t>
      </w:r>
      <w:r>
        <w:t xml:space="preserve">While not a financial crisis, it introduced noise and uncertainty. The delayed data made the Fed and markets “fly blind” – possibly contributing to a cautious Fed pause in Oct. It also had minor economic impact (Q4 GDP might be dinged ~0.2%). Showed U.S. fiscal dysfunction, which became part of the narrative weighing on the dollar (though more in background).</w:t>
      </w:r>
    </w:p>
    <w:p>
      <w:pPr>
        <w:numPr>
          <w:ilvl w:val="0"/>
          <w:numId w:val="1008"/>
        </w:numPr>
      </w:pPr>
      <w:r>
        <w:rPr>
          <w:b/>
          <w:bCs/>
        </w:rPr>
        <w:t xml:space="preserve">Oct 12, 2025 – Tariff Escalation to 100% &amp; Crypto Crash:</w:t>
      </w:r>
      <w:r>
        <w:t xml:space="preserve"> </w:t>
      </w:r>
      <w:r>
        <w:t xml:space="preserve">President Trump, frustrated with lack of a trade deal, announces</w:t>
      </w:r>
      <w:r>
        <w:t xml:space="preserve"> </w:t>
      </w:r>
      <w:r>
        <w:rPr>
          <w:b/>
          <w:bCs/>
        </w:rPr>
        <w:t xml:space="preserve">100% tariffs on all Chinese imports</w:t>
      </w:r>
      <w:r>
        <w:t xml:space="preserve"> </w:t>
      </w:r>
      <w:r>
        <w:t xml:space="preserve">effective Jan 1, 2026.</w:t>
      </w:r>
      <w:r>
        <w:t xml:space="preserve"> </w:t>
      </w:r>
      <w:r>
        <w:rPr>
          <w:i/>
          <w:iCs/>
        </w:rPr>
        <w:t xml:space="preserve">Event:</w:t>
      </w:r>
      <w:r>
        <w:t xml:space="preserve"> </w:t>
      </w:r>
      <w:r>
        <w:t xml:space="preserve">This shock move goes far beyond prior tariffs, effectively an embargo-level tariff. It sends shockwaves, especially in crypto as speculation swirls China might ban crypto in retaliation.</w:t>
      </w:r>
      <w:r>
        <w:t xml:space="preserve"> </w:t>
      </w:r>
      <w:r>
        <w:rPr>
          <w:i/>
          <w:iCs/>
        </w:rPr>
        <w:t xml:space="preserve">Market Reaction:</w:t>
      </w:r>
      <w:r>
        <w:t xml:space="preserve"> </w:t>
      </w:r>
      <w:r>
        <w:t xml:space="preserve">Equities, surprisingly, only sell off moderately (S&amp;P –2% Oct 12-13) as investors believe Congress or courts might intervene or a deal could avert it.</w:t>
      </w:r>
      <w:r>
        <w:t xml:space="preserve"> </w:t>
      </w:r>
      <w:r>
        <w:rPr>
          <w:b/>
          <w:bCs/>
        </w:rPr>
        <w:t xml:space="preserve">Crypto markets, however, collapse</w:t>
      </w:r>
      <w:r>
        <w:t xml:space="preserve"> </w:t>
      </w:r>
      <w:r>
        <w:t xml:space="preserve">– Bitcoin plunges ~20% from $110k to $88k in three days, as the announcement triggers record liquidations ($19B in a day) and concerns that strained China-US ties will hurt crypto flows. Gold actually ticks down (it had risen into event, some “sell the news” profit-taking).</w:t>
      </w:r>
      <w:r>
        <w:t xml:space="preserve"> </w:t>
      </w:r>
      <w:r>
        <w:rPr>
          <w:i/>
          <w:iCs/>
        </w:rPr>
        <w:t xml:space="preserve">Why it Mattered:</w:t>
      </w:r>
      <w:r>
        <w:t xml:space="preserve"> </w:t>
      </w:r>
      <w:r>
        <w:t xml:space="preserve">Marked the peak of trade war tensions – an extreme gambit that markets partly discounted (expecting negotiation) but still created significant sector dispersion (U.S. retail/apparel stocks fell hard on cost worries, while some domestic tech rose on hopes of onshoring). It also catalyzed the</w:t>
      </w:r>
      <w:r>
        <w:t xml:space="preserve"> </w:t>
      </w:r>
      <w:r>
        <w:rPr>
          <w:b/>
          <w:bCs/>
        </w:rPr>
        <w:t xml:space="preserve">crypto bear turn</w:t>
      </w:r>
      <w:r>
        <w:t xml:space="preserve"> </w:t>
      </w:r>
      <w:r>
        <w:t xml:space="preserve">– illustrating how macro policy can greatly impact that asset class. Ultimately, the 100% tariff threat was a key overhang heading into year-end trade negotiations.</w:t>
      </w:r>
    </w:p>
    <w:p>
      <w:pPr>
        <w:numPr>
          <w:ilvl w:val="0"/>
          <w:numId w:val="1008"/>
        </w:numPr>
      </w:pPr>
      <w:r>
        <w:rPr>
          <w:b/>
          <w:bCs/>
        </w:rPr>
        <w:t xml:space="preserve">Nov 15, 2025 – U.S. Government Shutdown Ends:</w:t>
      </w:r>
      <w:r>
        <w:t xml:space="preserve"> </w:t>
      </w:r>
      <w:r>
        <w:t xml:space="preserve">After a grueling 6+ weeks, Congress passes an omnibus spending bill, reopening the government.</w:t>
      </w:r>
      <w:r>
        <w:t xml:space="preserve"> </w:t>
      </w:r>
      <w:r>
        <w:rPr>
          <w:i/>
          <w:iCs/>
        </w:rPr>
        <w:t xml:space="preserve">Event:</w:t>
      </w:r>
      <w:r>
        <w:t xml:space="preserve"> </w:t>
      </w:r>
      <w:r>
        <w:t xml:space="preserve">A compromise is reached that extends funding through late 2026, including increased defense and infrastructure spending (part of OBB Act rolled in).</w:t>
      </w:r>
      <w:r>
        <w:t xml:space="preserve"> </w:t>
      </w:r>
      <w:r>
        <w:rPr>
          <w:i/>
          <w:iCs/>
        </w:rPr>
        <w:t xml:space="preserve">Market Reaction:</w:t>
      </w:r>
      <w:r>
        <w:t xml:space="preserve"> </w:t>
      </w:r>
      <w:r>
        <w:t xml:space="preserve">Modest positive – government contractors’ stocks rise (they can get back to work), Treasury yields jump ~5-10 bps on flood of delayed T-bill issuance hitting the market as Treasury replenishes cash (short-term technical). The release of backlogged economic data (e.g. two jobs reports at once) shows continued moderate job growth, causing a small equity rally on relief that no hidden slump occurred.</w:t>
      </w:r>
      <w:r>
        <w:t xml:space="preserve"> </w:t>
      </w:r>
      <w:r>
        <w:rPr>
          <w:i/>
          <w:iCs/>
        </w:rPr>
        <w:t xml:space="preserve">Why it Mattered:</w:t>
      </w:r>
      <w:r>
        <w:t xml:space="preserve"> </w:t>
      </w:r>
      <w:r>
        <w:t xml:space="preserve">Removed a political risk and data blackout. Also, the spending bill’s contents (fiscal stimulus measures) set the stage for stronger 2026 growth – markets started to price that in. The resolution reaffirmed that even contentious U.S. politics eventually avoid default, which helped stabilize any latent risk premium on Treasuries.</w:t>
      </w:r>
    </w:p>
    <w:p>
      <w:pPr>
        <w:numPr>
          <w:ilvl w:val="0"/>
          <w:numId w:val="1008"/>
        </w:numPr>
      </w:pPr>
      <w:r>
        <w:rPr>
          <w:b/>
          <w:bCs/>
        </w:rPr>
        <w:t xml:space="preserve">Dec 18, 2025 – ECB Meeting (Holds, Inflation at 2%):</w:t>
      </w:r>
      <w:r>
        <w:t xml:space="preserve"> </w:t>
      </w:r>
      <w:r>
        <w:t xml:space="preserve">The ECB keeps rates unchanged at 2.00% and declares Eurozone inflation “back to target”.</w:t>
      </w:r>
      <w:r>
        <w:t xml:space="preserve"> </w:t>
      </w:r>
      <w:r>
        <w:rPr>
          <w:i/>
          <w:iCs/>
        </w:rPr>
        <w:t xml:space="preserve">Event:</w:t>
      </w:r>
      <w:r>
        <w:t xml:space="preserve"> </w:t>
      </w:r>
      <w:r>
        <w:t xml:space="preserve">New staff forecasts show 2025 CPI at 2.2%, 2026 at ~2%. Lagarde signals no cuts yet, but an extended pause.</w:t>
      </w:r>
      <w:r>
        <w:t xml:space="preserve"> </w:t>
      </w:r>
      <w:r>
        <w:rPr>
          <w:i/>
          <w:iCs/>
        </w:rPr>
        <w:t xml:space="preserve">Market Reaction:</w:t>
      </w:r>
      <w:r>
        <w:t xml:space="preserve"> </w:t>
      </w:r>
      <w:r>
        <w:t xml:space="preserve">Minimal immediate reaction; however, the</w:t>
      </w:r>
      <w:r>
        <w:t xml:space="preserve"> </w:t>
      </w:r>
      <w:r>
        <w:rPr>
          <w:b/>
          <w:bCs/>
        </w:rPr>
        <w:t xml:space="preserve">euro rallies</w:t>
      </w:r>
      <w:r>
        <w:t xml:space="preserve"> </w:t>
      </w:r>
      <w:r>
        <w:t xml:space="preserve">in subsequent days to ~1.175 (as markets interpret ECB might hold rates higher for longer than Fed). European equities hold steady near highs. European bonds little moved; yield curve very slightly steepens (as rate cut bets push out).</w:t>
      </w:r>
      <w:r>
        <w:t xml:space="preserve"> </w:t>
      </w:r>
      <w:r>
        <w:rPr>
          <w:i/>
          <w:iCs/>
        </w:rPr>
        <w:t xml:space="preserve">Why it Mattered:</w:t>
      </w:r>
      <w:r>
        <w:t xml:space="preserve"> </w:t>
      </w:r>
      <w:r>
        <w:t xml:space="preserve">It confirmed that the Eurozone had achieved a soft landing with inflation tamed – a remarkable turnaround from double-digit CPI a year prior. This boosted confidence in Euro assets and locked in the narrative of ECB-Fed divergence (with Fed easing while ECB stands pat), supporting euro strength. It effectively closed the book on Europe’s inflation crisis era, shifting focus to growth and fiscal issues for 2026.</w:t>
      </w:r>
    </w:p>
    <w:p>
      <w:pPr>
        <w:numPr>
          <w:ilvl w:val="0"/>
          <w:numId w:val="1008"/>
        </w:numPr>
      </w:pPr>
      <w:r>
        <w:rPr>
          <w:b/>
          <w:bCs/>
        </w:rPr>
        <w:t xml:space="preserve">Dec 31, 2025 – Year-End Market Close:</w:t>
      </w:r>
      <w:r>
        <w:t xml:space="preserve"> </w:t>
      </w:r>
      <w:r>
        <w:t xml:space="preserve">Markets wrap up a stellar year.</w:t>
      </w:r>
      <w:r>
        <w:t xml:space="preserve"> </w:t>
      </w:r>
      <w:r>
        <w:rPr>
          <w:i/>
          <w:iCs/>
        </w:rPr>
        <w:t xml:space="preserve">Event:</w:t>
      </w:r>
      <w:r>
        <w:t xml:space="preserve"> </w:t>
      </w:r>
      <w:r>
        <w:t xml:space="preserve">On the final trading day, the S&amp;P 500 closes around 6,845</w:t>
      </w:r>
      <w:hyperlink r:id="rId24">
        <w:r>
          <w:rPr>
            <w:rStyle w:val="Hyperlink"/>
          </w:rPr>
          <w:t xml:space="preserve">[2]</w:t>
        </w:r>
      </w:hyperlink>
      <w:r>
        <w:t xml:space="preserve">, up ~19% for 2025. The Nasdaq ends just below 23,250</w:t>
      </w:r>
      <w:hyperlink r:id="rId24">
        <w:r>
          <w:rPr>
            <w:rStyle w:val="Hyperlink"/>
          </w:rPr>
          <w:t xml:space="preserve">[2]</w:t>
        </w:r>
      </w:hyperlink>
      <w:r>
        <w:t xml:space="preserve">, +14%. The MSCI All-Country World Index finishes at record high ~1,015. Oil (WTI) closes near $57, gold at ~$4,300, Bitcoin ~$88k. However, thin holiday trading sees minor profit-taking – precious metals dip (gold –0.8%, silver –7% on Dec 31 as some close positions), and U.S. equities tick down &lt;1% on the day.</w:t>
      </w:r>
      <w:r>
        <w:t xml:space="preserve"> </w:t>
      </w:r>
      <w:r>
        <w:rPr>
          <w:i/>
          <w:iCs/>
        </w:rPr>
        <w:t xml:space="preserve">Market Reaction:</w:t>
      </w:r>
      <w:r>
        <w:t xml:space="preserve"> </w:t>
      </w:r>
      <w:r>
        <w:t xml:space="preserve">(Not applicable beyond closing prices.)</w:t>
      </w:r>
      <w:r>
        <w:t xml:space="preserve"> </w:t>
      </w:r>
      <w:r>
        <w:rPr>
          <w:i/>
          <w:iCs/>
        </w:rPr>
        <w:t xml:space="preserve">Why it Mattered:</w:t>
      </w:r>
      <w:r>
        <w:t xml:space="preserve"> </w:t>
      </w:r>
      <w:r>
        <w:t xml:space="preserve">It was the capstone to an extraordinary year:</w:t>
      </w:r>
      <w:r>
        <w:t xml:space="preserve"> </w:t>
      </w:r>
      <w:r>
        <w:rPr>
          <w:b/>
          <w:bCs/>
        </w:rPr>
        <w:t xml:space="preserve">2025 was the first year since 2019 that all major asset classes delivered positive returns</w:t>
      </w:r>
      <w:r>
        <w:t xml:space="preserve">. Senior traders noted that “it’s hard to find an asset class that did poorly outside the USD”. The year’s end prompted reflections on mean reversion (with U.S. lagging, others leading) and on volatility’s decline. Many positioned for 2026 with the key takeaways of 2025 in mind – particularly that</w:t>
      </w:r>
      <w:r>
        <w:t xml:space="preserve"> </w:t>
      </w:r>
      <w:r>
        <w:rPr>
          <w:i/>
          <w:iCs/>
        </w:rPr>
        <w:t xml:space="preserve">policy can pivot and change the game</w:t>
      </w:r>
      <w:r>
        <w:t xml:space="preserve">, and that</w:t>
      </w:r>
      <w:r>
        <w:t xml:space="preserve"> </w:t>
      </w:r>
      <w:r>
        <w:rPr>
          <w:i/>
          <w:iCs/>
        </w:rPr>
        <w:t xml:space="preserve">geopolitical/financial shocks can be overcome by resilient economies and central bank support</w:t>
      </w:r>
      <w:r>
        <w:t xml:space="preserve">. It set an optimistic tone but also one of caution: valuations were higher and tail risks (trade war, geopolitics) still unresolved going into 2026, meaning the events of 2025 would heavily inform risk management and scenario planning for the year ahead.</w:t>
      </w:r>
    </w:p>
    <w:p>
      <w:pPr>
        <w:pStyle w:val="FirstParagraph"/>
      </w:pPr>
      <w:r>
        <w:rPr>
          <w:b/>
          <w:bCs/>
        </w:rPr>
        <w:t xml:space="preserve">What mattered for positioning:</w:t>
      </w:r>
      <w:r>
        <w:t xml:space="preserve"> </w:t>
      </w:r>
      <w:r>
        <w:t xml:space="preserve">Traders and portfolio managers who navigated 2025’s event timeline successfully often did so by</w:t>
      </w:r>
      <w:r>
        <w:t xml:space="preserve"> </w:t>
      </w:r>
      <w:r>
        <w:rPr>
          <w:i/>
          <w:iCs/>
        </w:rPr>
        <w:t xml:space="preserve">reacting quickly and staying disciplined around key dates</w:t>
      </w:r>
      <w:r>
        <w:t xml:space="preserve">. For example, those who trimmed risk ahead of the April 2 tariff announcement (or had hedges on) were able to avoid losses and even add risk at the lows – turning a potential hit into an opportunity. The timeline underlines the value of</w:t>
      </w:r>
      <w:r>
        <w:t xml:space="preserve"> </w:t>
      </w:r>
      <w:r>
        <w:rPr>
          <w:b/>
          <w:bCs/>
        </w:rPr>
        <w:t xml:space="preserve">event risk hedging</w:t>
      </w:r>
      <w:r>
        <w:t xml:space="preserve">: buying options or safe havens before known event dates (Fed meetings, tariff deadlines, elections) proved prudent. Conversely, fading short-lived shocks (like buying after April’s crash or October’s tariff scare) yielded strong returns, reinforcing a “buy the dip” approach in an otherwise bullish regime. Knowing when to pivot is key – e.g. once the tariff was delayed on Apr 9, it was a green light to re-enter longs. The timeline also highlights the importance of</w:t>
      </w:r>
      <w:r>
        <w:t xml:space="preserve"> </w:t>
      </w:r>
      <w:r>
        <w:rPr>
          <w:b/>
          <w:bCs/>
        </w:rPr>
        <w:t xml:space="preserve">global perspective</w:t>
      </w:r>
      <w:r>
        <w:t xml:space="preserve">: events like China’s stimulus (Aug) or the ECB’s moves significantly impacted global portfolios (EM assets, FX). A narrow U.S.-centric view would miss these cues. Thus, positioning benefitted from keeping tabs on all major central banks and policy shifts. Also,</w:t>
      </w:r>
      <w:r>
        <w:t xml:space="preserve"> </w:t>
      </w:r>
      <w:r>
        <w:rPr>
          <w:i/>
          <w:iCs/>
        </w:rPr>
        <w:t xml:space="preserve">planning around government/legislative deadlines</w:t>
      </w:r>
      <w:r>
        <w:t xml:space="preserve"> </w:t>
      </w:r>
      <w:r>
        <w:t xml:space="preserve">(debt ceiling, shutdown) is vital – some managers avoided T-bills that would mature during a potential debt limit breach or kept extra cash during the shutdown to handle any liquidity issues. The year’s end events (ECB success on inflation, year-end rallies) taught that</w:t>
      </w:r>
      <w:r>
        <w:t xml:space="preserve"> </w:t>
      </w:r>
      <w:r>
        <w:rPr>
          <w:i/>
          <w:iCs/>
        </w:rPr>
        <w:t xml:space="preserve">sometimes letting winners run</w:t>
      </w:r>
      <w:r>
        <w:t xml:space="preserve"> </w:t>
      </w:r>
      <w:r>
        <w:t xml:space="preserve">was correct, but by Dec it was time to rebalance given stretched sentiment (e.g. some took profits on gold/silver as the year closed with parabolic moves). In summary, being proactive around events – hedging tail risks but also seizing opportunities when narrative overshoots reality – was crucial.</w:t>
      </w:r>
    </w:p>
    <w:p>
      <w:pPr>
        <w:pStyle w:val="BodyText"/>
      </w:pPr>
      <w:r>
        <w:rPr>
          <w:b/>
          <w:bCs/>
        </w:rPr>
        <w:t xml:space="preserve">Key lessons for 2026 from the timeline:</w:t>
      </w:r>
      <w:r>
        <w:t xml:space="preserve"> </w:t>
      </w:r>
      <w:r>
        <w:rPr>
          <w:b/>
          <w:bCs/>
        </w:rPr>
        <w:t xml:space="preserve">(1)</w:t>
      </w:r>
      <w:r>
        <w:t xml:space="preserve"> </w:t>
      </w:r>
      <w:r>
        <w:rPr>
          <w:i/>
          <w:iCs/>
        </w:rPr>
        <w:t xml:space="preserve">Policy shocks are double-edged:</w:t>
      </w:r>
      <w:r>
        <w:t xml:space="preserve"> </w:t>
      </w:r>
      <w:r>
        <w:t xml:space="preserve">They can cause sharp sell-offs, but if navigated, they often reverse or get mitigated – as seen with tariffs and shutdown resolution. So, expect volatility around political events and prepare both defenses and offenses (hedges and buy-the-dip plans).</w:t>
      </w:r>
      <w:r>
        <w:t xml:space="preserve"> </w:t>
      </w:r>
      <w:r>
        <w:rPr>
          <w:b/>
          <w:bCs/>
        </w:rPr>
        <w:t xml:space="preserve">(2)</w:t>
      </w:r>
      <w:r>
        <w:t xml:space="preserve"> </w:t>
      </w:r>
      <w:r>
        <w:rPr>
          <w:i/>
          <w:iCs/>
        </w:rPr>
        <w:t xml:space="preserve">Central banks still have markets’ back:</w:t>
      </w:r>
      <w:r>
        <w:t xml:space="preserve"> </w:t>
      </w:r>
      <w:r>
        <w:t xml:space="preserve">The Fed’s and ECB’s actions stabilized markets in 2025; heading into 2026, policy remains a key influence. One should watch central bank calendars and guidance closely – a re-hawkish turn could be as impactful as the dovish turn was this year.</w:t>
      </w:r>
      <w:r>
        <w:t xml:space="preserve"> </w:t>
      </w:r>
      <w:r>
        <w:rPr>
          <w:b/>
          <w:bCs/>
        </w:rPr>
        <w:t xml:space="preserve">(3)</w:t>
      </w:r>
      <w:r>
        <w:t xml:space="preserve"> </w:t>
      </w:r>
      <w:r>
        <w:rPr>
          <w:i/>
          <w:iCs/>
        </w:rPr>
        <w:t xml:space="preserve">Geopolitics and macro data surprises will continue:</w:t>
      </w:r>
      <w:r>
        <w:t xml:space="preserve"> </w:t>
      </w:r>
      <w:r>
        <w:t xml:space="preserve">2025’s pattern likely persists – e.g. Chinese policy moves, European unity actions, and unpredictable events (who foresaw 100% tariffs or a US president seizing a foreign leader as Reuters noted for early 2026?). Thus, maintain</w:t>
      </w:r>
      <w:r>
        <w:t xml:space="preserve"> </w:t>
      </w:r>
      <w:r>
        <w:rPr>
          <w:i/>
          <w:iCs/>
        </w:rPr>
        <w:t xml:space="preserve">agility</w:t>
      </w:r>
      <w:r>
        <w:t xml:space="preserve"> </w:t>
      </w:r>
      <w:r>
        <w:t xml:space="preserve">in positioning – don’t be overleveraged or one-way; have the capacity to pivot when events occur.</w:t>
      </w:r>
      <w:r>
        <w:t xml:space="preserve"> </w:t>
      </w:r>
      <w:r>
        <w:rPr>
          <w:b/>
          <w:bCs/>
        </w:rPr>
        <w:t xml:space="preserve">(4)</w:t>
      </w:r>
      <w:r>
        <w:t xml:space="preserve"> </w:t>
      </w:r>
      <w:r>
        <w:rPr>
          <w:i/>
          <w:iCs/>
        </w:rPr>
        <w:t xml:space="preserve">Diversify and monitor correlations:</w:t>
      </w:r>
      <w:r>
        <w:t xml:space="preserve"> </w:t>
      </w:r>
      <w:r>
        <w:t xml:space="preserve">Different events affected different asset classes (tariffs hit stocks and crypto, helped bonds; oil oversupply hurt commodities but helped inflation). A balanced portfolio weathered these events better. Plan for cross-asset shock scenarios (e.g. what if conflict in Middle East spikes oil? Or conversely, what if peace in Ukraine crashes gold?). 2025 showed a range of outcomes is possible – 2026 planning should incorporate similar breadth of scenario triggers.</w:t>
      </w:r>
    </w:p>
    <w:p>
      <w:r>
        <w:pict>
          <v:rect style="width:0;height:1.5pt" o:hralign="center" o:hrstd="t" o:hr="t"/>
        </w:pict>
      </w:r>
    </w:p>
    <w:bookmarkEnd w:id="45"/>
    <w:bookmarkStart w:id="53" w:name="Xb3a147a78f41cf61d17ad09da2af24b5ab5d468"/>
    <w:p>
      <w:pPr>
        <w:pStyle w:val="Heading2"/>
      </w:pPr>
      <w:r>
        <w:t xml:space="preserve">F. Deep Dives (Select Most Important 6–10 Themes)</w:t>
      </w:r>
    </w:p>
    <w:p>
      <w:pPr>
        <w:pStyle w:val="FirstParagraph"/>
      </w:pPr>
      <w:r>
        <w:t xml:space="preserve">In this section, we conduct deep dives into</w:t>
      </w:r>
      <w:r>
        <w:t xml:space="preserve"> </w:t>
      </w:r>
      <w:r>
        <w:rPr>
          <w:b/>
          <w:bCs/>
        </w:rPr>
        <w:t xml:space="preserve">8 pivotal themes of 2025</w:t>
      </w:r>
      <w:r>
        <w:t xml:space="preserve">, analyzing how consensus expectations at the start of the year compared to reality, what data and market responses showed, the second-order effects, and lessons these episodes hold for 2026. Each deep dive focuses on a crucial aspect of 2025’s cross-asset story, providing an evidence-based narrative and key takeaways.</w:t>
      </w:r>
    </w:p>
    <w:bookmarkStart w:id="46" w:name="X8f370040c7cea2a2276a3fbc70e3c2eece97da1"/>
    <w:p>
      <w:pPr>
        <w:pStyle w:val="Heading3"/>
      </w:pPr>
      <w:r>
        <w:rPr>
          <w:b/>
          <w:bCs/>
        </w:rPr>
        <w:t xml:space="preserve">1. U.S.–China Trade War 2.0 – From Tariff Shocks to Trade Diversification</w:t>
      </w:r>
    </w:p>
    <w:p>
      <w:pPr>
        <w:pStyle w:val="FirstParagraph"/>
      </w:pPr>
      <w:r>
        <w:rPr>
          <w:b/>
          <w:bCs/>
        </w:rPr>
        <w:t xml:space="preserve">Start-of-Year Consensus:</w:t>
      </w:r>
      <w:r>
        <w:t xml:space="preserve"> </w:t>
      </w:r>
      <w:r>
        <w:t xml:space="preserve">Coming into 2025, most market participants expected</w:t>
      </w:r>
      <w:r>
        <w:t xml:space="preserve"> </w:t>
      </w:r>
      <w:r>
        <w:rPr>
          <w:i/>
          <w:iCs/>
        </w:rPr>
        <w:t xml:space="preserve">some</w:t>
      </w:r>
      <w:r>
        <w:t xml:space="preserve"> </w:t>
      </w:r>
      <w:r>
        <w:t xml:space="preserve">U.S.–China trade frictions but not an all-out escalation. The consensus assumed that with inflation still high and supply chains fragile, the new U.S. administration would be cautious in raising tariffs further. Many forecasters (sell-side research, multinational CEOs) anticipated</w:t>
      </w:r>
      <w:r>
        <w:t xml:space="preserve"> </w:t>
      </w:r>
      <w:r>
        <w:rPr>
          <w:b/>
          <w:bCs/>
        </w:rPr>
        <w:t xml:space="preserve">status quo or mild easing of tariffs</w:t>
      </w:r>
      <w:r>
        <w:t xml:space="preserve"> </w:t>
      </w:r>
      <w:r>
        <w:t xml:space="preserve">as the logical path, perhaps in exchange for China meeting Phase 1 trade deal targets. In other words, a controlled rivalry but with ongoing negotiations. Equities had not significantly priced in a trade war: manufacturing and tech stocks were not heavily discounted for tariff risk in Jan.</w:t>
      </w:r>
    </w:p>
    <w:p>
      <w:pPr>
        <w:pStyle w:val="BodyText"/>
      </w:pPr>
      <w:r>
        <w:rPr>
          <w:b/>
          <w:bCs/>
        </w:rPr>
        <w:t xml:space="preserve">What Actually Happened:</w:t>
      </w:r>
      <w:r>
        <w:t xml:space="preserve"> </w:t>
      </w:r>
      <w:r>
        <w:t xml:space="preserve">Reality far overshot expectations –</w:t>
      </w:r>
      <w:r>
        <w:t xml:space="preserve"> </w:t>
      </w:r>
      <w:r>
        <w:rPr>
          <w:b/>
          <w:bCs/>
        </w:rPr>
        <w:t xml:space="preserve">the trade war dramatically escalated</w:t>
      </w:r>
      <w:r>
        <w:t xml:space="preserve">. President Trump, fulfilling campaign rhetoric, unleashed a sequence of tariff actions far beyond consensus: first, the April 2 tariff hike to 25% on ~$300B of Chinese goods (essentially everything not already tariffed); then the October shocker – announcing 100% tariffs effective Jan 2026. This represented the most extreme use of tariffs since the 1930 Smoot-Hawley Act (indeed the JPMorgan review explicitly compared it to 1930s levels). Markets and businesses were caught off-guard – it was a</w:t>
      </w:r>
      <w:r>
        <w:t xml:space="preserve"> </w:t>
      </w:r>
      <w:r>
        <w:rPr>
          <w:b/>
          <w:bCs/>
        </w:rPr>
        <w:t xml:space="preserve">tail risk event realized</w:t>
      </w:r>
      <w:r>
        <w:t xml:space="preserve">. Factually, the April tariffs were partially delayed, and the 100% tariff was never fully implemented (pending negotiations stretched into early 2026), but by late 2025 the damage – and adaptation – was done.</w:t>
      </w:r>
    </w:p>
    <w:p>
      <w:pPr>
        <w:pStyle w:val="BodyText"/>
      </w:pPr>
      <w:r>
        <w:rPr>
          <w:b/>
          <w:bCs/>
        </w:rPr>
        <w:t xml:space="preserve">Data Evidence:</w:t>
      </w:r>
      <w:r>
        <w:t xml:space="preserve"> </w:t>
      </w:r>
      <w:r>
        <w:t xml:space="preserve">The impact of these trade measures showed up in several areas:</w:t>
      </w:r>
    </w:p>
    <w:p>
      <w:pPr>
        <w:numPr>
          <w:ilvl w:val="0"/>
          <w:numId w:val="1009"/>
        </w:numPr>
      </w:pPr>
      <w:r>
        <w:rPr>
          <w:b/>
          <w:bCs/>
        </w:rPr>
        <w:t xml:space="preserve">Trade Volumes:</w:t>
      </w:r>
      <w:r>
        <w:t xml:space="preserve"> </w:t>
      </w:r>
      <w:r>
        <w:t xml:space="preserve">U.S.–China trade contracted sharply. By Q4,</w:t>
      </w:r>
      <w:r>
        <w:t xml:space="preserve"> </w:t>
      </w:r>
      <w:r>
        <w:rPr>
          <w:b/>
          <w:bCs/>
        </w:rPr>
        <w:t xml:space="preserve">U.S. imports from China were down ~20% YoY</w:t>
      </w:r>
      <w:r>
        <w:t xml:space="preserve"> </w:t>
      </w:r>
      <w:r>
        <w:t xml:space="preserve">(in volume) as tariffs bit, per Customs data. Chinese exports overall slowed mid-year, though they diversified destinations (ASEAN, Middle East). Interestingly,</w:t>
      </w:r>
      <w:r>
        <w:t xml:space="preserve"> </w:t>
      </w:r>
      <w:r>
        <w:rPr>
          <w:b/>
          <w:bCs/>
        </w:rPr>
        <w:t xml:space="preserve">U.S. imports from Mexico, Vietnam, and other Asia ex-China rose double digits</w:t>
      </w:r>
      <w:r>
        <w:t xml:space="preserve">, indicating a diversion of supply chains (companies sourcing elsewhere to avoid tariffs – evidence of</w:t>
      </w:r>
      <w:r>
        <w:t xml:space="preserve"> </w:t>
      </w:r>
      <w:r>
        <w:rPr>
          <w:i/>
          <w:iCs/>
        </w:rPr>
        <w:t xml:space="preserve">trade diversion</w:t>
      </w:r>
      <w:r>
        <w:t xml:space="preserve">). The U.S. trade deficit with China shrank, but deficits with others widened – confirming that U.S. demand didn’t drop as much as sourcing shifted.</w:t>
      </w:r>
    </w:p>
    <w:p>
      <w:pPr>
        <w:numPr>
          <w:ilvl w:val="0"/>
          <w:numId w:val="1009"/>
        </w:numPr>
      </w:pPr>
      <w:r>
        <w:rPr>
          <w:b/>
          <w:bCs/>
        </w:rPr>
        <w:t xml:space="preserve">Inflation and Prices:</w:t>
      </w:r>
      <w:r>
        <w:t xml:space="preserve"> </w:t>
      </w:r>
      <w:r>
        <w:t xml:space="preserve">A major fear was that tariffs would reignite inflation via higher import prices. However, CPI data showed</w:t>
      </w:r>
      <w:r>
        <w:t xml:space="preserve"> </w:t>
      </w:r>
      <w:r>
        <w:rPr>
          <w:b/>
          <w:bCs/>
        </w:rPr>
        <w:t xml:space="preserve">minimal direct inflationary impact</w:t>
      </w:r>
      <w:r>
        <w:t xml:space="preserve">. For instance,</w:t>
      </w:r>
      <w:r>
        <w:t xml:space="preserve"> </w:t>
      </w:r>
      <w:r>
        <w:rPr>
          <w:b/>
          <w:bCs/>
        </w:rPr>
        <w:t xml:space="preserve">core goods CPI</w:t>
      </w:r>
      <w:r>
        <w:t xml:space="preserve"> </w:t>
      </w:r>
      <w:r>
        <w:t xml:space="preserve">– which would reflect consumer import costs – continued to disinflate through 2025 (from ~3% YoY in Jan to ~0% by Dec). Why? Corporations opted to</w:t>
      </w:r>
      <w:r>
        <w:t xml:space="preserve"> </w:t>
      </w:r>
      <w:r>
        <w:rPr>
          <w:b/>
          <w:bCs/>
        </w:rPr>
        <w:t xml:space="preserve">absorb costs or reroute supply</w:t>
      </w:r>
      <w:r>
        <w:t xml:space="preserve"> </w:t>
      </w:r>
      <w:r>
        <w:t xml:space="preserve">rather than fully passing tariffs to consumers. Walmart and other retailers publicly said they negotiated lower prices with suppliers or shifted to tariff-free sources. The JPMorgan report noted “fears of a tariff-driven price spike similar to 2022 proved unfounded”. So,</w:t>
      </w:r>
      <w:r>
        <w:t xml:space="preserve"> </w:t>
      </w:r>
      <w:r>
        <w:rPr>
          <w:i/>
          <w:iCs/>
        </w:rPr>
        <w:t xml:space="preserve">fact:</w:t>
      </w:r>
      <w:r>
        <w:t xml:space="preserve"> </w:t>
      </w:r>
      <w:r>
        <w:t xml:space="preserve">no second inflation spike occurred – one of the reasons the Fed felt comfortable cutting rates.</w:t>
      </w:r>
    </w:p>
    <w:p>
      <w:pPr>
        <w:numPr>
          <w:ilvl w:val="0"/>
          <w:numId w:val="1009"/>
        </w:numPr>
      </w:pPr>
      <w:r>
        <w:rPr>
          <w:b/>
          <w:bCs/>
        </w:rPr>
        <w:t xml:space="preserve">Corporate Earnings and Behavior:</w:t>
      </w:r>
      <w:r>
        <w:t xml:space="preserve"> </w:t>
      </w:r>
      <w:r>
        <w:t xml:space="preserve">Sectors exposed to China (tech hardware, machinery, apparel) initially took earnings hits or issued warnings. E.g., a major U.S. sportswear company in Q2 cited tariffs as a 2% margin headwind. However, many companies also moved quickly to</w:t>
      </w:r>
      <w:r>
        <w:t xml:space="preserve"> </w:t>
      </w:r>
      <w:r>
        <w:rPr>
          <w:i/>
          <w:iCs/>
        </w:rPr>
        <w:t xml:space="preserve">adapt their supply chains</w:t>
      </w:r>
      <w:r>
        <w:t xml:space="preserve">. We saw a continuation of the trend of “China + 1” sourcing – manufacturing orders shifted to Vietnam, India, Mexico.</w:t>
      </w:r>
      <w:r>
        <w:t xml:space="preserve"> </w:t>
      </w:r>
      <w:r>
        <w:rPr>
          <w:b/>
          <w:bCs/>
        </w:rPr>
        <w:t xml:space="preserve">Capital expenditure</w:t>
      </w:r>
      <w:r>
        <w:t xml:space="preserve"> </w:t>
      </w:r>
      <w:r>
        <w:t xml:space="preserve">data: U.S. manufacturing construction spending was up ~15% (annualized) in 2025, partly boosted by reshoring and friendshoring efforts (though also by IRA and CHIPS Act incentives). Onshoring and diversifying supply chains became C-suite priorities. By late 2025,</w:t>
      </w:r>
      <w:r>
        <w:t xml:space="preserve"> </w:t>
      </w:r>
      <w:r>
        <w:rPr>
          <w:b/>
          <w:bCs/>
        </w:rPr>
        <w:t xml:space="preserve">China’s share of U.S. imports hit its lowest in 15+ years</w:t>
      </w:r>
      <w:r>
        <w:t xml:space="preserve">, while Mexico’s share hit a record high (around 15% of U.S. imports, nearly closing in on China’s ~16%). This structural shift is clearly evidenced in trade stats (the SeekingAlpha insight noted portfolios underweight international, i.e. favoring domestic or non-China, fared better).</w:t>
      </w:r>
    </w:p>
    <w:p>
      <w:pPr>
        <w:numPr>
          <w:ilvl w:val="0"/>
          <w:numId w:val="1009"/>
        </w:numPr>
      </w:pPr>
      <w:r>
        <w:rPr>
          <w:b/>
          <w:bCs/>
        </w:rPr>
        <w:t xml:space="preserve">Market Response:</w:t>
      </w:r>
      <w:r>
        <w:t xml:space="preserve"> </w:t>
      </w:r>
      <w:r>
        <w:t xml:space="preserve">The immediate market response to tariff announcements was covered in Section E: big equity drops (S&amp;P –6% in days)</w:t>
      </w:r>
      <w:hyperlink r:id="rId21">
        <w:r>
          <w:rPr>
            <w:rStyle w:val="Hyperlink"/>
          </w:rPr>
          <w:t xml:space="preserve">[1]</w:t>
        </w:r>
      </w:hyperlink>
      <w:r>
        <w:t xml:space="preserve">, volatility surge, and a rush into bonds and gold. Tariff-sensitive stocks (e.g. semiconductor companies reliant on China, retail chains importing goods) significantly underperformed initially. For example, the Philadelphia Semiconductor Index fell ~–12% in the two weeks after April 2. The Chinese yuan’s sharp weakening to 7.34 (6% depreciation from pre-tariff level) was a sign of stress and a partial offset to tariffs (cheaper yuan blunted cost increase). Notably,</w:t>
      </w:r>
      <w:r>
        <w:t xml:space="preserve"> </w:t>
      </w:r>
      <w:r>
        <w:rPr>
          <w:b/>
          <w:bCs/>
        </w:rPr>
        <w:t xml:space="preserve">emerging market equities proved resilient</w:t>
      </w:r>
      <w:r>
        <w:t xml:space="preserve"> </w:t>
      </w:r>
      <w:r>
        <w:t xml:space="preserve">after an initial wobble: by year-end, MSCI EM was up strongly. Why? Because countries like Mexico, Korea, Taiwan actually</w:t>
      </w:r>
      <w:r>
        <w:t xml:space="preserve"> </w:t>
      </w:r>
      <w:r>
        <w:rPr>
          <w:i/>
          <w:iCs/>
        </w:rPr>
        <w:t xml:space="preserve">benefited</w:t>
      </w:r>
      <w:r>
        <w:t xml:space="preserve"> </w:t>
      </w:r>
      <w:r>
        <w:t xml:space="preserve">from supply chain shifts and AI-related trade that bypassed China. In fact, JPMorgan’s review highlighted that EM equities outperformed and “China’s exports were resilient despite US tariffs, thanks to efforts to diversify trade relationships”.</w:t>
      </w:r>
    </w:p>
    <w:p>
      <w:pPr>
        <w:pStyle w:val="FirstParagraph"/>
      </w:pPr>
      <w:r>
        <w:rPr>
          <w:b/>
          <w:bCs/>
        </w:rPr>
        <w:t xml:space="preserve">Second-Order and Spillover Effects:</w:t>
      </w:r>
      <w:r>
        <w:t xml:space="preserve"> </w:t>
      </w:r>
      <w:r>
        <w:t xml:space="preserve">The trade war escalation had numerous ripple effects:</w:t>
      </w:r>
      <w:r>
        <w:t xml:space="preserve"> </w:t>
      </w:r>
      <w:r>
        <w:t xml:space="preserve">-</w:t>
      </w:r>
      <w:r>
        <w:t xml:space="preserve"> </w:t>
      </w:r>
      <w:r>
        <w:rPr>
          <w:b/>
          <w:bCs/>
        </w:rPr>
        <w:t xml:space="preserve">Diplomacy and Alliances:</w:t>
      </w:r>
      <w:r>
        <w:t xml:space="preserve"> </w:t>
      </w:r>
      <w:r>
        <w:t xml:space="preserve">The U.S.–China rift accelerated</w:t>
      </w:r>
      <w:r>
        <w:t xml:space="preserve"> </w:t>
      </w:r>
      <w:r>
        <w:rPr>
          <w:b/>
          <w:bCs/>
        </w:rPr>
        <w:t xml:space="preserve">geopolitical realignments</w:t>
      </w:r>
      <w:r>
        <w:t xml:space="preserve">. China leaned more on friendly nations (Brazil, Gulf states) for trade. The U.S. strengthened trade ties with allies – e.g., a new Indo-Pacific trade framework was quietly fast-tracked to reduce reliance on China. Tariffs also hurt some U.S. allies indirectly (European luxury goods demand from China fell as Chinese consumer confidence was dented).</w:t>
      </w:r>
      <w:r>
        <w:t xml:space="preserve"> </w:t>
      </w:r>
      <w:r>
        <w:t xml:space="preserve">-</w:t>
      </w:r>
      <w:r>
        <w:t xml:space="preserve"> </w:t>
      </w:r>
      <w:r>
        <w:rPr>
          <w:b/>
          <w:bCs/>
        </w:rPr>
        <w:t xml:space="preserve">Corporate Strategy:</w:t>
      </w:r>
      <w:r>
        <w:t xml:space="preserve"> </w:t>
      </w:r>
      <w:r>
        <w:t xml:space="preserve">Companies across sectors</w:t>
      </w:r>
      <w:r>
        <w:t xml:space="preserve"> </w:t>
      </w:r>
      <w:r>
        <w:rPr>
          <w:b/>
          <w:bCs/>
        </w:rPr>
        <w:t xml:space="preserve">redrew their supply chain maps</w:t>
      </w:r>
      <w:r>
        <w:t xml:space="preserve">. We saw the phrase</w:t>
      </w:r>
      <w:r>
        <w:t xml:space="preserve"> </w:t>
      </w:r>
      <w:r>
        <w:rPr>
          <w:i/>
          <w:iCs/>
        </w:rPr>
        <w:t xml:space="preserve">“accelerated decoupling”</w:t>
      </w:r>
      <w:r>
        <w:t xml:space="preserve"> </w:t>
      </w:r>
      <w:r>
        <w:t xml:space="preserve">become a theme in earnings calls. Tech companies started to locate more assembly in Taiwan/Vietnam, auto parts makers shifted to Mexico, etc. Over time this diversification could improve supply chain resilience but in the short run involved costs (duplicative investments).</w:t>
      </w:r>
      <w:r>
        <w:t xml:space="preserve"> </w:t>
      </w:r>
      <w:r>
        <w:t xml:space="preserve">-</w:t>
      </w:r>
      <w:r>
        <w:t xml:space="preserve"> </w:t>
      </w:r>
      <w:r>
        <w:rPr>
          <w:b/>
          <w:bCs/>
        </w:rPr>
        <w:t xml:space="preserve">China’s Economy:</w:t>
      </w:r>
      <w:r>
        <w:t xml:space="preserve"> </w:t>
      </w:r>
      <w:r>
        <w:t xml:space="preserve">Tariffs contributed to China’s already-slowing economy early in the year – export industries in Guangdong reported layoffs in Q2. This partially pushed Beijing towards the August stimulus. The combination of tariffs and China’s internal issues meant by year-end, Chinese policymakers were emphasizing domestic consumption and pivoting slightly more open to foreign business to offset lost U.S. trade.</w:t>
      </w:r>
      <w:r>
        <w:t xml:space="preserve"> </w:t>
      </w:r>
      <w:r>
        <w:t xml:space="preserve">-</w:t>
      </w:r>
      <w:r>
        <w:t xml:space="preserve"> </w:t>
      </w:r>
      <w:r>
        <w:rPr>
          <w:b/>
          <w:bCs/>
        </w:rPr>
        <w:t xml:space="preserve">Financial Market Decoupling:</w:t>
      </w:r>
      <w:r>
        <w:t xml:space="preserve"> </w:t>
      </w:r>
      <w:r>
        <w:t xml:space="preserve">U.S.–China financial flows also decoupled further. Chinese firms faced even tougher U.S. export controls (the U.S. cited security to justify certain 100% tariffs and banned some tech investments). Chinese equity ADRs underperformed early in 2025 but recovered when stimulus came. However, a tail risk emerged: fear of potential Chinese retaliation (like restricting rare earth exports or targeting U.S. companies in China). That scenario didn’t fully materialize beyond some minor export restrictions on graphite in October (which briefly spiked graphite-related stocks), but it kept some global investors cautious on China.</w:t>
      </w:r>
    </w:p>
    <w:p>
      <w:pPr>
        <w:pStyle w:val="BodyText"/>
      </w:pPr>
      <w:r>
        <w:rPr>
          <w:b/>
          <w:bCs/>
        </w:rPr>
        <w:t xml:space="preserve">Who Benefited / Who Suffered:</w:t>
      </w:r>
      <w:r>
        <w:t xml:space="preserve"> </w:t>
      </w:r>
      <w:r>
        <w:t xml:space="preserve">-</w:t>
      </w:r>
      <w:r>
        <w:t xml:space="preserve"> </w:t>
      </w:r>
      <w:r>
        <w:rPr>
          <w:i/>
          <w:iCs/>
        </w:rPr>
        <w:t xml:space="preserve">Beneficiaries:</w:t>
      </w:r>
      <w:r>
        <w:t xml:space="preserve"> </w:t>
      </w:r>
      <w:r>
        <w:rPr>
          <w:b/>
          <w:bCs/>
        </w:rPr>
        <w:t xml:space="preserve">Tariff-exempt countries</w:t>
      </w:r>
      <w:r>
        <w:t xml:space="preserve"> </w:t>
      </w:r>
      <w:r>
        <w:t xml:space="preserve">like Mexico, Vietnam, and other ASEAN nations – they gained export orders at China’s expense. Mexican equities (IPC index) outperformed, and the peso was one of the year’s strongest currencies</w:t>
      </w:r>
      <w:r>
        <w:br/>
      </w:r>
      <w:r>
        <w:t xml:space="preserve">.</w:t>
      </w:r>
      <w:r>
        <w:t xml:space="preserve"> </w:t>
      </w:r>
      <w:r>
        <w:rPr>
          <w:b/>
          <w:bCs/>
        </w:rPr>
        <w:t xml:space="preserve">U.S. domestic producers</w:t>
      </w:r>
      <w:r>
        <w:t xml:space="preserve"> </w:t>
      </w:r>
      <w:r>
        <w:t xml:space="preserve">in certain sectors (steel, furniture) saw a bit of relief from Chinese competition – e.g., U.S. steel prices rose mid-year as Chinese imports dropped, boosting U.S. steel mills’ margins.</w:t>
      </w:r>
      <w:r>
        <w:t xml:space="preserve"> </w:t>
      </w:r>
      <w:r>
        <w:rPr>
          <w:b/>
          <w:bCs/>
        </w:rPr>
        <w:t xml:space="preserve">Logistics and consulting firms</w:t>
      </w:r>
      <w:r>
        <w:t xml:space="preserve"> </w:t>
      </w:r>
      <w:r>
        <w:t xml:space="preserve">benefited as companies sought help rerouting supply chains. Interestingly,</w:t>
      </w:r>
      <w:r>
        <w:t xml:space="preserve"> </w:t>
      </w:r>
      <w:r>
        <w:rPr>
          <w:b/>
          <w:bCs/>
        </w:rPr>
        <w:t xml:space="preserve">AI and tech infrastructure</w:t>
      </w:r>
      <w:r>
        <w:t xml:space="preserve"> </w:t>
      </w:r>
      <w:r>
        <w:t xml:space="preserve">– though hit by export controls – saw some silver lining: the urgency to reduce China reliance spurred investment in domestic chip fabs (supported by CHIPS Act), benefiting semiconductor equipment firms.</w:t>
      </w:r>
      <w:r>
        <w:t xml:space="preserve"> </w:t>
      </w:r>
      <w:r>
        <w:t xml:space="preserve">-</w:t>
      </w:r>
      <w:r>
        <w:t xml:space="preserve"> </w:t>
      </w:r>
      <w:r>
        <w:rPr>
          <w:i/>
          <w:iCs/>
        </w:rPr>
        <w:t xml:space="preserve">Sufferers:</w:t>
      </w:r>
      <w:r>
        <w:t xml:space="preserve"> </w:t>
      </w:r>
      <w:r>
        <w:rPr>
          <w:b/>
          <w:bCs/>
        </w:rPr>
        <w:t xml:space="preserve">Chinese exporters and linked industries</w:t>
      </w:r>
      <w:r>
        <w:t xml:space="preserve"> </w:t>
      </w:r>
      <w:r>
        <w:t xml:space="preserve">clearly suffered – Chinese manufacturing PMI dipped below 50 in H1 (contraction) partly due to weak external demand.</w:t>
      </w:r>
      <w:r>
        <w:t xml:space="preserve"> </w:t>
      </w:r>
      <w:r>
        <w:rPr>
          <w:b/>
          <w:bCs/>
        </w:rPr>
        <w:t xml:space="preserve">U.S. importers/retailers</w:t>
      </w:r>
      <w:r>
        <w:t xml:space="preserve"> </w:t>
      </w:r>
      <w:r>
        <w:t xml:space="preserve">with heavy sourcing from China (big-box retailers, apparel brands) faced margin pressure; some, like a popular budget retailer, reported a 10% drop in quarterly profit citing tariff costs.</w:t>
      </w:r>
      <w:r>
        <w:t xml:space="preserve"> </w:t>
      </w:r>
      <w:r>
        <w:rPr>
          <w:b/>
          <w:bCs/>
        </w:rPr>
        <w:t xml:space="preserve">Global automakers</w:t>
      </w:r>
      <w:r>
        <w:t xml:space="preserve"> </w:t>
      </w:r>
      <w:r>
        <w:t xml:space="preserve">with integrated supply chains faced higher parts costs. Additionally,</w:t>
      </w:r>
      <w:r>
        <w:t xml:space="preserve"> </w:t>
      </w:r>
      <w:r>
        <w:rPr>
          <w:b/>
          <w:bCs/>
        </w:rPr>
        <w:t xml:space="preserve">farmers</w:t>
      </w:r>
      <w:r>
        <w:t xml:space="preserve"> </w:t>
      </w:r>
      <w:r>
        <w:t xml:space="preserve">got hit indirectly again: China maintained its retaliatory tariffs on U.S. agriculture, so U.S. soybean exports to China remained far below pre-trade-war levels, though farmers got by via sales to other countries (Brazil basically took China’s soybean market).</w:t>
      </w:r>
    </w:p>
    <w:p>
      <w:pPr>
        <w:pStyle w:val="BodyText"/>
      </w:pPr>
      <w:r>
        <w:rPr>
          <w:b/>
          <w:bCs/>
        </w:rPr>
        <w:t xml:space="preserve">Lessons for 2026:</w:t>
      </w:r>
      <w:r>
        <w:t xml:space="preserve"> </w:t>
      </w:r>
      <w:r>
        <w:t xml:space="preserve">The trade war of 2025 underscores</w:t>
      </w:r>
      <w:r>
        <w:t xml:space="preserve"> </w:t>
      </w:r>
      <w:r>
        <w:rPr>
          <w:b/>
          <w:bCs/>
        </w:rPr>
        <w:t xml:space="preserve">several key lessons</w:t>
      </w:r>
      <w:r>
        <w:t xml:space="preserve">.</w:t>
      </w:r>
      <w:r>
        <w:t xml:space="preserve"> </w:t>
      </w:r>
      <w:r>
        <w:t xml:space="preserve">1.</w:t>
      </w:r>
      <w:r>
        <w:t xml:space="preserve"> </w:t>
      </w:r>
      <w:r>
        <w:rPr>
          <w:b/>
          <w:bCs/>
        </w:rPr>
        <w:t xml:space="preserve">Policy Risk is Real and Unpredictable:</w:t>
      </w:r>
      <w:r>
        <w:t xml:space="preserve"> </w:t>
      </w:r>
      <w:r>
        <w:t xml:space="preserve">Markets must price in political tail risks – consensus complacency (“they won’t do something crazy”) was proven wrong. For 2026, one should hedge or at least scenario-plan for adverse policy moves (e.g. sanctions, export bans). The 100% tariff threat shows extremes can happen; similarly, one might envision other extreme measures (e.g. investment bans or even partial default in a debt standoff) as low-probability but not impossible.</w:t>
      </w:r>
      <w:r>
        <w:t xml:space="preserve"> </w:t>
      </w:r>
      <w:r>
        <w:t xml:space="preserve">2.</w:t>
      </w:r>
      <w:r>
        <w:t xml:space="preserve"> </w:t>
      </w:r>
      <w:r>
        <w:rPr>
          <w:b/>
          <w:bCs/>
        </w:rPr>
        <w:t xml:space="preserve">Supply Chain Diversification is Here to Stay:</w:t>
      </w:r>
      <w:r>
        <w:t xml:space="preserve"> </w:t>
      </w:r>
      <w:r>
        <w:t xml:space="preserve">Companies will continue diversifying in 2026. Investors may re-rate countries benefiting from this (e.g. sustained inflows to Mexican manufacturing, Indian tech assembly, etc.). It’s a structural trend likely to outlast the specific tariff level, which also means</w:t>
      </w:r>
      <w:r>
        <w:t xml:space="preserve"> </w:t>
      </w:r>
      <w:r>
        <w:rPr>
          <w:b/>
          <w:bCs/>
        </w:rPr>
        <w:t xml:space="preserve">long-term margin implications</w:t>
      </w:r>
      <w:r>
        <w:t xml:space="preserve"> </w:t>
      </w:r>
      <w:r>
        <w:t xml:space="preserve">– initially higher costs, but potentially more resilience.</w:t>
      </w:r>
      <w:r>
        <w:t xml:space="preserve"> </w:t>
      </w:r>
      <w:r>
        <w:t xml:space="preserve">3.</w:t>
      </w:r>
      <w:r>
        <w:t xml:space="preserve"> </w:t>
      </w:r>
      <w:r>
        <w:rPr>
          <w:b/>
          <w:bCs/>
        </w:rPr>
        <w:t xml:space="preserve">Markets Adapt – Don’t Overreact Permanently:</w:t>
      </w:r>
      <w:r>
        <w:t xml:space="preserve"> </w:t>
      </w:r>
      <w:r>
        <w:t xml:space="preserve">While the immediate reaction to tariffs was a selloff, the fact that markets rebounded and EM outperformed shows adaptation. For example, even if 100% tariffs had hit, by shifting sourcing, many businesses would find workarounds. As an investor, that means</w:t>
      </w:r>
      <w:r>
        <w:t xml:space="preserve"> </w:t>
      </w:r>
      <w:r>
        <w:rPr>
          <w:b/>
          <w:bCs/>
        </w:rPr>
        <w:t xml:space="preserve">looking through first-order panic to second-order adjustments</w:t>
      </w:r>
      <w:r>
        <w:t xml:space="preserve">. In 2025, those who bought EM and manufacturing plays outside China profited from exactly this adaptation.</w:t>
      </w:r>
      <w:r>
        <w:t xml:space="preserve"> </w:t>
      </w:r>
      <w:r>
        <w:t xml:space="preserve">4.</w:t>
      </w:r>
      <w:r>
        <w:t xml:space="preserve"> </w:t>
      </w:r>
      <w:r>
        <w:rPr>
          <w:b/>
          <w:bCs/>
        </w:rPr>
        <w:t xml:space="preserve">Geopolitical Fragmentation Creates Both Risk and Opportunity:</w:t>
      </w:r>
      <w:r>
        <w:t xml:space="preserve"> </w:t>
      </w:r>
      <w:r>
        <w:t xml:space="preserve">A bifurcated trading system (U.S. vs China spheres) can cause inefficiencies that nimble investors exploit (like investing in trade-diversion winners). However, it also increases long-term inflationary pressures (duplication of supply chains) and perhaps volatility in commodity flows (if trade patterns shift unpredictably).</w:t>
      </w:r>
      <w:r>
        <w:t xml:space="preserve"> </w:t>
      </w:r>
      <w:r>
        <w:t xml:space="preserve">5.</w:t>
      </w:r>
      <w:r>
        <w:t xml:space="preserve"> </w:t>
      </w:r>
      <w:r>
        <w:rPr>
          <w:b/>
          <w:bCs/>
        </w:rPr>
        <w:t xml:space="preserve">Watch Policy Progress:</w:t>
      </w:r>
      <w:r>
        <w:t xml:space="preserve"> </w:t>
      </w:r>
      <w:r>
        <w:t xml:space="preserve">Late 2025 rumors suggested negotiations to reduce tariffs in exchange for China technology concessions. While unresolved, if a partial trade deal emerges in 2026 that could reverse some negatives (a positive surprise). Conversely, further escalation (like capital flow restrictions) remain a tail risk. So, portfolio strategy should remain flexible to either de-escalation or new fronts in U.S.-China confrontation (e.g. around Taiwan or tech).</w:t>
      </w:r>
    </w:p>
    <w:p>
      <w:pPr>
        <w:pStyle w:val="BodyText"/>
      </w:pPr>
      <w:r>
        <w:rPr>
          <w:b/>
          <w:bCs/>
        </w:rPr>
        <w:t xml:space="preserve">Deep Dive Lesson:</w:t>
      </w:r>
      <w:r>
        <w:t xml:space="preserve"> </w:t>
      </w:r>
      <w:r>
        <w:rPr>
          <w:i/>
          <w:iCs/>
        </w:rPr>
        <w:t xml:space="preserve">The 2025 tariff shocks taught investors to expect the unexpected in geopolitics, but also that global business will rapidly adjust to maintain supply.</w:t>
      </w:r>
      <w:r>
        <w:t xml:space="preserve"> </w:t>
      </w:r>
      <w:r>
        <w:t xml:space="preserve">For 2026, one should maintain global diversification (to catch beneficiaries of any trade shifts) and use options or other hedges around key political dates (e.g. U.S.–China summits, election rhetoric) to protect against sudden policy shocks.</w:t>
      </w:r>
    </w:p>
    <w:p>
      <w:r>
        <w:pict>
          <v:rect style="width:0;height:1.5pt" o:hralign="center" o:hrstd="t" o:hr="t"/>
        </w:pict>
      </w:r>
    </w:p>
    <w:bookmarkEnd w:id="46"/>
    <w:bookmarkStart w:id="47" w:name="X7c5855b66eb45b211c6a749a8f55d369a3cd815"/>
    <w:p>
      <w:pPr>
        <w:pStyle w:val="Heading3"/>
      </w:pPr>
      <w:r>
        <w:rPr>
          <w:b/>
          <w:bCs/>
        </w:rPr>
        <w:t xml:space="preserve">2. AI Boom and Tech Market Rotation – From Hype to Reality</w:t>
      </w:r>
    </w:p>
    <w:p>
      <w:pPr>
        <w:pStyle w:val="FirstParagraph"/>
      </w:pPr>
      <w:r>
        <w:rPr>
          <w:b/>
          <w:bCs/>
        </w:rPr>
        <w:t xml:space="preserve">Start-of-Year Consensus:</w:t>
      </w:r>
      <w:r>
        <w:t xml:space="preserve"> </w:t>
      </w:r>
      <w:r>
        <w:t xml:space="preserve">At the dawn of 2025,</w:t>
      </w:r>
      <w:r>
        <w:t xml:space="preserve"> </w:t>
      </w:r>
      <w:r>
        <w:rPr>
          <w:b/>
          <w:bCs/>
        </w:rPr>
        <w:t xml:space="preserve">AI (Artificial Intelligence) fever</w:t>
      </w:r>
      <w:r>
        <w:t xml:space="preserve"> </w:t>
      </w:r>
      <w:r>
        <w:t xml:space="preserve">was at its peak in U.S. markets. The consensus view was overwhelmingly bullish on big-cap tech: the “Magnificent Seven” mega-cap tech stocks had led 2023’s gains on AI enthusiasm, and most analysts expected a continued run. Valuations were rich but justified by potential AI-driven growth – e.g. NVIDIA, having soared in 2023, was projected to keep posting explosive revenue gains from selling AI chips. Investors broadly believed</w:t>
      </w:r>
      <w:r>
        <w:t xml:space="preserve"> </w:t>
      </w:r>
      <w:r>
        <w:rPr>
          <w:b/>
          <w:bCs/>
        </w:rPr>
        <w:t xml:space="preserve">AI was a transformative, long-term trend</w:t>
      </w:r>
      <w:r>
        <w:t xml:space="preserve"> </w:t>
      </w:r>
      <w:r>
        <w:t xml:space="preserve">that would keep tech leadership narrow and strong. This consensus manifested in positioning: large-cap U.S. growth/tech was heavily owned; the average fund was overweight U.S. tech going into 2025. The narrative was that</w:t>
      </w:r>
      <w:r>
        <w:t xml:space="preserve"> </w:t>
      </w:r>
      <w:r>
        <w:rPr>
          <w:i/>
          <w:iCs/>
        </w:rPr>
        <w:t xml:space="preserve">AI would prop up U.S. equity outperformance</w:t>
      </w:r>
      <w:r>
        <w:t xml:space="preserve">, and many expected continued mega-cap dominance (some even predicted the S&amp;P 500 could hit 5500+ led by tech).</w:t>
      </w:r>
    </w:p>
    <w:p>
      <w:pPr>
        <w:pStyle w:val="BodyText"/>
      </w:pPr>
      <w:r>
        <w:rPr>
          <w:b/>
          <w:bCs/>
        </w:rPr>
        <w:t xml:space="preserve">What Actually Happened:</w:t>
      </w:r>
      <w:r>
        <w:t xml:space="preserve"> </w:t>
      </w:r>
      <w:r>
        <w:t xml:space="preserve">The AI theme indeed remained dominant, but</w:t>
      </w:r>
      <w:r>
        <w:t xml:space="preserve"> </w:t>
      </w:r>
      <w:r>
        <w:rPr>
          <w:b/>
          <w:bCs/>
        </w:rPr>
        <w:t xml:space="preserve">market leadership underwent a rotation and broadening</w:t>
      </w:r>
      <w:r>
        <w:t xml:space="preserve"> </w:t>
      </w:r>
      <w:r>
        <w:t xml:space="preserve">rather than a straight-line continuation. Through H1 2025, AI-related stocks did extend gains: e.g.</w:t>
      </w:r>
      <w:r>
        <w:t xml:space="preserve"> </w:t>
      </w:r>
      <w:r>
        <w:rPr>
          <w:b/>
          <w:bCs/>
        </w:rPr>
        <w:t xml:space="preserve">Communication Services</w:t>
      </w:r>
      <w:r>
        <w:t xml:space="preserve"> </w:t>
      </w:r>
      <w:r>
        <w:t xml:space="preserve">(including Google, Meta) and</w:t>
      </w:r>
      <w:r>
        <w:t xml:space="preserve"> </w:t>
      </w:r>
      <w:r>
        <w:rPr>
          <w:b/>
          <w:bCs/>
        </w:rPr>
        <w:t xml:space="preserve">Information Technology</w:t>
      </w:r>
      <w:r>
        <w:t xml:space="preserve"> </w:t>
      </w:r>
      <w:r>
        <w:t xml:space="preserve">sectors were the top S&amp;P performers, +33% and +24% respectively by Q3. Companies leveraged to AI (chipmakers, cloud providers) saw robust demand – NVIDIA’s H1 earnings beat again, and other chip firms (AMD, TSMC) saw AI chip orders surge. However, as the year progressed,</w:t>
      </w:r>
      <w:r>
        <w:t xml:space="preserve"> </w:t>
      </w:r>
      <w:r>
        <w:rPr>
          <w:b/>
          <w:bCs/>
        </w:rPr>
        <w:t xml:space="preserve">investors started differentiating winners vs losers within the AI space</w:t>
      </w:r>
      <w:r>
        <w:t xml:space="preserve">. The Magnificent Seven didn’t all keep shining: notably, only two of those seven outperformed the S&amp;P in 2025, meaning the other five underperformed. This was a stark shift from 2023 when nearly all outperformed massively.</w:t>
      </w:r>
    </w:p>
    <w:p>
      <w:pPr>
        <w:pStyle w:val="BodyText"/>
      </w:pPr>
      <w:r>
        <w:t xml:space="preserve">Key turning point came in late Q3 and Q4:</w:t>
      </w:r>
      <w:r>
        <w:t xml:space="preserve"> </w:t>
      </w:r>
      <w:r>
        <w:rPr>
          <w:b/>
          <w:bCs/>
        </w:rPr>
        <w:t xml:space="preserve">AI euphoria met reality of fundamentals</w:t>
      </w:r>
      <w:r>
        <w:t xml:space="preserve">. For example, in November, some high-flying AI beneficiaries like a leading enterprise software company (with AI hype) and a semiconductor equipment firm sold off on earnings guidance that showed huge capex but unclear short-term ROI – evidence that infinite AI investment might compress margins. As PivotalPath observed, “the AI trade had its worst week since April” in November on a large sell-off, triggered by some “AI darlings” stumbling when investors realized their valuations assumed perfection.</w:t>
      </w:r>
    </w:p>
    <w:p>
      <w:pPr>
        <w:pStyle w:val="BodyText"/>
      </w:pPr>
      <w:r>
        <w:t xml:space="preserve">Another big narrative shift:</w:t>
      </w:r>
      <w:r>
        <w:t xml:space="preserve"> </w:t>
      </w:r>
      <w:r>
        <w:rPr>
          <w:b/>
          <w:bCs/>
        </w:rPr>
        <w:t xml:space="preserve">AI implementation vs hype</w:t>
      </w:r>
      <w:r>
        <w:t xml:space="preserve">. By Q4, companies adopting AI began discussing productivity gains (e.g. a major cloud software firm said AI features boosted client retention), but also the</w:t>
      </w:r>
      <w:r>
        <w:t xml:space="preserve"> </w:t>
      </w:r>
      <w:r>
        <w:rPr>
          <w:i/>
          <w:iCs/>
        </w:rPr>
        <w:t xml:space="preserve">costs</w:t>
      </w:r>
      <w:r>
        <w:t xml:space="preserve"> </w:t>
      </w:r>
      <w:r>
        <w:t xml:space="preserve">(massive GPU expenses, etc.) and that widespread monetization would take time. This tempered the unbridled enthusiasm.</w:t>
      </w:r>
    </w:p>
    <w:p>
      <w:pPr>
        <w:pStyle w:val="BodyText"/>
      </w:pPr>
      <w:r>
        <w:rPr>
          <w:b/>
          <w:bCs/>
        </w:rPr>
        <w:t xml:space="preserve">Data Evidence:</w:t>
      </w:r>
      <w:r>
        <w:t xml:space="preserve"> </w:t>
      </w:r>
      <w:r>
        <w:t xml:space="preserve">-</w:t>
      </w:r>
      <w:r>
        <w:t xml:space="preserve"> </w:t>
      </w:r>
      <w:r>
        <w:rPr>
          <w:b/>
          <w:bCs/>
        </w:rPr>
        <w:t xml:space="preserve">Market Breadth Metrics:</w:t>
      </w:r>
      <w:r>
        <w:t xml:space="preserve"> </w:t>
      </w:r>
      <w:r>
        <w:t xml:space="preserve">At mid-year, market breadth was narrow – by May, the top 7 stocks accounted for virtually all S&amp;P YTD gains (equal-weight S&amp;P was flat vs cap-weight up double-digits). However, by year-end, breadth improved: equal-weight S&amp;P ended up ~15%, nearly closing the gap with the cap-weight ~18%. This indicates smaller stocks and non-tech participated in H2. Specifically,</w:t>
      </w:r>
      <w:r>
        <w:t xml:space="preserve"> </w:t>
      </w:r>
      <w:r>
        <w:rPr>
          <w:b/>
          <w:bCs/>
        </w:rPr>
        <w:t xml:space="preserve">value stocks and non-U.S. markets</w:t>
      </w:r>
      <w:r>
        <w:t xml:space="preserve"> </w:t>
      </w:r>
      <w:r>
        <w:t xml:space="preserve">caught up. JPMorgan noted “only two of the Mag7 tech outperformed the S&amp;P 500; US equities delivered +17.9% but were outshone by other regions” – a radical shift from 2023 when U.S. tech dominated global returns.</w:t>
      </w:r>
      <w:r>
        <w:t xml:space="preserve"> </w:t>
      </w:r>
      <w:r>
        <w:t xml:space="preserve">-</w:t>
      </w:r>
      <w:r>
        <w:t xml:space="preserve"> </w:t>
      </w:r>
      <w:r>
        <w:rPr>
          <w:b/>
          <w:bCs/>
        </w:rPr>
        <w:t xml:space="preserve">Sector Rotation:</w:t>
      </w:r>
      <w:r>
        <w:t xml:space="preserve"> </w:t>
      </w:r>
      <w:r>
        <w:t xml:space="preserve">While tech/comm services led early, by Q4</w:t>
      </w:r>
      <w:r>
        <w:t xml:space="preserve"> </w:t>
      </w:r>
      <w:r>
        <w:rPr>
          <w:b/>
          <w:bCs/>
        </w:rPr>
        <w:t xml:space="preserve">some defensive and cyclical sectors had rallied</w:t>
      </w:r>
      <w:r>
        <w:t xml:space="preserve"> </w:t>
      </w:r>
      <w:r>
        <w:t xml:space="preserve">strongly: Healthcare ended +20%, partly on an M&amp;A wave and new product approvals. Even laggard sectors like Utilities recovered in Q4 as yields fell. Notably,</w:t>
      </w:r>
      <w:r>
        <w:t xml:space="preserve"> </w:t>
      </w:r>
      <w:r>
        <w:rPr>
          <w:b/>
          <w:bCs/>
        </w:rPr>
        <w:t xml:space="preserve">small-cap value</w:t>
      </w:r>
      <w:r>
        <w:t xml:space="preserve"> </w:t>
      </w:r>
      <w:r>
        <w:t xml:space="preserve">had a late-year surge (Russell 2000 Value +15% in Q4) as recession fears abated and valuations were cheap. This suggests that aside from the AI leaders, money rotated into “old economy” and value plays later.</w:t>
      </w:r>
      <w:r>
        <w:t xml:space="preserve"> </w:t>
      </w:r>
      <w:r>
        <w:t xml:space="preserve">-</w:t>
      </w:r>
      <w:r>
        <w:t xml:space="preserve"> </w:t>
      </w:r>
      <w:r>
        <w:rPr>
          <w:b/>
          <w:bCs/>
        </w:rPr>
        <w:t xml:space="preserve">Earnings Contribution:</w:t>
      </w:r>
      <w:r>
        <w:t xml:space="preserve"> </w:t>
      </w:r>
      <w:r>
        <w:t xml:space="preserve">AI-focused companies did deliver strong earnings in 2025: for instance, Big Tech (FAANGs+Microsoft) saw ~+12% aggregate EPS growth vs S&amp;P ex-tech ~+3%. However, by Q4, investors demanded more than just AI stories – they wanted profitable growth. PivotalPath’s analysis in Nov said managers believed “the need for actual earnings is on tap to validate inflated multiples” of AI stocks. We saw Microsoft and Alphabet each only modestly beat estimates in Q3 and their stocks barely moved, showing high expectations were already priced in.</w:t>
      </w:r>
      <w:r>
        <w:t xml:space="preserve"> </w:t>
      </w:r>
      <w:r>
        <w:t xml:space="preserve">-</w:t>
      </w:r>
      <w:r>
        <w:t xml:space="preserve"> </w:t>
      </w:r>
      <w:r>
        <w:rPr>
          <w:b/>
          <w:bCs/>
        </w:rPr>
        <w:t xml:space="preserve">IPO and Corporate Activity:</w:t>
      </w:r>
      <w:r>
        <w:t xml:space="preserve"> </w:t>
      </w:r>
      <w:r>
        <w:t xml:space="preserve">The AI craze also spurred a mini wave of tech IPOs in 2025 (after 2022–23 drought). For example, an AI-focused cloud software firm IPO’d in September at a lofty valuation. Early pops fizzled, with many of these new issues trading flat-to-down by year-end – sign that public market investors became more discerning on AI entrants. Additionally, two mega-cap tech firms announced huge AI-related capex plans (trillions of parameters for models, new data centers) which initially excited but then raised questions about</w:t>
      </w:r>
      <w:r>
        <w:t xml:space="preserve"> </w:t>
      </w:r>
      <w:r>
        <w:rPr>
          <w:b/>
          <w:bCs/>
        </w:rPr>
        <w:t xml:space="preserve">return on investment</w:t>
      </w:r>
      <w:r>
        <w:t xml:space="preserve"> </w:t>
      </w:r>
      <w:r>
        <w:t xml:space="preserve">and regulatory scrutiny (AI regulation was a budding topic by late 2025 in DC and EU).</w:t>
      </w:r>
      <w:r>
        <w:t xml:space="preserve"> </w:t>
      </w:r>
      <w:r>
        <w:t xml:space="preserve">-</w:t>
      </w:r>
      <w:r>
        <w:t xml:space="preserve"> </w:t>
      </w:r>
      <w:r>
        <w:rPr>
          <w:b/>
          <w:bCs/>
        </w:rPr>
        <w:t xml:space="preserve">Hedge Fund &amp; Investor Behavior:</w:t>
      </w:r>
      <w:r>
        <w:t xml:space="preserve"> </w:t>
      </w:r>
      <w:r>
        <w:t xml:space="preserve">HFR data showed that</w:t>
      </w:r>
      <w:r>
        <w:t xml:space="preserve"> </w:t>
      </w:r>
      <w:r>
        <w:rPr>
          <w:b/>
          <w:bCs/>
        </w:rPr>
        <w:t xml:space="preserve">Long/Short equity hedge funds</w:t>
      </w:r>
      <w:r>
        <w:t xml:space="preserve"> </w:t>
      </w:r>
      <w:r>
        <w:t xml:space="preserve">had outsized exposure to tech in H1 and led performance tables, but by Q4, high correlation to equities was flagged as a risk. Many funds reportedly trimmed big tech positions in late H2 to lock gains and reduce crowding risk. Also notable: retail investors in 2025 remained heavily involved in tech via options; the Citadel flash update noted “36 cents of every SPY dollar goes to the Mag7” in ETF flows, reflecting how retail flows were concentrated in big names. However, by October, retail’s dip-buying moved beyond just tech to broad indices, suggesting acceptance of a wider rally.</w:t>
      </w:r>
    </w:p>
    <w:p>
      <w:pPr>
        <w:pStyle w:val="BodyText"/>
      </w:pPr>
      <w:r>
        <w:rPr>
          <w:b/>
          <w:bCs/>
        </w:rPr>
        <w:t xml:space="preserve">Cross-Asset Price Response:</w:t>
      </w:r>
      <w:r>
        <w:t xml:space="preserve"> </w:t>
      </w:r>
      <w:r>
        <w:t xml:space="preserve">-</w:t>
      </w:r>
      <w:r>
        <w:t xml:space="preserve"> </w:t>
      </w:r>
      <w:r>
        <w:rPr>
          <w:b/>
          <w:bCs/>
        </w:rPr>
        <w:t xml:space="preserve">Equities:</w:t>
      </w:r>
      <w:r>
        <w:t xml:space="preserve"> </w:t>
      </w:r>
      <w:r>
        <w:t xml:space="preserve">The early-year AI hype propelled U.S. indexes (Nasdaq up &gt;20% by June), but as mentioned, by year-end U.S. tech was not the top global performer –</w:t>
      </w:r>
      <w:r>
        <w:t xml:space="preserve"> </w:t>
      </w:r>
      <w:r>
        <w:rPr>
          <w:i/>
          <w:iCs/>
        </w:rPr>
        <w:t xml:space="preserve">Eurozone and EM equities, which have far less tech weight, outperformed</w:t>
      </w:r>
      <w:r>
        <w:t xml:space="preserve">. Tech’s weighting in S&amp;P actually fell slightly from mid-year peaks as other sectors rose. Magnificent Seven stock returns ranged from +90% (Meta) to –5% (Tesla) – a huge dispersion, underscoring divergent outcomes.</w:t>
      </w:r>
      <w:r>
        <w:t xml:space="preserve"> </w:t>
      </w:r>
      <w:r>
        <w:t xml:space="preserve">-</w:t>
      </w:r>
      <w:r>
        <w:t xml:space="preserve"> </w:t>
      </w:r>
      <w:r>
        <w:rPr>
          <w:b/>
          <w:bCs/>
        </w:rPr>
        <w:t xml:space="preserve">Credit:</w:t>
      </w:r>
      <w:r>
        <w:t xml:space="preserve"> </w:t>
      </w:r>
      <w:r>
        <w:t xml:space="preserve">The tech sector’s robust cash flows meant tech credits tightened nicely like others. No issues here; in fact, big tech issued a lot of bonds in 2025 to fund buybacks and AI investments (e.g., Apple’s $20bn bond in Aug was oversubscribed), easily absorbed by market (another sign of confidence in tech fundamentals).</w:t>
      </w:r>
      <w:r>
        <w:t xml:space="preserve"> </w:t>
      </w:r>
      <w:r>
        <w:t xml:space="preserve">-</w:t>
      </w:r>
      <w:r>
        <w:t xml:space="preserve"> </w:t>
      </w:r>
      <w:r>
        <w:rPr>
          <w:b/>
          <w:bCs/>
        </w:rPr>
        <w:t xml:space="preserve">FX:</w:t>
      </w:r>
      <w:r>
        <w:t xml:space="preserve"> </w:t>
      </w:r>
      <w:r>
        <w:t xml:space="preserve">Not directly an AI effect, but interestingly, the U.S. dollar weakening and EM equity outperformance meant that</w:t>
      </w:r>
      <w:r>
        <w:t xml:space="preserve"> </w:t>
      </w:r>
      <w:r>
        <w:rPr>
          <w:i/>
          <w:iCs/>
        </w:rPr>
        <w:t xml:space="preserve">global investors finally saw strong ex-U.S. returns</w:t>
      </w:r>
      <w:r>
        <w:t xml:space="preserve"> </w:t>
      </w:r>
      <w:r>
        <w:t xml:space="preserve">after years of U.S. tech dominance. Some argue that AI hype concentrated in U.S. ironically made U.S. assets pricier and more vulnerable to rotation into undervalued foreign markets (with Europe’s rally partly a re-rating of its more old-economy composition).</w:t>
      </w:r>
      <w:r>
        <w:t xml:space="preserve"> </w:t>
      </w:r>
      <w:r>
        <w:t xml:space="preserve">-</w:t>
      </w:r>
      <w:r>
        <w:t xml:space="preserve"> </w:t>
      </w:r>
      <w:r>
        <w:rPr>
          <w:b/>
          <w:bCs/>
        </w:rPr>
        <w:t xml:space="preserve">Thematic mania vs fundamentals:</w:t>
      </w:r>
      <w:r>
        <w:t xml:space="preserve"> </w:t>
      </w:r>
      <w:r>
        <w:t xml:space="preserve">The year saw extremely volatile moves in smaller “concept” stocks – anything with AI in its name soared then often crashed. For instance, an AI chatbot startup that went public via SPAC in March skyrocketed 100% in a week on retail frenzy, only to round-trip by July as reality set in. This micro evidence shows pockets of bubble-like behavior that largely didn’t destabilize big markets but taught caution.</w:t>
      </w:r>
    </w:p>
    <w:p>
      <w:pPr>
        <w:pStyle w:val="BodyText"/>
      </w:pPr>
      <w:r>
        <w:rPr>
          <w:b/>
          <w:bCs/>
        </w:rPr>
        <w:t xml:space="preserve">Second-Order and Spillover Effects:</w:t>
      </w:r>
      <w:r>
        <w:t xml:space="preserve"> </w:t>
      </w:r>
      <w:r>
        <w:t xml:space="preserve">-</w:t>
      </w:r>
      <w:r>
        <w:t xml:space="preserve"> </w:t>
      </w:r>
      <w:r>
        <w:rPr>
          <w:b/>
          <w:bCs/>
        </w:rPr>
        <w:t xml:space="preserve">Capex Boom:</w:t>
      </w:r>
      <w:r>
        <w:t xml:space="preserve"> </w:t>
      </w:r>
      <w:r>
        <w:t xml:space="preserve">Corporates dramatically ramped up capital spending on AI. Global IT capex grew ~10% in 2025 (after near-flat 2024), especially in cloud infrastructure. This was a boon to chipmakers, electrical equipment, even real estate (data center demand soared; REITs in that space outperformed). But it also meant other projects might be deprioritized – some businesses delayed share buybacks or non-AI projects to funnel resources into AI.</w:t>
      </w:r>
      <w:r>
        <w:t xml:space="preserve"> </w:t>
      </w:r>
      <w:r>
        <w:t xml:space="preserve">-</w:t>
      </w:r>
      <w:r>
        <w:t xml:space="preserve"> </w:t>
      </w:r>
      <w:r>
        <w:rPr>
          <w:b/>
          <w:bCs/>
        </w:rPr>
        <w:t xml:space="preserve">Labor and Productivity:</w:t>
      </w:r>
      <w:r>
        <w:t xml:space="preserve"> </w:t>
      </w:r>
      <w:r>
        <w:t xml:space="preserve">A significant narrative was that AI could improve productivity and reduce need for labor. Some evidence: U.S. nonfarm productivity did tick up, partly attributed to tech adoption, and indeed</w:t>
      </w:r>
      <w:r>
        <w:t xml:space="preserve"> </w:t>
      </w:r>
      <w:r>
        <w:rPr>
          <w:i/>
          <w:iCs/>
        </w:rPr>
        <w:t xml:space="preserve">job openings in some white-collar roles declined as companies started using AI tools for tasks</w:t>
      </w:r>
      <w:r>
        <w:t xml:space="preserve">. However, AI also created new roles (prompt engineers, AI ethicists). The net workforce effect remains evolving, but markets began to price in potential margin expansion for companies effectively using AI.</w:t>
      </w:r>
      <w:r>
        <w:t xml:space="preserve"> </w:t>
      </w:r>
      <w:r>
        <w:t xml:space="preserve">-</w:t>
      </w:r>
      <w:r>
        <w:t xml:space="preserve"> </w:t>
      </w:r>
      <w:r>
        <w:rPr>
          <w:b/>
          <w:bCs/>
        </w:rPr>
        <w:t xml:space="preserve">Regulatory Scrutiny:</w:t>
      </w:r>
      <w:r>
        <w:t xml:space="preserve"> </w:t>
      </w:r>
      <w:r>
        <w:t xml:space="preserve">With great attention comes great scrutiny. By H2, regulators in U.S. and EU started drafting AI oversight frameworks (on data privacy, bias, etc.). Tech CEOs testified in Congress and agreed to some self-regulations. Investors are mindful that regulation might slow AI’s breakneck adoption or impose costs – a factor perhaps in cooling valuations. However, nothing concrete passed in 2025, so more a 2026 issue.</w:t>
      </w:r>
      <w:r>
        <w:t xml:space="preserve"> </w:t>
      </w:r>
      <w:r>
        <w:t xml:space="preserve">-</w:t>
      </w:r>
      <w:r>
        <w:t xml:space="preserve"> </w:t>
      </w:r>
      <w:r>
        <w:rPr>
          <w:b/>
          <w:bCs/>
        </w:rPr>
        <w:t xml:space="preserve">Market Structure:</w:t>
      </w:r>
      <w:r>
        <w:t xml:space="preserve"> </w:t>
      </w:r>
      <w:r>
        <w:t xml:space="preserve">The early narrow breadth raised concerns about</w:t>
      </w:r>
      <w:r>
        <w:t xml:space="preserve"> </w:t>
      </w:r>
      <w:r>
        <w:rPr>
          <w:b/>
          <w:bCs/>
        </w:rPr>
        <w:t xml:space="preserve">market fragility</w:t>
      </w:r>
      <w:r>
        <w:t xml:space="preserve"> </w:t>
      </w:r>
      <w:r>
        <w:t xml:space="preserve">– could an AI bubble burst tank the whole market? That fear ebbed as breadth improved. But if AI leader stocks had reversed sharply, passive indexes (so concentrated) might have been hit. The rotation helped reduce that systemic fragility by expanding leadership to other sectors/countries.</w:t>
      </w:r>
    </w:p>
    <w:p>
      <w:pPr>
        <w:pStyle w:val="BodyText"/>
      </w:pPr>
      <w:r>
        <w:rPr>
          <w:b/>
          <w:bCs/>
        </w:rPr>
        <w:t xml:space="preserve">Who Benefited / Who Suffered:</w:t>
      </w:r>
      <w:r>
        <w:t xml:space="preserve"> </w:t>
      </w:r>
      <w:r>
        <w:t xml:space="preserve">-</w:t>
      </w:r>
      <w:r>
        <w:t xml:space="preserve"> </w:t>
      </w:r>
      <w:r>
        <w:rPr>
          <w:i/>
          <w:iCs/>
        </w:rPr>
        <w:t xml:space="preserve">Benefited:</w:t>
      </w:r>
      <w:r>
        <w:t xml:space="preserve"> </w:t>
      </w:r>
      <w:r>
        <w:rPr>
          <w:b/>
          <w:bCs/>
        </w:rPr>
        <w:t xml:space="preserve">Select AI leaders and picks-and-shovels suppliers.</w:t>
      </w:r>
      <w:r>
        <w:t xml:space="preserve"> </w:t>
      </w:r>
      <w:r>
        <w:t xml:space="preserve">Obvious winners: NVIDIA (stock up ~100% YTD on blowout earnings from AI chips), large cloud providers (enjoyed surging demand for AI services). Companies like Taiwan’s TSMC benefitted indirectly (high-end chip orders). Also,</w:t>
      </w:r>
      <w:r>
        <w:t xml:space="preserve"> </w:t>
      </w:r>
      <w:r>
        <w:rPr>
          <w:b/>
          <w:bCs/>
        </w:rPr>
        <w:t xml:space="preserve">certain sector beneficiaries</w:t>
      </w:r>
      <w:r>
        <w:t xml:space="preserve">: e.g., enterprise software firms that embedded AI to upsell clients saw better growth and stock performance (one large CRM software co. +60% as its AI offerings gained traction). On a country level,</w:t>
      </w:r>
      <w:r>
        <w:t xml:space="preserve"> </w:t>
      </w:r>
      <w:r>
        <w:rPr>
          <w:b/>
          <w:bCs/>
        </w:rPr>
        <w:t xml:space="preserve">South Korea</w:t>
      </w:r>
      <w:r>
        <w:t xml:space="preserve"> </w:t>
      </w:r>
      <w:r>
        <w:t xml:space="preserve">soared in equity markets because its chipmakers (Samsung, Hynix) and battery/EV makers got an AI/tech halo, plus corporate reforms (KOSPI +100% USD).</w:t>
      </w:r>
      <w:r>
        <w:t xml:space="preserve"> </w:t>
      </w:r>
      <w:r>
        <w:t xml:space="preserve">-</w:t>
      </w:r>
      <w:r>
        <w:t xml:space="preserve"> </w:t>
      </w:r>
      <w:r>
        <w:rPr>
          <w:i/>
          <w:iCs/>
        </w:rPr>
        <w:t xml:space="preserve">Suffered:</w:t>
      </w:r>
      <w:r>
        <w:t xml:space="preserve"> </w:t>
      </w:r>
      <w:r>
        <w:rPr>
          <w:b/>
          <w:bCs/>
        </w:rPr>
        <w:t xml:space="preserve">Latecomers and pretenders.</w:t>
      </w:r>
      <w:r>
        <w:t xml:space="preserve"> </w:t>
      </w:r>
      <w:r>
        <w:t xml:space="preserve">Not every company claiming “AI” could deliver. Many smaller firms that pivoted to AI buzz (some biotechs rebranding to AI drug discovery, tiny cloud firms touting AI) saw short-lived pops then steep declines once scrutiny came. Also,</w:t>
      </w:r>
      <w:r>
        <w:t xml:space="preserve"> </w:t>
      </w:r>
      <w:r>
        <w:rPr>
          <w:b/>
          <w:bCs/>
        </w:rPr>
        <w:t xml:space="preserve">non-tech growth stocks without AI angle</w:t>
      </w:r>
      <w:r>
        <w:t xml:space="preserve"> </w:t>
      </w:r>
      <w:r>
        <w:t xml:space="preserve">lagged – e.g., some consumer internet companies that couldn’t articulate an AI strategy underperformed their tech peers in H1 as capital chased “true AI plays.” Moreover, as rotation occurred, ironically some mega-cap tech laggards (like Tesla – tied to EV which faced its own competition and not perceived as pure AI) underperformed considerably after being part of the “7”.</w:t>
      </w:r>
      <w:r>
        <w:t xml:space="preserve"> </w:t>
      </w:r>
      <w:r>
        <w:rPr>
          <w:b/>
          <w:bCs/>
        </w:rPr>
        <w:t xml:space="preserve">Investors who stayed over-concentrated</w:t>
      </w:r>
      <w:r>
        <w:t xml:space="preserve"> </w:t>
      </w:r>
      <w:r>
        <w:t xml:space="preserve">in U.S. tech missed out on better gains elsewhere – a “failure to diversify” could be considered a loser relative to globally rotated portfolios.</w:t>
      </w:r>
    </w:p>
    <w:p>
      <w:pPr>
        <w:pStyle w:val="BodyText"/>
      </w:pPr>
      <w:r>
        <w:rPr>
          <w:b/>
          <w:bCs/>
        </w:rPr>
        <w:t xml:space="preserve">Lessons for 2026:</w:t>
      </w:r>
      <w:r>
        <w:t xml:space="preserve"> </w:t>
      </w:r>
      <w:r>
        <w:t xml:space="preserve">1.</w:t>
      </w:r>
      <w:r>
        <w:t xml:space="preserve"> </w:t>
      </w:r>
      <w:r>
        <w:rPr>
          <w:b/>
          <w:bCs/>
        </w:rPr>
        <w:t xml:space="preserve">Distinguish Hype from Sustainable Growth:</w:t>
      </w:r>
      <w:r>
        <w:t xml:space="preserve"> </w:t>
      </w:r>
      <w:r>
        <w:t xml:space="preserve">2025 showed that while AI is transformative,</w:t>
      </w:r>
      <w:r>
        <w:t xml:space="preserve"> </w:t>
      </w:r>
      <w:r>
        <w:rPr>
          <w:i/>
          <w:iCs/>
        </w:rPr>
        <w:t xml:space="preserve">not everyone will be a winner</w:t>
      </w:r>
      <w:r>
        <w:t xml:space="preserve">. For 2026, investors should focus on companies with real AI-driven revenue/profit, not just a good story. The late-2025 market rewarded fundamentals over concept – expect that to continue.</w:t>
      </w:r>
      <w:r>
        <w:t xml:space="preserve"> </w:t>
      </w:r>
      <w:r>
        <w:t xml:space="preserve">2.</w:t>
      </w:r>
      <w:r>
        <w:t xml:space="preserve"> </w:t>
      </w:r>
      <w:r>
        <w:rPr>
          <w:b/>
          <w:bCs/>
        </w:rPr>
        <w:t xml:space="preserve">Beware of Valuation Excess:</w:t>
      </w:r>
      <w:r>
        <w:t xml:space="preserve"> </w:t>
      </w:r>
      <w:r>
        <w:t xml:space="preserve">Even great companies can be bad investments at extreme valuations. The correction in some overpriced AI stocks implies 2026 will require careful valuation discipline in tech/growth. When interest rates fell in ’25, high valuations got some support; if rates flatten or rise, watch out for multiple contraction on speculative names.</w:t>
      </w:r>
      <w:r>
        <w:t xml:space="preserve"> </w:t>
      </w:r>
      <w:r>
        <w:t xml:space="preserve">3.</w:t>
      </w:r>
      <w:r>
        <w:t xml:space="preserve"> </w:t>
      </w:r>
      <w:r>
        <w:rPr>
          <w:b/>
          <w:bCs/>
        </w:rPr>
        <w:t xml:space="preserve">Market Leadership can Change:</w:t>
      </w:r>
      <w:r>
        <w:t xml:space="preserve"> </w:t>
      </w:r>
      <w:r>
        <w:t xml:space="preserve">2025’s rotation reinforced that one year’s winners can lag the next. For 2026, it might not be the same sectors or geographies leading – in fact if AI becomes more “priced in,” leadership could shift to cyclicals or undervalued areas (perhaps small caps, or non-U.S. equities continuing to outperform if U.S. mega-caps stagnate). Thus, avoid complacency that “Big Tech always wins.”</w:t>
      </w:r>
      <w:r>
        <w:t xml:space="preserve"> </w:t>
      </w:r>
      <w:r>
        <w:t xml:space="preserve">4.</w:t>
      </w:r>
      <w:r>
        <w:t xml:space="preserve"> </w:t>
      </w:r>
      <w:r>
        <w:rPr>
          <w:b/>
          <w:bCs/>
        </w:rPr>
        <w:t xml:space="preserve">Technological Adoption vs. Economic Impact Timeline:</w:t>
      </w:r>
      <w:r>
        <w:t xml:space="preserve"> </w:t>
      </w:r>
      <w:r>
        <w:t xml:space="preserve">Investors should align time horizons. AI innovations can be rapid, but broad economic payoffs might lag. So, there could be setbacks or slower periods in the AI trade which are normal. For example, if 2026 sees companies digest 2025’s massive AI investments to actually implement them, tech spending growth might temper near-term – affecting suppliers’ growth.</w:t>
      </w:r>
      <w:r>
        <w:t xml:space="preserve"> </w:t>
      </w:r>
      <w:r>
        <w:t xml:space="preserve">5.</w:t>
      </w:r>
      <w:r>
        <w:t xml:space="preserve"> </w:t>
      </w:r>
      <w:r>
        <w:rPr>
          <w:b/>
          <w:bCs/>
        </w:rPr>
        <w:t xml:space="preserve">Diversification and Risk Management:</w:t>
      </w:r>
      <w:r>
        <w:t xml:space="preserve"> </w:t>
      </w:r>
      <w:r>
        <w:t xml:space="preserve">2025 taught that being</w:t>
      </w:r>
      <w:r>
        <w:t xml:space="preserve"> </w:t>
      </w:r>
      <w:r>
        <w:rPr>
          <w:i/>
          <w:iCs/>
        </w:rPr>
        <w:t xml:space="preserve">over</w:t>
      </w:r>
      <w:r>
        <w:t xml:space="preserve"> </w:t>
      </w:r>
      <w:r>
        <w:t xml:space="preserve">concentrated even in seemingly bulletproof stocks is risky. A balanced portfolio with some tech, some cyclicals, some value, and international exposure outperformed a pure U.S. tech bet this year. For 2026, that lesson likely holds – maintain diversification to cushion if the pendulum swings again (maybe back to U.S. if recession hits overseas, etc.).</w:t>
      </w:r>
      <w:r>
        <w:t xml:space="preserve"> </w:t>
      </w:r>
      <w:r>
        <w:t xml:space="preserve">6.</w:t>
      </w:r>
      <w:r>
        <w:t xml:space="preserve"> </w:t>
      </w:r>
      <w:r>
        <w:rPr>
          <w:b/>
          <w:bCs/>
        </w:rPr>
        <w:t xml:space="preserve">AI as a Productivity Game-Changer:</w:t>
      </w:r>
      <w:r>
        <w:t xml:space="preserve"> </w:t>
      </w:r>
      <w:r>
        <w:t xml:space="preserve">There’s a flipside – if AI truly boosts productivity significantly, it could extend the business cycle and moderate inflation, which would be bullish macro-wise. Keep an eye on macro indicators (productivity, unit labor costs) in 2026 for signs AI is moving the needle. This could become part of the Fed’s calculus (higher potential growth means they can cut more without sparking inflation).</w:t>
      </w:r>
      <w:r>
        <w:t xml:space="preserve"> </w:t>
      </w:r>
      <w:r>
        <w:t xml:space="preserve">7.</w:t>
      </w:r>
      <w:r>
        <w:t xml:space="preserve"> </w:t>
      </w:r>
      <w:r>
        <w:rPr>
          <w:b/>
          <w:bCs/>
        </w:rPr>
        <w:t xml:space="preserve">Regulatory Watch:</w:t>
      </w:r>
      <w:r>
        <w:t xml:space="preserve"> </w:t>
      </w:r>
      <w:r>
        <w:t xml:space="preserve">2026 might bring actual AI regulations (data privacy, usage rules). Investors should monitor regulatory risk for AI-intensive companies (some could face higher compliance costs or limits on certain data usage which could slow AI development or make it pricier). That’s a new factor that wasn’t real in early 2025.</w:t>
      </w:r>
    </w:p>
    <w:p>
      <w:pPr>
        <w:pStyle w:val="BodyText"/>
      </w:pPr>
      <w:r>
        <w:rPr>
          <w:b/>
          <w:bCs/>
        </w:rPr>
        <w:t xml:space="preserve">Deep Dive Lesson:</w:t>
      </w:r>
      <w:r>
        <w:t xml:space="preserve"> </w:t>
      </w:r>
      <w:r>
        <w:rPr>
          <w:i/>
          <w:iCs/>
        </w:rPr>
        <w:t xml:space="preserve">The 2025 AI boom-and-rotation saga underlines the importance of adaptability.</w:t>
      </w:r>
      <w:r>
        <w:t xml:space="preserve"> </w:t>
      </w:r>
      <w:r>
        <w:t xml:space="preserve">A winning strategy in H1 (overweight mega-cap tech) needed adjustment by H2 (broadening out to other sectors and geographies). For 2026, remain nimble: participate in structural tech growth but don’t overstay when positioning becomes crowded or fundamentals diverge from stock prices. In short, believe in AI’s long-term revolution, but invest on evidence and maintain balance, not just hype.</w:t>
      </w:r>
    </w:p>
    <w:p>
      <w:r>
        <w:pict>
          <v:rect style="width:0;height:1.5pt" o:hralign="center" o:hrstd="t" o:hr="t"/>
        </w:pict>
      </w:r>
    </w:p>
    <w:bookmarkEnd w:id="47"/>
    <w:bookmarkStart w:id="48" w:name="Xe0ca026764df6f40513184497993e16bfe0f970"/>
    <w:p>
      <w:pPr>
        <w:pStyle w:val="Heading3"/>
      </w:pPr>
      <w:r>
        <w:rPr>
          <w:b/>
          <w:bCs/>
        </w:rPr>
        <w:t xml:space="preserve">3. Europe’s Rebound and Regime Shift – From Energy Crisis to Rearmament Revival</w:t>
      </w:r>
    </w:p>
    <w:p>
      <w:pPr>
        <w:pStyle w:val="FirstParagraph"/>
      </w:pPr>
      <w:r>
        <w:rPr>
          <w:b/>
          <w:bCs/>
        </w:rPr>
        <w:t xml:space="preserve">Start-of-Year Consensus:</w:t>
      </w:r>
      <w:r>
        <w:t xml:space="preserve"> </w:t>
      </w:r>
      <w:r>
        <w:t xml:space="preserve">As 2025 began, the mood on Europe was subdued. Consensus expected</w:t>
      </w:r>
      <w:r>
        <w:t xml:space="preserve"> </w:t>
      </w:r>
      <w:r>
        <w:rPr>
          <w:b/>
          <w:bCs/>
        </w:rPr>
        <w:t xml:space="preserve">near-zero growth or mild recession in Europe</w:t>
      </w:r>
      <w:r>
        <w:t xml:space="preserve">, given the lingering energy shock from 2022, tight monetary policy, and structural issues (war in Ukraine, weak manufacturing). The UK was widely thought to be mired in stagflation. Many investors were underweight European equities, viewing them as value traps. There was talk of Europe as the “sick man” of the global economy in 2024-25. Inflation in Europe was expected to fall but remain sticky above target, limiting any ECB relief. Also, on policy, few anticipated the dramatic steps Europe would take on defense; fiscal policy was thought to remain constrained by rules like the Stability Pact. In short, consensus was that</w:t>
      </w:r>
      <w:r>
        <w:t xml:space="preserve"> </w:t>
      </w:r>
      <w:r>
        <w:rPr>
          <w:b/>
          <w:bCs/>
        </w:rPr>
        <w:t xml:space="preserve">Europe would lag</w:t>
      </w:r>
      <w:r>
        <w:t xml:space="preserve"> </w:t>
      </w:r>
      <w:r>
        <w:t xml:space="preserve">the U.S. and Asia, and its markets would likely underperform.</w:t>
      </w:r>
    </w:p>
    <w:p>
      <w:pPr>
        <w:pStyle w:val="BodyText"/>
      </w:pPr>
      <w:r>
        <w:rPr>
          <w:b/>
          <w:bCs/>
        </w:rPr>
        <w:t xml:space="preserve">What Actually Happened:</w:t>
      </w:r>
      <w:r>
        <w:t xml:space="preserve"> </w:t>
      </w:r>
      <w:r>
        <w:t xml:space="preserve">Europe defied the pessimistic expectations with a</w:t>
      </w:r>
      <w:r>
        <w:t xml:space="preserve"> </w:t>
      </w:r>
      <w:r>
        <w:rPr>
          <w:b/>
          <w:bCs/>
        </w:rPr>
        <w:t xml:space="preserve">surprisingly robust macro and market performance</w:t>
      </w:r>
      <w:r>
        <w:t xml:space="preserve">. The feared winter energy crisis did not materialize – gas storage and mild weather kept prices stable (TTF gas averaged &lt;€40, far from 2022 peaks). As a result, Eurozone avoided deep recession: while growth was anemic in early 2025, conditions improved by mid-year (Germany, the worst-hit, managed to skirt a major downturn). By Q4, data showed modest positive growth (e.g. Q3 Eurozone GDP +0.2% QoQ).</w:t>
      </w:r>
      <w:r>
        <w:t xml:space="preserve"> </w:t>
      </w:r>
      <w:r>
        <w:rPr>
          <w:b/>
          <w:bCs/>
        </w:rPr>
        <w:t xml:space="preserve">Inflation plunged</w:t>
      </w:r>
      <w:r>
        <w:t xml:space="preserve"> </w:t>
      </w:r>
      <w:r>
        <w:t xml:space="preserve">faster than anyone predicted: from ~9% in late 2022 to 2% by Dec 2025, one of the steepest disinflations on record. The</w:t>
      </w:r>
      <w:r>
        <w:t xml:space="preserve"> </w:t>
      </w:r>
      <w:r>
        <w:rPr>
          <w:b/>
          <w:bCs/>
        </w:rPr>
        <w:t xml:space="preserve">ECB pivoted to pause (and in mid-year even cut a bit)</w:t>
      </w:r>
      <w:r>
        <w:t xml:space="preserve">, removing a drag on growth.</w:t>
      </w:r>
    </w:p>
    <w:p>
      <w:pPr>
        <w:pStyle w:val="BodyText"/>
      </w:pPr>
      <w:r>
        <w:t xml:space="preserve">Most dramatically, Europe underwent a</w:t>
      </w:r>
      <w:r>
        <w:t xml:space="preserve"> </w:t>
      </w:r>
      <w:r>
        <w:rPr>
          <w:b/>
          <w:bCs/>
        </w:rPr>
        <w:t xml:space="preserve">strategic regime shift towards fiscal loosening for defense and energy investment</w:t>
      </w:r>
      <w:r>
        <w:t xml:space="preserve">. The</w:t>
      </w:r>
      <w:r>
        <w:t xml:space="preserve"> </w:t>
      </w:r>
      <w:r>
        <w:rPr>
          <w:i/>
          <w:iCs/>
        </w:rPr>
        <w:t xml:space="preserve">ReArm Europe</w:t>
      </w:r>
      <w:r>
        <w:t xml:space="preserve"> </w:t>
      </w:r>
      <w:r>
        <w:t xml:space="preserve">initiative in March signaled Europe’s largest defense buildup in decades. Countries like Germany accelerated defense projects (Berlin’s special €100bn fund, announced 2022, was finally deployed – German defense budget up 20% YoY). This fiscal support contributed to domestic demand (military orders, etc.) offsetting private sector weakness. Additionally, the EU allowed flexibility in energy subsidies to shield consumers, which – while adding debt – helped consumption not collapse.</w:t>
      </w:r>
    </w:p>
    <w:p>
      <w:pPr>
        <w:pStyle w:val="BodyText"/>
      </w:pPr>
      <w:r>
        <w:rPr>
          <w:b/>
          <w:bCs/>
        </w:rPr>
        <w:t xml:space="preserve">Market outcome:</w:t>
      </w:r>
      <w:r>
        <w:t xml:space="preserve"> </w:t>
      </w:r>
      <w:r>
        <w:t xml:space="preserve">Europe became one of the</w:t>
      </w:r>
      <w:r>
        <w:t xml:space="preserve"> </w:t>
      </w:r>
      <w:r>
        <w:rPr>
          <w:b/>
          <w:bCs/>
        </w:rPr>
        <w:t xml:space="preserve">best-performing equity regions</w:t>
      </w:r>
      <w:r>
        <w:t xml:space="preserve"> </w:t>
      </w:r>
      <w:r>
        <w:t xml:space="preserve">– STOXX 600 total return was +35% in USD</w:t>
      </w:r>
      <w:r>
        <w:br/>
      </w:r>
      <w:r>
        <w:t xml:space="preserve">, beating S&amp;P 500’s +20%. The euro also surged ~13% vs USD, boosting USD returns further for foreign investors. Even in local terms, STOXX 600 +20% was its best year since 2019, reflecting both improved earnings and valuation re-rating. Notably, sectors that struggled in 2022-24 (like European banks and industrials) soared as rates stabilized and war fears eased. Also,</w:t>
      </w:r>
      <w:r>
        <w:t xml:space="preserve"> </w:t>
      </w:r>
      <w:r>
        <w:rPr>
          <w:b/>
          <w:bCs/>
        </w:rPr>
        <w:t xml:space="preserve">European equity outperformance</w:t>
      </w:r>
      <w:r>
        <w:t xml:space="preserve"> </w:t>
      </w:r>
      <w:r>
        <w:t xml:space="preserve">was a major surprise (first time in years it beat U.S.), prompting some to call it the “European renaissance” by year-end.</w:t>
      </w:r>
    </w:p>
    <w:p>
      <w:pPr>
        <w:pStyle w:val="BodyText"/>
      </w:pPr>
      <w:r>
        <w:rPr>
          <w:b/>
          <w:bCs/>
        </w:rPr>
        <w:t xml:space="preserve">Data Evidence:</w:t>
      </w:r>
      <w:r>
        <w:t xml:space="preserve"> </w:t>
      </w:r>
      <w:r>
        <w:t xml:space="preserve">-</w:t>
      </w:r>
      <w:r>
        <w:t xml:space="preserve"> </w:t>
      </w:r>
      <w:r>
        <w:rPr>
          <w:b/>
          <w:bCs/>
        </w:rPr>
        <w:t xml:space="preserve">GDP and Confidence:</w:t>
      </w:r>
      <w:r>
        <w:t xml:space="preserve"> </w:t>
      </w:r>
      <w:r>
        <w:t xml:space="preserve">The Eurozone composite PMI rose back above 50 by summer 2025 (expansion territory) after being ~47 in late 2024 – a key turning point indicating improving activity. Germany’s Ifo business climate also bottomed in Q1 and improved through the year as energy constraints lifted. Q2 and Q3 saw slightly positive Eurozone GDP growth, contrary to widespread projections of contraction.</w:t>
      </w:r>
      <w:r>
        <w:t xml:space="preserve"> </w:t>
      </w:r>
      <w:r>
        <w:t xml:space="preserve">-</w:t>
      </w:r>
      <w:r>
        <w:t xml:space="preserve"> </w:t>
      </w:r>
      <w:r>
        <w:rPr>
          <w:b/>
          <w:bCs/>
        </w:rPr>
        <w:t xml:space="preserve">Inflation and Wages:</w:t>
      </w:r>
      <w:r>
        <w:t xml:space="preserve"> </w:t>
      </w:r>
      <w:r>
        <w:t xml:space="preserve">Eurostat’s flash showed Dec headline inflation exactly 2.0%. Core inflation also fell to ~2.5% from ~5% early in year, thanks largely to waning energy passthrough and easing supply bottlenecks. Real wages, which were crushed in 2022, started rising in 2025 as nominal wage growth (4-5%) outpaced inflation (by H2). This boosted consumer spending into year-end.</w:t>
      </w:r>
      <w:r>
        <w:t xml:space="preserve"> </w:t>
      </w:r>
      <w:r>
        <w:t xml:space="preserve">-</w:t>
      </w:r>
      <w:r>
        <w:t xml:space="preserve"> </w:t>
      </w:r>
      <w:r>
        <w:rPr>
          <w:b/>
          <w:bCs/>
        </w:rPr>
        <w:t xml:space="preserve">Fiscal Metrics:</w:t>
      </w:r>
      <w:r>
        <w:t xml:space="preserve"> </w:t>
      </w:r>
      <w:r>
        <w:t xml:space="preserve">Many European countries’ 2025 deficits came out higher than initially budgeted (France ~5% GDP, Germany ~3%), as they spent on defense and extended some energy subsidies. Public debt ratios nonetheless stabilized or even fell slightly due to nominal GDP growth and inflation boosting revenues. Importantly, the EU suspended strict deficit enforcement through 2025, giving breathing room.</w:t>
      </w:r>
      <w:r>
        <w:t xml:space="preserve"> </w:t>
      </w:r>
      <w:r>
        <w:t xml:space="preserve">-</w:t>
      </w:r>
      <w:r>
        <w:t xml:space="preserve"> </w:t>
      </w:r>
      <w:r>
        <w:rPr>
          <w:b/>
          <w:bCs/>
        </w:rPr>
        <w:t xml:space="preserve">Market Indicators:</w:t>
      </w:r>
      <w:r>
        <w:t xml:space="preserve"> </w:t>
      </w:r>
      <w:r>
        <w:t xml:space="preserve">European bank stocks soared ~+30% (SX7E index) as rising interest income and easing recession risks improved outlooks. No systemic financial scares occurred (contrast to the UK’s gilt crisis in 2022; by 2025 UK gilts rallied instead). Italy’s 10y yield fell to ~3.3%</w:t>
      </w:r>
      <w:r>
        <w:br/>
      </w:r>
      <w:r>
        <w:t xml:space="preserve">, with BTP-Bund spreads tightening – the absence of an EU fragmentation crisis was another positive surprise (perhaps as markets trusted ECB’s backstop if needed). The euro’s strength reflected improved fundamentals: Euro trade surplus returned (€10bn/month by Q4 after deficits in 2022) and capital inflows resumed as global investors chased Europe’s rally (e.g., record inflows into European equity funds in H2 per EPFR data).</w:t>
      </w:r>
      <w:r>
        <w:t xml:space="preserve"> </w:t>
      </w:r>
      <w:r>
        <w:t xml:space="preserve">-</w:t>
      </w:r>
      <w:r>
        <w:t xml:space="preserve"> </w:t>
      </w:r>
      <w:r>
        <w:rPr>
          <w:b/>
          <w:bCs/>
        </w:rPr>
        <w:t xml:space="preserve">Defense sector:</w:t>
      </w:r>
      <w:r>
        <w:t xml:space="preserve"> </w:t>
      </w:r>
      <w:r>
        <w:t xml:space="preserve">European defense contractors saw huge order backlogs; e.g. Dassault, maker of Rafale jets, reported its order book doubled thanks to European rearmament commitments. Their stock soared (French defense index +50%). These companies became favorites as</w:t>
      </w:r>
      <w:r>
        <w:t xml:space="preserve"> </w:t>
      </w:r>
      <w:r>
        <w:rPr>
          <w:i/>
          <w:iCs/>
        </w:rPr>
        <w:t xml:space="preserve">“rearmament play”</w:t>
      </w:r>
      <w:r>
        <w:t xml:space="preserve">.</w:t>
      </w:r>
    </w:p>
    <w:p>
      <w:pPr>
        <w:pStyle w:val="BodyText"/>
      </w:pPr>
      <w:r>
        <w:rPr>
          <w:b/>
          <w:bCs/>
        </w:rPr>
        <w:t xml:space="preserve">Cross-Asset Price Response:</w:t>
      </w:r>
      <w:r>
        <w:t xml:space="preserve"> </w:t>
      </w:r>
      <w:r>
        <w:t xml:space="preserve">-</w:t>
      </w:r>
      <w:r>
        <w:t xml:space="preserve"> </w:t>
      </w:r>
      <w:r>
        <w:rPr>
          <w:b/>
          <w:bCs/>
        </w:rPr>
        <w:t xml:space="preserve">Equities:</w:t>
      </w:r>
      <w:r>
        <w:t xml:space="preserve"> </w:t>
      </w:r>
      <w:r>
        <w:t xml:space="preserve">As mentioned, Europe outperformed strongly. UK equities (FTSE 100) also did well, +12% in GBP (and ~+31% in USD due to sterling’s rise)</w:t>
      </w:r>
      <w:r>
        <w:br/>
      </w:r>
      <w:r>
        <w:t xml:space="preserve">, led by globally exposed sectors (energy, materials recovered after being hit in 2022).</w:t>
      </w:r>
      <w:r>
        <w:t xml:space="preserve"> </w:t>
      </w:r>
      <w:r>
        <w:t xml:space="preserve">-</w:t>
      </w:r>
      <w:r>
        <w:t xml:space="preserve"> </w:t>
      </w:r>
      <w:r>
        <w:rPr>
          <w:b/>
          <w:bCs/>
        </w:rPr>
        <w:t xml:space="preserve">Bonds:</w:t>
      </w:r>
      <w:r>
        <w:t xml:space="preserve"> </w:t>
      </w:r>
      <w:r>
        <w:t xml:space="preserve">Lower inflation and ECB pause meant bond prices rose: 10Y Bund yields down ~70 bps to ~1.8%. Risk premiums on peripheral bonds narrowed – e.g., Greece (once a crisis flashpoint) saw its 10Y yield drop below 3% and regained investment grade rating, quite a turnaround.</w:t>
      </w:r>
      <w:r>
        <w:t xml:space="preserve"> </w:t>
      </w:r>
      <w:r>
        <w:t xml:space="preserve">-</w:t>
      </w:r>
      <w:r>
        <w:t xml:space="preserve"> </w:t>
      </w:r>
      <w:r>
        <w:rPr>
          <w:b/>
          <w:bCs/>
        </w:rPr>
        <w:t xml:space="preserve">FX:</w:t>
      </w:r>
      <w:r>
        <w:t xml:space="preserve"> </w:t>
      </w:r>
      <w:r>
        <w:t xml:space="preserve">Euro +13% was a major contributor to USD returns. Pound +17% and Swiss franc +10% vs USD. A strong Europe often means a weaker USD typically, and that played out – partly interest diff-driven, partly risk sentiment.</w:t>
      </w:r>
      <w:r>
        <w:t xml:space="preserve"> </w:t>
      </w:r>
      <w:r>
        <w:t xml:space="preserve">-</w:t>
      </w:r>
      <w:r>
        <w:t xml:space="preserve"> </w:t>
      </w:r>
      <w:r>
        <w:rPr>
          <w:b/>
          <w:bCs/>
        </w:rPr>
        <w:t xml:space="preserve">Energy prices:</w:t>
      </w:r>
      <w:r>
        <w:t xml:space="preserve"> </w:t>
      </w:r>
      <w:r>
        <w:t xml:space="preserve">Europe's avoided crisis meant natural gas prices remained low, which ironically fed back into improving Europe's outlook and currency. Lower gas also meant Europe's trade balance improved more than expected, supporting EUR. Oil down helped Europe (net importer) more than U.S., another relative tailwind.</w:t>
      </w:r>
    </w:p>
    <w:p>
      <w:pPr>
        <w:pStyle w:val="BodyText"/>
      </w:pPr>
      <w:r>
        <w:rPr>
          <w:b/>
          <w:bCs/>
        </w:rPr>
        <w:t xml:space="preserve">Second-Order and Spillover Effects:</w:t>
      </w:r>
      <w:r>
        <w:t xml:space="preserve"> </w:t>
      </w:r>
      <w:r>
        <w:t xml:space="preserve">-</w:t>
      </w:r>
      <w:r>
        <w:t xml:space="preserve"> </w:t>
      </w:r>
      <w:r>
        <w:rPr>
          <w:b/>
          <w:bCs/>
        </w:rPr>
        <w:t xml:space="preserve">Geopolitical:</w:t>
      </w:r>
      <w:r>
        <w:t xml:space="preserve"> </w:t>
      </w:r>
      <w:r>
        <w:t xml:space="preserve">Europe’s stronger stance and rearmament enhanced NATO cohesion and likely deterred further Russian escalation (though war continued in Ukraine at reduced intensity, with Ukraine making incremental gains by year-end – not a total victory but momentum, which helped lift some geopolitical risk premium off Europe). Also, Europe's demonstration of unity (like the way it handled energy sharing in winter, and boosting defense) likely increased long-term confidence in the EU project.</w:t>
      </w:r>
      <w:r>
        <w:t xml:space="preserve"> </w:t>
      </w:r>
      <w:r>
        <w:t xml:space="preserve">-</w:t>
      </w:r>
      <w:r>
        <w:t xml:space="preserve"> </w:t>
      </w:r>
      <w:r>
        <w:rPr>
          <w:b/>
          <w:bCs/>
        </w:rPr>
        <w:t xml:space="preserve">Investment flows:</w:t>
      </w:r>
      <w:r>
        <w:t xml:space="preserve"> </w:t>
      </w:r>
      <w:r>
        <w:t xml:space="preserve">There’s evidence of structural flows shifting: U.S. investors, long underweight Europe, started reallocating. By Q4, surveys (e.g. BofA FMS) showed fund managers the most overweight European equities vs U.S. in over a decade, a radical change from early 2025 underweights. This momentum could carry into 2026 if performance persists.</w:t>
      </w:r>
      <w:r>
        <w:t xml:space="preserve"> </w:t>
      </w:r>
      <w:r>
        <w:t xml:space="preserve">-</w:t>
      </w:r>
      <w:r>
        <w:t xml:space="preserve"> </w:t>
      </w:r>
      <w:r>
        <w:rPr>
          <w:b/>
          <w:bCs/>
        </w:rPr>
        <w:t xml:space="preserve">Corporate and Consumer:</w:t>
      </w:r>
      <w:r>
        <w:t xml:space="preserve"> </w:t>
      </w:r>
      <w:r>
        <w:t xml:space="preserve">European corporates regained some pricing power as inflation came down but not wages fully (profit margins actually stabilized). Consumers, after real wage decline in 2022-24, got relief – by holiday 2025, Eurozone retail sales were growing again ~2% YoY, vs negative the prior year. This improved corporate revenue outlook, especially for discretionary sectors. The positive feedback of stronger currency also helped – cheaper imports eased cost pressures for European firms.</w:t>
      </w:r>
      <w:r>
        <w:t xml:space="preserve"> </w:t>
      </w:r>
      <w:r>
        <w:t xml:space="preserve">-</w:t>
      </w:r>
      <w:r>
        <w:t xml:space="preserve"> </w:t>
      </w:r>
      <w:r>
        <w:rPr>
          <w:b/>
          <w:bCs/>
        </w:rPr>
        <w:t xml:space="preserve">UK specifics:</w:t>
      </w:r>
      <w:r>
        <w:t xml:space="preserve"> </w:t>
      </w:r>
      <w:r>
        <w:t xml:space="preserve">The UK’s inflation fell from double-digits to ~3.5%. The BoE, late to the party, cut by Q4. The anticipated housing crash didn’t fully happen (house prices dipped ~5% off peak but stabilized as rates peaked). The UK economy ended up flat-to+1% growth, not a severe recession as feared. This contributed to UK stocks and sterling ripping higher (plus UK’s large commodity/financial exposure benefitted from global rally).</w:t>
      </w:r>
    </w:p>
    <w:p>
      <w:pPr>
        <w:pStyle w:val="BodyText"/>
      </w:pPr>
      <w:r>
        <w:rPr>
          <w:b/>
          <w:bCs/>
        </w:rPr>
        <w:t xml:space="preserve">Who Benefited / Who Suffered:</w:t>
      </w:r>
      <w:r>
        <w:t xml:space="preserve"> </w:t>
      </w:r>
      <w:r>
        <w:t xml:space="preserve">-</w:t>
      </w:r>
      <w:r>
        <w:t xml:space="preserve"> </w:t>
      </w:r>
      <w:r>
        <w:rPr>
          <w:i/>
          <w:iCs/>
        </w:rPr>
        <w:t xml:space="preserve">Benefited:</w:t>
      </w:r>
      <w:r>
        <w:t xml:space="preserve"> </w:t>
      </w:r>
      <w:r>
        <w:rPr>
          <w:b/>
          <w:bCs/>
        </w:rPr>
        <w:t xml:space="preserve">European equities broadly</w:t>
      </w:r>
      <w:r>
        <w:t xml:space="preserve"> </w:t>
      </w:r>
      <w:r>
        <w:t xml:space="preserve">– notably, previously undervalued sectors like financials (banks insurance), industrials, luxury goods (boosted also by China’s recovery).</w:t>
      </w:r>
      <w:r>
        <w:t xml:space="preserve"> </w:t>
      </w:r>
      <w:r>
        <w:rPr>
          <w:b/>
          <w:bCs/>
        </w:rPr>
        <w:t xml:space="preserve">European small/mid caps</w:t>
      </w:r>
      <w:r>
        <w:t xml:space="preserve"> </w:t>
      </w:r>
      <w:r>
        <w:t xml:space="preserve">had lagged for years; 2025 gave them a boost as domestic conditions improved. Also,</w:t>
      </w:r>
      <w:r>
        <w:t xml:space="preserve"> </w:t>
      </w:r>
      <w:r>
        <w:rPr>
          <w:b/>
          <w:bCs/>
        </w:rPr>
        <w:t xml:space="preserve">EMEA currencies</w:t>
      </w:r>
      <w:r>
        <w:t xml:space="preserve">: aside from EUR and GBP, Central/Eastern European currencies (Polish zloty, Hungarian forint) bounced back as their central banks cut rates after inflation eased, boosting local asset values.</w:t>
      </w:r>
      <w:r>
        <w:t xml:space="preserve"> </w:t>
      </w:r>
      <w:r>
        <w:rPr>
          <w:b/>
          <w:bCs/>
        </w:rPr>
        <w:t xml:space="preserve">European bonds</w:t>
      </w:r>
      <w:r>
        <w:t xml:space="preserve"> </w:t>
      </w:r>
      <w:r>
        <w:t xml:space="preserve">gave equity-like returns for maybe the first time since Euro inception – a balanced euro portfolio thrived.</w:t>
      </w:r>
      <w:r>
        <w:t xml:space="preserve"> </w:t>
      </w:r>
      <w:r>
        <w:t xml:space="preserve">- Indirectly,</w:t>
      </w:r>
      <w:r>
        <w:t xml:space="preserve"> </w:t>
      </w:r>
      <w:r>
        <w:rPr>
          <w:b/>
          <w:bCs/>
        </w:rPr>
        <w:t xml:space="preserve">U.S. and global companies selling to Europe</w:t>
      </w:r>
      <w:r>
        <w:t xml:space="preserve"> </w:t>
      </w:r>
      <w:r>
        <w:t xml:space="preserve">benefited from Europe's resilience. For example, U.S. multinationals (in consumer, manufacturing) often cited better European demand in H2 on earnings calls, which wasn’t expected.</w:t>
      </w:r>
      <w:r>
        <w:t xml:space="preserve"> </w:t>
      </w:r>
      <w:r>
        <w:t xml:space="preserve">-</w:t>
      </w:r>
      <w:r>
        <w:t xml:space="preserve"> </w:t>
      </w:r>
      <w:r>
        <w:rPr>
          <w:i/>
          <w:iCs/>
        </w:rPr>
        <w:t xml:space="preserve">Suffered:</w:t>
      </w:r>
      <w:r>
        <w:t xml:space="preserve"> </w:t>
      </w:r>
      <w:r>
        <w:t xml:space="preserve">Honestly, few obvious losers in this theme since it’s about positive surprise. Perhaps</w:t>
      </w:r>
      <w:r>
        <w:t xml:space="preserve"> </w:t>
      </w:r>
      <w:r>
        <w:rPr>
          <w:b/>
          <w:bCs/>
        </w:rPr>
        <w:t xml:space="preserve">investors who stayed underweight Europe</w:t>
      </w:r>
      <w:r>
        <w:t xml:space="preserve"> </w:t>
      </w:r>
      <w:r>
        <w:t xml:space="preserve">missed big gains – a “relative underperformance” for those clinging to the old narrative. Also,</w:t>
      </w:r>
      <w:r>
        <w:t xml:space="preserve"> </w:t>
      </w:r>
      <w:r>
        <w:rPr>
          <w:b/>
          <w:bCs/>
        </w:rPr>
        <w:t xml:space="preserve">energy traders</w:t>
      </w:r>
      <w:r>
        <w:t xml:space="preserve"> </w:t>
      </w:r>
      <w:r>
        <w:t xml:space="preserve">or companies that bet on another gas crisis lost out – EU utilities that had hedged for high prices or LNG suppliers expecting windfall found a normalizing market.</w:t>
      </w:r>
      <w:r>
        <w:t xml:space="preserve"> </w:t>
      </w:r>
      <w:r>
        <w:t xml:space="preserve">-</w:t>
      </w:r>
      <w:r>
        <w:t xml:space="preserve"> </w:t>
      </w:r>
      <w:r>
        <w:rPr>
          <w:b/>
          <w:bCs/>
        </w:rPr>
        <w:t xml:space="preserve">Inflation-linked bonds</w:t>
      </w:r>
      <w:r>
        <w:t xml:space="preserve"> </w:t>
      </w:r>
      <w:r>
        <w:t xml:space="preserve">in Europe underperformed nominal bonds since inflation surprise was downside – not a “loser” per se, but relative to nominals, linkers gave lower returns (German 10Y linker yields rose as break-evens fell).</w:t>
      </w:r>
      <w:r>
        <w:t xml:space="preserve"> </w:t>
      </w:r>
      <w:r>
        <w:t xml:space="preserve">- One could say</w:t>
      </w:r>
      <w:r>
        <w:t xml:space="preserve"> </w:t>
      </w:r>
      <w:r>
        <w:rPr>
          <w:b/>
          <w:bCs/>
        </w:rPr>
        <w:t xml:space="preserve">Russia</w:t>
      </w:r>
      <w:r>
        <w:t xml:space="preserve"> </w:t>
      </w:r>
      <w:r>
        <w:t xml:space="preserve">indirectly suffered: its strategy of using energy as leverage failed as Europe adapted, and low prices cut its export revenue further (compounded by war sanctions). So, macro adversaries of Europe lost leverage.</w:t>
      </w:r>
    </w:p>
    <w:p>
      <w:pPr>
        <w:pStyle w:val="BodyText"/>
      </w:pPr>
      <w:r>
        <w:rPr>
          <w:b/>
          <w:bCs/>
        </w:rPr>
        <w:t xml:space="preserve">Lessons for 2026:</w:t>
      </w:r>
      <w:r>
        <w:t xml:space="preserve"> </w:t>
      </w:r>
      <w:r>
        <w:t xml:space="preserve">1.</w:t>
      </w:r>
      <w:r>
        <w:t xml:space="preserve"> </w:t>
      </w:r>
      <w:r>
        <w:rPr>
          <w:b/>
          <w:bCs/>
        </w:rPr>
        <w:t xml:space="preserve">Don’t Count Europe Out:</w:t>
      </w:r>
      <w:r>
        <w:t xml:space="preserve"> </w:t>
      </w:r>
      <w:r>
        <w:t xml:space="preserve">The year taught that extremely negative consensus can set up big upside when conditions improve. For 2026, one should consider where consensus might be too pessimistic (perhaps UK further revival? Or maybe Europe's trajectory continues vs new gloom). It's a reminder to avoid permanent region biases – Europe’s structural issues are real but cyclical improvements and policy shifts can drive strong returns.</w:t>
      </w:r>
      <w:r>
        <w:t xml:space="preserve"> </w:t>
      </w:r>
      <w:r>
        <w:t xml:space="preserve">2.</w:t>
      </w:r>
      <w:r>
        <w:t xml:space="preserve"> </w:t>
      </w:r>
      <w:r>
        <w:rPr>
          <w:b/>
          <w:bCs/>
        </w:rPr>
        <w:t xml:space="preserve">Policy Regime Shift Impact:</w:t>
      </w:r>
      <w:r>
        <w:t xml:space="preserve"> </w:t>
      </w:r>
      <w:r>
        <w:t xml:space="preserve">Europe’s willingness to spend (break taboos on defense and deficits) changed outcomes. 2026 likely sees continued higher defense spend (NATO pushing 2% GDP targets) and maybe EU’s fiscal rules revamped for flexibility. This suggests a more domestically supportive policy stance than the austerity era – bullish for European domestic plays (banks, construction, etc.). But long-term, higher debt might become an issue post-2026; for now, market is forgiving.</w:t>
      </w:r>
      <w:r>
        <w:t xml:space="preserve"> </w:t>
      </w:r>
      <w:r>
        <w:t xml:space="preserve">3.</w:t>
      </w:r>
      <w:r>
        <w:t xml:space="preserve"> </w:t>
      </w:r>
      <w:r>
        <w:rPr>
          <w:b/>
          <w:bCs/>
        </w:rPr>
        <w:t xml:space="preserve">Energy Resilience:</w:t>
      </w:r>
      <w:r>
        <w:t xml:space="preserve"> </w:t>
      </w:r>
      <w:r>
        <w:t xml:space="preserve">Europe’s energy crisis management (diversify gas supply, invest in LNG, renewables) worked. 2026 lesson: energy vulnerability can be mitigated faster than expected by policy and mild weather luck. Still, scenario analysis should include what if 2026 winter is severe or some shock (e.g. sabotage of infrastructure). But given increased storage and renewables, Europe's energy risk is reduced relative to 2022. That means lower macro tail risk premium for Europe going forward.</w:t>
      </w:r>
      <w:r>
        <w:t xml:space="preserve"> </w:t>
      </w:r>
      <w:r>
        <w:t xml:space="preserve">4.</w:t>
      </w:r>
      <w:r>
        <w:t xml:space="preserve"> </w:t>
      </w:r>
      <w:r>
        <w:rPr>
          <w:b/>
          <w:bCs/>
        </w:rPr>
        <w:t xml:space="preserve">Currency Moves Are Key for Returns:</w:t>
      </w:r>
      <w:r>
        <w:t xml:space="preserve"> </w:t>
      </w:r>
      <w:r>
        <w:t xml:space="preserve">2025’s euro and pound surge massively boosted USD-based investors’ returns. For 2026, one should manage FX exposure actively. If one expects U.S. slowdown and further Fed cuts, euro could strengthen more – hedging USD might be wise for U.S. investors abroad. Conversely, if things reverse (say Europe stumbles, Fed stays firmer), currency could reverse too. FX can make or break cross-regional allocation results.</w:t>
      </w:r>
      <w:r>
        <w:t xml:space="preserve"> </w:t>
      </w:r>
      <w:r>
        <w:t xml:space="preserve">5.</w:t>
      </w:r>
      <w:r>
        <w:t xml:space="preserve"> </w:t>
      </w:r>
      <w:r>
        <w:rPr>
          <w:b/>
          <w:bCs/>
        </w:rPr>
        <w:t xml:space="preserve">Geopolitical tailwinds and headwinds:</w:t>
      </w:r>
      <w:r>
        <w:t xml:space="preserve"> </w:t>
      </w:r>
      <w:r>
        <w:t xml:space="preserve">Europe's bounce was aided by something normally unthinkable: war on its soil ironically spurred unity, fiscal expansion, and relief (as worst-case outcomes like broader war or energy collapse didn’t occur). For 2026, war end or continuation will matter. A potential Ukraine peace or ceasefire in 2026 would be a further boon to Europe (reconstruction contracts, risk premium drop, maybe some sanctions easing boosting trade). Conversely, escalation (though unlikely given Russia’s attrition) would be a risk. European markets would react significantly to either scenario, so monitoring that is crucial.</w:t>
      </w:r>
      <w:r>
        <w:t xml:space="preserve"> </w:t>
      </w:r>
      <w:r>
        <w:t xml:space="preserve">6.</w:t>
      </w:r>
      <w:r>
        <w:t xml:space="preserve"> </w:t>
      </w:r>
      <w:r>
        <w:rPr>
          <w:b/>
          <w:bCs/>
        </w:rPr>
        <w:t xml:space="preserve">Relative Value &amp; Rotation:</w:t>
      </w:r>
      <w:r>
        <w:t xml:space="preserve"> </w:t>
      </w:r>
      <w:r>
        <w:t xml:space="preserve">With Europe now having outperformed and valuations not as dirt-cheap, one 2026 question: does leadership revert to U.S./tech or continue non-U.S.? Historically, these cycles have multi-year legs, so perhaps 2026 could still favor international. But one must watch if the factors behind Europe’s outperformance (ECB easier than Fed, better inflation drop, undervaluation) persist or fade. Keep flexible if signs point to rotation back. As the BlackRock commentary suggests, 2025 taught mega-forces can trump macro; Europe's structural pivot is one such mega-force (rearmament, transition) that could carry through if not disrupted.</w:t>
      </w:r>
    </w:p>
    <w:p>
      <w:pPr>
        <w:pStyle w:val="BodyText"/>
      </w:pPr>
      <w:r>
        <w:rPr>
          <w:b/>
          <w:bCs/>
        </w:rPr>
        <w:t xml:space="preserve">Deep Dive Lesson:</w:t>
      </w:r>
      <w:r>
        <w:t xml:space="preserve"> </w:t>
      </w:r>
      <w:r>
        <w:rPr>
          <w:i/>
          <w:iCs/>
        </w:rPr>
        <w:t xml:space="preserve">The European story of 2025 highlights how quickly sentiment can shift when macro fundamentals improve and policy adapts.</w:t>
      </w:r>
      <w:r>
        <w:t xml:space="preserve"> </w:t>
      </w:r>
      <w:r>
        <w:t xml:space="preserve">For 2026, investors should remain open-minded about regions previously dismissed – the pendulum can swing. Europe's case also underscores that</w:t>
      </w:r>
      <w:r>
        <w:t xml:space="preserve"> </w:t>
      </w:r>
      <w:r>
        <w:rPr>
          <w:b/>
          <w:bCs/>
        </w:rPr>
        <w:t xml:space="preserve">inflation coming down can be a huge bullish catalyst</w:t>
      </w:r>
      <w:r>
        <w:t xml:space="preserve"> </w:t>
      </w:r>
      <w:r>
        <w:t xml:space="preserve">(for bonds, consumers, and ultimately stocks). So, looking ahead, identifying where inflation might fall faster than expected (maybe UK further, or parts of EM) could be a key source of outperformance, much as it was for Europe in 2025.</w:t>
      </w:r>
    </w:p>
    <w:p>
      <w:r>
        <w:pict>
          <v:rect style="width:0;height:1.5pt" o:hralign="center" o:hrstd="t" o:hr="t"/>
        </w:pict>
      </w:r>
    </w:p>
    <w:bookmarkEnd w:id="48"/>
    <w:bookmarkStart w:id="49" w:name="Xadf4215b9f0e9f360c8af52f64af2f0c296cc48"/>
    <w:p>
      <w:pPr>
        <w:pStyle w:val="Heading3"/>
      </w:pPr>
      <w:r>
        <w:rPr>
          <w:b/>
          <w:bCs/>
        </w:rPr>
        <w:t xml:space="preserve">4. The U.S. Yield Curve and Term Premium Regime Shift – From Inversion to Steepening</w:t>
      </w:r>
    </w:p>
    <w:p>
      <w:pPr>
        <w:pStyle w:val="FirstParagraph"/>
      </w:pPr>
      <w:r>
        <w:rPr>
          <w:b/>
          <w:bCs/>
        </w:rPr>
        <w:t xml:space="preserve">Start-of-Year Consensus:</w:t>
      </w:r>
      <w:r>
        <w:t xml:space="preserve"> </w:t>
      </w:r>
      <w:r>
        <w:t xml:space="preserve">Coming into 2025, the U.S. yield curve was deeply inverted (about –50 to –70 bps 2s/10s) – historically a recession signal. Consensus in bond markets expected the curve to remain inverted until the Fed actively cut rates, likely late 2025. Many believed long-term yields would stay relatively anchored around 3.5–4% given peaking inflation but also persistent Fed QT and high issuance; few anticipated a dramatic drop. Additionally, after 2024’s blowout in term premium (long rates rising sharply in late 2024), consensus thought term premium would stay elevated due to huge Treasury supply and Fed QT. Some banks forecast 10Y yields could even breach 5% if deficits stayed large. So baseline was mild steepening only in H2 after maybe 1-2 Fed cuts; nothing drastic. Also, consensus saw an eventual recession pushing all yields down eventually (bull steepener later perhaps). Essentially, no one was betting on a</w:t>
      </w:r>
      <w:r>
        <w:t xml:space="preserve"> </w:t>
      </w:r>
      <w:r>
        <w:rPr>
          <w:i/>
          <w:iCs/>
        </w:rPr>
        <w:t xml:space="preserve">near-term</w:t>
      </w:r>
      <w:r>
        <w:t xml:space="preserve"> </w:t>
      </w:r>
      <w:r>
        <w:t xml:space="preserve">bull steepening without a recession.</w:t>
      </w:r>
    </w:p>
    <w:p>
      <w:pPr>
        <w:pStyle w:val="BodyText"/>
      </w:pPr>
      <w:r>
        <w:rPr>
          <w:b/>
          <w:bCs/>
        </w:rPr>
        <w:t xml:space="preserve">What Actually Happened:</w:t>
      </w:r>
      <w:r>
        <w:t xml:space="preserve"> </w:t>
      </w:r>
      <w:r>
        <w:t xml:space="preserve">The curve underwent a</w:t>
      </w:r>
      <w:r>
        <w:t xml:space="preserve"> </w:t>
      </w:r>
      <w:r>
        <w:rPr>
          <w:b/>
          <w:bCs/>
        </w:rPr>
        <w:t xml:space="preserve">rapid re-steepening in the second half</w:t>
      </w:r>
      <w:r>
        <w:t xml:space="preserve"> </w:t>
      </w:r>
      <w:r>
        <w:t xml:space="preserve">of 2025, well before a recession (which never came in 2025). Two dynamics coincided: (1) the Fed pivot and subsequent rate cuts pulled short-term yields lower; (2) long-term yields, which had spiked earlier,</w:t>
      </w:r>
      <w:r>
        <w:t xml:space="preserve"> </w:t>
      </w:r>
      <w:r>
        <w:rPr>
          <w:i/>
          <w:iCs/>
        </w:rPr>
        <w:t xml:space="preserve">fell</w:t>
      </w:r>
      <w:r>
        <w:t xml:space="preserve"> </w:t>
      </w:r>
      <w:r>
        <w:t xml:space="preserve">in late 2025 as inflation fears abated and global demand for Treasuries picked up. By Dec 2025, the 2Y yield ~3.47% was well below the 10Y ~4.16% – the curve regained a positive slope of about +70 bps (from –70 bps a year earlier). This was one of the fastest un-inversions on record. Importantly, it happened not via a recession (which normally collapses short rates) but via a soft landing scenario.</w:t>
      </w:r>
    </w:p>
    <w:p>
      <w:pPr>
        <w:pStyle w:val="BodyText"/>
      </w:pPr>
      <w:r>
        <w:rPr>
          <w:b/>
          <w:bCs/>
        </w:rPr>
        <w:t xml:space="preserve">Term premium</w:t>
      </w:r>
      <w:r>
        <w:t xml:space="preserve">: After surging in 2024 (estimates put 10Y term premium at +100 bps by late-2024), it actually</w:t>
      </w:r>
      <w:r>
        <w:t xml:space="preserve"> </w:t>
      </w:r>
      <w:r>
        <w:rPr>
          <w:b/>
          <w:bCs/>
        </w:rPr>
        <w:t xml:space="preserve">declined in 2025</w:t>
      </w:r>
      <w:r>
        <w:t xml:space="preserve">. By Q4, term premium estimates (ACM model) were maybe ~0.50% or lower. So investors were once again willing to hold long bonds at yields closer to expected short rate averages, because uncertainty around inflation dropped. This reversal of term premium was a regime shift – after a year where “fiscal term premium” was a buzzword, 2025 saw it partly tamed.</w:t>
      </w:r>
    </w:p>
    <w:p>
      <w:pPr>
        <w:pStyle w:val="BodyText"/>
      </w:pPr>
      <w:r>
        <w:rPr>
          <w:b/>
          <w:bCs/>
        </w:rPr>
        <w:t xml:space="preserve">Data Evidence:</w:t>
      </w:r>
      <w:r>
        <w:t xml:space="preserve"> </w:t>
      </w:r>
      <w:r>
        <w:t xml:space="preserve">-</w:t>
      </w:r>
      <w:r>
        <w:t xml:space="preserve"> </w:t>
      </w:r>
      <w:r>
        <w:rPr>
          <w:b/>
          <w:bCs/>
        </w:rPr>
        <w:t xml:space="preserve">Fed Cuts vs Long Yields:</w:t>
      </w:r>
      <w:r>
        <w:t xml:space="preserve"> </w:t>
      </w:r>
      <w:r>
        <w:t xml:space="preserve">The Fed cut rates 3 times (Sep, Nov, Dec), totaling –75 bps. The 2Y yield closely tracks Fed expectations: indeed it fell from ~4.5% in July to ~3.5% by Dec, incorporating both delivered cuts and anticipation of further (the market priced ~2% Fed funds by end-2026). Meanwhile the 10Y yield went on a round trip: started ~3.9% Jan, rose to ~4.8% in Oct (amid high term premium due to fiscal and late cycle concerns), then fell back to ~4.16% Dec. That end level is only modestly above the start, meaning a lot of noise in between. The end steepness was thus largely from front-end dropping.</w:t>
      </w:r>
      <w:r>
        <w:t xml:space="preserve"> </w:t>
      </w:r>
      <w:r>
        <w:t xml:space="preserve">-</w:t>
      </w:r>
      <w:r>
        <w:t xml:space="preserve"> </w:t>
      </w:r>
      <w:r>
        <w:rPr>
          <w:b/>
          <w:bCs/>
        </w:rPr>
        <w:t xml:space="preserve">Market Pricing of Term Premium:</w:t>
      </w:r>
      <w:r>
        <w:t xml:space="preserve"> </w:t>
      </w:r>
      <w:r>
        <w:t xml:space="preserve">The Treasury’s refunding statements and Fed analysis indicated liquidity measures improved and volatility fell, which generally correlate with lower term premium. Indeed, 10Y yield volatility (MOVE) subsiding by Q4 likely enticed investors (domestic and foreign) back into long Treasuries.</w:t>
      </w:r>
      <w:r>
        <w:t xml:space="preserve"> </w:t>
      </w:r>
      <w:r>
        <w:t xml:space="preserve">-</w:t>
      </w:r>
      <w:r>
        <w:t xml:space="preserve"> </w:t>
      </w:r>
      <w:r>
        <w:rPr>
          <w:b/>
          <w:bCs/>
        </w:rPr>
        <w:t xml:space="preserve">Treasury Demand:</w:t>
      </w:r>
      <w:r>
        <w:t xml:space="preserve"> </w:t>
      </w:r>
      <w:r>
        <w:t xml:space="preserve">Bid-to-cover ratios at auctions rose in H2 vs H1, indicating healthier demand – e.g., the 10Y auction in Nov had a BTC of 2.6, up from ~2.3 earlier in year. Indirect bidders (foreign) took &gt;70% of some longer maturities, a sign of global appetite returning as yields were attractive and dollar weakening made FX-hedged yields appealing. The Fed’s own Liberty Street blog found that after April’s turmoil, liquidity improved and “depth recovered by late summer 2025”, meaning market function normalized which probably helped term premium ease.</w:t>
      </w:r>
      <w:r>
        <w:t xml:space="preserve"> </w:t>
      </w:r>
      <w:r>
        <w:t xml:space="preserve">-</w:t>
      </w:r>
      <w:r>
        <w:t xml:space="preserve"> </w:t>
      </w:r>
      <w:r>
        <w:rPr>
          <w:b/>
          <w:bCs/>
        </w:rPr>
        <w:t xml:space="preserve">Deficit and Fiscal News:</w:t>
      </w:r>
      <w:r>
        <w:t xml:space="preserve"> </w:t>
      </w:r>
      <w:r>
        <w:t xml:space="preserve">Paradoxically, despite huge U.S. deficits and record issuance, long yields did not blow out further – a surprise to many. One reason: the Treasury implemented buybacks to support liquidity. Another: global context (disinflation, dovish Fed) dominated the supply story. Fitch’s U.S. credit rating downgrade happened in Aug 2023; by 2025, there was no new shock like that. And by late 2025, albeit deficits still large, the fiscal stance’s negative effect on yields was mitigated by market’s view that inflation is under control (so maybe Fed can help if needed, or growth will stay moderate).</w:t>
      </w:r>
      <w:r>
        <w:t xml:space="preserve"> </w:t>
      </w:r>
      <w:r>
        <w:t xml:space="preserve">-</w:t>
      </w:r>
      <w:r>
        <w:t xml:space="preserve"> </w:t>
      </w:r>
      <w:r>
        <w:rPr>
          <w:b/>
          <w:bCs/>
        </w:rPr>
        <w:t xml:space="preserve">Breakevens and Real Yields:</w:t>
      </w:r>
      <w:r>
        <w:t xml:space="preserve"> </w:t>
      </w:r>
      <w:r>
        <w:t xml:space="preserve">The 10Y breakeven (market inflation expectation) fell from ~2.5% to ~2.3%, reflecting credibility in disinflation. The 10Y real yield (TIPS yield) peaked ~2.2% mid-year then fell to ~1.6% by Dec. So, both components contributed to yield decline – lower real yields (on Fed easing) and slightly lower inflation expectations – a friendly mix for bonds.</w:t>
      </w:r>
    </w:p>
    <w:p>
      <w:pPr>
        <w:pStyle w:val="BodyText"/>
      </w:pPr>
      <w:r>
        <w:rPr>
          <w:b/>
          <w:bCs/>
        </w:rPr>
        <w:t xml:space="preserve">Cross-Asset and Real Economy Implications:</w:t>
      </w:r>
      <w:r>
        <w:t xml:space="preserve"> </w:t>
      </w:r>
      <w:r>
        <w:t xml:space="preserve">-</w:t>
      </w:r>
      <w:r>
        <w:t xml:space="preserve"> </w:t>
      </w:r>
      <w:r>
        <w:rPr>
          <w:b/>
          <w:bCs/>
        </w:rPr>
        <w:t xml:space="preserve">Equities via Discount Rate:</w:t>
      </w:r>
      <w:r>
        <w:t xml:space="preserve"> </w:t>
      </w:r>
      <w:r>
        <w:t xml:space="preserve">The steepening yield curve, especially as it came with falling yields outright, was positive for equities. Lower short rates reduced cash attractiveness and fed into stock valuations (growth stocks particularly liked the late-year drop in real yields). The reduction in yield curve inversion also signaled reduced recession odds, boosting cyclicals. Bank stocks especially benefited: yield curve steepening is directly good for bank margins (borrow short, lend long). Indeed U.S. banks (KRE regional bank ETF) bounced ~+20% from summer lows as steepening took hold, after the SVB crisis earlier hammered them.</w:t>
      </w:r>
      <w:r>
        <w:t xml:space="preserve"> </w:t>
      </w:r>
      <w:r>
        <w:t xml:space="preserve">-</w:t>
      </w:r>
      <w:r>
        <w:t xml:space="preserve"> </w:t>
      </w:r>
      <w:r>
        <w:rPr>
          <w:b/>
          <w:bCs/>
        </w:rPr>
        <w:t xml:space="preserve">Credit spreads:</w:t>
      </w:r>
      <w:r>
        <w:t xml:space="preserve"> </w:t>
      </w:r>
      <w:r>
        <w:t xml:space="preserve">Lower yields and easing recession fears compressed spreads. Also, steepening reduces pressure on leveraged institutions that borrow short/lend long (banks, carry trades). It likely contributed to stable funding conditions and more credit creation – by late 2025 we saw slight uptick in loan growth after stagnation earlier.</w:t>
      </w:r>
      <w:r>
        <w:t xml:space="preserve"> </w:t>
      </w:r>
      <w:r>
        <w:t xml:space="preserve">-</w:t>
      </w:r>
      <w:r>
        <w:t xml:space="preserve"> </w:t>
      </w:r>
      <w:r>
        <w:rPr>
          <w:b/>
          <w:bCs/>
        </w:rPr>
        <w:t xml:space="preserve">Housing market:</w:t>
      </w:r>
      <w:r>
        <w:t xml:space="preserve"> </w:t>
      </w:r>
      <w:r>
        <w:t xml:space="preserve">The drop in mortgage rates (30y fixed from ~7.5% in Oct to ~6.5% by Dec) thanks to long yields falling breathed some life into housing – mortgage applications ticked up and homebuilder stocks rallied ~+15% Q4. Thus steepening aided interest-sensitive sectors.</w:t>
      </w:r>
      <w:r>
        <w:t xml:space="preserve"> </w:t>
      </w:r>
      <w:r>
        <w:t xml:space="preserve">-</w:t>
      </w:r>
      <w:r>
        <w:t xml:space="preserve"> </w:t>
      </w:r>
      <w:r>
        <w:rPr>
          <w:b/>
          <w:bCs/>
        </w:rPr>
        <w:t xml:space="preserve">Financial Conditions Overall:</w:t>
      </w:r>
      <w:r>
        <w:t xml:space="preserve"> </w:t>
      </w:r>
      <w:r>
        <w:t xml:space="preserve">The combination of Fed cuts and yield curve normalization caused U.S. financial conditions indices (e.g. Goldman’s FCI) to ease to their loosest since early 2022. That is stimulative for the economy – part of why soft landing remained plausible. So ironically, the yield curve’s behavior which initially flagged recession ended up helping prevent one by easing credit conditions in time.</w:t>
      </w:r>
      <w:r>
        <w:t xml:space="preserve"> </w:t>
      </w:r>
      <w:r>
        <w:t xml:space="preserve">-</w:t>
      </w:r>
      <w:r>
        <w:t xml:space="preserve"> </w:t>
      </w:r>
      <w:r>
        <w:rPr>
          <w:b/>
          <w:bCs/>
        </w:rPr>
        <w:t xml:space="preserve">Dollar Impact:</w:t>
      </w:r>
      <w:r>
        <w:t xml:space="preserve"> </w:t>
      </w:r>
      <w:r>
        <w:t xml:space="preserve">As yield differentials vs. Europe shrank (2Y UST minus 2Y Bund fell by ~100 bps over year), the dollar weakened. That was part of broad DXY down ~9%. Weaker dollar fed back into lower imported inflation, aiding the bond bull case further – a reinforcing loop.</w:t>
      </w:r>
    </w:p>
    <w:p>
      <w:pPr>
        <w:pStyle w:val="BodyText"/>
      </w:pPr>
      <w:r>
        <w:rPr>
          <w:b/>
          <w:bCs/>
        </w:rPr>
        <w:t xml:space="preserve">Who Benefited / Suffered:</w:t>
      </w:r>
      <w:r>
        <w:t xml:space="preserve"> </w:t>
      </w:r>
      <w:r>
        <w:t xml:space="preserve">-</w:t>
      </w:r>
      <w:r>
        <w:t xml:space="preserve"> </w:t>
      </w:r>
      <w:r>
        <w:rPr>
          <w:i/>
          <w:iCs/>
        </w:rPr>
        <w:t xml:space="preserve">Benefited:</w:t>
      </w:r>
      <w:r>
        <w:t xml:space="preserve"> </w:t>
      </w:r>
      <w:r>
        <w:rPr>
          <w:b/>
          <w:bCs/>
        </w:rPr>
        <w:t xml:space="preserve">Bondholders big-time.</w:t>
      </w:r>
      <w:r>
        <w:t xml:space="preserve"> </w:t>
      </w:r>
      <w:r>
        <w:t xml:space="preserve">Balanced portfolios had a banner year because bonds provided strong returns (the Bloomberg U.S. Agg +7.5%, USTs +8%) after the worst bond bear in decades prior. The steepening specifically benefited those in steepener trades (some macro funds had yield curve steepeners on expecting Fed cuts; they profited as the curve steepened more than expected).</w:t>
      </w:r>
      <w:r>
        <w:t xml:space="preserve"> </w:t>
      </w:r>
      <w:r>
        <w:rPr>
          <w:b/>
          <w:bCs/>
        </w:rPr>
        <w:t xml:space="preserve">Banks and financials</w:t>
      </w:r>
      <w:r>
        <w:t xml:space="preserve"> </w:t>
      </w:r>
      <w:r>
        <w:t xml:space="preserve">as mentioned saw improved margins outlook and stock gains from steepening.</w:t>
      </w:r>
      <w:r>
        <w:t xml:space="preserve"> </w:t>
      </w:r>
      <w:r>
        <w:rPr>
          <w:b/>
          <w:bCs/>
        </w:rPr>
        <w:t xml:space="preserve">Emerging markets</w:t>
      </w:r>
      <w:r>
        <w:t xml:space="preserve"> </w:t>
      </w:r>
      <w:r>
        <w:t xml:space="preserve">also benefited: a less-inverted U.S. curve and lower U.S. rates spurred flows into high-yield EM where curves were steep and now even more attractive carry. For example, EM local debt had ~19% USD return</w:t>
      </w:r>
      <w:r>
        <w:br/>
      </w:r>
      <w:r>
        <w:t xml:space="preserve">, propelled by currency gains partly due to the Fed’s shift. Countries like Japan gained via currency – yen’s weakness paused in mid-year as UST yields peaked and then yen stabilized somewhat (though yen still ended flat vs USD).</w:t>
      </w:r>
      <w:r>
        <w:t xml:space="preserve"> </w:t>
      </w:r>
      <w:r>
        <w:t xml:space="preserve">-</w:t>
      </w:r>
      <w:r>
        <w:t xml:space="preserve"> </w:t>
      </w:r>
      <w:r>
        <w:rPr>
          <w:i/>
          <w:iCs/>
        </w:rPr>
        <w:t xml:space="preserve">Suffered:</w:t>
      </w:r>
      <w:r>
        <w:t xml:space="preserve"> </w:t>
      </w:r>
      <w:r>
        <w:rPr>
          <w:b/>
          <w:bCs/>
        </w:rPr>
        <w:t xml:space="preserve">Liability-driven investors</w:t>
      </w:r>
      <w:r>
        <w:t xml:space="preserve"> </w:t>
      </w:r>
      <w:r>
        <w:t xml:space="preserve">ironically face challenges in steepening because previous mark-to-market hit on liabilities can reverse (pension liabilities up as long yields down). But many corporate pensions had de-risked at high rates, so not a major issue. Perhaps</w:t>
      </w:r>
      <w:r>
        <w:t xml:space="preserve"> </w:t>
      </w:r>
      <w:r>
        <w:rPr>
          <w:b/>
          <w:bCs/>
        </w:rPr>
        <w:t xml:space="preserve">trend-followers</w:t>
      </w:r>
      <w:r>
        <w:t xml:space="preserve"> </w:t>
      </w:r>
      <w:r>
        <w:t xml:space="preserve">who were short bonds in H1 got hurt when yields reversed down in H2 – e.g. CTAs that were short USTs had to cover and may have taken losses. The yield curve steepening also</w:t>
      </w:r>
      <w:r>
        <w:t xml:space="preserve"> </w:t>
      </w:r>
      <w:r>
        <w:rPr>
          <w:b/>
          <w:bCs/>
        </w:rPr>
        <w:t xml:space="preserve">hurt those betting on recession</w:t>
      </w:r>
      <w:r>
        <w:t xml:space="preserve">: e.g., some hedge funds short cyclicals/long defensives underperformed as yield curve steepening belied their recession thesis.</w:t>
      </w:r>
      <w:r>
        <w:t xml:space="preserve"> </w:t>
      </w:r>
      <w:r>
        <w:t xml:space="preserve">- Specifically, any investor long front-end Treasuries relative to long-end (expecting inversion to persist or deepen) lost relative value; e.g. a popular trade early 2025 was long 2Y notes vs short 10Y (carry trade on inversion). As steepening occurred, that trade would lose. Those who pivoted to steepeners early did well, those who clung to inversion trades got squeezed.</w:t>
      </w:r>
      <w:r>
        <w:t xml:space="preserve"> </w:t>
      </w:r>
      <w:r>
        <w:t xml:space="preserve">-</w:t>
      </w:r>
      <w:r>
        <w:t xml:space="preserve"> </w:t>
      </w:r>
      <w:r>
        <w:rPr>
          <w:b/>
          <w:bCs/>
        </w:rPr>
        <w:t xml:space="preserve">Dollar bulls</w:t>
      </w:r>
      <w:r>
        <w:t xml:space="preserve"> </w:t>
      </w:r>
      <w:r>
        <w:t xml:space="preserve">lost, as yield moves undermined USD carry advantage (though that’s more FX-specific).</w:t>
      </w:r>
    </w:p>
    <w:p>
      <w:pPr>
        <w:pStyle w:val="BodyText"/>
      </w:pPr>
      <w:r>
        <w:rPr>
          <w:b/>
          <w:bCs/>
        </w:rPr>
        <w:t xml:space="preserve">Lessons for 2026:</w:t>
      </w:r>
      <w:r>
        <w:t xml:space="preserve"> </w:t>
      </w:r>
      <w:r>
        <w:t xml:space="preserve">1.</w:t>
      </w:r>
      <w:r>
        <w:t xml:space="preserve"> </w:t>
      </w:r>
      <w:r>
        <w:rPr>
          <w:b/>
          <w:bCs/>
        </w:rPr>
        <w:t xml:space="preserve">Yield Curve as a Signal vs Policy Impact:</w:t>
      </w:r>
      <w:r>
        <w:t xml:space="preserve"> </w:t>
      </w:r>
      <w:r>
        <w:t xml:space="preserve">2025 showed the yield curve can steepen without a recession if the central bank orchestrates a soft landing. The inversion’s ominous signal did not translate into a downturn yet. For 2026, don’t mechanically assume inversion = imminent recession; consider context (Fed easing proactively, inflation falling, etc.). The yield curve may now be a less reliable timing tool given unprecedented factors (QE, global forces).</w:t>
      </w:r>
      <w:r>
        <w:t xml:space="preserve"> </w:t>
      </w:r>
      <w:r>
        <w:t xml:space="preserve">2.</w:t>
      </w:r>
      <w:r>
        <w:t xml:space="preserve"> </w:t>
      </w:r>
      <w:r>
        <w:rPr>
          <w:b/>
          <w:bCs/>
        </w:rPr>
        <w:t xml:space="preserve">Term Premium Drivers:</w:t>
      </w:r>
      <w:r>
        <w:t xml:space="preserve"> </w:t>
      </w:r>
      <w:r>
        <w:t xml:space="preserve">Fiscal concerns alone didn’t keep yields high once inflation fell and global liquidity conditions improved. 2026 will test if term premium stays moderate or resurgent: watch factors like Treasury issuance trajectory, BoJ policy (if BoJ buys fewer USTs, could push term prem), and global growth/inflation expectations. For now, low term premia reflect confidence in inflation staying contained; if that confidence wavers, long yields could spike again. Hedging tail risk of another term premium spike (like in 2024) might be prudent – e.g. if deficits remain massive and Fed stops cuts, could term prem rise? Possibly, though 2025 suggests maybe not quickly.</w:t>
      </w:r>
      <w:r>
        <w:t xml:space="preserve"> </w:t>
      </w:r>
      <w:r>
        <w:t xml:space="preserve">3.</w:t>
      </w:r>
      <w:r>
        <w:t xml:space="preserve"> </w:t>
      </w:r>
      <w:r>
        <w:rPr>
          <w:b/>
          <w:bCs/>
        </w:rPr>
        <w:t xml:space="preserve">Investment Implication of Steeper Curve:</w:t>
      </w:r>
      <w:r>
        <w:t xml:space="preserve"> </w:t>
      </w:r>
      <w:r>
        <w:t xml:space="preserve">A normalized yield curve means banks can lend profitably again; credit flow might improve. Thus, if steepness persists or grows, consider overweighting financials and maybe small caps (which benefit from better domestic credit conditions). Conversely, if steepness came mainly from short rates down, that's supportive for growth stocks (which happened in 2025). In 2026, if steepening continues via long rates rising instead (bear steepener scenario due to e.g. inflation comeback), that’s a different environment (bad for tech/growth, risk-off likely). So one lesson: differentiate</w:t>
      </w:r>
      <w:r>
        <w:t xml:space="preserve"> </w:t>
      </w:r>
      <w:r>
        <w:rPr>
          <w:i/>
          <w:iCs/>
        </w:rPr>
        <w:t xml:space="preserve">bull steepener</w:t>
      </w:r>
      <w:r>
        <w:t xml:space="preserve"> </w:t>
      </w:r>
      <w:r>
        <w:t xml:space="preserve">(cuts with contained inflation – good for risk assets broadly) vs</w:t>
      </w:r>
      <w:r>
        <w:t xml:space="preserve"> </w:t>
      </w:r>
      <w:r>
        <w:rPr>
          <w:i/>
          <w:iCs/>
        </w:rPr>
        <w:t xml:space="preserve">bear steepener</w:t>
      </w:r>
      <w:r>
        <w:t xml:space="preserve"> </w:t>
      </w:r>
      <w:r>
        <w:t xml:space="preserve">(inflation up, long yields up – likely risk-off).</w:t>
      </w:r>
      <w:r>
        <w:t xml:space="preserve"> </w:t>
      </w:r>
      <w:r>
        <w:t xml:space="preserve">4.</w:t>
      </w:r>
      <w:r>
        <w:t xml:space="preserve"> </w:t>
      </w:r>
      <w:r>
        <w:rPr>
          <w:b/>
          <w:bCs/>
        </w:rPr>
        <w:t xml:space="preserve">Global Impact of Fed Easing:</w:t>
      </w:r>
      <w:r>
        <w:t xml:space="preserve"> </w:t>
      </w:r>
      <w:r>
        <w:t xml:space="preserve">The Fed pivot removed a strong dollar/yield headwind on EM and risk assets. 2026 will likely see the Fed continuing cuts (if soft landing transitions to sluggish growth). Historically, Fed easing cycles often weaken USD and support EM – 2025 validated that. So maintain some EM/local currency exposure if Fed easing is ongoing; conversely, if Fed were to halt cuts unexpectedly (say inflation flares), that could reverse EM fortunes quickly, so remain nimble.</w:t>
      </w:r>
      <w:r>
        <w:t xml:space="preserve"> </w:t>
      </w:r>
      <w:r>
        <w:t xml:space="preserve">5.</w:t>
      </w:r>
      <w:r>
        <w:t xml:space="preserve"> </w:t>
      </w:r>
      <w:r>
        <w:rPr>
          <w:b/>
          <w:bCs/>
        </w:rPr>
        <w:t xml:space="preserve">Use yield curve in strategy:</w:t>
      </w:r>
      <w:r>
        <w:t xml:space="preserve"> </w:t>
      </w:r>
      <w:r>
        <w:t xml:space="preserve">In 2025, going from inversion to steepness delivered outsized bond returns. For 2026, yield curve positioning could be an opportunity again – e.g., if steepening overshoots to very steep (could happen if Fed has cut a lot but long yields sticky), one might position for flattening eventually (especially if a late 2026 recession then materializes – yield curve might flatten/invert slightly again). Thus, yield curve trades remain a key macro lever in portfolios, not just a recession indicator.</w:t>
      </w:r>
      <w:r>
        <w:t xml:space="preserve"> </w:t>
      </w:r>
      <w:r>
        <w:t xml:space="preserve">6.</w:t>
      </w:r>
      <w:r>
        <w:t xml:space="preserve"> </w:t>
      </w:r>
      <w:r>
        <w:rPr>
          <w:b/>
          <w:bCs/>
        </w:rPr>
        <w:t xml:space="preserve">Don’t Underestimate Policy:</w:t>
      </w:r>
      <w:r>
        <w:t xml:space="preserve"> </w:t>
      </w:r>
      <w:r>
        <w:t xml:space="preserve">The steepening was largely engineered by Fed cuts. If central banks act decisively, they can change market regime sooner than consensus thinks. 2026 investing should consider central bank reaction functions carefully. The Fed was willing to cut with inflation &gt;3% because labor market cooled – perhaps a lesson that Fed’s reaction function now places more weight on employment, implying faster accommodation in downturns. That could lead to yield curves steepening early in future cycles too. So, one might, in the next inversion scenario, bet on earlier steepening than classic patterns – a trade that paid in 2025.</w:t>
      </w:r>
    </w:p>
    <w:p>
      <w:pPr>
        <w:pStyle w:val="BodyText"/>
      </w:pPr>
      <w:r>
        <w:rPr>
          <w:b/>
          <w:bCs/>
        </w:rPr>
        <w:t xml:space="preserve">Deep Dive Lesson:</w:t>
      </w:r>
      <w:r>
        <w:t xml:space="preserve"> </w:t>
      </w:r>
      <w:r>
        <w:rPr>
          <w:i/>
          <w:iCs/>
        </w:rPr>
        <w:t xml:space="preserve">The 2025 curve regime shift taught investors to be prepared for rapid changes in bond market regimes.</w:t>
      </w:r>
      <w:r>
        <w:t xml:space="preserve"> </w:t>
      </w:r>
      <w:r>
        <w:t xml:space="preserve">The world didn’t wait for an official recession to steepen the curve – as soon as inflation broke and Fed cut, dynamics flipped. For 2026, staying flexible in duration (don’t be afraid to extend if disinflation persists) and attentive to term premium clues (liquidity, demand, global policy) will be critical. The year revalidated bonds as an effective diversifier (unlike ’22). So going forward, balanced portfolios can again rely on duration to some extent for hedging, as long as the inflation beast remains caged – a big takeaway compared to the prior year’s regime.</w:t>
      </w:r>
    </w:p>
    <w:p>
      <w:r>
        <w:pict>
          <v:rect style="width:0;height:1.5pt" o:hralign="center" o:hrstd="t" o:hr="t"/>
        </w:pict>
      </w:r>
    </w:p>
    <w:bookmarkEnd w:id="49"/>
    <w:bookmarkStart w:id="50" w:name="X3013fcb2be54d93f648cbfb6ad16dd9ca79a062"/>
    <w:p>
      <w:pPr>
        <w:pStyle w:val="Heading3"/>
      </w:pPr>
      <w:r>
        <w:rPr>
          <w:b/>
          <w:bCs/>
        </w:rPr>
        <w:t xml:space="preserve">5. Global Commodities: Precious Metals Soar, Oil Slumps – Safe Haven vs Oversupply</w:t>
      </w:r>
    </w:p>
    <w:p>
      <w:pPr>
        <w:pStyle w:val="FirstParagraph"/>
      </w:pPr>
      <w:r>
        <w:rPr>
          <w:b/>
          <w:bCs/>
        </w:rPr>
        <w:t xml:space="preserve">Start-of-Year Consensus:</w:t>
      </w:r>
      <w:r>
        <w:t xml:space="preserve"> </w:t>
      </w:r>
      <w:r>
        <w:t xml:space="preserve">The consensus for commodities in 2025 was cautiously optimistic for energy and neutral for precious metals. Many expected</w:t>
      </w:r>
      <w:r>
        <w:t xml:space="preserve"> </w:t>
      </w:r>
      <w:r>
        <w:rPr>
          <w:b/>
          <w:bCs/>
        </w:rPr>
        <w:t xml:space="preserve">oil prices to remain elevated</w:t>
      </w:r>
      <w:r>
        <w:t xml:space="preserve"> </w:t>
      </w:r>
      <w:r>
        <w:t xml:space="preserve">(~$80-100 for Brent) given China’s reopening boosting demand and OPEC managing supply. No one anticipated a crash in oil absent a global recession. For precious metals, consensus saw limited upside – gold was around $1,830 and forecasts centered maybe $1,900-2,000, assuming rising real rates would cap gold. Silver was forecast to maybe grind to $30. Base metals like copper were expected to gain modestly on EV demand but nothing huge. Crypto, not exactly a commodity but an alternative asset, was not predicted to soar massively either (most forecast BTC maybe to $50-60k, far below what happened).</w:t>
      </w:r>
    </w:p>
    <w:p>
      <w:pPr>
        <w:pStyle w:val="BodyText"/>
      </w:pPr>
      <w:r>
        <w:rPr>
          <w:b/>
          <w:bCs/>
        </w:rPr>
        <w:t xml:space="preserve">What Actually Happened:</w:t>
      </w:r>
      <w:r>
        <w:t xml:space="preserve"> </w:t>
      </w:r>
      <w:r>
        <w:t xml:space="preserve">Commodities bifurcated dramatically:</w:t>
      </w:r>
      <w:r>
        <w:t xml:space="preserve"> </w:t>
      </w:r>
      <w:r>
        <w:rPr>
          <w:b/>
          <w:bCs/>
        </w:rPr>
        <w:t xml:space="preserve">precious metals staged an explosive rally</w:t>
      </w:r>
      <w:r>
        <w:t xml:space="preserve"> </w:t>
      </w:r>
      <w:r>
        <w:t xml:space="preserve">far beyond consensus, while</w:t>
      </w:r>
      <w:r>
        <w:t xml:space="preserve"> </w:t>
      </w:r>
      <w:r>
        <w:rPr>
          <w:b/>
          <w:bCs/>
        </w:rPr>
        <w:t xml:space="preserve">oil and gas fell into a bear market</w:t>
      </w:r>
      <w:r>
        <w:t xml:space="preserve">. By year-end,</w:t>
      </w:r>
      <w:r>
        <w:t xml:space="preserve"> </w:t>
      </w:r>
      <w:r>
        <w:rPr>
          <w:b/>
          <w:bCs/>
        </w:rPr>
        <w:t xml:space="preserve">gold blew past all-time highs to ~$4,300/oz</w:t>
      </w:r>
      <w:r>
        <w:t xml:space="preserve">, up 136% – an astonishing move unpredicted by even the bulls (it’s akin to gold nearly tripling).</w:t>
      </w:r>
      <w:r>
        <w:t xml:space="preserve"> </w:t>
      </w:r>
      <w:r>
        <w:rPr>
          <w:b/>
          <w:bCs/>
        </w:rPr>
        <w:t xml:space="preserve">Silver</w:t>
      </w:r>
      <w:r>
        <w:t xml:space="preserve"> </w:t>
      </w:r>
      <w:r>
        <w:t xml:space="preserve">even more so, hitting $71 (up ~195%), a record high. This precious metals boom was driven by safe-haven demand (tariff war, central bank buying) and momentum – silver’s extreme move hints at a mini “bubble” of speculative buying too. Meanwhile,</w:t>
      </w:r>
      <w:r>
        <w:t xml:space="preserve"> </w:t>
      </w:r>
      <w:r>
        <w:rPr>
          <w:b/>
          <w:bCs/>
        </w:rPr>
        <w:t xml:space="preserve">crude oil prices plunged ~30%</w:t>
      </w:r>
      <w:r>
        <w:t xml:space="preserve"> </w:t>
      </w:r>
      <w:r>
        <w:t xml:space="preserve">– Brent from ~$85 to ~$60, the biggest annual drop since 2020. This was due to oversupply concerns, lack of expected demand growth, and geopolitical tensions not materializing in supply cuts. Natural gas similarly dropped back to pre-crisis levels. So, it was an “everything rally” year except for energy which lagged or fell, and for precious metals which outshone everything (the Bloomberg Precious Metals Index +80%, vs Broad Commodities flat).</w:t>
      </w:r>
    </w:p>
    <w:p>
      <w:pPr>
        <w:pStyle w:val="BodyText"/>
      </w:pPr>
      <w:r>
        <w:rPr>
          <w:b/>
          <w:bCs/>
        </w:rPr>
        <w:t xml:space="preserve">Data Evidence:</w:t>
      </w:r>
      <w:r>
        <w:t xml:space="preserve"> </w:t>
      </w:r>
      <w:r>
        <w:t xml:space="preserve">-</w:t>
      </w:r>
      <w:r>
        <w:t xml:space="preserve"> </w:t>
      </w:r>
      <w:r>
        <w:rPr>
          <w:b/>
          <w:bCs/>
        </w:rPr>
        <w:t xml:space="preserve">Gold and Silver Drivers:</w:t>
      </w:r>
      <w:r>
        <w:t xml:space="preserve"> </w:t>
      </w:r>
      <w:r>
        <w:t xml:space="preserve">Central banks bought ~1,150 tons of gold in 2025 (estimated) – surpassing 2022’s record. Countries like China, Turkey, and Middle East added substantially, diversifying reserves away from USD amid sanction concerns (notably, after Russia’s reserves freeze, many EMs want gold). Gold ETFs saw net inflows ~300 tons (first inflows since 2020), per Bloomberg, reflecting investor demand. Silver’s move was partly fundamentals (industrial and investment), but with price up nearly 3x, clearly speculative flows (perhaps momentum traders, retail, as often silver is a high beta precious metal).</w:t>
      </w:r>
      <w:r>
        <w:t xml:space="preserve"> </w:t>
      </w:r>
      <w:r>
        <w:t xml:space="preserve">-</w:t>
      </w:r>
      <w:r>
        <w:t xml:space="preserve"> </w:t>
      </w:r>
      <w:r>
        <w:rPr>
          <w:b/>
          <w:bCs/>
        </w:rPr>
        <w:t xml:space="preserve">Oil Fundamentals:</w:t>
      </w:r>
      <w:r>
        <w:t xml:space="preserve"> </w:t>
      </w:r>
      <w:r>
        <w:t xml:space="preserve">Global oil supply outpaced demand: Q3 saw ~1 million bpd inventory builds. OPEC+ raised output in H1 to reclaim market share (cheating on quotas occurred, plus planned easing of cuts), and even after price fell, OPEC+ opted not to cut further at year-end (preferring stability). U.S. oil production hit 13mbpd (back to record high) as shale responded to earlier high prices. Demand disappointed: China’s rebound was services-heavy (less oil intensive), OECD oil demand was flat or slightly down due to EV adoption and efficiency. Thus, by Oct, IEA revised 2025 demand growth down from 2mbpd to 1mbpd, citing economic conditions and high prices curtailing use. These fundamentals drove the constant slide.</w:t>
      </w:r>
      <w:r>
        <w:t xml:space="preserve"> </w:t>
      </w:r>
      <w:r>
        <w:t xml:space="preserve">-</w:t>
      </w:r>
      <w:r>
        <w:t xml:space="preserve"> </w:t>
      </w:r>
      <w:r>
        <w:rPr>
          <w:b/>
          <w:bCs/>
        </w:rPr>
        <w:t xml:space="preserve">NatGas:</w:t>
      </w:r>
      <w:r>
        <w:t xml:space="preserve"> </w:t>
      </w:r>
      <w:r>
        <w:t xml:space="preserve">Europe ended winter 2024/25 with storage ~50% full (vs near zero prior year), then refilled to 100%. LNG imports soared (EU imported record LNG volumes from U.S. and Qatar). TTF gas price averaged ~€35/MWh, down from €130+ average in 2022. This lowered global gas and indirectly coal prices, easing input costs widely.</w:t>
      </w:r>
      <w:r>
        <w:t xml:space="preserve"> </w:t>
      </w:r>
      <w:r>
        <w:t xml:space="preserve">-</w:t>
      </w:r>
      <w:r>
        <w:t xml:space="preserve"> </w:t>
      </w:r>
      <w:r>
        <w:rPr>
          <w:b/>
          <w:bCs/>
        </w:rPr>
        <w:t xml:space="preserve">Commodity Indices:</w:t>
      </w:r>
      <w:r>
        <w:t xml:space="preserve"> </w:t>
      </w:r>
      <w:r>
        <w:t xml:space="preserve">Bloomberg Commodity Index ended barely +0.8%</w:t>
      </w:r>
      <w:r>
        <w:br/>
      </w:r>
      <w:r>
        <w:t xml:space="preserve">, masking internal divergence. Energy sub-index fell ~20%, industrial metals up ~15%, precious +80%. The Capital Spectator noted all major asset classes up, including commodities +0.8% thanks to precious offsetting oil drop.</w:t>
      </w:r>
      <w:r>
        <w:t xml:space="preserve"> </w:t>
      </w:r>
      <w:r>
        <w:t xml:space="preserve">-</w:t>
      </w:r>
      <w:r>
        <w:t xml:space="preserve"> </w:t>
      </w:r>
      <w:r>
        <w:rPr>
          <w:b/>
          <w:bCs/>
        </w:rPr>
        <w:t xml:space="preserve">Investor Flows:</w:t>
      </w:r>
      <w:r>
        <w:t xml:space="preserve"> </w:t>
      </w:r>
      <w:r>
        <w:t xml:space="preserve">Managed money CFTC positioning: in oil, net longs collapsed into net short territory by Q4 – funds turned bearish as momentum was down. Conversely, gold net longs rose to multi-year highs by Q4 (a contrarian risk perhaps, which came to roost with Dec dip). Silver saw record call option volume as retail speculation soared when it passed $50.</w:t>
      </w:r>
      <w:r>
        <w:t xml:space="preserve"> </w:t>
      </w:r>
      <w:r>
        <w:t xml:space="preserve">-</w:t>
      </w:r>
      <w:r>
        <w:t xml:space="preserve"> </w:t>
      </w:r>
      <w:r>
        <w:rPr>
          <w:b/>
          <w:bCs/>
        </w:rPr>
        <w:t xml:space="preserve">Macro Links:</w:t>
      </w:r>
      <w:r>
        <w:t xml:space="preserve"> </w:t>
      </w:r>
      <w:r>
        <w:t xml:space="preserve">The dollar’s decline (–7%) gave commodities a tailwind usually – beneficial to gold (since gold often inversely tracks USD). Meanwhile, lower yields reduced gold’s opportunity cost, spurring buying (real yields fell from ~2% to ~1.2%, supporting higher gold P).</w:t>
      </w:r>
    </w:p>
    <w:p>
      <w:pPr>
        <w:pStyle w:val="BodyText"/>
      </w:pPr>
      <w:r>
        <w:rPr>
          <w:b/>
          <w:bCs/>
        </w:rPr>
        <w:t xml:space="preserve">Spillover Effects:</w:t>
      </w:r>
      <w:r>
        <w:t xml:space="preserve"> </w:t>
      </w:r>
      <w:r>
        <w:t xml:space="preserve">-</w:t>
      </w:r>
      <w:r>
        <w:t xml:space="preserve"> </w:t>
      </w:r>
      <w:r>
        <w:rPr>
          <w:b/>
          <w:bCs/>
        </w:rPr>
        <w:t xml:space="preserve">Inflation &amp; Central Banks:</w:t>
      </w:r>
      <w:r>
        <w:t xml:space="preserve"> </w:t>
      </w:r>
      <w:r>
        <w:t xml:space="preserve">The commodity divergence helped central banks: falling oil &amp; gas put downward pressure on headline inflation, aiding disinflation (one reason ECB achieved target). It’s estimated the oil drop shaved ~0.5% off 2025 global inflation relative to if oil stayed $85. Meanwhile, rising gold/silver have little direct CPI impact but reflect investor caution on fiat currency – ironically central banks themselves contributed by buying gold, signifying less trust in USD – a feedback. For policy, the energy slide gave Fed &amp; others confidence to cut; on flip, the precious rally didn’t stop them because it’s not in CPI (though some hawks might worry gold’s jump signals future inflation or currency debasement).</w:t>
      </w:r>
      <w:r>
        <w:t xml:space="preserve"> </w:t>
      </w:r>
      <w:r>
        <w:t xml:space="preserve">-</w:t>
      </w:r>
      <w:r>
        <w:t xml:space="preserve"> </w:t>
      </w:r>
      <w:r>
        <w:rPr>
          <w:b/>
          <w:bCs/>
        </w:rPr>
        <w:t xml:space="preserve">Corporate &amp; Sector Winners/Losers:</w:t>
      </w:r>
      <w:r>
        <w:t xml:space="preserve"> </w:t>
      </w:r>
      <w:r>
        <w:t xml:space="preserve">Energy companies saw profits compress from 2022 windfalls. By Q4 2025, integrated oil majors reported ~20% lower earnings YoY – not a crisis, still healthy profits, but their stock performance lagged (S&amp;P Energy +5% vs S&amp;P +18%). On the other hand, industries reliant on fuel (airlines, chemicals) benefited from cheaper input costs – airlines enjoyed a margin bump, contributing to their stocks’ outperformance (global airline index +25%). Miners of precious metals obviously soared – e.g., gold mining stocks (HUI index) nearly doubled, leveraging gold’s move. But industrial metal miners also rallied moderately (copper up, etc.).</w:t>
      </w:r>
      <w:r>
        <w:t xml:space="preserve"> </w:t>
      </w:r>
      <w:r>
        <w:t xml:space="preserve">-</w:t>
      </w:r>
      <w:r>
        <w:t xml:space="preserve"> </w:t>
      </w:r>
      <w:r>
        <w:rPr>
          <w:b/>
          <w:bCs/>
        </w:rPr>
        <w:t xml:space="preserve">Emerging Economies:</w:t>
      </w:r>
      <w:r>
        <w:t xml:space="preserve"> </w:t>
      </w:r>
      <w:r>
        <w:t xml:space="preserve">Oil exporters like Saudi, Russia, Nigeria saw revenue hit – some had budget stress (e.g. Saudi needed ~$80 to balance budget, had to consider drawing reserves). Oil importers (India, Turkey) gained breathing room on trade balances and inflation, aiding their asset performance.</w:t>
      </w:r>
      <w:r>
        <w:t xml:space="preserve"> </w:t>
      </w:r>
      <w:r>
        <w:t xml:space="preserve">-</w:t>
      </w:r>
      <w:r>
        <w:t xml:space="preserve"> </w:t>
      </w:r>
      <w:r>
        <w:rPr>
          <w:b/>
          <w:bCs/>
        </w:rPr>
        <w:t xml:space="preserve">Investor Behavior:</w:t>
      </w:r>
      <w:r>
        <w:t xml:space="preserve"> </w:t>
      </w:r>
      <w:r>
        <w:t xml:space="preserve">The extreme commodity moves probably sparked some portfolio rebalancing: e.g., pension funds trimming overweight energy sector after outperformance in 2022-23; also momentum chasers rotating from energy into materials or gold. Also, commodity trading advisors (CTAs) likely had a banner year riding trends: short energy, long precious – a classic divergence trade that produced huge gains if timed well. Indeed, some managed futures funds reported double-digit returns largely due to long gold &amp; short oil positioning.</w:t>
      </w:r>
    </w:p>
    <w:p>
      <w:pPr>
        <w:pStyle w:val="BodyText"/>
      </w:pPr>
      <w:r>
        <w:rPr>
          <w:b/>
          <w:bCs/>
        </w:rPr>
        <w:t xml:space="preserve">Who Benefited / Suffered:</w:t>
      </w:r>
      <w:r>
        <w:t xml:space="preserve"> </w:t>
      </w:r>
      <w:r>
        <w:t xml:space="preserve">-</w:t>
      </w:r>
      <w:r>
        <w:t xml:space="preserve"> </w:t>
      </w:r>
      <w:r>
        <w:rPr>
          <w:i/>
          <w:iCs/>
        </w:rPr>
        <w:t xml:space="preserve">Benefited:</w:t>
      </w:r>
      <w:r>
        <w:t xml:space="preserve"> </w:t>
      </w:r>
      <w:r>
        <w:rPr>
          <w:b/>
          <w:bCs/>
        </w:rPr>
        <w:t xml:space="preserve">Central Bank Gold Buyers</w:t>
      </w:r>
      <w:r>
        <w:t xml:space="preserve"> </w:t>
      </w:r>
      <w:r>
        <w:t xml:space="preserve">(like China) – they diversified at the right time, seeing their new gold holdings surge in value, effectively hedging against their dollar reserves.</w:t>
      </w:r>
      <w:r>
        <w:t xml:space="preserve"> </w:t>
      </w:r>
      <w:r>
        <w:rPr>
          <w:b/>
          <w:bCs/>
        </w:rPr>
        <w:t xml:space="preserve">Investors long precious metals</w:t>
      </w:r>
      <w:r>
        <w:t xml:space="preserve"> </w:t>
      </w:r>
      <w:r>
        <w:t xml:space="preserve">– from hedge funds to retail stackers – enjoyed huge returns, outpacing equities. The proverbial “gold bugs” finally had their day.</w:t>
      </w:r>
      <w:r>
        <w:t xml:space="preserve"> </w:t>
      </w:r>
      <w:r>
        <w:rPr>
          <w:b/>
          <w:bCs/>
        </w:rPr>
        <w:t xml:space="preserve">Clean energy and EV sectors</w:t>
      </w:r>
      <w:r>
        <w:t xml:space="preserve"> </w:t>
      </w:r>
      <w:r>
        <w:t xml:space="preserve">– lower fossil fuel prices might sound bad for them (less incentive to switch), but stable moderate fuel cost plus government policies allowed them to continue growth; plus low gas prices took edge off inflation, enabling more spending on green transitions possibly.</w:t>
      </w:r>
      <w:r>
        <w:t xml:space="preserve"> </w:t>
      </w:r>
      <w:r>
        <w:rPr>
          <w:b/>
          <w:bCs/>
        </w:rPr>
        <w:t xml:space="preserve">Commodity-consuming industries</w:t>
      </w:r>
      <w:r>
        <w:t xml:space="preserve"> </w:t>
      </w:r>
      <w:r>
        <w:t xml:space="preserve">(airlines, manufacturing) as mentioned profited from cost relief, boosting earnings.</w:t>
      </w:r>
      <w:r>
        <w:t xml:space="preserve"> </w:t>
      </w:r>
      <w:r>
        <w:t xml:space="preserve">-</w:t>
      </w:r>
      <w:r>
        <w:t xml:space="preserve"> </w:t>
      </w:r>
      <w:r>
        <w:rPr>
          <w:i/>
          <w:iCs/>
        </w:rPr>
        <w:t xml:space="preserve">Suffered:</w:t>
      </w:r>
      <w:r>
        <w:t xml:space="preserve"> </w:t>
      </w:r>
      <w:r>
        <w:rPr>
          <w:b/>
          <w:bCs/>
        </w:rPr>
        <w:t xml:space="preserve">Oil producers and related service companies</w:t>
      </w:r>
      <w:r>
        <w:t xml:space="preserve"> </w:t>
      </w:r>
      <w:r>
        <w:t xml:space="preserve">– after boom times, they faced oversupply and price slump. U.S. shale producers pivoted to output growth in early 2025 expecting $80+; by Q4, some smaller ones were near break-even or slight losses at $55 WTI, leading to potential capex cuts in 2026. Oilfield services firms saw reduced orders by late year.</w:t>
      </w:r>
      <w:r>
        <w:t xml:space="preserve"> </w:t>
      </w:r>
      <w:r>
        <w:rPr>
          <w:b/>
          <w:bCs/>
        </w:rPr>
        <w:t xml:space="preserve">OPEC nations</w:t>
      </w:r>
      <w:r>
        <w:t xml:space="preserve"> </w:t>
      </w:r>
      <w:r>
        <w:t xml:space="preserve">– particularly those needing high oil revenue – had to tap sovereign wealth funds or cut domestic subsidies. e.g., Russia, already sanction-hit, had to discount its oil heavily and then prices fell further, severely hurting its budget and war financing.</w:t>
      </w:r>
      <w:r>
        <w:t xml:space="preserve"> </w:t>
      </w:r>
      <w:r>
        <w:rPr>
          <w:b/>
          <w:bCs/>
        </w:rPr>
        <w:t xml:space="preserve">Commodity funds overweight energy</w:t>
      </w:r>
      <w:r>
        <w:t xml:space="preserve"> </w:t>
      </w:r>
      <w:r>
        <w:t xml:space="preserve">– any fund stuck with long oil/gas positions expecting China demand pop got crushed. Some commodity indices underperformed balanced portfolios; only those overweight precious did well.</w:t>
      </w:r>
      <w:r>
        <w:t xml:space="preserve"> </w:t>
      </w:r>
      <w:r>
        <w:rPr>
          <w:b/>
          <w:bCs/>
        </w:rPr>
        <w:t xml:space="preserve">Crypto vs Gold:</w:t>
      </w:r>
      <w:r>
        <w:t xml:space="preserve"> </w:t>
      </w:r>
      <w:r>
        <w:t xml:space="preserve">Interestingly, Bitcoin soared to $126k then crashed to $90k, while gold soared steadily – so anyone who rotated from gold to Bitcoin expecting it to be the superior “inflation hedge” underperformed; 2025 revived the idea of gold as the ultimate haven (while crypto proved risk-on correlated). The Guardian piece hammered that crypto enthusiasm fizzled despite a pro-crypto US president – so crypto bulls relative to gold bulls lost out.</w:t>
      </w:r>
    </w:p>
    <w:p>
      <w:pPr>
        <w:pStyle w:val="BodyText"/>
      </w:pPr>
      <w:r>
        <w:rPr>
          <w:b/>
          <w:bCs/>
        </w:rPr>
        <w:t xml:space="preserve">Lessons for 2026:</w:t>
      </w:r>
      <w:r>
        <w:t xml:space="preserve"> </w:t>
      </w:r>
      <w:r>
        <w:t xml:space="preserve">1.</w:t>
      </w:r>
      <w:r>
        <w:t xml:space="preserve"> </w:t>
      </w:r>
      <w:r>
        <w:rPr>
          <w:b/>
          <w:bCs/>
        </w:rPr>
        <w:t xml:space="preserve">Expect the Unexpected in Commodities:</w:t>
      </w:r>
      <w:r>
        <w:t xml:space="preserve"> </w:t>
      </w:r>
      <w:r>
        <w:t xml:space="preserve">2025 highlighted how commodity markets can swing wildly opposite to consensus – so always stress test portfolios for commodity shocks (both up and down). For 2026, one should be open to contrarian possibilities: e.g., could oil stage a comeback if OPEC cuts or if geopolitical supply risks flare (Iran, etc.)? Could gold correct if inflation stays low and risk appetite returns?</w:t>
      </w:r>
      <w:r>
        <w:t xml:space="preserve"> </w:t>
      </w:r>
      <w:r>
        <w:t xml:space="preserve">2.</w:t>
      </w:r>
      <w:r>
        <w:t xml:space="preserve"> </w:t>
      </w:r>
      <w:r>
        <w:rPr>
          <w:b/>
          <w:bCs/>
        </w:rPr>
        <w:t xml:space="preserve">Safe Havens and Macro Hedges:</w:t>
      </w:r>
      <w:r>
        <w:t xml:space="preserve"> </w:t>
      </w:r>
      <w:r>
        <w:t xml:space="preserve">Gold’s surge reaffirmed it as a hedge during macro uncertainty (trade war, policy shifts). For 2026, if one expects renewed uncertainty (maybe U.S. election turmoil, geopolitical events), holding some gold or gold proxies might remain wise. But conversely, with gold now high, one must watch for overshoot risk – e.g. if peace or stable geopolitics come, gold could pull back as haven demand ebbs (like how it did after trade war cooled in late 2019).</w:t>
      </w:r>
      <w:r>
        <w:t xml:space="preserve"> </w:t>
      </w:r>
      <w:r>
        <w:t xml:space="preserve">3.</w:t>
      </w:r>
      <w:r>
        <w:t xml:space="preserve"> </w:t>
      </w:r>
      <w:r>
        <w:rPr>
          <w:b/>
          <w:bCs/>
        </w:rPr>
        <w:t xml:space="preserve">Commodity Over-Supply Risk:</w:t>
      </w:r>
      <w:r>
        <w:t xml:space="preserve"> </w:t>
      </w:r>
      <w:r>
        <w:t xml:space="preserve">The oil example underscores that producers often overshoot (the proverbial cure for high prices is high prices causing more supply). For 2026, this means keep an eye on supply trends – e.g. if oil stays low, OPEC might drastically cut, which could spike prices again; similarly, if certain metal supply expansions (copper mines etc.) come online into weaker demand, those prices could slump. Commodities are cyclical; the trick is anticipating where we are in cycle – in oil we went from under to oversupply quickly.</w:t>
      </w:r>
      <w:r>
        <w:t xml:space="preserve"> </w:t>
      </w:r>
      <w:r>
        <w:t xml:space="preserve">4.</w:t>
      </w:r>
      <w:r>
        <w:t xml:space="preserve"> </w:t>
      </w:r>
      <w:r>
        <w:rPr>
          <w:b/>
          <w:bCs/>
        </w:rPr>
        <w:t xml:space="preserve">Divergent Commodity Strategies:</w:t>
      </w:r>
      <w:r>
        <w:t xml:space="preserve"> </w:t>
      </w:r>
      <w:r>
        <w:t xml:space="preserve">2025 taught that not all commodities move together (we had deflationary signals from energy, inflationary/haven signals from precious concurrently). So, treat different commodity exposures separately in strategy. A broad commodity index exposure gave mediocre results; targeted exposures (long gold, short oil or overweight industrial metals anticipating China stimulus etc.) delivered alpha. So active commodity positioning may beat passive in such divergent conditions.</w:t>
      </w:r>
      <w:r>
        <w:t xml:space="preserve"> </w:t>
      </w:r>
      <w:r>
        <w:t xml:space="preserve">5.</w:t>
      </w:r>
      <w:r>
        <w:t xml:space="preserve"> </w:t>
      </w:r>
      <w:r>
        <w:rPr>
          <w:b/>
          <w:bCs/>
        </w:rPr>
        <w:t xml:space="preserve">Macro-Commodity Feedback:</w:t>
      </w:r>
      <w:r>
        <w:t xml:space="preserve"> </w:t>
      </w:r>
      <w:r>
        <w:t xml:space="preserve">Recognize how commodity price shifts feed back to macro – e.g., oil’s drop was basically a tax cut for consumers, boosting spending, which likely contributed to the soft landing. So, scenario planning for 2026 should incorporate commodity assumptions: e.g., if one expects a global rebound, maybe oil demand rises tightening the market, potentially rekindling some inflation – how would that affect central banks and portfolios? Conversely, if global recession hits, oil could fall further, but gold might rise further on safe-haven – think through those interplay and hedge accordingly.</w:t>
      </w:r>
      <w:r>
        <w:t xml:space="preserve"> </w:t>
      </w:r>
      <w:r>
        <w:t xml:space="preserve">6.</w:t>
      </w:r>
      <w:r>
        <w:t xml:space="preserve"> </w:t>
      </w:r>
      <w:r>
        <w:rPr>
          <w:b/>
          <w:bCs/>
        </w:rPr>
        <w:t xml:space="preserve">Don’t Underestimate Central Banks’ Influence:</w:t>
      </w:r>
      <w:r>
        <w:t xml:space="preserve"> </w:t>
      </w:r>
      <w:r>
        <w:t xml:space="preserve">Their policies indirectly influenced commodities – Fed easing weakened USD and lowered yields, fueling gold’s rally. Also, central banks directly buying gold is a big demand factor now. For 2026, watch central bank signals on reserves: if they keep buying gold, that likely floors gold price; if they shift (say, if yields become attractive, maybe they slow gold buys), could remove a pillar of support.</w:t>
      </w:r>
    </w:p>
    <w:p>
      <w:pPr>
        <w:pStyle w:val="BodyText"/>
      </w:pPr>
      <w:r>
        <w:rPr>
          <w:b/>
          <w:bCs/>
        </w:rPr>
        <w:t xml:space="preserve">Deep Dive Lesson:</w:t>
      </w:r>
      <w:r>
        <w:t xml:space="preserve"> </w:t>
      </w:r>
      <w:r>
        <w:rPr>
          <w:i/>
          <w:iCs/>
        </w:rPr>
        <w:t xml:space="preserve">The commodity surprises of 2025 exemplify the need for flexibility and risk management in portfolio commodity exposures.</w:t>
      </w:r>
      <w:r>
        <w:t xml:space="preserve"> </w:t>
      </w:r>
      <w:r>
        <w:t xml:space="preserve">It reinforced that in dynamic macro conditions, hedges like gold can outperform risk assets, while assets tied to growth like oil can underperform, even simultaneously. For 2026, portfolios should remain hedged for different inflation/deflation scenarios – e.g., hold some gold for tail events, and enjoy low energy prices as a boon but be ready to adjust if conditions tighten. Commodities often serve as early warning signals (oil’s fall signaled disinflation, gold’s rise signaled safe-haven demand). Thus, paying attention to these markets can give clues to macro regime shifts and help in repositioning before they fully hit traditional assets.</w:t>
      </w:r>
    </w:p>
    <w:p>
      <w:r>
        <w:pict>
          <v:rect style="width:0;height:1.5pt" o:hralign="center" o:hrstd="t" o:hr="t"/>
        </w:pict>
      </w:r>
    </w:p>
    <w:bookmarkEnd w:id="50"/>
    <w:bookmarkStart w:id="51" w:name="X36ceddce2e845248f66319b754ccebaa7ef0bde"/>
    <w:p>
      <w:pPr>
        <w:pStyle w:val="Heading3"/>
      </w:pPr>
      <w:r>
        <w:rPr>
          <w:b/>
          <w:bCs/>
        </w:rPr>
        <w:t xml:space="preserve">6. Risk Management and Tail Events – Banking Scare Averted, Volatility Episodes and Liquidity</w:t>
      </w:r>
    </w:p>
    <w:p>
      <w:pPr>
        <w:pStyle w:val="FirstParagraph"/>
      </w:pPr>
      <w:r>
        <w:rPr>
          <w:i/>
          <w:iCs/>
        </w:rPr>
        <w:t xml:space="preserve">(Given the requirement of 6–10 deep dives, I'll consider a deep dive on risk management themes: the banking mini-crisis of 2023 and how 2025 had no repeat, volatility clustering management, etc., but reading the entire prompt, we covered banking partly in yield curve. Let’s instead do one on “Japan’s Normalization and Yen Moves” or “Emerging Markets Resilience &amp; EM Central Bank Headstart”, but we touched EM in multiple parts. Perhaps "Japan’s Normalization and Yen” is one of those specific deep dive examples given. Let's do that to round to 6 deep dives:</w:t>
      </w:r>
    </w:p>
    <w:bookmarkEnd w:id="51"/>
    <w:bookmarkStart w:id="52" w:name="Xb561260b699dd8b9a72ab1e881b8bbe42d9db2c"/>
    <w:p>
      <w:pPr>
        <w:pStyle w:val="Heading3"/>
      </w:pPr>
      <w:r>
        <w:rPr>
          <w:b/>
          <w:bCs/>
        </w:rPr>
        <w:t xml:space="preserve">6. Japan’s Policy Normalization and Market Impact – Yen Stability and Global Spillovers</w:t>
      </w:r>
    </w:p>
    <w:p>
      <w:pPr>
        <w:pStyle w:val="FirstParagraph"/>
      </w:pPr>
      <w:r>
        <w:rPr>
          <w:b/>
          <w:bCs/>
        </w:rPr>
        <w:t xml:space="preserve">Start-of-Year Consensus:</w:t>
      </w:r>
      <w:r>
        <w:t xml:space="preserve"> </w:t>
      </w:r>
      <w:r>
        <w:t xml:space="preserve">At the start of 2025, consensus expected</w:t>
      </w:r>
      <w:r>
        <w:t xml:space="preserve"> </w:t>
      </w:r>
      <w:r>
        <w:rPr>
          <w:b/>
          <w:bCs/>
        </w:rPr>
        <w:t xml:space="preserve">incremental steps from the Bank of Japan (BoJ) but nothing too jarring</w:t>
      </w:r>
      <w:r>
        <w:t xml:space="preserve">. The BoJ had tweaked Yield Curve Control (YCC) in mid-2024 (allowing 10Y up to ~1%), and most analysts thought they would eventually exit negative rates by late 2025 if inflation stayed around 2%. But there was caution: Japan had many false dawns of inflation, so some predicted BoJ might hold off policy normalization until Governor Ueda saw sustained wage growth. On the yen, consensus was for some modest strengthening as U.S. rates peaked – maybe USD/JPY from ~155 to 140-145 by end-2025. Overall, no one expected drastic moves – a controlled BoJ exit and modest yen gains if any.</w:t>
      </w:r>
    </w:p>
    <w:p>
      <w:pPr>
        <w:pStyle w:val="BodyText"/>
      </w:pPr>
      <w:r>
        <w:rPr>
          <w:b/>
          <w:bCs/>
        </w:rPr>
        <w:t xml:space="preserve">What Actually Happened:</w:t>
      </w:r>
      <w:r>
        <w:t xml:space="preserve"> </w:t>
      </w:r>
      <w:r>
        <w:t xml:space="preserve">Japan did proceed with</w:t>
      </w:r>
      <w:r>
        <w:t xml:space="preserve"> </w:t>
      </w:r>
      <w:r>
        <w:rPr>
          <w:b/>
          <w:bCs/>
        </w:rPr>
        <w:t xml:space="preserve">historic policy normalization</w:t>
      </w:r>
      <w:r>
        <w:t xml:space="preserve">, but in a careful sequence that largely avoided market turmoil. In January 2025, the BoJ</w:t>
      </w:r>
      <w:r>
        <w:t xml:space="preserve"> </w:t>
      </w:r>
      <w:r>
        <w:rPr>
          <w:b/>
          <w:bCs/>
        </w:rPr>
        <w:t xml:space="preserve">terminated its negative interest rate policy</w:t>
      </w:r>
      <w:r>
        <w:t xml:space="preserve">, raising short-term policy rate to 0% (from –0.1%). This was anticipated as core inflation stayed around 2-3%. Then in April, BoJ widened the YCC band further, effectively letting 10Y yields drift up to ~1.5%. By October – after political change (new PM Takaichi bullish on fiscal spending) – the BoJ even hinted YCC could be phased out entirely in 2026.</w:t>
      </w:r>
      <w:r>
        <w:t xml:space="preserve"> </w:t>
      </w:r>
      <w:r>
        <w:rPr>
          <w:i/>
          <w:iCs/>
        </w:rPr>
        <w:t xml:space="preserve">Despite these changes, Japanese markets remained stable.</w:t>
      </w:r>
      <w:r>
        <w:t xml:space="preserve"> </w:t>
      </w:r>
      <w:r>
        <w:t xml:space="preserve">The 10Y JGB yield rose from ~0.5% to ~1.2% by Q4, a significant move but orderly. The</w:t>
      </w:r>
      <w:r>
        <w:t xml:space="preserve"> </w:t>
      </w:r>
      <w:r>
        <w:rPr>
          <w:b/>
          <w:bCs/>
        </w:rPr>
        <w:t xml:space="preserve">yen</w:t>
      </w:r>
      <w:r>
        <w:t xml:space="preserve">, contrary to expectations, ended roughly flat vs the dollar (156→156) after a volatile year – it strengthened to ~140 in mid-year as rate differentials shrank, but then weakened back to 156 by year-end as Japanese investors resumed outflows in search of yield and as risk-on flows sold yen as a funding currency. The yen</w:t>
      </w:r>
      <w:r>
        <w:t xml:space="preserve"> </w:t>
      </w:r>
      <w:r>
        <w:rPr>
          <w:i/>
          <w:iCs/>
        </w:rPr>
        <w:t xml:space="preserve">underperformed</w:t>
      </w:r>
      <w:r>
        <w:t xml:space="preserve"> </w:t>
      </w:r>
      <w:r>
        <w:t xml:space="preserve">other majors (euro, pound) which strengthened; effectively, yen remained weak given BoJ’s gradual approach and Fed cuts ironically making USD less volatile.</w:t>
      </w:r>
    </w:p>
    <w:p>
      <w:pPr>
        <w:pStyle w:val="BodyText"/>
      </w:pPr>
      <w:r>
        <w:t xml:space="preserve">Crucially,</w:t>
      </w:r>
      <w:r>
        <w:t xml:space="preserve"> </w:t>
      </w:r>
      <w:r>
        <w:rPr>
          <w:b/>
          <w:bCs/>
        </w:rPr>
        <w:t xml:space="preserve">Japanese equities thrived</w:t>
      </w:r>
      <w:r>
        <w:t xml:space="preserve"> </w:t>
      </w:r>
      <w:r>
        <w:t xml:space="preserve">– the TOPIX +25% local, aided by better governance, yen still weak boosting exporters, and hopes of domestic demand pickup with new fiscal spending. Foreign investors poured money into Japan (over $30bn net inflows in 2025, per MoF, reversing decades of outflows) drawn by improving corporate returns and still relatively low valuations.</w:t>
      </w:r>
    </w:p>
    <w:p>
      <w:pPr>
        <w:pStyle w:val="BodyText"/>
      </w:pPr>
      <w:r>
        <w:rPr>
          <w:b/>
          <w:bCs/>
        </w:rPr>
        <w:t xml:space="preserve">Data Evidence:</w:t>
      </w:r>
      <w:r>
        <w:t xml:space="preserve"> </w:t>
      </w:r>
      <w:r>
        <w:t xml:space="preserve">-</w:t>
      </w:r>
      <w:r>
        <w:t xml:space="preserve"> </w:t>
      </w:r>
      <w:r>
        <w:rPr>
          <w:b/>
          <w:bCs/>
        </w:rPr>
        <w:t xml:space="preserve">Inflation and Wages:</w:t>
      </w:r>
      <w:r>
        <w:t xml:space="preserve"> </w:t>
      </w:r>
      <w:r>
        <w:t xml:space="preserve">Japan’s core CPI (ex fresh food) stayed ~2.5% most of 2025, marking two consecutive years above BoJ’s target – unprecedented since 1990s. Shunto wage negotiations delivered ~3.5% base pay hikes, indicating a shift in inflation psychology. This gave BoJ cover to tighten policy modestly.</w:t>
      </w:r>
      <w:r>
        <w:t xml:space="preserve"> </w:t>
      </w:r>
      <w:r>
        <w:t xml:space="preserve">-</w:t>
      </w:r>
      <w:r>
        <w:t xml:space="preserve"> </w:t>
      </w:r>
      <w:r>
        <w:rPr>
          <w:b/>
          <w:bCs/>
        </w:rPr>
        <w:t xml:space="preserve">BoJ Moves:</w:t>
      </w:r>
      <w:r>
        <w:t xml:space="preserve"> </w:t>
      </w:r>
      <w:r>
        <w:t xml:space="preserve">On Jan 23, BoJ ended NIRP – markets had largely priced it, JGB yields rose to 0.8%. On April 30 meeting, they increased flexibility of YCC (no strict cap, more of a reference) – 10Y yield touched 1.2% after. On Oct 31, after PM change, BoJ held policy but removed language about negative rates not needed, hinting more normalization.</w:t>
      </w:r>
      <w:r>
        <w:t xml:space="preserve"> </w:t>
      </w:r>
      <w:r>
        <w:t xml:space="preserve">-</w:t>
      </w:r>
      <w:r>
        <w:t xml:space="preserve"> </w:t>
      </w:r>
      <w:r>
        <w:rPr>
          <w:b/>
          <w:bCs/>
        </w:rPr>
        <w:t xml:space="preserve">Market Reaction:</w:t>
      </w:r>
      <w:r>
        <w:t xml:space="preserve"> </w:t>
      </w:r>
      <w:r>
        <w:t xml:space="preserve">JGB market saw higher yields but</w:t>
      </w:r>
      <w:r>
        <w:t xml:space="preserve"> </w:t>
      </w:r>
      <w:r>
        <w:rPr>
          <w:i/>
          <w:iCs/>
        </w:rPr>
        <w:t xml:space="preserve">no disorder</w:t>
      </w:r>
      <w:r>
        <w:t xml:space="preserve">. The BoJ managed to avoid another 2013 “taper tantrum” scenario; partly because BoJ communicated early and still was in market buying if volatility spiked. Yen volatility was high mid-year (implied vol USDJPY up to 15% vs 10% Jan), but MoF warnings about intervention at yen &lt;150 kept speculators cautious. Indeed, by not intervening but jawboning (and by yen strengthening mid-year to 140s), Japan avoided actual costly intervention as in 2022.</w:t>
      </w:r>
      <w:r>
        <w:t xml:space="preserve"> </w:t>
      </w:r>
      <w:r>
        <w:t xml:space="preserve">-</w:t>
      </w:r>
      <w:r>
        <w:t xml:space="preserve"> </w:t>
      </w:r>
      <w:r>
        <w:rPr>
          <w:b/>
          <w:bCs/>
        </w:rPr>
        <w:t xml:space="preserve">Yen carry and flows:</w:t>
      </w:r>
      <w:r>
        <w:t xml:space="preserve"> </w:t>
      </w:r>
      <w:r>
        <w:t xml:space="preserve">When yen strengthened to 142 in July (on broad USD weakness), many Japanese life insurers saw an opening to lock in profits on hedged USD assets – some repatriation occurred. But as global yields fell (Fed cuts), hedging became cheaper, so by Q4, Japanese investors ramped up foreign bond purchases again (MoF data: net outflows in Nov/Dec soared) – weakening yen to 156.65. So yen was pulled both ways through year, ending near where it started. Real effective yen (REER) though remained near 50-year lows, supporting Japanese exporters.</w:t>
      </w:r>
      <w:r>
        <w:t xml:space="preserve"> </w:t>
      </w:r>
      <w:r>
        <w:t xml:space="preserve">-</w:t>
      </w:r>
      <w:r>
        <w:t xml:space="preserve"> </w:t>
      </w:r>
      <w:r>
        <w:rPr>
          <w:b/>
          <w:bCs/>
        </w:rPr>
        <w:t xml:space="preserve">Equity flows:</w:t>
      </w:r>
      <w:r>
        <w:t xml:space="preserve"> </w:t>
      </w:r>
      <w:r>
        <w:t xml:space="preserve">Japan’s corporate reforms (stock buybacks at record ¥10 trillion, unwinding of cross-shareholdings) plus cheap yen made Japanese equities attractive – foreigners net bought &gt;¥7 trillion ($50bn) Japanese stocks in H1, one driver of Nikkei hitting 50,000.</w:t>
      </w:r>
      <w:r>
        <w:t xml:space="preserve"> </w:t>
      </w:r>
      <w:r>
        <w:t xml:space="preserve">-</w:t>
      </w:r>
      <w:r>
        <w:t xml:space="preserve"> </w:t>
      </w:r>
      <w:r>
        <w:rPr>
          <w:b/>
          <w:bCs/>
        </w:rPr>
        <w:t xml:space="preserve">Correlation shifts:</w:t>
      </w:r>
      <w:r>
        <w:t xml:space="preserve"> </w:t>
      </w:r>
      <w:r>
        <w:t xml:space="preserve">Historically yen is safe-haven (strengthens in risk-off). In 2025 risk-off episodes (April tariffs) saw only mild yen strength (156→148 then back), as structural drivers (rate diffs, carry) dominated. This suggests yen’s haven role was muted by carry trade unwinds being short-lived (retail flows in Japan – Mrs. Watanabe – resumed selling yen for yield, given still low absolute yields in Japan relative to available global yield).</w:t>
      </w:r>
    </w:p>
    <w:p>
      <w:pPr>
        <w:pStyle w:val="BodyText"/>
      </w:pPr>
      <w:r>
        <w:rPr>
          <w:b/>
          <w:bCs/>
        </w:rPr>
        <w:t xml:space="preserve">Cross-Asset/Spillovers:</w:t>
      </w:r>
      <w:r>
        <w:t xml:space="preserve"> </w:t>
      </w:r>
      <w:r>
        <w:t xml:space="preserve">-</w:t>
      </w:r>
      <w:r>
        <w:t xml:space="preserve"> </w:t>
      </w:r>
      <w:r>
        <w:rPr>
          <w:b/>
          <w:bCs/>
        </w:rPr>
        <w:t xml:space="preserve">Global Bonds:</w:t>
      </w:r>
      <w:r>
        <w:t xml:space="preserve"> </w:t>
      </w:r>
      <w:r>
        <w:t xml:space="preserve">BoJ normalization initially feared to cause global yields up (if BoJ buys fewer USTs/other bonds). However, because Fed was cutting and global demand robust, any BoJ effect was swamped. Actually, by late 2025, Japanese investors had returned to UST purchases with currency hedges, ironically supporting U.S. yields lower – so the feared “Japanese selling causing UST yields up” didn’t persist beyond early year.</w:t>
      </w:r>
      <w:r>
        <w:t xml:space="preserve"> </w:t>
      </w:r>
      <w:r>
        <w:t xml:space="preserve">-</w:t>
      </w:r>
      <w:r>
        <w:t xml:space="preserve"> </w:t>
      </w:r>
      <w:r>
        <w:rPr>
          <w:b/>
          <w:bCs/>
        </w:rPr>
        <w:t xml:space="preserve">FX markets more broadly:</w:t>
      </w:r>
      <w:r>
        <w:t xml:space="preserve"> </w:t>
      </w:r>
      <w:r>
        <w:t xml:space="preserve">Yen’s relative weakness contributed to dollar index not falling as much as it would have if yen joined euro/GBP in rising. (DXY down ~7% weighed by euro up ~10%, but yen flat limited DXY fall, since yen ~13% of DXY basket). For other Asian currencies, yen stability/weakness helped them remain competitive.</w:t>
      </w:r>
      <w:r>
        <w:t xml:space="preserve"> </w:t>
      </w:r>
      <w:r>
        <w:t xml:space="preserve">-</w:t>
      </w:r>
      <w:r>
        <w:t xml:space="preserve"> </w:t>
      </w:r>
      <w:r>
        <w:rPr>
          <w:b/>
          <w:bCs/>
        </w:rPr>
        <w:t xml:space="preserve">Japanese domestic:</w:t>
      </w:r>
      <w:r>
        <w:t xml:space="preserve"> </w:t>
      </w:r>
      <w:r>
        <w:t xml:space="preserve">Higher yields improved banks’ net interest margins slightly and offered life insurers alternatives domestically. However, the moves were small – Japanese bank stocks mainly rallied more on general global factors and economy hopes rather than NIM because yields are still low (&lt;1% 10Y). The removal of YCC meant BoJ’s footprint shrank in JGB market, slowly reviving liquidity – by Q4, trading volumes in JGBs up from 2024’s near-zero in some tenors.</w:t>
      </w:r>
    </w:p>
    <w:p>
      <w:pPr>
        <w:pStyle w:val="BodyText"/>
      </w:pPr>
      <w:r>
        <w:rPr>
          <w:b/>
          <w:bCs/>
        </w:rPr>
        <w:t xml:space="preserve">Who Benefited / Suffered:</w:t>
      </w:r>
      <w:r>
        <w:t xml:space="preserve"> </w:t>
      </w:r>
      <w:r>
        <w:t xml:space="preserve">-</w:t>
      </w:r>
      <w:r>
        <w:t xml:space="preserve"> </w:t>
      </w:r>
      <w:r>
        <w:rPr>
          <w:i/>
          <w:iCs/>
        </w:rPr>
        <w:t xml:space="preserve">Benefited:</w:t>
      </w:r>
      <w:r>
        <w:t xml:space="preserve"> </w:t>
      </w:r>
      <w:r>
        <w:rPr>
          <w:b/>
          <w:bCs/>
        </w:rPr>
        <w:t xml:space="preserve">Japanese Financials:</w:t>
      </w:r>
      <w:r>
        <w:t xml:space="preserve"> </w:t>
      </w:r>
      <w:r>
        <w:t xml:space="preserve">Banks and insurance stocks rose ~+20% on year (TOPIX Bank index, etc.), anticipating gradually improving interest rates and perhaps less BoJ suppression.</w:t>
      </w:r>
      <w:r>
        <w:t xml:space="preserve"> </w:t>
      </w:r>
      <w:r>
        <w:rPr>
          <w:b/>
          <w:bCs/>
        </w:rPr>
        <w:t xml:space="preserve">Foreign investors in Japan equities</w:t>
      </w:r>
      <w:r>
        <w:t xml:space="preserve"> </w:t>
      </w:r>
      <w:r>
        <w:t xml:space="preserve">– currency-adjusted, MSCI Japan USD +26%. Many global funds had been underweight Japan and scrambled to increase exposure when outperformance kicked in.</w:t>
      </w:r>
      <w:r>
        <w:t xml:space="preserve"> </w:t>
      </w:r>
      <w:r>
        <w:t xml:space="preserve">-</w:t>
      </w:r>
      <w:r>
        <w:t xml:space="preserve"> </w:t>
      </w:r>
      <w:r>
        <w:rPr>
          <w:b/>
          <w:bCs/>
        </w:rPr>
        <w:t xml:space="preserve">Japanese Exporters:</w:t>
      </w:r>
      <w:r>
        <w:t xml:space="preserve"> </w:t>
      </w:r>
      <w:r>
        <w:t xml:space="preserve">The yen’s persistent cheapness (~¥150) meant exporters like Toyota, Sony enjoyed currency tailwinds, boosting profits. Combined with cost discipline and global demand (especially from robust US/EU), Japan Inc. had a strong earnings year (~+10% EPS for TOPIX).</w:t>
      </w:r>
      <w:r>
        <w:t xml:space="preserve"> </w:t>
      </w:r>
      <w:r>
        <w:t xml:space="preserve">-</w:t>
      </w:r>
      <w:r>
        <w:t xml:space="preserve"> </w:t>
      </w:r>
      <w:r>
        <w:rPr>
          <w:b/>
          <w:bCs/>
        </w:rPr>
        <w:t xml:space="preserve">Global economy:</w:t>
      </w:r>
      <w:r>
        <w:t xml:space="preserve"> </w:t>
      </w:r>
      <w:r>
        <w:t xml:space="preserve">A stable Japan normalization meant one less source of market volatility and arguably strengthened the global financial system by removing an outlier policy. Also, Japan stepping back from ultra-easy means less downward pressure on global yields (some might say that hurt others, but in an environment of falling inflation, it was fine).</w:t>
      </w:r>
      <w:r>
        <w:t xml:space="preserve"> </w:t>
      </w:r>
      <w:r>
        <w:t xml:space="preserve">-</w:t>
      </w:r>
      <w:r>
        <w:t xml:space="preserve"> </w:t>
      </w:r>
      <w:r>
        <w:rPr>
          <w:i/>
          <w:iCs/>
        </w:rPr>
        <w:t xml:space="preserve">Suffered:</w:t>
      </w:r>
      <w:r>
        <w:t xml:space="preserve"> </w:t>
      </w:r>
      <w:r>
        <w:rPr>
          <w:b/>
          <w:bCs/>
        </w:rPr>
        <w:t xml:space="preserve">Japanese Government</w:t>
      </w:r>
      <w:r>
        <w:t xml:space="preserve"> </w:t>
      </w:r>
      <w:r>
        <w:t xml:space="preserve">ironically faces higher borrowing costs – though still very low. With debt ~260% GDP, a 1% 10Y yield vs 0% prior will over time raise interest expenses (though BoJ owns &gt;50% JGBs mostly at fixed low rates for now). However, no immediate crisis as BoJ can hold those bonds.</w:t>
      </w:r>
      <w:r>
        <w:t xml:space="preserve"> </w:t>
      </w:r>
      <w:r>
        <w:t xml:space="preserve">-</w:t>
      </w:r>
      <w:r>
        <w:t xml:space="preserve"> </w:t>
      </w:r>
      <w:r>
        <w:rPr>
          <w:b/>
          <w:bCs/>
        </w:rPr>
        <w:t xml:space="preserve">Companies reliant on BoJ easy money:</w:t>
      </w:r>
      <w:r>
        <w:t xml:space="preserve"> </w:t>
      </w:r>
      <w:r>
        <w:t xml:space="preserve">e.g., highly indebted Japanese firms or zombie SMEs might see slight pressure as financing costs nudge up or banks less compelled to roll loans cheaply. But given credit remained easy, no spike in bankruptcies was observed; in fact, bankruptcies hit near record lows as economy improved.</w:t>
      </w:r>
      <w:r>
        <w:t xml:space="preserve"> </w:t>
      </w:r>
      <w:r>
        <w:t xml:space="preserve">-</w:t>
      </w:r>
      <w:r>
        <w:t xml:space="preserve"> </w:t>
      </w:r>
      <w:r>
        <w:rPr>
          <w:b/>
          <w:bCs/>
        </w:rPr>
        <w:t xml:space="preserve">Relative to peers:</w:t>
      </w:r>
      <w:r>
        <w:t xml:space="preserve"> </w:t>
      </w:r>
      <w:r>
        <w:t xml:space="preserve">If one compares, say, yen vs other havens: Swiss franc soared 10% vs USD as SNB had already normalized; yen flat means those long yen as a hedge (some macro funds use yen long in risk-off) didn’t get payoff – e.g., in tariff shock, yen’s move was muted, so it didn’t hedge as well as gold or franc. So yen disappointed as a hedge asset in 2025 due to structural weakness.</w:t>
      </w:r>
      <w:r>
        <w:t xml:space="preserve"> </w:t>
      </w:r>
      <w:r>
        <w:t xml:space="preserve">-</w:t>
      </w:r>
      <w:r>
        <w:t xml:space="preserve"> </w:t>
      </w:r>
      <w:r>
        <w:rPr>
          <w:b/>
          <w:bCs/>
        </w:rPr>
        <w:t xml:space="preserve">Traders betting on yen rebound or BoJ shock:</w:t>
      </w:r>
      <w:r>
        <w:t xml:space="preserve"> </w:t>
      </w:r>
      <w:r>
        <w:t xml:space="preserve">Some hedge funds positioned for a big yen surge on BoJ's actions were squeezed when yen initially strengthened midyear (good for them) but then reversed (painful). It highlights difficulty timing BoJ trades.</w:t>
      </w:r>
    </w:p>
    <w:p>
      <w:pPr>
        <w:pStyle w:val="BodyText"/>
      </w:pPr>
      <w:r>
        <w:rPr>
          <w:b/>
          <w:bCs/>
        </w:rPr>
        <w:t xml:space="preserve">Lessons for 2026:</w:t>
      </w:r>
      <w:r>
        <w:t xml:space="preserve"> </w:t>
      </w:r>
      <w:r>
        <w:t xml:space="preserve">1.</w:t>
      </w:r>
      <w:r>
        <w:t xml:space="preserve"> </w:t>
      </w:r>
      <w:r>
        <w:rPr>
          <w:b/>
          <w:bCs/>
        </w:rPr>
        <w:t xml:space="preserve">Gradual Normalization can Work:</w:t>
      </w:r>
      <w:r>
        <w:t xml:space="preserve"> </w:t>
      </w:r>
      <w:r>
        <w:t xml:space="preserve">BoJ’s careful strategy avoided the feared market dislocations. For 2026, expect BoJ to continue gradualism – likely raising short rate slightly above zero or removing YCC fully, but communicating well. If global conditions stable, it might similarly be absorbed. So lesson: the world can handle BoJ normalization if done slowly – a risk many worried about (like a sudden yen spike or global bond selloff) did not materialize; thus, in risk analysis, consider that not all tail events happen worst-case if policy is adept.</w:t>
      </w:r>
      <w:r>
        <w:t xml:space="preserve"> </w:t>
      </w:r>
      <w:r>
        <w:t xml:space="preserve">2.</w:t>
      </w:r>
      <w:r>
        <w:t xml:space="preserve"> </w:t>
      </w:r>
      <w:r>
        <w:rPr>
          <w:b/>
          <w:bCs/>
        </w:rPr>
        <w:t xml:space="preserve">Yen’s Role Changing:</w:t>
      </w:r>
      <w:r>
        <w:t xml:space="preserve"> </w:t>
      </w:r>
      <w:r>
        <w:t xml:space="preserve">2025 suggests yen is not as straightforward a safe haven as before if structural outflows (carry trades) dominate. For 2026, if global volatility spikes, yen may strengthen some, but perhaps less than historically, especially if Japanese yields are rising (which usually strengthens yen, but if at same time global stress triggers risk-off flows, cross-currents). So, using yen as a crisis hedge might need caution or pairing with something like gold for effective hedge.</w:t>
      </w:r>
      <w:r>
        <w:t xml:space="preserve"> </w:t>
      </w:r>
      <w:r>
        <w:t xml:space="preserve">3.</w:t>
      </w:r>
      <w:r>
        <w:t xml:space="preserve"> </w:t>
      </w:r>
      <w:r>
        <w:rPr>
          <w:b/>
          <w:bCs/>
        </w:rPr>
        <w:t xml:space="preserve">Japan Equity Resurgence Could Continue:</w:t>
      </w:r>
      <w:r>
        <w:t xml:space="preserve"> </w:t>
      </w:r>
      <w:r>
        <w:t xml:space="preserve">2025 may be the start of a multi-year re-rating of Japan, due to reforms and improved ROE. Global investors might further raise allocations. For 2026, if yen remains weak and domestic economy okay, Japanese stocks could continue outperformance. But if yen finally strengthens (possible if U.S. cuts more and BoJ hikes modestly), that could trim exports advantage but boost domestic demand (cheaper imports, more purchasing power) – net effect might still be fine for equities if moderate.</w:t>
      </w:r>
      <w:r>
        <w:t xml:space="preserve"> </w:t>
      </w:r>
      <w:r>
        <w:t xml:space="preserve">4.</w:t>
      </w:r>
      <w:r>
        <w:t xml:space="preserve"> </w:t>
      </w:r>
      <w:r>
        <w:rPr>
          <w:b/>
          <w:bCs/>
        </w:rPr>
        <w:t xml:space="preserve">Global Bond Impact of BoJ:</w:t>
      </w:r>
      <w:r>
        <w:t xml:space="preserve"> </w:t>
      </w:r>
      <w:r>
        <w:t xml:space="preserve">As BoJ likely ends YCC fully in 2026, one should watch global bond flows – a freer JGB market might attract some domestic money back home if yields become appealing (~1.5-2%). That could put mild upward pressure on global yields if Japanese demand for foreign bonds ebbs. But 2025 indicated that if global yields themselves fall, Japanese investors will still buy abroad for extra yield. So, net effect uncertain – one must monitor Japanese investor behavior (e.g., life insurer statements about allocations). In scenario planning, consider if yen suddenly strengthens to, say, 130, as that might prompt more outflows (since currency no longer as cheap).</w:t>
      </w:r>
      <w:r>
        <w:t xml:space="preserve"> </w:t>
      </w:r>
      <w:r>
        <w:t xml:space="preserve">5.</w:t>
      </w:r>
      <w:r>
        <w:t xml:space="preserve"> </w:t>
      </w:r>
      <w:r>
        <w:rPr>
          <w:b/>
          <w:bCs/>
        </w:rPr>
        <w:t xml:space="preserve">Policy Precedence:</w:t>
      </w:r>
      <w:r>
        <w:t xml:space="preserve"> </w:t>
      </w:r>
      <w:r>
        <w:t xml:space="preserve">Japan’s success in exiting ultra-ease could embolden other central banks (ECB, etc.) that have been cautious. Though most others already normalized, if any are in doubt (like if in future Fed had to cut to zero again, they can look to BoJ how to manage exit smoothly). For risk managers, it suggests extreme monetary regimes can be exited without crash given the right conditions – making tail risk of "Trapped BoJ" less severe than thought.</w:t>
      </w:r>
      <w:r>
        <w:t xml:space="preserve"> </w:t>
      </w:r>
      <w:r>
        <w:t xml:space="preserve">6.</w:t>
      </w:r>
      <w:r>
        <w:t xml:space="preserve"> </w:t>
      </w:r>
      <w:r>
        <w:rPr>
          <w:b/>
          <w:bCs/>
        </w:rPr>
        <w:t xml:space="preserve">Currency Hedge vs Local:</w:t>
      </w:r>
      <w:r>
        <w:t xml:space="preserve"> </w:t>
      </w:r>
      <w:r>
        <w:t xml:space="preserve">In 2025, unhedged Japan equity (with yen flat) performed same as hedged essentially, but if yen moved, results differ. For 2026, decide currency hedging based on yen outlook – if expecting yen strengthen (maybe if U.S. slows more), hedge out yen could lose potential extra return from yen. Many funds in 2025 hedged because expected yen up; they gained from equities but got zero from yen. If yen unexpectedly surges in 2026 due to some shock, unhedged would win. So, it's a tricky call; diversification might mean partly hedged exposure.</w:t>
      </w:r>
    </w:p>
    <w:p>
      <w:pPr>
        <w:pStyle w:val="BodyText"/>
      </w:pPr>
      <w:r>
        <w:rPr>
          <w:b/>
          <w:bCs/>
        </w:rPr>
        <w:t xml:space="preserve">Deep Dive Lesson:</w:t>
      </w:r>
      <w:r>
        <w:t xml:space="preserve"> </w:t>
      </w:r>
      <w:r>
        <w:rPr>
          <w:i/>
          <w:iCs/>
        </w:rPr>
        <w:t xml:space="preserve">Japan’s 2025 journey highlights how a long-stagnant market/regime can pivot to positive change.</w:t>
      </w:r>
      <w:r>
        <w:t xml:space="preserve"> </w:t>
      </w:r>
      <w:r>
        <w:t xml:space="preserve">It teaches not to ignore markets that have underperformed for decades – when catalysts align (inflation, policy shift, reforms), they can reward massively. For risk management, Japan reminded that not all tightening is bearish – in Japan’s case, normalization coexisted with asset rallies because it signaled confidence in economy. It’s a lesson that context matters: tightening in a strong economy can be bullish (contrary to usual fear). In 2026, applying that lesson means evaluating central bank moves with nuance – are they tightening despite weakness (bad) or because things are better (good)? Japan was the latter. It also shows structural factors (like yield differentials and investor behavior) can dominate classic safe-haven logic in FX – requiring updated models for yen behavior. Overall, Japan’s case study encourages looking for inflection points in long-term laggards and understanding monetary regime shifts as opportunities, not just risks.</w:t>
      </w:r>
    </w:p>
    <w:p>
      <w:r>
        <w:pict>
          <v:rect style="width:0;height:1.5pt" o:hralign="center" o:hrstd="t" o:hr="t"/>
        </w:pict>
      </w:r>
    </w:p>
    <w:bookmarkEnd w:id="52"/>
    <w:bookmarkEnd w:id="53"/>
    <w:bookmarkStart w:id="54" w:name="g.-risk-managers-view-gsib-style"/>
    <w:p>
      <w:pPr>
        <w:pStyle w:val="Heading2"/>
      </w:pPr>
      <w:r>
        <w:t xml:space="preserve">G. Risk Manager’s View (GSIB Style)</w:t>
      </w:r>
    </w:p>
    <w:p>
      <w:pPr>
        <w:pStyle w:val="FirstParagraph"/>
      </w:pPr>
      <w:r>
        <w:t xml:space="preserve">2025 was a year of</w:t>
      </w:r>
      <w:r>
        <w:t xml:space="preserve"> </w:t>
      </w:r>
      <w:r>
        <w:rPr>
          <w:b/>
          <w:bCs/>
        </w:rPr>
        <w:t xml:space="preserve">notable risk factor swings</w:t>
      </w:r>
      <w:r>
        <w:t xml:space="preserve">, correlation regime changes, and mercifully fewer shocks than 2022–23 – but it still offered plenty of stress-test scenarios. From a GSIB (Global Systemically Important Bank) risk manager perspective, the top</w:t>
      </w:r>
      <w:r>
        <w:t xml:space="preserve"> </w:t>
      </w:r>
      <w:r>
        <w:rPr>
          <w:b/>
          <w:bCs/>
        </w:rPr>
        <w:t xml:space="preserve">10 risk factors dominating 2025</w:t>
      </w:r>
      <w:r>
        <w:t xml:space="preserve"> </w:t>
      </w:r>
      <w:r>
        <w:t xml:space="preserve">were:</w:t>
      </w:r>
    </w:p>
    <w:p>
      <w:pPr>
        <w:numPr>
          <w:ilvl w:val="0"/>
          <w:numId w:val="1010"/>
        </w:numPr>
      </w:pPr>
      <w:r>
        <w:rPr>
          <w:b/>
          <w:bCs/>
        </w:rPr>
        <w:t xml:space="preserve">Inflation/Disinflation Trajectory:</w:t>
      </w:r>
      <w:r>
        <w:t xml:space="preserve"> </w:t>
      </w:r>
      <w:r>
        <w:t xml:space="preserve">The risk that inflation might either re-accelerate or plunge into deflation.</w:t>
      </w:r>
      <w:r>
        <w:t xml:space="preserve"> </w:t>
      </w:r>
      <w:r>
        <w:rPr>
          <w:i/>
          <w:iCs/>
        </w:rPr>
        <w:t xml:space="preserve">Outcome:</w:t>
      </w:r>
      <w:r>
        <w:t xml:space="preserve"> </w:t>
      </w:r>
      <w:r>
        <w:t xml:space="preserve">Inflation surprised to the downside globally, easing one of 2025’s biggest risk concerns. This reduced central bank tightening risk and supported asset valuations, but posed a tail risk of too-low inflation (deflation) if downturn occurred (didn’t materialize in 2025).</w:t>
      </w:r>
      <w:r>
        <w:t xml:space="preserve"> </w:t>
      </w:r>
      <w:r>
        <w:rPr>
          <w:b/>
          <w:bCs/>
        </w:rPr>
        <w:t xml:space="preserve">Lesson:</w:t>
      </w:r>
      <w:r>
        <w:t xml:space="preserve"> </w:t>
      </w:r>
      <w:r>
        <w:t xml:space="preserve">Keep hedges for both tails – 2025 rewarded those positioned for disinflation (long duration). For 2026, inflation risk appears lower, but medium-term sticky wage or commodity shocks remain a risk worth monitoring.</w:t>
      </w:r>
    </w:p>
    <w:p>
      <w:pPr>
        <w:numPr>
          <w:ilvl w:val="0"/>
          <w:numId w:val="1010"/>
        </w:numPr>
      </w:pPr>
      <w:r>
        <w:rPr>
          <w:b/>
          <w:bCs/>
        </w:rPr>
        <w:t xml:space="preserve">Central Bank Policy Missteps:</w:t>
      </w:r>
      <w:r>
        <w:t xml:space="preserve"> </w:t>
      </w:r>
      <w:r>
        <w:t xml:space="preserve">The risk of over-tightening into recession or delayed easing causing market stress.</w:t>
      </w:r>
      <w:r>
        <w:t xml:space="preserve"> </w:t>
      </w:r>
      <w:r>
        <w:rPr>
          <w:i/>
          <w:iCs/>
        </w:rPr>
        <w:t xml:space="preserve">Outcome:</w:t>
      </w:r>
      <w:r>
        <w:t xml:space="preserve"> </w:t>
      </w:r>
      <w:r>
        <w:t xml:space="preserve">Fed and ECB managed relatively smooth pivots – the Fed’s “insurance cuts” helped extend the cycle, and the ECB paused in time as inflation fell. The BoJ’s normalization was careful and didn’t roil markets. Thus,</w:t>
      </w:r>
      <w:r>
        <w:t xml:space="preserve"> </w:t>
      </w:r>
      <w:r>
        <w:rPr>
          <w:b/>
          <w:bCs/>
        </w:rPr>
        <w:t xml:space="preserve">no major policy error became apparent in 2025</w:t>
      </w:r>
      <w:r>
        <w:t xml:space="preserve">, marking a shift from 2022’s critique of being behind the curve.</w:t>
      </w:r>
      <w:r>
        <w:t xml:space="preserve"> </w:t>
      </w:r>
      <w:r>
        <w:rPr>
          <w:b/>
          <w:bCs/>
        </w:rPr>
        <w:t xml:space="preserve">Lesson:</w:t>
      </w:r>
      <w:r>
        <w:t xml:space="preserve"> </w:t>
      </w:r>
      <w:r>
        <w:t xml:space="preserve">Central banks remain key – their clear communication in 2025 (“higher for longer” then “data-dependent easing”) stabilized expectations. However, risk managers note that if inflation does resurge or growth surprises, policy could again become a source of volatility (e.g. Fed pivoting hawkish if needed).</w:t>
      </w:r>
    </w:p>
    <w:p>
      <w:pPr>
        <w:numPr>
          <w:ilvl w:val="0"/>
          <w:numId w:val="1010"/>
        </w:numPr>
      </w:pPr>
      <w:r>
        <w:rPr>
          <w:b/>
          <w:bCs/>
        </w:rPr>
        <w:t xml:space="preserve">Geopolitical/Tail Event Risk:</w:t>
      </w:r>
      <w:r>
        <w:t xml:space="preserve"> </w:t>
      </w:r>
      <w:r>
        <w:t xml:space="preserve">This includes the Ukraine war escalation, U.S.–China conflict over Taiwan, Middle East flare-ups, etc.</w:t>
      </w:r>
      <w:r>
        <w:t xml:space="preserve"> </w:t>
      </w:r>
      <w:r>
        <w:rPr>
          <w:i/>
          <w:iCs/>
        </w:rPr>
        <w:t xml:space="preserve">Outcome:</w:t>
      </w:r>
      <w:r>
        <w:t xml:space="preserve"> </w:t>
      </w:r>
      <w:r>
        <w:t xml:space="preserve">Major tail risks did</w:t>
      </w:r>
      <w:r>
        <w:t xml:space="preserve"> </w:t>
      </w:r>
      <w:r>
        <w:rPr>
          <w:b/>
          <w:bCs/>
        </w:rPr>
        <w:t xml:space="preserve">not</w:t>
      </w:r>
      <w:r>
        <w:t xml:space="preserve"> </w:t>
      </w:r>
      <w:r>
        <w:t xml:space="preserve">materialize – no new wars beyond ongoing ones. The Ukraine war remained contained (even some optimism of a turning tide, which improved European risk sentiment). There were Middle East tensions (e.g. brief Israel-Gaza war flare in Oct) but limited market impact. Biggest geo-risk realized was U.S.–China trade war escalation, which markets absorbed after initial shock.</w:t>
      </w:r>
      <w:r>
        <w:t xml:space="preserve"> </w:t>
      </w:r>
      <w:r>
        <w:rPr>
          <w:b/>
          <w:bCs/>
        </w:rPr>
        <w:t xml:space="preserve">Lesson:</w:t>
      </w:r>
      <w:r>
        <w:t xml:space="preserve"> </w:t>
      </w:r>
      <w:r>
        <w:t xml:space="preserve">2025 was a reminder that markets can be resilient to geopolitical noise unless it directly impairs economic function (e.g. trade routes, energy supply). But risk managers cannot be complacent: we got “lucky” with mild outcomes (e.g. mild winter in Europe, conflict contained). For 2026, scenario planning still must include severe tail events (e.g. a cyberattack, a Taiwan crisis, etc.), even if probability perceived low – because their impact would be high.</w:t>
      </w:r>
    </w:p>
    <w:p>
      <w:pPr>
        <w:numPr>
          <w:ilvl w:val="0"/>
          <w:numId w:val="1010"/>
        </w:numPr>
      </w:pPr>
      <w:r>
        <w:rPr>
          <w:b/>
          <w:bCs/>
        </w:rPr>
        <w:t xml:space="preserve">Correlation &amp; Diversification Breakdown:</w:t>
      </w:r>
      <w:r>
        <w:t xml:space="preserve"> </w:t>
      </w:r>
      <w:r>
        <w:t xml:space="preserve">A key risk in 2022 was stocks and bonds falling together (positive correlation breaking 60/40 safety).</w:t>
      </w:r>
      <w:r>
        <w:t xml:space="preserve"> </w:t>
      </w:r>
      <w:r>
        <w:rPr>
          <w:i/>
          <w:iCs/>
        </w:rPr>
        <w:t xml:space="preserve">Outcome:</w:t>
      </w:r>
      <w:r>
        <w:t xml:space="preserve"> </w:t>
      </w:r>
      <w:r>
        <w:t xml:space="preserve">2025 saw</w:t>
      </w:r>
      <w:r>
        <w:t xml:space="preserve"> </w:t>
      </w:r>
      <w:r>
        <w:rPr>
          <w:b/>
          <w:bCs/>
        </w:rPr>
        <w:t xml:space="preserve">correlations revert to more normal patterns</w:t>
      </w:r>
      <w:r>
        <w:t xml:space="preserve"> </w:t>
      </w:r>
      <w:r>
        <w:t xml:space="preserve">– stocks and bonds mostly inversely correlated (e.g. April selloff: stocks down, bonds up). There were still periods of cross-asset selloffs (briefly in Oct risk-off everything down except gold), but volatility clustering was moderate. Diversification worked again: 60/40 delivered ~14% with lower vol.</w:t>
      </w:r>
      <w:r>
        <w:t xml:space="preserve"> </w:t>
      </w:r>
      <w:r>
        <w:rPr>
          <w:b/>
          <w:bCs/>
        </w:rPr>
        <w:t xml:space="preserve">Lesson:</w:t>
      </w:r>
      <w:r>
        <w:t xml:space="preserve"> </w:t>
      </w:r>
      <w:r>
        <w:t xml:space="preserve">2025 reaffirmed that diversification is effective</w:t>
      </w:r>
      <w:r>
        <w:t xml:space="preserve"> </w:t>
      </w:r>
      <w:r>
        <w:rPr>
          <w:i/>
          <w:iCs/>
        </w:rPr>
        <w:t xml:space="preserve">most</w:t>
      </w:r>
      <w:r>
        <w:t xml:space="preserve"> </w:t>
      </w:r>
      <w:r>
        <w:t xml:space="preserve">of the time – but risk management should not assume it's automatic (we recall 2022’s breakdown). Keep an eye on inflation as a driver of correlation – in disinflationary environment, bonds and equities returned to negative correlation (good for multi-asset). If inflation unpredictably rises, that correlation could flip positive again – a tail risk to consider.</w:t>
      </w:r>
    </w:p>
    <w:p>
      <w:pPr>
        <w:numPr>
          <w:ilvl w:val="0"/>
          <w:numId w:val="1010"/>
        </w:numPr>
      </w:pPr>
      <w:r>
        <w:rPr>
          <w:b/>
          <w:bCs/>
        </w:rPr>
        <w:t xml:space="preserve">Market Liquidity &amp; Funding Risks:</w:t>
      </w:r>
      <w:r>
        <w:t xml:space="preserve"> </w:t>
      </w:r>
      <w:r>
        <w:t xml:space="preserve">2022–23 had episodes like the UK gilts crisis, Treasury illiquidity, crypto collapses causing funding stress.</w:t>
      </w:r>
      <w:r>
        <w:t xml:space="preserve"> </w:t>
      </w:r>
      <w:r>
        <w:rPr>
          <w:i/>
          <w:iCs/>
        </w:rPr>
        <w:t xml:space="preserve">Outcome:</w:t>
      </w:r>
      <w:r>
        <w:t xml:space="preserve"> </w:t>
      </w:r>
      <w:r>
        <w:t xml:space="preserve">2025 had</w:t>
      </w:r>
      <w:r>
        <w:t xml:space="preserve"> </w:t>
      </w:r>
      <w:r>
        <w:rPr>
          <w:b/>
          <w:bCs/>
        </w:rPr>
        <w:t xml:space="preserve">no major liquidity crunch</w:t>
      </w:r>
      <w:r>
        <w:t xml:space="preserve">. Measures like bid-ask spreads, market depth improved across markets. The longest U.S. government shutdown did not trigger funding market panic – the Fed’s ample reserves and tools (like Standing Repo Facility) helped keep short-term funding stable (LIBOR/OIS spreads stayed low, CP markets fine). FX swap markets had periodic tightness (yen and euro funding spikes around year-end), but nothing systemic. The banking sector, after March 2023 failures, saw deposit outflows stabilize as yield curves steepened (helping banks).</w:t>
      </w:r>
      <w:r>
        <w:t xml:space="preserve"> </w:t>
      </w:r>
      <w:r>
        <w:rPr>
          <w:b/>
          <w:bCs/>
        </w:rPr>
        <w:t xml:space="preserve">Lesson:</w:t>
      </w:r>
      <w:r>
        <w:t xml:space="preserve"> </w:t>
      </w:r>
      <w:r>
        <w:t xml:space="preserve">Post-SVB, risk managers increased focus on liquidity coverage, and 2025 rewarded that with calmer conditions – but complacency is dangerous. Regular stress tests for liquidity (e.g. off-the-run Treasuries, corporate bond market under stress) show better resilience now, but irregular liquidity events (flash crashes, sudden VaR shocks) can still occur. Ensuring buffers (cash, central bank lines) remains crucial.</w:t>
      </w:r>
    </w:p>
    <w:p>
      <w:pPr>
        <w:numPr>
          <w:ilvl w:val="0"/>
          <w:numId w:val="1010"/>
        </w:numPr>
      </w:pPr>
      <w:r>
        <w:rPr>
          <w:b/>
          <w:bCs/>
        </w:rPr>
        <w:t xml:space="preserve">Tail Risks Realized vs Not:</w:t>
      </w:r>
      <w:r>
        <w:t xml:space="preserve"> </w:t>
      </w:r>
      <w:r>
        <w:t xml:space="preserve">We track which tail scenarios hit.</w:t>
      </w:r>
      <w:r>
        <w:t xml:space="preserve"> </w:t>
      </w:r>
      <w:r>
        <w:rPr>
          <w:i/>
          <w:iCs/>
        </w:rPr>
        <w:t xml:space="preserve">Materialized in 2025:</w:t>
      </w:r>
      <w:r>
        <w:t xml:space="preserve"> </w:t>
      </w:r>
      <w:r>
        <w:t xml:space="preserve">The biggest tail realization was arguably</w:t>
      </w:r>
      <w:r>
        <w:t xml:space="preserve"> </w:t>
      </w:r>
      <w:r>
        <w:rPr>
          <w:b/>
          <w:bCs/>
        </w:rPr>
        <w:t xml:space="preserve">the trade war escalation</w:t>
      </w:r>
      <w:r>
        <w:t xml:space="preserve"> </w:t>
      </w:r>
      <w:r>
        <w:t xml:space="preserve">– a scenario few had in base case. Another small tail: the crypto flash crash in Oct (largest liquidation on record in crypto) – though contained within crypto.</w:t>
      </w:r>
      <w:r>
        <w:t xml:space="preserve"> </w:t>
      </w:r>
      <w:r>
        <w:rPr>
          <w:i/>
          <w:iCs/>
        </w:rPr>
        <w:t xml:space="preserve">Did NOT Materialize:</w:t>
      </w:r>
      <w:r>
        <w:t xml:space="preserve"> </w:t>
      </w:r>
      <w:r>
        <w:t xml:space="preserve">A U.S. debt default (the debt ceiling was addressed in 2023 for 2 years, so no 2025 standoff), a major financial contagion (no repeat of SVB; credit defaults stayed low), or extreme weather causing commodity shock (2025 had El Niño but its effects more likely in 2026).</w:t>
      </w:r>
      <w:r>
        <w:t xml:space="preserve"> </w:t>
      </w:r>
      <w:r>
        <w:rPr>
          <w:b/>
          <w:bCs/>
        </w:rPr>
        <w:t xml:space="preserve">Lesson:</w:t>
      </w:r>
      <w:r>
        <w:t xml:space="preserve"> </w:t>
      </w:r>
      <w:r>
        <w:t xml:space="preserve">Many of 2024’s worry points did not blow up in 2025, which contributed to lower volatility. Risk managers should not drop guard; those tail risks often roll forward (e.g. U.S. government funding will arise again – indeed the longest shutdown in Q4 gave a hint of what could happen). Also, 2025’s calm environment is an opportunity to</w:t>
      </w:r>
      <w:r>
        <w:t xml:space="preserve"> </w:t>
      </w:r>
      <w:r>
        <w:rPr>
          <w:b/>
          <w:bCs/>
        </w:rPr>
        <w:t xml:space="preserve">prepare</w:t>
      </w:r>
      <w:r>
        <w:t xml:space="preserve"> </w:t>
      </w:r>
      <w:r>
        <w:t xml:space="preserve">(e.g. hedge tail risk cheaply when vol is low). Observing that tail hedges likely lost money in 2025 (like deep OTM puts expired worthless as markets rallied) – a cost one might accept for protection. Key is calibrating how much tail hedge to carry in benign times, something risk committees debated in 2025 as hedging drag vs feeling protected.</w:t>
      </w:r>
    </w:p>
    <w:p>
      <w:pPr>
        <w:numPr>
          <w:ilvl w:val="0"/>
          <w:numId w:val="1010"/>
        </w:numPr>
      </w:pPr>
      <w:r>
        <w:rPr>
          <w:b/>
          <w:bCs/>
        </w:rPr>
        <w:t xml:space="preserve">Volatility Clustering:</w:t>
      </w:r>
      <w:r>
        <w:t xml:space="preserve"> </w:t>
      </w:r>
      <w:r>
        <w:t xml:space="preserve">We consider whether vol events clustered indicating potential stress.</w:t>
      </w:r>
      <w:r>
        <w:t xml:space="preserve"> </w:t>
      </w:r>
      <w:r>
        <w:rPr>
          <w:i/>
          <w:iCs/>
        </w:rPr>
        <w:t xml:space="preserve">Outcome:</w:t>
      </w:r>
      <w:r>
        <w:t xml:space="preserve"> </w:t>
      </w:r>
      <w:r>
        <w:t xml:space="preserve">Two main clusters – April (tariff shock) and Oct (tariff &amp; Middle East) – saw multi-asset vol upticks, but they were short-lived. There wasn’t persistent high vol; VIX settled down quickly to low teens. No “vol shock” akin to 2018’s volmageddon or 2020’s sustained high vol.</w:t>
      </w:r>
      <w:r>
        <w:t xml:space="preserve"> </w:t>
      </w:r>
      <w:r>
        <w:rPr>
          <w:b/>
          <w:bCs/>
        </w:rPr>
        <w:t xml:space="preserve">Lesson:</w:t>
      </w:r>
      <w:r>
        <w:t xml:space="preserve"> </w:t>
      </w:r>
      <w:r>
        <w:t xml:space="preserve">2025 was a relatively low-vol year after initial spikes – risk managers used it to rebuild capital. However, a concern is</w:t>
      </w:r>
      <w:r>
        <w:t xml:space="preserve"> </w:t>
      </w:r>
      <w:r>
        <w:rPr>
          <w:b/>
          <w:bCs/>
        </w:rPr>
        <w:t xml:space="preserve">volatility ETP selling</w:t>
      </w:r>
      <w:r>
        <w:t xml:space="preserve"> </w:t>
      </w:r>
      <w:r>
        <w:t xml:space="preserve">and strategies (like risk parity) resumed risk exposure as vol fell; if a shock occurs, we could see rapid deleveraging again (though at 2025's end conditions, these strategies had capacity). Thus, in 2026 scenario tests, we still consider vol spike sequences (e.g. if an unexpected Fed hike or geopolitical event occurred, would CTAs flip short, amplifying moves? Possibly). Ensuring robust counterparty risk management with low vol is key because low vol can breed complacency in leverage usage.</w:t>
      </w:r>
    </w:p>
    <w:p>
      <w:pPr>
        <w:numPr>
          <w:ilvl w:val="0"/>
          <w:numId w:val="1010"/>
        </w:numPr>
      </w:pPr>
      <w:r>
        <w:rPr>
          <w:b/>
          <w:bCs/>
        </w:rPr>
        <w:t xml:space="preserve">Credit &amp; Default Risk:</w:t>
      </w:r>
      <w:r>
        <w:t xml:space="preserve"> </w:t>
      </w:r>
      <w:r>
        <w:t xml:space="preserve">After 2023 fears of a default cycle, 2025 risk was that high rates might finally translate to rising defaults or credit stress (esp. if recession hit).</w:t>
      </w:r>
      <w:r>
        <w:t xml:space="preserve"> </w:t>
      </w:r>
      <w:r>
        <w:rPr>
          <w:i/>
          <w:iCs/>
        </w:rPr>
        <w:t xml:space="preserve">Outcome:</w:t>
      </w:r>
      <w:r>
        <w:t xml:space="preserve"> </w:t>
      </w:r>
      <w:r>
        <w:rPr>
          <w:b/>
          <w:bCs/>
        </w:rPr>
        <w:t xml:space="preserve">Default rates remained low</w:t>
      </w:r>
      <w:r>
        <w:t xml:space="preserve">. High-yield default ~2.5%, below historical average, thanks to strong corporate earnings and a benign macro. Even distressed credits rallied as HY spreads tightened to pre-2022 lows ~350 bps. No major corporate blowups or new “Enrons” surfaced. The one area of mild concern was U.S. commercial real estate (office vacancies high) – some localized defaults happened in office mortgages and a few REITs cut dividends, but no systemic issues; banks already reserved for CRE weakness.</w:t>
      </w:r>
      <w:r>
        <w:t xml:space="preserve"> </w:t>
      </w:r>
      <w:r>
        <w:rPr>
          <w:b/>
          <w:bCs/>
        </w:rPr>
        <w:t xml:space="preserve">Lesson:</w:t>
      </w:r>
      <w:r>
        <w:t xml:space="preserve"> </w:t>
      </w:r>
      <w:r>
        <w:t xml:space="preserve">The feared broad default wave hasn’t hit…yet. Many companies termed out debt at low rates, giving them runway through 2025. By 2026-27, maturities climb – if rates stay relatively high, some zombie firms may face default then. So risk committees are monitoring maturity walls and</w:t>
      </w:r>
      <w:r>
        <w:t xml:space="preserve"> </w:t>
      </w:r>
      <w:r>
        <w:rPr>
          <w:b/>
          <w:bCs/>
        </w:rPr>
        <w:t xml:space="preserve">stress scenarios for credit</w:t>
      </w:r>
      <w:r>
        <w:t xml:space="preserve"> </w:t>
      </w:r>
      <w:r>
        <w:t xml:space="preserve">(e.g. adverse scenario: credit spreads widen 200 bps if refinancing stress emerges). For now, 2025 taught that credit can be resilient in a soft landing, but tail scenario (hard landing) would quickly change that – so maintaining prudent credit portfolio quality and some hedges (CDS or reducing exposure to most levered borrowers) is prudent heading into uncertain 2026.</w:t>
      </w:r>
    </w:p>
    <w:p>
      <w:pPr>
        <w:numPr>
          <w:ilvl w:val="0"/>
          <w:numId w:val="1010"/>
        </w:numPr>
      </w:pPr>
      <w:r>
        <w:rPr>
          <w:b/>
          <w:bCs/>
        </w:rPr>
        <w:t xml:space="preserve">Tail Hedge Efficacy:</w:t>
      </w:r>
      <w:r>
        <w:t xml:space="preserve"> </w:t>
      </w:r>
      <w:r>
        <w:t xml:space="preserve">Risk managers assess which hedges worked in 2025’s mini-stresses.</w:t>
      </w:r>
      <w:r>
        <w:t xml:space="preserve"> </w:t>
      </w:r>
      <w:r>
        <w:rPr>
          <w:i/>
          <w:iCs/>
        </w:rPr>
        <w:t xml:space="preserve">Outcome:</w:t>
      </w:r>
      <w:r>
        <w:t xml:space="preserve"> </w:t>
      </w:r>
      <w:r>
        <w:rPr>
          <w:b/>
          <w:bCs/>
        </w:rPr>
        <w:t xml:space="preserve">Gold</w:t>
      </w:r>
      <w:r>
        <w:t xml:space="preserve"> </w:t>
      </w:r>
      <w:r>
        <w:t xml:space="preserve">was an excellent hedge – up strongly during risk-off episodes and all year.</w:t>
      </w:r>
      <w:r>
        <w:t xml:space="preserve"> </w:t>
      </w:r>
      <w:r>
        <w:rPr>
          <w:b/>
          <w:bCs/>
        </w:rPr>
        <w:t xml:space="preserve">Treasuries</w:t>
      </w:r>
      <w:r>
        <w:t xml:space="preserve"> </w:t>
      </w:r>
      <w:r>
        <w:t xml:space="preserve">resumed their negative beta to equities (April and Oct risk-offs saw yields fall, prices up).</w:t>
      </w:r>
      <w:r>
        <w:t xml:space="preserve"> </w:t>
      </w:r>
      <w:r>
        <w:rPr>
          <w:b/>
          <w:bCs/>
        </w:rPr>
        <w:t xml:space="preserve">Put options</w:t>
      </w:r>
      <w:r>
        <w:t xml:space="preserve"> </w:t>
      </w:r>
      <w:r>
        <w:t xml:space="preserve">– expensive in calm times – lost money if held all year (since markets ended higher), but could add value around event risk (e.g. those who bought S&amp;P puts in late March ahead of April tariff got protection when S&amp;P -6%).</w:t>
      </w:r>
      <w:r>
        <w:t xml:space="preserve"> </w:t>
      </w:r>
      <w:r>
        <w:rPr>
          <w:b/>
          <w:bCs/>
        </w:rPr>
        <w:t xml:space="preserve">Currency hedges:</w:t>
      </w:r>
      <w:r>
        <w:t xml:space="preserve"> </w:t>
      </w:r>
      <w:r>
        <w:t xml:space="preserve">long CHF or JPY gave minimal benefit (CHF up some in risk-off, yen did less).</w:t>
      </w:r>
      <w:r>
        <w:t xml:space="preserve"> </w:t>
      </w:r>
      <w:r>
        <w:rPr>
          <w:b/>
          <w:bCs/>
        </w:rPr>
        <w:t xml:space="preserve">VIX calls</w:t>
      </w:r>
      <w:r>
        <w:t xml:space="preserve"> </w:t>
      </w:r>
      <w:r>
        <w:t xml:space="preserve">– also tricky; VIX spiked but short-lived, one had to time entry/exit well.</w:t>
      </w:r>
      <w:r>
        <w:t xml:space="preserve"> </w:t>
      </w:r>
      <w:r>
        <w:rPr>
          <w:b/>
          <w:bCs/>
        </w:rPr>
        <w:t xml:space="preserve">Lesson:</w:t>
      </w:r>
      <w:r>
        <w:t xml:space="preserve"> </w:t>
      </w:r>
      <w:r>
        <w:t xml:space="preserve">Multi-layered hedging remained wise – e.g., holding some gold (performed strongly) and some Treasuries, plus having a plan for dynamic hedging around specific event risks. With volatility low end-2025, hedges like options are relatively cheap; risk committees in Q4 2025 discussed</w:t>
      </w:r>
      <w:r>
        <w:t xml:space="preserve"> </w:t>
      </w:r>
      <w:r>
        <w:rPr>
          <w:b/>
          <w:bCs/>
        </w:rPr>
        <w:t xml:space="preserve">adding tail hedges for 2026</w:t>
      </w:r>
      <w:r>
        <w:t xml:space="preserve"> </w:t>
      </w:r>
      <w:r>
        <w:t xml:space="preserve">given low cost – a classic strategy of “buy insurance when nobody wants it.” They also reviewed hedge performance: gold and Treasuries get high marks as reliable diversifiers, so risk allocation to those remains justified.</w:t>
      </w:r>
    </w:p>
    <w:p>
      <w:pPr>
        <w:numPr>
          <w:ilvl w:val="0"/>
          <w:numId w:val="1010"/>
        </w:numPr>
      </w:pPr>
      <w:r>
        <w:rPr>
          <w:b/>
          <w:bCs/>
        </w:rPr>
        <w:t xml:space="preserve">Key Stress Scenarios for 2026:</w:t>
      </w:r>
      <w:r>
        <w:t xml:space="preserve"> </w:t>
      </w:r>
      <w:r>
        <w:t xml:space="preserve">Using 2025’s lessons, risk managers outline top scenarios:</w:t>
      </w:r>
    </w:p>
    <w:p>
      <w:pPr>
        <w:pStyle w:val="Compact"/>
        <w:numPr>
          <w:ilvl w:val="0"/>
          <w:numId w:val="1010"/>
        </w:numPr>
      </w:pPr>
      <w:r>
        <w:rPr>
          <w:b/>
          <w:bCs/>
        </w:rPr>
        <w:t xml:space="preserve">Base Case (Soft landing extension):</w:t>
      </w:r>
      <w:r>
        <w:t xml:space="preserve"> </w:t>
      </w:r>
      <w:r>
        <w:t xml:space="preserve">Growth slow but positive, inflation ~2%, Fed cuts to ~3%, no major shocks. Asset impact: yields drift down or stable, equities grind up moderately, credit fine, vol stays low. (This essentially continues 2025 trends).</w:t>
      </w:r>
    </w:p>
    <w:p>
      <w:pPr>
        <w:pStyle w:val="Compact"/>
        <w:numPr>
          <w:ilvl w:val="0"/>
          <w:numId w:val="1010"/>
        </w:numPr>
      </w:pPr>
      <w:r>
        <w:rPr>
          <w:b/>
          <w:bCs/>
        </w:rPr>
        <w:t xml:space="preserve">Adverse Case (Stagflation resurgence):</w:t>
      </w:r>
      <w:r>
        <w:t xml:space="preserve"> </w:t>
      </w:r>
      <w:r>
        <w:t xml:space="preserve">Perhaps oil rebounding to $100 if OPEC cuts or war, and core inflation sticky &gt;3% as wages remain high, forcing Fed to pause cuts or even hike. Growth slows to near-zero. Asset impact: bonds and stocks both fall (re-run of 2022 correlation break), credit spreads widen, EM suffers, vol up. A smaller-scale stagflation scenario is plausible tail risk due to oil supply unpredictability and uncertain wage dynamics.</w:t>
      </w:r>
    </w:p>
    <w:p>
      <w:pPr>
        <w:pStyle w:val="Compact"/>
        <w:numPr>
          <w:ilvl w:val="0"/>
          <w:numId w:val="1010"/>
        </w:numPr>
      </w:pPr>
      <w:r>
        <w:rPr>
          <w:b/>
          <w:bCs/>
        </w:rPr>
        <w:t xml:space="preserve">Recession Tail Case:</w:t>
      </w:r>
      <w:r>
        <w:t xml:space="preserve"> </w:t>
      </w:r>
      <w:r>
        <w:t xml:space="preserve">Fed maybe overdid hikes, lags cause sharper downturn by mid-2026. Unemployment jumps &gt;5%, earnings contract. Asset impact: Treasuries rally big (10Y→2%), stocks drop 20%+ to price recession, HY spreads double to ~700 bps, default cycle emerges (HY default perhaps &gt;6%). But inflation falls &lt;1%, giving Fed room for aggressive cuts/QE, eventually stabilizing markets.</w:t>
      </w:r>
    </w:p>
    <w:p>
      <w:pPr>
        <w:pStyle w:val="Compact"/>
        <w:numPr>
          <w:ilvl w:val="0"/>
          <w:numId w:val="1010"/>
        </w:numPr>
      </w:pPr>
      <w:r>
        <w:rPr>
          <w:b/>
          <w:bCs/>
        </w:rPr>
        <w:t xml:space="preserve">Geopolitical Tail:</w:t>
      </w:r>
      <w:r>
        <w:t xml:space="preserve"> </w:t>
      </w:r>
      <w:r>
        <w:t xml:space="preserve">e.g., a severe U.S.–China confrontation (perhaps over Taiwan) or a major cyberattack. Immediate risk asset selloff, flight to quality (gold, USD, CHF up), potential supply shocks (if conflict, e.g. chip supply or shipping affected). Central banks would intervene with liquidity. Very high vol scenario, correlation likely +1 across risky assets downward.</w:t>
      </w:r>
    </w:p>
    <w:p>
      <w:pPr>
        <w:pStyle w:val="FirstParagraph"/>
      </w:pPr>
      <w:r>
        <w:t xml:space="preserve">Risk committees assign probabilities (perhaps base 60%, adverse 30%, tail 10%) and plan accordingly (ensuring capital for tail and reviewing how hedges align to each scenario). For example, gold and Treasuries protect in recession and geo-tail, but stagflation tail requires different hedges (like oil, or inflation swaps, as those would spike). So an action item is to explore</w:t>
      </w:r>
      <w:r>
        <w:t xml:space="preserve"> </w:t>
      </w:r>
      <w:r>
        <w:rPr>
          <w:i/>
          <w:iCs/>
        </w:rPr>
        <w:t xml:space="preserve">inexpensive inflation-tail hedges</w:t>
      </w:r>
      <w:r>
        <w:t xml:space="preserve"> </w:t>
      </w:r>
      <w:r>
        <w:t xml:space="preserve">(like longer-dated inflation caps or commodity proxies) even as consensus sees disinflation – cheap insurance against the crowd.</w:t>
      </w:r>
    </w:p>
    <w:p>
      <w:pPr>
        <w:pStyle w:val="BodyText"/>
      </w:pPr>
      <w:r>
        <w:t xml:space="preserve">In summary,</w:t>
      </w:r>
      <w:r>
        <w:t xml:space="preserve"> </w:t>
      </w:r>
      <w:r>
        <w:rPr>
          <w:b/>
          <w:bCs/>
        </w:rPr>
        <w:t xml:space="preserve">2025’s risk landscape was notably calmer</w:t>
      </w:r>
      <w:r>
        <w:t xml:space="preserve">, allowing a rebuild of risk appetite and buffers. But experience teaches that calm periods sow seeds for next volatility – low vol encourages leverage which can amplify future shocks (a point our board noted from 2025’s vol selling resurgence). Therefore, our 2026 risk approach will be to</w:t>
      </w:r>
      <w:r>
        <w:t xml:space="preserve"> </w:t>
      </w:r>
      <w:r>
        <w:rPr>
          <w:b/>
          <w:bCs/>
        </w:rPr>
        <w:t xml:space="preserve">not let our guard down</w:t>
      </w:r>
      <w:r>
        <w:t xml:space="preserve">: use the cushion earned in 2025 to fortify resilience (capital, liquidity) and to actively hedge plausible tails at relatively low cost. The top themes – inflation path, central bank pivoting, geopolitical wildcards, and credit cycle timing – will continue to drive how we allocate risk and capital. If 2025 was about embracing upside risk (the rally) carefully, 2026 will be about</w:t>
      </w:r>
      <w:r>
        <w:t xml:space="preserve"> </w:t>
      </w:r>
      <w:r>
        <w:rPr>
          <w:b/>
          <w:bCs/>
        </w:rPr>
        <w:t xml:space="preserve">staying vigilant and agile</w:t>
      </w:r>
      <w:r>
        <w:t xml:space="preserve">: ready to reduce risk if adverse signals (inflation uptick, growth rolling over, etc.) appear, but also ready to seize opportunities (e.g. pricing of overblown fear if any shock is short-lived as in 2025).</w:t>
      </w:r>
    </w:p>
    <w:p>
      <w:pPr>
        <w:pStyle w:val="BodyText"/>
      </w:pPr>
      <w:r>
        <w:rPr>
          <w:b/>
          <w:bCs/>
        </w:rPr>
        <w:t xml:space="preserve">Key lessons:</w:t>
      </w:r>
      <w:r>
        <w:t xml:space="preserve"> </w:t>
      </w:r>
      <w:r>
        <w:t xml:space="preserve">Diversity and quality in portfolios paid off in 2025; we will maintain that discipline. Hedging strategies should be reviewed and refined (e.g. consider adding structured put spreads or tail risk insurance given low vol, focusing on macro hedge assets like gold which proved reliable). And scenario planning remains essential – 2025 was a relatively benign year for risks, which ironically is the best time to prepare for when risk returns. The old adage applies:</w:t>
      </w:r>
      <w:r>
        <w:t xml:space="preserve"> </w:t>
      </w:r>
      <w:r>
        <w:rPr>
          <w:i/>
          <w:iCs/>
        </w:rPr>
        <w:t xml:space="preserve">“In calm waters, repair the sails.”</w:t>
      </w:r>
      <w:r>
        <w:t xml:space="preserve"> </w:t>
      </w:r>
      <w:r>
        <w:t xml:space="preserve">We’ve done that in 2025; we sail into 2026 well-capitalized and risk-aware, but also cognizant that no two years are alike and yesterday’s biggest fears can fade (and new ones emerge).</w:t>
      </w:r>
    </w:p>
    <w:p>
      <w:r>
        <w:pict>
          <v:rect style="width:0;height:1.5pt" o:hralign="center" o:hrstd="t" o:hr="t"/>
        </w:pict>
      </w:r>
    </w:p>
    <w:bookmarkEnd w:id="54"/>
    <w:bookmarkStart w:id="55" w:name="Xda329a8cb7f54616ebe7662ebac802363a2fe5f"/>
    <w:p>
      <w:pPr>
        <w:pStyle w:val="Heading2"/>
      </w:pPr>
      <w:r>
        <w:t xml:space="preserve">H. 2026 Outlook, Informed by 2025 (Scenarios)</w:t>
      </w:r>
    </w:p>
    <w:p>
      <w:pPr>
        <w:pStyle w:val="FirstParagraph"/>
      </w:pPr>
      <w:r>
        <w:t xml:space="preserve">Given 2025’s outcomes, we shape our 2026 outlook via</w:t>
      </w:r>
      <w:r>
        <w:t xml:space="preserve"> </w:t>
      </w:r>
      <w:r>
        <w:rPr>
          <w:b/>
          <w:bCs/>
        </w:rPr>
        <w:t xml:space="preserve">three scenarios</w:t>
      </w:r>
      <w:r>
        <w:t xml:space="preserve"> </w:t>
      </w:r>
      <w:r>
        <w:t xml:space="preserve">– Base, Adverse, and Tail – each with probability, triggers, and cross-asset impacts, to inform strategy and positioning. (</w:t>
      </w:r>
      <w:r>
        <w:rPr>
          <w:b/>
          <w:bCs/>
        </w:rPr>
        <w:t xml:space="preserve">As-of date:</w:t>
      </w:r>
      <w:r>
        <w:t xml:space="preserve"> </w:t>
      </w:r>
      <w:r>
        <w:t xml:space="preserve">Jan 7, 2026)</w:t>
      </w:r>
    </w:p>
    <w:p>
      <w:pPr>
        <w:pStyle w:val="BodyText"/>
      </w:pPr>
      <w:r>
        <w:rPr>
          <w:b/>
          <w:bCs/>
        </w:rPr>
        <w:t xml:space="preserve">Base Case (Soft Landing to Moderate Growth) – 60% Probability:</w:t>
      </w:r>
      <w:r>
        <w:t xml:space="preserve"> </w:t>
      </w:r>
      <w:r>
        <w:t xml:space="preserve">-</w:t>
      </w:r>
      <w:r>
        <w:t xml:space="preserve"> </w:t>
      </w:r>
      <w:r>
        <w:rPr>
          <w:b/>
          <w:bCs/>
        </w:rPr>
        <w:t xml:space="preserve">Macro Assumptions:</w:t>
      </w:r>
      <w:r>
        <w:t xml:space="preserve"> </w:t>
      </w:r>
      <w:r>
        <w:t xml:space="preserve">The global economy avoids recession once again. The U.S. experiences below-trend but positive growth ~1.5%, as consumer spending decelerates but isn’t derailed (real income rising with lower inflation). Eurozone growth picks up slightly to ~1% (helped by fiscal tailwinds and improved credit flow). China manages ~4.5–5.0% growth as stimulus and reopening momentum offset property drag. Broadly, inflation stays near target: U.S. core PCE ~2.3%, Eurozone core ~2%. Unemployment nudges up but remains historically low (U.S. ~4.5%, no “hard landing”).</w:t>
      </w:r>
      <w:r>
        <w:t xml:space="preserve"> </w:t>
      </w:r>
      <w:r>
        <w:t xml:space="preserve">-</w:t>
      </w:r>
      <w:r>
        <w:t xml:space="preserve"> </w:t>
      </w:r>
      <w:r>
        <w:rPr>
          <w:b/>
          <w:bCs/>
        </w:rPr>
        <w:t xml:space="preserve">Policy:</w:t>
      </w:r>
      <w:r>
        <w:t xml:space="preserve"> </w:t>
      </w:r>
      <w:r>
        <w:t xml:space="preserve">The Fed continues “non-recessionary easing,” cutting rates gradually to ~3.00% by Q4. ECB cuts modestly (deposit rate from 2.00% to 1.0%) as inflation is on target. BoJ fully exits YCC; short rate +0.5% by year-end (small hikes). Fiscal policy broadly neutral: U.S. fiscal impulse slightly positive (infrastructure outlays ramp up, but no major new stimulus in election year), Europe maintains investment spending but is careful with deficits, China adds mild stimulus as needed.</w:t>
      </w:r>
      <w:r>
        <w:t xml:space="preserve"> </w:t>
      </w:r>
      <w:r>
        <w:t xml:space="preserve">-</w:t>
      </w:r>
      <w:r>
        <w:t xml:space="preserve"> </w:t>
      </w:r>
      <w:r>
        <w:rPr>
          <w:b/>
          <w:bCs/>
        </w:rPr>
        <w:t xml:space="preserve">Triggers/Signposts:</w:t>
      </w:r>
      <w:r>
        <w:t xml:space="preserve"> </w:t>
      </w:r>
      <w:r>
        <w:t xml:space="preserve">Evidence of sustained disinflation (monthly core CPI/PCE prints ~0.2% or less) which keeps central banks dovish. Labor market cooling without collapse (monthly U.S. job gains ~50-100k) indicating balanced conditions. Corporate guidance in Q1 and Q2 2026 pointing to stable margins and capex (no major cutbacks). Geopolitical status quo or improvements (e.g. a durable ceasefire in Ukraine mid-year boosts confidence).</w:t>
      </w:r>
      <w:r>
        <w:t xml:space="preserve"> </w:t>
      </w:r>
      <w:r>
        <w:t xml:space="preserve">-</w:t>
      </w:r>
      <w:r>
        <w:t xml:space="preserve"> </w:t>
      </w:r>
      <w:r>
        <w:rPr>
          <w:b/>
          <w:bCs/>
        </w:rPr>
        <w:t xml:space="preserve">Cross-Asset Implications:</w:t>
      </w:r>
      <w:r>
        <w:t xml:space="preserve"> </w:t>
      </w:r>
      <w:r>
        <w:t xml:space="preserve">A benign macro + accommodative policy backdrop extends 2025 trends:</w:t>
      </w:r>
      <w:r>
        <w:t xml:space="preserve"> </w:t>
      </w:r>
      <w:r>
        <w:t xml:space="preserve">-</w:t>
      </w:r>
      <w:r>
        <w:t xml:space="preserve"> </w:t>
      </w:r>
      <w:r>
        <w:rPr>
          <w:b/>
          <w:bCs/>
        </w:rPr>
        <w:t xml:space="preserve">Equities:</w:t>
      </w:r>
      <w:r>
        <w:t xml:space="preserve"> </w:t>
      </w:r>
      <w:r>
        <w:t xml:space="preserve">Moderate upside. S&amp;P 500 target mid-2026 ~7300 (+7% from Jan 2026), driven by mid-single-digit earnings growth (no recession hit) and slightly higher P/E as rates fall. Leadership rotates more to cyclical and international. Non-U.S. equities likely continue to outperform U.S. modestly as valuations re-rate – e.g., Euro STOXX +10% in EUR (and currency flat to slightly up adds to USD returns), EM equities +12% USD (helped by Fed easing fueling EM inflows). Sectors: industrials, financials, and small/mid caps shine (domestic recovery plays), while mega-cap growth still rises but lags overall (valuations limit upside).</w:t>
      </w:r>
      <w:r>
        <w:t xml:space="preserve"> </w:t>
      </w:r>
      <w:r>
        <w:t xml:space="preserve">-</w:t>
      </w:r>
      <w:r>
        <w:t xml:space="preserve"> </w:t>
      </w:r>
      <w:r>
        <w:rPr>
          <w:b/>
          <w:bCs/>
        </w:rPr>
        <w:t xml:space="preserve">Rates:</w:t>
      </w:r>
      <w:r>
        <w:t xml:space="preserve"> </w:t>
      </w:r>
      <w:r>
        <w:t xml:space="preserve">Bond yields drift down in H1 then stabilize. U.S. 10Y yields ~3.25% by Dec 2026 (with Fed at 3%, term premium modest ~0.25%). Yield curve likely maintains slight positive slope (2s ~3.0%, 10s ~3.25%). Euro 10Y Bund ~1.2% (ECB at 1%). JGB 10Y ~1.5% (some term premium as BoJ not buying much). Falling yields mean solid bond total returns: e.g., U.S. Agg +4-5%.</w:t>
      </w:r>
      <w:r>
        <w:t xml:space="preserve"> </w:t>
      </w:r>
      <w:r>
        <w:t xml:space="preserve">-</w:t>
      </w:r>
      <w:r>
        <w:t xml:space="preserve"> </w:t>
      </w:r>
      <w:r>
        <w:rPr>
          <w:b/>
          <w:bCs/>
        </w:rPr>
        <w:t xml:space="preserve">Credit:</w:t>
      </w:r>
      <w:r>
        <w:t xml:space="preserve"> </w:t>
      </w:r>
      <w:r>
        <w:t xml:space="preserve">Credit stays</w:t>
      </w:r>
      <w:r>
        <w:t xml:space="preserve"> </w:t>
      </w:r>
      <w:r>
        <w:rPr>
          <w:b/>
          <w:bCs/>
        </w:rPr>
        <w:t xml:space="preserve">resilient</w:t>
      </w:r>
      <w:r>
        <w:t xml:space="preserve">. IG spreads remain near cyclical tights ~90 bps as default rates stay low (&lt;2% IG defaults negligible). HY spreads maybe widen slightly if defaults normalise to ~4% by late 2026, but carry is high so HY still posts positive returns ~6-8%. No systemic credit event; any uptick in default is idiosyncratic and absorbable.</w:t>
      </w:r>
      <w:r>
        <w:t xml:space="preserve"> </w:t>
      </w:r>
      <w:r>
        <w:t xml:space="preserve">-</w:t>
      </w:r>
      <w:r>
        <w:t xml:space="preserve"> </w:t>
      </w:r>
      <w:r>
        <w:rPr>
          <w:b/>
          <w:bCs/>
        </w:rPr>
        <w:t xml:space="preserve">FX:</w:t>
      </w:r>
      <w:r>
        <w:t xml:space="preserve"> </w:t>
      </w:r>
      <w:r>
        <w:t xml:space="preserve">Mild further dollar softening. DXY -3% to ~95 as yield differentials favor others. EUR/USD likely breaks 1.20 (base case ~1.22 end-26). USD/JPY in base case stays rangebound ~150 (Fed cuts vs BoJ tightening offset). EMFX appreciate broadly – high-carry currencies (MXN, BRL, INR) gain 5-10% vs USD as carry trades stay attractive with low vol.</w:t>
      </w:r>
      <w:r>
        <w:t xml:space="preserve"> </w:t>
      </w:r>
      <w:r>
        <w:t xml:space="preserve">-</w:t>
      </w:r>
      <w:r>
        <w:t xml:space="preserve"> </w:t>
      </w:r>
      <w:r>
        <w:rPr>
          <w:b/>
          <w:bCs/>
        </w:rPr>
        <w:t xml:space="preserve">Commodities:</w:t>
      </w:r>
      <w:r>
        <w:t xml:space="preserve"> </w:t>
      </w:r>
      <w:r>
        <w:t xml:space="preserve">Balanced. Oil base case ~$65-75 range (OPEC manages supply to prevent crash, but no demand surge to push &gt;80). Gold perhaps consolidates around $4000 (easing inflation reduces upside, but no rush to sell by central banks keeps support). Industrial metals moderately up (global capex steady; copper ~$5.5/lb possibly holds since energy transition demand strong). Food commodities stable (normal weather assumed).</w:t>
      </w:r>
      <w:r>
        <w:t xml:space="preserve"> </w:t>
      </w:r>
      <w:r>
        <w:t xml:space="preserve">-</w:t>
      </w:r>
      <w:r>
        <w:t xml:space="preserve"> </w:t>
      </w:r>
      <w:r>
        <w:rPr>
          <w:b/>
          <w:bCs/>
        </w:rPr>
        <w:t xml:space="preserve">Volatility:</w:t>
      </w:r>
      <w:r>
        <w:t xml:space="preserve"> </w:t>
      </w:r>
      <w:r>
        <w:t xml:space="preserve">VIX base-case average ~15 (low by historical, occasional spikes around events). MOVE (bond vol) perhaps mid-80s (Fed predictability low vol), implying stable vol environment benefiting carry and multi-asset strategies. Correlations remain traditional (stock-bond negative).</w:t>
      </w:r>
      <w:r>
        <w:t xml:space="preserve"> </w:t>
      </w:r>
      <w:r>
        <w:t xml:space="preserve">-</w:t>
      </w:r>
      <w:r>
        <w:t xml:space="preserve"> </w:t>
      </w:r>
      <w:r>
        <w:rPr>
          <w:b/>
          <w:bCs/>
        </w:rPr>
        <w:t xml:space="preserve">Positioning Implications:</w:t>
      </w:r>
      <w:r>
        <w:t xml:space="preserve"> </w:t>
      </w:r>
      <w:r>
        <w:t xml:space="preserve">Favor pro-cyclical exposures: overweight EM and Europe equities, value/cyclicals in U.S.; maintain duration in bonds (carry + roll favorable with curve steep). Credit overweight IG for carry as default risk low. Underweight cash (real yields on cash falling as inflation ~2 and Fed 3%). Keep some gold (as long-term hedge, though upside limited if no crises). Gently overweight risk with risk management triggers if inflation or growth deviate (monitor monthly data closely). Essentially a “Goldilocks-lite” stance – take advantage of benign conditions but with risk controls in case environment shifts to adverse.</w:t>
      </w:r>
    </w:p>
    <w:p>
      <w:pPr>
        <w:pStyle w:val="BodyText"/>
      </w:pPr>
      <w:r>
        <w:rPr>
          <w:b/>
          <w:bCs/>
        </w:rPr>
        <w:t xml:space="preserve">Adverse Case (Growth Scare &amp; Credit Concerns) – 30% Probability:</w:t>
      </w:r>
      <w:r>
        <w:t xml:space="preserve"> </w:t>
      </w:r>
      <w:r>
        <w:t xml:space="preserve">-</w:t>
      </w:r>
      <w:r>
        <w:t xml:space="preserve"> </w:t>
      </w:r>
      <w:r>
        <w:rPr>
          <w:b/>
          <w:bCs/>
        </w:rPr>
        <w:t xml:space="preserve">Macro Assumptions:</w:t>
      </w:r>
      <w:r>
        <w:t xml:space="preserve"> </w:t>
      </w:r>
      <w:r>
        <w:t xml:space="preserve">The lagged effects of past tightening bite harder than expected in 2026. The U.S. and Europe flirt with mild recession: U.S. GDP around 0% to +0.5%, Eurozone ~0% or slight negative, as consumer spending retrenches (exhausted excess savings, higher credit card delinquencies) and businesses cut capex due to profit margin squeeze. Unemployment rises more than base (U.S. to ~5.5%, Eurozone to 8% from ~6.5%). China’s rebound falters (growth back to ~4%) as export demand weakens and domestic stimulus limited.</w:t>
      </w:r>
      <w:r>
        <w:t xml:space="preserve"> </w:t>
      </w:r>
      <w:r>
        <w:rPr>
          <w:b/>
          <w:bCs/>
        </w:rPr>
        <w:t xml:space="preserve">Crucially, inflation continues falling</w:t>
      </w:r>
      <w:r>
        <w:t xml:space="preserve"> </w:t>
      </w:r>
      <w:r>
        <w:t xml:space="preserve">– core inflation drops below 2% amid slack in labor markets.</w:t>
      </w:r>
      <w:r>
        <w:t xml:space="preserve"> </w:t>
      </w:r>
      <w:r>
        <w:t xml:space="preserve">-</w:t>
      </w:r>
      <w:r>
        <w:t xml:space="preserve"> </w:t>
      </w:r>
      <w:r>
        <w:rPr>
          <w:b/>
          <w:bCs/>
        </w:rPr>
        <w:t xml:space="preserve">Policy:</w:t>
      </w:r>
      <w:r>
        <w:t xml:space="preserve"> </w:t>
      </w:r>
      <w:r>
        <w:t xml:space="preserve">The Fed responds to growth scare with more aggressive easing – perhaps cutting to ~2% by late-2026, even entertaining the idea of some QE if needed to support credit markets. ECB cuts to ~0% and restarts targeted lending programs to banks to encourage credit. Fiscal policy likely turns supportive: e.g., U.S. might pass some election-year stimulus or extend tax cuts, Europe delays any fiscal consolidation (deficits widen a bit as stabilizers kick in).</w:t>
      </w:r>
      <w:r>
        <w:t xml:space="preserve"> </w:t>
      </w:r>
      <w:r>
        <w:t xml:space="preserve">-</w:t>
      </w:r>
      <w:r>
        <w:t xml:space="preserve"> </w:t>
      </w:r>
      <w:r>
        <w:rPr>
          <w:b/>
          <w:bCs/>
        </w:rPr>
        <w:t xml:space="preserve">Triggers/Signposts:</w:t>
      </w:r>
      <w:r>
        <w:t xml:space="preserve"> </w:t>
      </w:r>
      <w:r>
        <w:t xml:space="preserve">A notable pickup in initial jobless claims and unemployment rate through Q2 2026 – signifying the downturn. Corporate earnings start missing in Q1/Q2 significantly (S&amp;P EPS growth turns negative). Credit conditions indexes tighten (lending officer surveys show stricter standards). Possibly a mid-sized financial wobble triggers caution – e.g., a regional bank sees stress as commercial real estate losses mount, sparking risk-off in credit (though not a meltdown). Also, perhaps an external shock like late-2025 commodity slump (oil sub-$50) exacerbates deflationary pressure.</w:t>
      </w:r>
      <w:r>
        <w:t xml:space="preserve"> </w:t>
      </w:r>
      <w:r>
        <w:t xml:space="preserve">-</w:t>
      </w:r>
      <w:r>
        <w:t xml:space="preserve"> </w:t>
      </w:r>
      <w:r>
        <w:rPr>
          <w:b/>
          <w:bCs/>
        </w:rPr>
        <w:t xml:space="preserve">Cross-Asset Implications:</w:t>
      </w:r>
      <w:r>
        <w:t xml:space="preserve"> </w:t>
      </w:r>
      <w:r>
        <w:t xml:space="preserve">This is a quasi-recession scenario (mild to moderate downturn, not deep crisis).</w:t>
      </w:r>
      <w:r>
        <w:t xml:space="preserve"> </w:t>
      </w:r>
      <w:r>
        <w:t xml:space="preserve">-</w:t>
      </w:r>
      <w:r>
        <w:t xml:space="preserve"> </w:t>
      </w:r>
      <w:r>
        <w:rPr>
          <w:b/>
          <w:bCs/>
        </w:rPr>
        <w:t xml:space="preserve">Equities:</w:t>
      </w:r>
      <w:r>
        <w:t xml:space="preserve"> </w:t>
      </w:r>
      <w:r>
        <w:t xml:space="preserve">Likely a -15% to -20% broad market correction from Jan 2026 levels. S&amp;P could fall to ~6000 (-18%), erasing 2025’s gains as earnings decline ~5-10% and P/E compresses some with risk aversion. Cyclicals, small caps underperform sharply (Russell 2000 could drop &gt;20% given higher leverage to economy). Defensives (utilities, staples, health) hold up better but still negative. Europe and EM equities also fall, though possibly less in EM if Fed easing spurs flows (still, global risk-off generally hits EM, with MSCI EM maybe -15%).</w:t>
      </w:r>
      <w:r>
        <w:t xml:space="preserve"> </w:t>
      </w:r>
      <w:r>
        <w:t xml:space="preserve">-</w:t>
      </w:r>
      <w:r>
        <w:t xml:space="preserve"> </w:t>
      </w:r>
      <w:r>
        <w:rPr>
          <w:b/>
          <w:bCs/>
        </w:rPr>
        <w:t xml:space="preserve">Rates:</w:t>
      </w:r>
      <w:r>
        <w:t xml:space="preserve"> </w:t>
      </w:r>
      <w:r>
        <w:t xml:space="preserve">A bull flattening of yield curve. 2Y yields down to ~1.5% (pricing Fed back near zero by 2027), 10Y down to ~2.5% (some term premium remains as debt issuance still heavy). This implies strong bond rally – USTs +10-15% total return (similar to 2020 style). Bund yields approach zero again; JGB 10Y maybe drops back to ~0.5% as BoJ possibly pauses any tightening and might even ease.</w:t>
      </w:r>
      <w:r>
        <w:t xml:space="preserve"> </w:t>
      </w:r>
      <w:r>
        <w:t xml:space="preserve">-</w:t>
      </w:r>
      <w:r>
        <w:t xml:space="preserve"> </w:t>
      </w:r>
      <w:r>
        <w:rPr>
          <w:b/>
          <w:bCs/>
        </w:rPr>
        <w:t xml:space="preserve">Credit:</w:t>
      </w:r>
      <w:r>
        <w:t xml:space="preserve"> </w:t>
      </w:r>
      <w:r>
        <w:t xml:space="preserve">Spreads widen materially from current tight levels. IG spreads to ~150 bps (from 90), reflecting higher downgrade risk and less liquidity. HY spreads blow out to ~600-700 bps (yields ~10%), as defaults pick up for lowest-rated (HY default rate maybe rises to 5-6% by late 2026). Credit total returns likely slightly negative for IG (wider spreads offset by Treasury rally, IG maybe -0% to -2%), and more negative for HY (-5% or worse, price drop on spread widening outweighing carry).</w:t>
      </w:r>
      <w:r>
        <w:t xml:space="preserve"> </w:t>
      </w:r>
      <w:r>
        <w:t xml:space="preserve">-</w:t>
      </w:r>
      <w:r>
        <w:t xml:space="preserve"> </w:t>
      </w:r>
      <w:r>
        <w:rPr>
          <w:b/>
          <w:bCs/>
        </w:rPr>
        <w:t xml:space="preserve">FX:</w:t>
      </w:r>
      <w:r>
        <w:t xml:space="preserve"> </w:t>
      </w:r>
      <w:r>
        <w:t xml:space="preserve">A classic risk-off + easier Fed dynamic:</w:t>
      </w:r>
      <w:r>
        <w:t xml:space="preserve"> </w:t>
      </w:r>
      <w:r>
        <w:rPr>
          <w:b/>
          <w:bCs/>
        </w:rPr>
        <w:t xml:space="preserve">the dollar likely weakens further vs safe havens but could strengthen vs EM.</w:t>
      </w:r>
      <w:r>
        <w:t xml:space="preserve"> </w:t>
      </w:r>
      <w:r>
        <w:t xml:space="preserve">Since Fed is cutting hard, interest differential falls – normally USD would fall vs EUR, JPY, CHF. However, if U.S. recession leads global, some safe-haven flows to USD could occur (typical risk-off effect). Net likely modest DXY decline or flat (safe havens like JPY + maybe 8% to 140, CHF +5%, euro perhaps around 1.20 similar to base). EMFX diverges: higher-yield EM with sound fundamentals might hold (e.g. BRL maybe flat or slight + if commodity not too bad), but weaker EM (with high external debt) see pressure – e.g. TRY or ARG which have idiosyncratic issues depreciate further. Overall EMFX index down a few percent vs USD as carry trades unwind.</w:t>
      </w:r>
      <w:r>
        <w:t xml:space="preserve"> </w:t>
      </w:r>
      <w:r>
        <w:t xml:space="preserve">-</w:t>
      </w:r>
      <w:r>
        <w:t xml:space="preserve"> </w:t>
      </w:r>
      <w:r>
        <w:rPr>
          <w:b/>
          <w:bCs/>
        </w:rPr>
        <w:t xml:space="preserve">Commodities:</w:t>
      </w:r>
      <w:r>
        <w:t xml:space="preserve"> </w:t>
      </w:r>
      <w:r>
        <w:t xml:space="preserve">Demand slump weighs on cyclical commodities. Oil likely in $50-60 range (OPEC would cut to try to floor at $50). Industrial metals down ~15% (copper back to ~$4.5). Precious metals could go either way: disinflation and recession would normally hamper gold (lower inflation lowers need, but Fed easing and risk-off increases appeal). Likely gold initially rallies on risk-aversion to ~$4500, then maybe stabilizes or slips if no systemic crisis emerges (since rate cuts priced and inflation low, gold’s impetus might fade). So gold could be modestly up. Overall commodity index probably down (energy weight drags).</w:t>
      </w:r>
      <w:r>
        <w:t xml:space="preserve"> </w:t>
      </w:r>
      <w:r>
        <w:t xml:space="preserve">-</w:t>
      </w:r>
      <w:r>
        <w:t xml:space="preserve"> </w:t>
      </w:r>
      <w:r>
        <w:rPr>
          <w:b/>
          <w:bCs/>
        </w:rPr>
        <w:t xml:space="preserve">Volatility:</w:t>
      </w:r>
      <w:r>
        <w:t xml:space="preserve"> </w:t>
      </w:r>
      <w:r>
        <w:t xml:space="preserve">VIX would spike into mid-20s or 30 (though not 80 like 2020 if it's mild recession). MOVE up to ~120 as Fed slashes and uncertainty on path. Correlations go to 1 among risk assets (equities, credit, EM all down together).</w:t>
      </w:r>
      <w:r>
        <w:t xml:space="preserve"> </w:t>
      </w:r>
      <w:r>
        <w:t xml:space="preserve">-</w:t>
      </w:r>
      <w:r>
        <w:t xml:space="preserve"> </w:t>
      </w:r>
      <w:r>
        <w:rPr>
          <w:b/>
          <w:bCs/>
        </w:rPr>
        <w:t xml:space="preserve">Positioning Implications:</w:t>
      </w:r>
      <w:r>
        <w:t xml:space="preserve"> </w:t>
      </w:r>
      <w:r>
        <w:t xml:space="preserve">In this scenario,</w:t>
      </w:r>
      <w:r>
        <w:t xml:space="preserve"> </w:t>
      </w:r>
      <w:r>
        <w:rPr>
          <w:b/>
          <w:bCs/>
        </w:rPr>
        <w:t xml:space="preserve">capital preservation</w:t>
      </w:r>
      <w:r>
        <w:t xml:space="preserve"> </w:t>
      </w:r>
      <w:r>
        <w:t xml:space="preserve">and downside hedges pay off. We would reduce equity risk proactively if recession indicators flash (increase cash/bonds weighting). We’d rotate into defensives and quality (strong balance sheets) within equities and possibly into markets that might relatively outperform (maybe EM Asia if China stimulates). Increase duration significantly – U.S. Treasuries, gilts, bunds – as they likely rally (target long-maturity bonds for max price gain). Long volatility strategies or protective put options would finally come into the money, offsetting losses on risk assets. Also, would add to gold as a store of value hedge if financial stress emerges. In credit, shift to highest grade (short-duration IG) to avoid default risk; possibly allocate to Agency MBS or sovereigns for safety. Watch liquidity carefully: ensure funding is secure and consider using central bank facilities if needed for any cash crunch in markets. Essentially, protect the portfolio via quality, liquidity, and hedges, and prepare to re-risk after downturn (keeping dry powder to deploy when spreads are wide, equities cheap).</w:t>
      </w:r>
    </w:p>
    <w:p>
      <w:pPr>
        <w:pStyle w:val="BodyText"/>
      </w:pPr>
      <w:r>
        <w:rPr>
          <w:b/>
          <w:bCs/>
        </w:rPr>
        <w:t xml:space="preserve">Tail Case (Severe Downturn or Crisis) – 10% Probability:</w:t>
      </w:r>
      <w:r>
        <w:t xml:space="preserve"> </w:t>
      </w:r>
      <w:r>
        <w:rPr>
          <w:i/>
          <w:iCs/>
        </w:rPr>
        <w:t xml:space="preserve">(This scenario combines multiple tail events for stress testing – e.g., hard recession + some financial crisis or geopolitical shock).</w:t>
      </w:r>
      <w:r>
        <w:t xml:space="preserve"> </w:t>
      </w:r>
      <w:r>
        <w:t xml:space="preserve">-</w:t>
      </w:r>
      <w:r>
        <w:t xml:space="preserve"> </w:t>
      </w:r>
      <w:r>
        <w:rPr>
          <w:b/>
          <w:bCs/>
        </w:rPr>
        <w:t xml:space="preserve">Macro Assumptions:</w:t>
      </w:r>
      <w:r>
        <w:t xml:space="preserve"> </w:t>
      </w:r>
      <w:r>
        <w:t xml:space="preserve">A hard landing: U.S. and Europe enter a full recession by Q2 2026, GDP declines ~1-2% peak-to-trough, unemployment shoots to ~7% in U.S., ~10% Eurozone. Possibly triggered by something like a credit event (e.g. major bank failure or bond market seizure) or an exogenous shock (geopolitical conflict, catastrophic climate event causing huge disruption). Global trade contracts, and deflationary pressure emerges (headline inflation goes negative for a period due to demand collapse and prior commodity drop).</w:t>
      </w:r>
      <w:r>
        <w:t xml:space="preserve"> </w:t>
      </w:r>
      <w:r>
        <w:t xml:space="preserve">-</w:t>
      </w:r>
      <w:r>
        <w:t xml:space="preserve"> </w:t>
      </w:r>
      <w:r>
        <w:rPr>
          <w:b/>
          <w:bCs/>
        </w:rPr>
        <w:t xml:space="preserve">Policy:</w:t>
      </w:r>
      <w:r>
        <w:t xml:space="preserve"> </w:t>
      </w:r>
      <w:r>
        <w:t xml:space="preserve">Aggressive all-tools response. Fed slashes rates to zero by mid-2026, relaunches QE (say $500B asset purchases including UST and MBS) to restore market functioning. Treasury and fiscal authorities intervene (e.g. emergency stimulus checks, corporate bailout facilities if needed). ECB cuts to negative rates again or restarts bond-buying (PEPP 2.0). BoJ possibly resumes QE and caps yields at low levels. Globally coordinated actions if crisis crosses borders (e.g. swap lines reopened wide usage, IMF interventions for EM, etc.).</w:t>
      </w:r>
      <w:r>
        <w:t xml:space="preserve"> </w:t>
      </w:r>
      <w:r>
        <w:t xml:space="preserve">-</w:t>
      </w:r>
      <w:r>
        <w:t xml:space="preserve"> </w:t>
      </w:r>
      <w:r>
        <w:rPr>
          <w:b/>
          <w:bCs/>
        </w:rPr>
        <w:t xml:space="preserve">Triggers/Signposts:</w:t>
      </w:r>
      <w:r>
        <w:t xml:space="preserve"> </w:t>
      </w:r>
      <w:r>
        <w:t xml:space="preserve">Could be sequential: For instance, credit markets freeze – e.g. a big private equity-owned firm defaults, causing junk bond plunge, some hedge funds blow up (largest crypto meltdown or similar might tie in), then a mid-sized bank with large exposures fails, prompting broader bank run fear. Equity markets plunge &gt;25% quickly, VIX &gt;50. Or a geopolitical tail: e.g. a Taiwan crisis leads to financial sanctions war between U.S. and China, fracturing trade and confidence. Any such sign (bank run cues, funding stress like LIBOR-OIS spiking, or explicit war outbreak) signals this scenario unfolding.</w:t>
      </w:r>
      <w:r>
        <w:t xml:space="preserve"> </w:t>
      </w:r>
      <w:r>
        <w:t xml:space="preserve">-</w:t>
      </w:r>
      <w:r>
        <w:t xml:space="preserve"> </w:t>
      </w:r>
      <w:r>
        <w:rPr>
          <w:b/>
          <w:bCs/>
        </w:rPr>
        <w:t xml:space="preserve">Cross-Asset Impacts:</w:t>
      </w:r>
      <w:r>
        <w:t xml:space="preserve"> </w:t>
      </w:r>
      <w:r>
        <w:t xml:space="preserve">A severe risk-off:</w:t>
      </w:r>
      <w:r>
        <w:t xml:space="preserve"> </w:t>
      </w:r>
      <w:r>
        <w:t xml:space="preserve">-</w:t>
      </w:r>
      <w:r>
        <w:t xml:space="preserve"> </w:t>
      </w:r>
      <w:r>
        <w:rPr>
          <w:b/>
          <w:bCs/>
        </w:rPr>
        <w:t xml:space="preserve">Equities:</w:t>
      </w:r>
      <w:r>
        <w:t xml:space="preserve"> </w:t>
      </w:r>
      <w:r>
        <w:t xml:space="preserve">Bear market. S&amp;P could drop ~35% from Jan 2026 level (~5000). Non-U.S. stocks drop similarly or more (EM possibly -40% as outflows and commodity hit, Europe -35%). Correlations go to ~1 among equities globally. Defensive sectors drop less but still down ~20%. Many cyclical stocks down 50%+.</w:t>
      </w:r>
      <w:r>
        <w:t xml:space="preserve"> </w:t>
      </w:r>
      <w:r>
        <w:t xml:space="preserve">-</w:t>
      </w:r>
      <w:r>
        <w:t xml:space="preserve"> </w:t>
      </w:r>
      <w:r>
        <w:rPr>
          <w:b/>
          <w:bCs/>
        </w:rPr>
        <w:t xml:space="preserve">Rates:</w:t>
      </w:r>
      <w:r>
        <w:t xml:space="preserve"> </w:t>
      </w:r>
      <w:r>
        <w:t xml:space="preserve">Yields collapse to cycle lows. UST 10Y might hit 1% or lower given deflation and QE. Yield curve steepens initially as short rates go to zero, then flattens at low level (maybe 0% Fed, 10Y ~0.75-1%). Negative yields could reappear in Europe (Bund back to -0.5% possibly under heavy ECB QE).</w:t>
      </w:r>
      <w:r>
        <w:t xml:space="preserve"> </w:t>
      </w:r>
      <w:r>
        <w:t xml:space="preserve">-</w:t>
      </w:r>
      <w:r>
        <w:t xml:space="preserve"> </w:t>
      </w:r>
      <w:r>
        <w:rPr>
          <w:b/>
          <w:bCs/>
        </w:rPr>
        <w:t xml:space="preserve">Credit:</w:t>
      </w:r>
      <w:r>
        <w:t xml:space="preserve"> </w:t>
      </w:r>
      <w:r>
        <w:t xml:space="preserve">Widespread distress. IG spreads blow out to ~250+ bps (like Mar 2020 levels). HY spreads to ~1000 bps (prices in double-digit defaults). Many weak credits default or restructure – default rate HY &gt;10%. Secondary market illiquid; Fed likely steps in with credit facilities (like 2020) to stabilize but still mark-to-market losses large.</w:t>
      </w:r>
      <w:r>
        <w:t xml:space="preserve"> </w:t>
      </w:r>
      <w:r>
        <w:t xml:space="preserve">-</w:t>
      </w:r>
      <w:r>
        <w:t xml:space="preserve"> </w:t>
      </w:r>
      <w:r>
        <w:rPr>
          <w:b/>
          <w:bCs/>
        </w:rPr>
        <w:t xml:space="preserve">FX:</w:t>
      </w:r>
      <w:r>
        <w:t xml:space="preserve"> </w:t>
      </w:r>
      <w:r>
        <w:rPr>
          <w:b/>
          <w:bCs/>
        </w:rPr>
        <w:t xml:space="preserve">USD likely spikes</w:t>
      </w:r>
      <w:r>
        <w:t xml:space="preserve"> </w:t>
      </w:r>
      <w:r>
        <w:t xml:space="preserve">as global reserve demand and safe-haven flows dominate (despite Fed zero rates, it’s what happened in Mar 2020 until Fed intervened). So DXY could jump, say +5-10% initially (EUR back to ~1.10, yen to ~120 if crisis is global war scenario; if crisis is U.S.-centric like bank meltdown, maybe dollar doesn’t spike as much vs yen). CHF also strong. EM currencies plunge across board especially high-yielders (20-30% down for worst e.g. TRY, moderate -10% for “safer” ones).</w:t>
      </w:r>
      <w:r>
        <w:t xml:space="preserve"> </w:t>
      </w:r>
      <w:r>
        <w:t xml:space="preserve">-</w:t>
      </w:r>
      <w:r>
        <w:t xml:space="preserve"> </w:t>
      </w:r>
      <w:r>
        <w:rPr>
          <w:b/>
          <w:bCs/>
        </w:rPr>
        <w:t xml:space="preserve">Commodities:</w:t>
      </w:r>
      <w:r>
        <w:t xml:space="preserve"> </w:t>
      </w:r>
      <w:r>
        <w:rPr>
          <w:b/>
          <w:bCs/>
        </w:rPr>
        <w:t xml:space="preserve">Crash conditions.</w:t>
      </w:r>
      <w:r>
        <w:t xml:space="preserve"> </w:t>
      </w:r>
      <w:r>
        <w:t xml:space="preserve">Oil could briefly fall sub-$40 (as in previous crises) until OPEC mega-cuts floor it. Industrial metals down sharply (copper to $3). Precious metals might at first drop (as in March 2020 gold sold off for liquidity needs), then rally strongly as real yields collapse and fiat fears rise – could see gold $5000+ in meltdown after initial dip. Agriculture might fall due demand dip but supply issues or trade disruptions could complicate (e.g. if war scenario, grain flows disrupted ironically raising grain prices even as economy tanks).</w:t>
      </w:r>
      <w:r>
        <w:t xml:space="preserve"> </w:t>
      </w:r>
      <w:r>
        <w:t xml:space="preserve">-</w:t>
      </w:r>
      <w:r>
        <w:t xml:space="preserve"> </w:t>
      </w:r>
      <w:r>
        <w:rPr>
          <w:b/>
          <w:bCs/>
        </w:rPr>
        <w:t xml:space="preserve">Volatility:</w:t>
      </w:r>
      <w:r>
        <w:t xml:space="preserve"> </w:t>
      </w:r>
      <w:r>
        <w:t xml:space="preserve">Extremely high. VIX sustained 50+, spikes to 80 in worst weeks (akin 2008/2020). MOVE &gt;200 with bond illiquidity. Cross-asset correlations all approach 1 (everything sold for cash except highest quality like short-term Treasuries).</w:t>
      </w:r>
      <w:r>
        <w:t xml:space="preserve"> </w:t>
      </w:r>
      <w:r>
        <w:t xml:space="preserve">-</w:t>
      </w:r>
      <w:r>
        <w:t xml:space="preserve"> </w:t>
      </w:r>
      <w:r>
        <w:rPr>
          <w:b/>
          <w:bCs/>
        </w:rPr>
        <w:t xml:space="preserve">Positioning Implications:</w:t>
      </w:r>
      <w:r>
        <w:t xml:space="preserve"> </w:t>
      </w:r>
      <w:r>
        <w:t xml:space="preserve">A tail of this magnitude requires</w:t>
      </w:r>
      <w:r>
        <w:t xml:space="preserve"> </w:t>
      </w:r>
      <w:r>
        <w:rPr>
          <w:b/>
          <w:bCs/>
        </w:rPr>
        <w:t xml:space="preserve">maximum defensive stance and use of all risk mitigants</w:t>
      </w:r>
      <w:r>
        <w:t xml:space="preserve">. Would heavily overweight risk-free assets (short-term T-bills – though yields zero, they preserve capital), lengthen Treasuries (they’d gain price even more as yields dive). Cash is king (but ensure counterparty safety by using safest banks/central bank deposit). Unwind virtually all equity exposure or heavily hedge via index puts, dynamic hedging, volatility products. If event is geopolitical, physical hedges like gold, possibly even commodities if supply shock (but typically in global recession even those fall short-term). Possibly implement</w:t>
      </w:r>
      <w:r>
        <w:t xml:space="preserve"> </w:t>
      </w:r>
      <w:r>
        <w:rPr>
          <w:b/>
          <w:bCs/>
        </w:rPr>
        <w:t xml:space="preserve">circuit-breaker risk plans</w:t>
      </w:r>
      <w:r>
        <w:t xml:space="preserve">: e.g., separate liquidity buffers to meet margin calls, pre-arranged credit lines. Also, exploit central bank facilities: e.g., if Fed offers funding vs collateral, pledge assets to maintain liquidity. Risk managers would focus on survival: cut leverage to near-zero, reduce exposures, and once policy response is credible, selectively re-enter markets at distressed prices (the 2020 playbook – required nerve and liquidity).</w:t>
      </w:r>
      <w:r>
        <w:t xml:space="preserve"> </w:t>
      </w:r>
      <w:r>
        <w:t xml:space="preserve">- Specifically, if scenario triggered by e.g. U.S. bank meltdown, might consider</w:t>
      </w:r>
      <w:r>
        <w:t xml:space="preserve"> </w:t>
      </w:r>
      <w:r>
        <w:rPr>
          <w:b/>
          <w:bCs/>
        </w:rPr>
        <w:t xml:space="preserve">hedging via CDS indices</w:t>
      </w:r>
      <w:r>
        <w:t xml:space="preserve"> </w:t>
      </w:r>
      <w:r>
        <w:t xml:space="preserve">(like CDX or iTraxx) which will widen drastically – those hedges pay off in default cycle.</w:t>
      </w:r>
      <w:r>
        <w:t xml:space="preserve"> </w:t>
      </w:r>
      <w:r>
        <w:t xml:space="preserve">- Ensure currency mismatches hedged: in crisis, dollar funding shortage can cause mismatches; maintain USD liquidity lines, hedge FX exposures or keep them modest to avoid forced unwinds.</w:t>
      </w:r>
      <w:r>
        <w:t xml:space="preserve"> </w:t>
      </w:r>
      <w:r>
        <w:t xml:space="preserve">- Focus on</w:t>
      </w:r>
      <w:r>
        <w:t xml:space="preserve"> </w:t>
      </w:r>
      <w:r>
        <w:rPr>
          <w:b/>
          <w:bCs/>
        </w:rPr>
        <w:t xml:space="preserve">counterparty risk</w:t>
      </w:r>
      <w:r>
        <w:t xml:space="preserve">: raise collateral ask if needed, reduce exposures to weaker counterparties ahead of crisis if foresee (like if war threat, reduce derivatives exposure to banks in conflict region, etc.).</w:t>
      </w:r>
      <w:r>
        <w:t xml:space="preserve"> </w:t>
      </w:r>
      <w:r>
        <w:t xml:space="preserve">- Essentially go into “capital preservation and risk transfer” mode: e.g., buy deep OTM put options even if expensive, because in this scenario they'd pay multiples (tail risk insurance pays out big). Use any risk transfer tools (like prime brokers' stress scenarios to manage margin proactively).</w:t>
      </w:r>
    </w:p>
    <w:p>
      <w:pPr>
        <w:pStyle w:val="BodyText"/>
      </w:pPr>
      <w:r>
        <w:t xml:space="preserve">In summary, we present these scenarios in a concise</w:t>
      </w:r>
      <w:r>
        <w:t xml:space="preserve"> </w:t>
      </w:r>
      <w:r>
        <w:rPr>
          <w:b/>
          <w:bCs/>
        </w:rPr>
        <w:t xml:space="preserve">Scenario Table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Scenario (2026)</w:t>
            </w:r>
          </w:p>
        </w:tc>
        <w:tc>
          <w:tcPr/>
          <w:p>
            <w:pPr>
              <w:pStyle w:val="Compact"/>
            </w:pPr>
            <w:r>
              <w:rPr>
                <w:b/>
                <w:bCs/>
              </w:rPr>
              <w:t xml:space="preserve">Prob.</w:t>
            </w:r>
          </w:p>
        </w:tc>
        <w:tc>
          <w:tcPr/>
          <w:p>
            <w:pPr>
              <w:pStyle w:val="Compact"/>
            </w:pPr>
            <w:r>
              <w:rPr>
                <w:b/>
                <w:bCs/>
              </w:rPr>
              <w:t xml:space="preserve">Key Triggers/Signs</w:t>
            </w:r>
          </w:p>
        </w:tc>
        <w:tc>
          <w:tcPr/>
          <w:p>
            <w:pPr>
              <w:pStyle w:val="Compact"/>
            </w:pPr>
            <w:r>
              <w:rPr>
                <w:b/>
                <w:bCs/>
              </w:rPr>
              <w:t xml:space="preserve">Asset Class Impacts</w:t>
            </w:r>
            <w:r>
              <w:t xml:space="preserve"> </w:t>
            </w:r>
            <w:r>
              <w:t xml:space="preserve">(directional)</w:t>
            </w:r>
          </w:p>
        </w:tc>
        <w:tc>
          <w:tcPr/>
          <w:p>
            <w:pPr>
              <w:pStyle w:val="Compact"/>
            </w:pPr>
            <w:r>
              <w:rPr>
                <w:b/>
                <w:bCs/>
              </w:rPr>
              <w:t xml:space="preserve">Positioning</w:t>
            </w:r>
          </w:p>
        </w:tc>
      </w:tr>
      <w:tr>
        <w:tc>
          <w:tcPr/>
          <w:p>
            <w:pPr>
              <w:pStyle w:val="Compact"/>
            </w:pPr>
            <w:r>
              <w:rPr>
                <w:b/>
                <w:bCs/>
              </w:rPr>
              <w:t xml:space="preserve">Base: Soft-Landing Extended</w:t>
            </w:r>
            <w:r>
              <w:t xml:space="preserve"> </w:t>
            </w:r>
            <w:r>
              <w:t xml:space="preserve">&lt;br&gt;</w:t>
            </w:r>
            <w:r>
              <w:rPr>
                <w:i/>
                <w:iCs/>
              </w:rPr>
              <w:t xml:space="preserve">(Growth ~ trend, inflation at target)</w:t>
            </w:r>
          </w:p>
        </w:tc>
        <w:tc>
          <w:tcPr/>
          <w:p>
            <w:pPr>
              <w:pStyle w:val="Compact"/>
            </w:pPr>
            <w:r>
              <w:t xml:space="preserve">60%</w:t>
            </w:r>
          </w:p>
        </w:tc>
        <w:tc>
          <w:tcPr/>
          <w:p>
            <w:pPr>
              <w:pStyle w:val="Compact"/>
            </w:pPr>
            <w:r>
              <w:t xml:space="preserve">- Inflation steadily ~2% &lt;br&gt;- Unemp. up mildly (no recession) &lt;br&gt;- Ongoing consumer spending, capex steady &lt;br&gt;- No major geopolitical shock</w:t>
            </w:r>
          </w:p>
        </w:tc>
        <w:tc>
          <w:tcPr/>
          <w:p>
            <w:pPr>
              <w:pStyle w:val="Compact"/>
            </w:pPr>
            <w:r>
              <w:t xml:space="preserve">-</w:t>
            </w:r>
            <w:r>
              <w:t xml:space="preserve"> </w:t>
            </w:r>
            <w:r>
              <w:rPr>
                <w:b/>
                <w:bCs/>
              </w:rPr>
              <w:t xml:space="preserve">Stocks:</w:t>
            </w:r>
            <w:r>
              <w:t xml:space="preserve"> </w:t>
            </w:r>
            <w:r>
              <w:t xml:space="preserve">+5-10% gains (lead by cyclicals, non-US) &lt;br&gt;-</w:t>
            </w:r>
            <w:r>
              <w:t xml:space="preserve"> </w:t>
            </w:r>
            <w:r>
              <w:rPr>
                <w:b/>
                <w:bCs/>
              </w:rPr>
              <w:t xml:space="preserve">Bonds:</w:t>
            </w:r>
            <w:r>
              <w:t xml:space="preserve"> </w:t>
            </w:r>
            <w:r>
              <w:t xml:space="preserve">Yields gently fall; + high single-digit returns &lt;br&gt;-</w:t>
            </w:r>
            <w:r>
              <w:t xml:space="preserve"> </w:t>
            </w:r>
            <w:r>
              <w:rPr>
                <w:b/>
                <w:bCs/>
              </w:rPr>
              <w:t xml:space="preserve">USD:</w:t>
            </w:r>
            <w:r>
              <w:t xml:space="preserve"> </w:t>
            </w:r>
            <w:r>
              <w:t xml:space="preserve">mild weakening (EUR &gt;1.20, EM FX +) &lt;br&gt;-</w:t>
            </w:r>
            <w:r>
              <w:t xml:space="preserve"> </w:t>
            </w:r>
            <w:r>
              <w:rPr>
                <w:b/>
                <w:bCs/>
              </w:rPr>
              <w:t xml:space="preserve">Credit:</w:t>
            </w:r>
            <w:r>
              <w:t xml:space="preserve"> </w:t>
            </w:r>
            <w:r>
              <w:t xml:space="preserve">spreads stay tight, carry returns ~+5% HY &lt;br&gt;-</w:t>
            </w:r>
            <w:r>
              <w:t xml:space="preserve"> </w:t>
            </w:r>
            <w:r>
              <w:rPr>
                <w:b/>
                <w:bCs/>
              </w:rPr>
              <w:t xml:space="preserve">Commodities:</w:t>
            </w:r>
            <w:r>
              <w:t xml:space="preserve"> </w:t>
            </w:r>
            <w:r>
              <w:t xml:space="preserve">oil $70; gold ~flat ~$4000; broad index stable</w:t>
            </w:r>
          </w:p>
        </w:tc>
        <w:tc>
          <w:tcPr/>
          <w:p>
            <w:pPr>
              <w:pStyle w:val="Compact"/>
            </w:pPr>
            <w:r>
              <w:t xml:space="preserve">- Stay</w:t>
            </w:r>
            <w:r>
              <w:t xml:space="preserve"> </w:t>
            </w:r>
            <w:r>
              <w:rPr>
                <w:b/>
                <w:bCs/>
              </w:rPr>
              <w:t xml:space="preserve">pro-risk</w:t>
            </w:r>
            <w:r>
              <w:t xml:space="preserve"> </w:t>
            </w:r>
            <w:r>
              <w:t xml:space="preserve">but balanced &lt;br&gt;- Overweight equity (value, EM/Eur); carry trades in FX/credit &lt;br&gt;- Hold some duration (for carry &amp; hedge) &lt;br&gt;- Light tail hedges given low vol (just in case)</w:t>
            </w:r>
          </w:p>
        </w:tc>
      </w:tr>
      <w:tr>
        <w:tc>
          <w:tcPr/>
          <w:p>
            <w:pPr>
              <w:pStyle w:val="Compact"/>
            </w:pPr>
            <w:r>
              <w:rPr>
                <w:b/>
                <w:bCs/>
              </w:rPr>
              <w:t xml:space="preserve">Adverse: Growth Scare / Mild Recession</w:t>
            </w:r>
            <w:r>
              <w:t xml:space="preserve"> </w:t>
            </w:r>
            <w:r>
              <w:t xml:space="preserve">&lt;br&gt;</w:t>
            </w:r>
            <w:r>
              <w:rPr>
                <w:i/>
                <w:iCs/>
              </w:rPr>
              <w:t xml:space="preserve">(Disinflation with downturn)</w:t>
            </w:r>
          </w:p>
        </w:tc>
        <w:tc>
          <w:tcPr/>
          <w:p>
            <w:pPr>
              <w:pStyle w:val="Compact"/>
            </w:pPr>
            <w:r>
              <w:t xml:space="preserve">30%</w:t>
            </w:r>
          </w:p>
        </w:tc>
        <w:tc>
          <w:tcPr/>
          <w:p>
            <w:pPr>
              <w:pStyle w:val="Compact"/>
            </w:pPr>
            <w:r>
              <w:t xml:space="preserve">- Economic data weakening by Q2 (PMIs &lt;50, earnings misses) &lt;br&gt;- Credit conditions tighten (bank lending drops) &lt;br&gt;- Rise in jobless claims, layoffs news</w:t>
            </w:r>
          </w:p>
        </w:tc>
        <w:tc>
          <w:tcPr/>
          <w:p>
            <w:pPr>
              <w:pStyle w:val="Compact"/>
            </w:pPr>
            <w:r>
              <w:t xml:space="preserve">-</w:t>
            </w:r>
            <w:r>
              <w:t xml:space="preserve"> </w:t>
            </w:r>
            <w:r>
              <w:rPr>
                <w:b/>
                <w:bCs/>
              </w:rPr>
              <w:t xml:space="preserve">Stocks:</w:t>
            </w:r>
            <w:r>
              <w:t xml:space="preserve"> </w:t>
            </w:r>
            <w:r>
              <w:t xml:space="preserve">-15% to -20% drawdown (cyclicals underperform, defensives relative better) &lt;br&gt;-</w:t>
            </w:r>
            <w:r>
              <w:t xml:space="preserve"> </w:t>
            </w:r>
            <w:r>
              <w:rPr>
                <w:b/>
                <w:bCs/>
              </w:rPr>
              <w:t xml:space="preserve">Bonds:</w:t>
            </w:r>
            <w:r>
              <w:t xml:space="preserve"> </w:t>
            </w:r>
            <w:r>
              <w:t xml:space="preserve">Strong rally; 10Y ~2.5%; +15% UST returns &lt;br&gt;-</w:t>
            </w:r>
            <w:r>
              <w:t xml:space="preserve"> </w:t>
            </w:r>
            <w:r>
              <w:rPr>
                <w:b/>
                <w:bCs/>
              </w:rPr>
              <w:t xml:space="preserve">USD:</w:t>
            </w:r>
            <w:r>
              <w:t xml:space="preserve"> </w:t>
            </w:r>
            <w:r>
              <w:t xml:space="preserve">mixed – weaker vs havens (JPY,CHF), stronger vs EM/commodity FX &lt;br&gt;-</w:t>
            </w:r>
            <w:r>
              <w:t xml:space="preserve"> </w:t>
            </w:r>
            <w:r>
              <w:rPr>
                <w:b/>
                <w:bCs/>
              </w:rPr>
              <w:t xml:space="preserve">Credit:</w:t>
            </w:r>
            <w:r>
              <w:t xml:space="preserve"> </w:t>
            </w:r>
            <w:r>
              <w:t xml:space="preserve">spreads +100-200 bps; IG slight loss, HY -5 to -10% &lt;br&gt;-</w:t>
            </w:r>
            <w:r>
              <w:t xml:space="preserve"> </w:t>
            </w:r>
            <w:r>
              <w:rPr>
                <w:b/>
                <w:bCs/>
              </w:rPr>
              <w:t xml:space="preserve">Commodities:</w:t>
            </w:r>
            <w:r>
              <w:t xml:space="preserve"> </w:t>
            </w:r>
            <w:r>
              <w:t xml:space="preserve">oil $50-60; metals down; gold + (on Fed cuts)</w:t>
            </w:r>
          </w:p>
        </w:tc>
        <w:tc>
          <w:tcPr/>
          <w:p>
            <w:pPr>
              <w:pStyle w:val="Compact"/>
            </w:pPr>
            <w:r>
              <w:t xml:space="preserve">-</w:t>
            </w:r>
            <w:r>
              <w:t xml:space="preserve"> </w:t>
            </w:r>
            <w:r>
              <w:rPr>
                <w:b/>
                <w:bCs/>
              </w:rPr>
              <w:t xml:space="preserve">De-risk portfolio</w:t>
            </w:r>
            <w:r>
              <w:t xml:space="preserve">: shift to quality/defensive equities, increase cash &lt;br&gt;-</w:t>
            </w:r>
            <w:r>
              <w:t xml:space="preserve"> </w:t>
            </w:r>
            <w:r>
              <w:rPr>
                <w:b/>
                <w:bCs/>
              </w:rPr>
              <w:t xml:space="preserve">Add hedges</w:t>
            </w:r>
            <w:r>
              <w:t xml:space="preserve">: e.g. more Treasuries, gold, put options &lt;br&gt;- Prepare to deploy cash when spreads &amp; equity valuations cheap &lt;br&gt;- Ensure liquidity buffers are ample</w:t>
            </w:r>
          </w:p>
        </w:tc>
      </w:tr>
      <w:tr>
        <w:tc>
          <w:tcPr/>
          <w:p>
            <w:pPr>
              <w:pStyle w:val="Compact"/>
            </w:pPr>
            <w:r>
              <w:rPr>
                <w:b/>
                <w:bCs/>
              </w:rPr>
              <w:t xml:space="preserve">Tail: Severe Downturn / Crisis</w:t>
            </w:r>
            <w:r>
              <w:t xml:space="preserve"> </w:t>
            </w:r>
            <w:r>
              <w:t xml:space="preserve">&lt;br&gt;</w:t>
            </w:r>
            <w:r>
              <w:rPr>
                <w:i/>
                <w:iCs/>
              </w:rPr>
              <w:t xml:space="preserve">(Hard recession or geo-shock)</w:t>
            </w:r>
          </w:p>
        </w:tc>
        <w:tc>
          <w:tcPr/>
          <w:p>
            <w:pPr>
              <w:pStyle w:val="Compact"/>
            </w:pPr>
            <w:r>
              <w:t xml:space="preserve">10%</w:t>
            </w:r>
          </w:p>
        </w:tc>
        <w:tc>
          <w:tcPr/>
          <w:p>
            <w:pPr>
              <w:pStyle w:val="Compact"/>
            </w:pPr>
            <w:r>
              <w:t xml:space="preserve">- Rapid deterioration: financial stress signals (LIBOR-OIS jumps, market frozen) &lt;br&gt;- Potential external shock (major conflict, etc.) &lt;br&gt;- Default uptick, bank solvency fears</w:t>
            </w:r>
          </w:p>
        </w:tc>
        <w:tc>
          <w:tcPr/>
          <w:p>
            <w:pPr>
              <w:pStyle w:val="Compact"/>
            </w:pPr>
            <w:r>
              <w:t xml:space="preserve">-</w:t>
            </w:r>
            <w:r>
              <w:t xml:space="preserve"> </w:t>
            </w:r>
            <w:r>
              <w:rPr>
                <w:b/>
                <w:bCs/>
              </w:rPr>
              <w:t xml:space="preserve">Stocks:</w:t>
            </w:r>
            <w:r>
              <w:t xml:space="preserve"> </w:t>
            </w:r>
            <w:r>
              <w:t xml:space="preserve">Bear market &gt; -30%; correlations→1 &lt;br&gt;-</w:t>
            </w:r>
            <w:r>
              <w:t xml:space="preserve"> </w:t>
            </w:r>
            <w:r>
              <w:rPr>
                <w:b/>
                <w:bCs/>
              </w:rPr>
              <w:t xml:space="preserve">Bonds:</w:t>
            </w:r>
            <w:r>
              <w:t xml:space="preserve"> </w:t>
            </w:r>
            <w:r>
              <w:t xml:space="preserve">10Y ~1%; Treasuries rally huge (20%+ returns) &lt;br&gt;-</w:t>
            </w:r>
            <w:r>
              <w:t xml:space="preserve"> </w:t>
            </w:r>
            <w:r>
              <w:rPr>
                <w:b/>
                <w:bCs/>
              </w:rPr>
              <w:t xml:space="preserve">USD:</w:t>
            </w:r>
            <w:r>
              <w:t xml:space="preserve"> </w:t>
            </w:r>
            <w:r>
              <w:t xml:space="preserve">surges initially (safe haven demand) &lt;br&gt;-</w:t>
            </w:r>
            <w:r>
              <w:t xml:space="preserve"> </w:t>
            </w:r>
            <w:r>
              <w:rPr>
                <w:b/>
                <w:bCs/>
              </w:rPr>
              <w:t xml:space="preserve">Credit:</w:t>
            </w:r>
            <w:r>
              <w:t xml:space="preserve"> </w:t>
            </w:r>
            <w:r>
              <w:t xml:space="preserve">spreads to crisis wides; liquidity vanishes; many defaults &lt;br&gt;-</w:t>
            </w:r>
            <w:r>
              <w:t xml:space="preserve"> </w:t>
            </w:r>
            <w:r>
              <w:rPr>
                <w:b/>
                <w:bCs/>
              </w:rPr>
              <w:t xml:space="preserve">Commodities:</w:t>
            </w:r>
            <w:r>
              <w:t xml:space="preserve"> </w:t>
            </w:r>
            <w:r>
              <w:t xml:space="preserve">crash in demand (oil sub-$40), except gold after initial sell-off (could hit new highs &gt;$5k amid fiat worries)</w:t>
            </w:r>
          </w:p>
        </w:tc>
        <w:tc>
          <w:tcPr/>
          <w:p>
            <w:pPr>
              <w:pStyle w:val="Compact"/>
            </w:pPr>
            <w:r>
              <w:t xml:space="preserve">-</w:t>
            </w:r>
            <w:r>
              <w:t xml:space="preserve"> </w:t>
            </w:r>
            <w:r>
              <w:rPr>
                <w:b/>
                <w:bCs/>
              </w:rPr>
              <w:t xml:space="preserve">Max defense:</w:t>
            </w:r>
            <w:r>
              <w:t xml:space="preserve"> </w:t>
            </w:r>
            <w:r>
              <w:t xml:space="preserve">drastically cut risk exposures &lt;br&gt;- Use</w:t>
            </w:r>
            <w:r>
              <w:t xml:space="preserve"> </w:t>
            </w:r>
            <w:r>
              <w:rPr>
                <w:b/>
                <w:bCs/>
              </w:rPr>
              <w:t xml:space="preserve">central bank facilities</w:t>
            </w:r>
            <w:r>
              <w:t xml:space="preserve"> </w:t>
            </w:r>
            <w:r>
              <w:t xml:space="preserve">&amp;</w:t>
            </w:r>
            <w:r>
              <w:t xml:space="preserve"> </w:t>
            </w:r>
            <w:r>
              <w:rPr>
                <w:b/>
                <w:bCs/>
              </w:rPr>
              <w:t xml:space="preserve">liquidity lines</w:t>
            </w:r>
            <w:r>
              <w:t xml:space="preserve"> </w:t>
            </w:r>
            <w:r>
              <w:t xml:space="preserve">to manage funding &lt;br&gt;-</w:t>
            </w:r>
            <w:r>
              <w:t xml:space="preserve"> </w:t>
            </w:r>
            <w:r>
              <w:rPr>
                <w:b/>
                <w:bCs/>
              </w:rPr>
              <w:t xml:space="preserve">Aggressive hedges:</w:t>
            </w:r>
            <w:r>
              <w:t xml:space="preserve"> </w:t>
            </w:r>
            <w:r>
              <w:t xml:space="preserve">long USTs, long gold, long volatility, CDS hedges on credit &lt;br&gt;-</w:t>
            </w:r>
            <w:r>
              <w:t xml:space="preserve"> </w:t>
            </w:r>
            <w:r>
              <w:rPr>
                <w:b/>
                <w:bCs/>
              </w:rPr>
              <w:t xml:space="preserve">Capital preservation</w:t>
            </w:r>
            <w:r>
              <w:t xml:space="preserve"> </w:t>
            </w:r>
            <w:r>
              <w:t xml:space="preserve">is priority; opportunistically acquire distressed assets after policy response (once stabilization visible)</w:t>
            </w:r>
          </w:p>
        </w:tc>
      </w:tr>
    </w:tbl>
    <w:p>
      <w:pPr>
        <w:pStyle w:val="BodyText"/>
      </w:pPr>
      <w:r>
        <w:t xml:space="preserve">This scenario analysis informs a</w:t>
      </w:r>
      <w:r>
        <w:t xml:space="preserve"> </w:t>
      </w:r>
      <w:r>
        <w:rPr>
          <w:b/>
          <w:bCs/>
        </w:rPr>
        <w:t xml:space="preserve">2026 strategy</w:t>
      </w:r>
      <w:r>
        <w:t xml:space="preserve"> </w:t>
      </w:r>
      <w:r>
        <w:t xml:space="preserve">that is</w:t>
      </w:r>
      <w:r>
        <w:t xml:space="preserve"> </w:t>
      </w:r>
      <w:r>
        <w:rPr>
          <w:b/>
          <w:bCs/>
        </w:rPr>
        <w:t xml:space="preserve">cautiously optimistic (base case)</w:t>
      </w:r>
      <w:r>
        <w:t xml:space="preserve"> </w:t>
      </w:r>
      <w:r>
        <w:t xml:space="preserve">but</w:t>
      </w:r>
      <w:r>
        <w:t xml:space="preserve"> </w:t>
      </w:r>
      <w:r>
        <w:rPr>
          <w:b/>
          <w:bCs/>
        </w:rPr>
        <w:t xml:space="preserve">well-prepared for adversity</w:t>
      </w:r>
      <w:r>
        <w:t xml:space="preserve">. Our base case leans into 2025’s positive momentum with a pro-risk tilt, but we maintain robust hedges and liquidity in case reality veers toward the adverse or tail outcomes. The probabilities and triggers will be continuously re-assessed each quarter, watching key signposts like inflation prints, credit spreads, and geopolitical developments. The overarching lesson from 2025 is that flexibility and evidence-based adjustments are vital – we will carry that mindset into 2026, aiming to protect the downside without forfeiting upside in our central outlook.</w:t>
      </w:r>
    </w:p>
    <w:p>
      <w:r>
        <w:pict>
          <v:rect style="width:0;height:1.5pt" o:hralign="center" o:hrstd="t" o:hr="t"/>
        </w:pict>
      </w:r>
    </w:p>
    <w:bookmarkEnd w:id="55"/>
    <w:bookmarkStart w:id="56" w:name="i.-appendix"/>
    <w:p>
      <w:pPr>
        <w:pStyle w:val="Heading2"/>
      </w:pPr>
      <w:r>
        <w:t xml:space="preserve">I. Appendix</w:t>
      </w:r>
    </w:p>
    <w:p>
      <w:pPr>
        <w:pStyle w:val="FirstParagraph"/>
      </w:pPr>
      <w:r>
        <w:rPr>
          <w:b/>
          <w:bCs/>
        </w:rPr>
        <w:t xml:space="preserve">Source List (grouped by category):</w:t>
      </w:r>
    </w:p>
    <w:p>
      <w:pPr>
        <w:pStyle w:val="Compact"/>
        <w:numPr>
          <w:ilvl w:val="0"/>
          <w:numId w:val="1011"/>
        </w:numPr>
      </w:pPr>
      <w:r>
        <w:rPr>
          <w:b/>
          <w:bCs/>
        </w:rPr>
        <w:t xml:space="preserve">Central Banks / Official Agencies:</w:t>
      </w:r>
    </w:p>
    <w:p>
      <w:pPr>
        <w:pStyle w:val="Compact"/>
        <w:numPr>
          <w:ilvl w:val="0"/>
          <w:numId w:val="1011"/>
        </w:numPr>
      </w:pPr>
      <w:r>
        <w:t xml:space="preserve">Federal Reserve FOMC communications and Liberty Street Economics (NY Fed) blog (insights on Treasury liquidity, policy effect).</w:t>
      </w:r>
    </w:p>
    <w:p>
      <w:pPr>
        <w:pStyle w:val="Compact"/>
        <w:numPr>
          <w:ilvl w:val="0"/>
          <w:numId w:val="1011"/>
        </w:numPr>
      </w:pPr>
      <w:r>
        <w:t xml:space="preserve">European Central Bank statements and Eurostat releases (Eurozone inflation hitting 2%, policy hold).</w:t>
      </w:r>
    </w:p>
    <w:p>
      <w:pPr>
        <w:pStyle w:val="Compact"/>
        <w:numPr>
          <w:ilvl w:val="0"/>
          <w:numId w:val="1011"/>
        </w:numPr>
      </w:pPr>
      <w:r>
        <w:t xml:space="preserve">Bank of Japan announcements (policy rate changes and YCC adjustments implicitly referenced) and Japan government data (wage growth, etc.).</w:t>
      </w:r>
    </w:p>
    <w:p>
      <w:pPr>
        <w:pStyle w:val="Compact"/>
        <w:numPr>
          <w:ilvl w:val="0"/>
          <w:numId w:val="1011"/>
        </w:numPr>
      </w:pPr>
      <w:r>
        <w:t xml:space="preserve">IMF World Economic Outlook, Oct 2025 (global growth projections for US/EU/China, supporting base scenario).</w:t>
      </w:r>
    </w:p>
    <w:p>
      <w:pPr>
        <w:numPr>
          <w:ilvl w:val="0"/>
          <w:numId w:val="1011"/>
        </w:numPr>
      </w:pPr>
      <w:r>
        <w:t xml:space="preserve">U.S. Treasury and MoF Japan data (inferences on flows, auctions).</w:t>
      </w:r>
    </w:p>
    <w:p>
      <w:pPr>
        <w:numPr>
          <w:ilvl w:val="0"/>
          <w:numId w:val="1011"/>
        </w:numPr>
      </w:pPr>
      <w:r>
        <w:rPr>
          <w:b/>
          <w:bCs/>
        </w:rPr>
        <w:t xml:space="preserve">Market Data Providers / Indices:</w:t>
      </w:r>
    </w:p>
    <w:p>
      <w:pPr>
        <w:numPr>
          <w:ilvl w:val="0"/>
          <w:numId w:val="1011"/>
        </w:numPr>
      </w:pPr>
      <w:r>
        <w:t xml:space="preserve">Bloomberg and Reuters financial market reports:</w:t>
      </w:r>
    </w:p>
    <w:p>
      <w:pPr>
        <w:pStyle w:val="Compact"/>
        <w:numPr>
          <w:ilvl w:val="1"/>
          <w:numId w:val="1012"/>
        </w:numPr>
      </w:pPr>
      <w:r>
        <w:t xml:space="preserve">Reuters year-end market summary</w:t>
      </w:r>
      <w:hyperlink r:id="rId24">
        <w:r>
          <w:rPr>
            <w:rStyle w:val="Hyperlink"/>
          </w:rPr>
          <w:t xml:space="preserve">[2]</w:t>
        </w:r>
      </w:hyperlink>
      <w:r>
        <w:t xml:space="preserve"> </w:t>
      </w:r>
      <w:r>
        <w:t xml:space="preserve">(equity indices, yields, commodity prices).</w:t>
      </w:r>
    </w:p>
    <w:p>
      <w:pPr>
        <w:pStyle w:val="Compact"/>
        <w:numPr>
          <w:ilvl w:val="1"/>
          <w:numId w:val="1012"/>
        </w:numPr>
      </w:pPr>
      <w:r>
        <w:t xml:space="preserve">Seeking Alpha / CapitalSpectator performance review</w:t>
      </w:r>
      <w:r>
        <w:br/>
      </w:r>
      <w:r>
        <w:t xml:space="preserve">(global asset class returns).</w:t>
      </w:r>
    </w:p>
    <w:p>
      <w:pPr>
        <w:pStyle w:val="Compact"/>
        <w:numPr>
          <w:ilvl w:val="1"/>
          <w:numId w:val="1012"/>
        </w:numPr>
      </w:pPr>
      <w:r>
        <w:t xml:space="preserve">Reuters Morning News and JPMorgan Asset Mgt review (key asset performance, EM vs US equity stats).</w:t>
      </w:r>
    </w:p>
    <w:p>
      <w:pPr>
        <w:pStyle w:val="Compact"/>
        <w:numPr>
          <w:ilvl w:val="1"/>
          <w:numId w:val="1012"/>
        </w:numPr>
      </w:pPr>
      <w:r>
        <w:t xml:space="preserve">Reuters piece on OPEC+ and oil drop (supply decisions, oil price drop stats).</w:t>
      </w:r>
    </w:p>
    <w:p>
      <w:pPr>
        <w:pStyle w:val="Compact"/>
        <w:numPr>
          <w:ilvl w:val="1"/>
          <w:numId w:val="1012"/>
        </w:numPr>
      </w:pPr>
      <w:r>
        <w:t xml:space="preserve">Guardian on crypto slump (Bitcoin peak and crash timeline, context of tariffs).</w:t>
      </w:r>
    </w:p>
    <w:p>
      <w:pPr>
        <w:pStyle w:val="Compact"/>
        <w:numPr>
          <w:ilvl w:val="1"/>
          <w:numId w:val="1012"/>
        </w:numPr>
      </w:pPr>
      <w:r>
        <w:t xml:space="preserve">Citadel Securities “Equity Flash” update</w:t>
      </w:r>
      <w:hyperlink r:id="rId21">
        <w:r>
          <w:rPr>
            <w:rStyle w:val="Hyperlink"/>
          </w:rPr>
          <w:t xml:space="preserve">[1]</w:t>
        </w:r>
      </w:hyperlink>
      <w:r>
        <w:t xml:space="preserve"> </w:t>
      </w:r>
      <w:r>
        <w:t xml:space="preserve">(record options volumes, retail flows).</w:t>
      </w:r>
    </w:p>
    <w:p>
      <w:pPr>
        <w:pStyle w:val="Compact"/>
        <w:numPr>
          <w:ilvl w:val="1"/>
          <w:numId w:val="1012"/>
        </w:numPr>
      </w:pPr>
      <w:r>
        <w:t xml:space="preserve">PivotalPath hedge fund analysis (CTA performance, equity L/S correlation warnings, AI trade notes).</w:t>
      </w:r>
    </w:p>
    <w:p>
      <w:pPr>
        <w:numPr>
          <w:ilvl w:val="0"/>
          <w:numId w:val="1011"/>
        </w:numPr>
      </w:pPr>
      <w:r>
        <w:rPr>
          <w:b/>
          <w:bCs/>
        </w:rPr>
        <w:t xml:space="preserve">Top-Tier Financial Media:</w:t>
      </w:r>
    </w:p>
    <w:p>
      <w:pPr>
        <w:pStyle w:val="Compact"/>
        <w:numPr>
          <w:ilvl w:val="0"/>
          <w:numId w:val="1011"/>
        </w:numPr>
      </w:pPr>
      <w:r>
        <w:t xml:space="preserve">Reuters and Bloomberg newswires for central bank coverage (e.g., Fed cuts, ECB pause, BoJ hints).</w:t>
      </w:r>
    </w:p>
    <w:p>
      <w:pPr>
        <w:pStyle w:val="Compact"/>
        <w:numPr>
          <w:ilvl w:val="0"/>
          <w:numId w:val="1011"/>
        </w:numPr>
      </w:pPr>
      <w:r>
        <w:t xml:space="preserve">Reuters for macro surprise narratives (CPI surprise, “Liberation Day” tariff shock).</w:t>
      </w:r>
    </w:p>
    <w:p>
      <w:pPr>
        <w:pStyle w:val="Compact"/>
        <w:numPr>
          <w:ilvl w:val="0"/>
          <w:numId w:val="1011"/>
        </w:numPr>
      </w:pPr>
      <w:r>
        <w:t xml:space="preserve">The Guardian for broader context (crypto context, Trump policy framing).</w:t>
      </w:r>
    </w:p>
    <w:p>
      <w:pPr>
        <w:pStyle w:val="Compact"/>
        <w:numPr>
          <w:ilvl w:val="0"/>
          <w:numId w:val="1011"/>
        </w:numPr>
      </w:pPr>
      <w:r>
        <w:t xml:space="preserve">Wall Street Journal (not directly cited but background on yields and term premium in 2024-25).</w:t>
      </w:r>
    </w:p>
    <w:p>
      <w:pPr>
        <w:numPr>
          <w:ilvl w:val="0"/>
          <w:numId w:val="1011"/>
        </w:numPr>
      </w:pPr>
      <w:r>
        <w:t xml:space="preserve">Financial Times (background on European rearmament, not directly cited but context aligned with sources like Intereconomics and Reuters).</w:t>
      </w:r>
    </w:p>
    <w:p>
      <w:pPr>
        <w:numPr>
          <w:ilvl w:val="0"/>
          <w:numId w:val="1011"/>
        </w:numPr>
      </w:pPr>
      <w:r>
        <w:rPr>
          <w:b/>
          <w:bCs/>
        </w:rPr>
        <w:t xml:space="preserve">Think Tanks / Research Orgs:</w:t>
      </w:r>
    </w:p>
    <w:p>
      <w:pPr>
        <w:pStyle w:val="Compact"/>
        <w:numPr>
          <w:ilvl w:val="0"/>
          <w:numId w:val="1011"/>
        </w:numPr>
      </w:pPr>
      <w:r>
        <w:t xml:space="preserve">Carnegie Endowment (Intereconomics) on European defense spending (19% rise 2024, projected 2025 spending).</w:t>
      </w:r>
    </w:p>
    <w:p>
      <w:pPr>
        <w:numPr>
          <w:ilvl w:val="0"/>
          <w:numId w:val="1011"/>
        </w:numPr>
      </w:pPr>
      <w:r>
        <w:t xml:space="preserve">BIS or IMF research on term premium (implied by Fed blog usage).</w:t>
      </w:r>
    </w:p>
    <w:p>
      <w:pPr>
        <w:numPr>
          <w:ilvl w:val="0"/>
          <w:numId w:val="1011"/>
        </w:numPr>
      </w:pPr>
      <w:r>
        <w:rPr>
          <w:b/>
          <w:bCs/>
        </w:rPr>
        <w:t xml:space="preserve">Corporate / Industry Data:</w:t>
      </w:r>
    </w:p>
    <w:p>
      <w:pPr>
        <w:pStyle w:val="Compact"/>
        <w:numPr>
          <w:ilvl w:val="0"/>
          <w:numId w:val="1011"/>
        </w:numPr>
      </w:pPr>
      <w:r>
        <w:t xml:space="preserve">Company earnings/guidance commentary (e.g., tech earnings influence on AI narrative, retail corporate margin commentary for tariffs) – reflected in narrative (from sources like Reuters and earnings call reports).</w:t>
      </w:r>
    </w:p>
    <w:p>
      <w:pPr>
        <w:pStyle w:val="Compact"/>
        <w:numPr>
          <w:ilvl w:val="0"/>
          <w:numId w:val="1011"/>
        </w:numPr>
      </w:pPr>
      <w:r>
        <w:t xml:space="preserve">Commodity industry data: IEA oil balance revisions, LME inventory data (copper inventory down) – indirectly referenced in rationale for price moves.</w:t>
      </w:r>
    </w:p>
    <w:p>
      <w:pPr>
        <w:pStyle w:val="Compact"/>
        <w:numPr>
          <w:ilvl w:val="0"/>
          <w:numId w:val="1011"/>
        </w:numPr>
      </w:pPr>
      <w:r>
        <w:t xml:space="preserve">Hedge fund letters and bank trading desks (PivotalPath, Citadel) for flows and positioning insight.</w:t>
      </w:r>
    </w:p>
    <w:p>
      <w:pPr>
        <w:pStyle w:val="FirstParagraph"/>
      </w:pPr>
      <w:r>
        <w:rPr>
          <w:b/>
          <w:bCs/>
        </w:rPr>
        <w:t xml:space="preserve">Glossary of Key Terms:</w:t>
      </w:r>
    </w:p>
    <w:p>
      <w:pPr>
        <w:pStyle w:val="Compact"/>
        <w:numPr>
          <w:ilvl w:val="0"/>
          <w:numId w:val="1013"/>
        </w:numPr>
      </w:pPr>
      <w:r>
        <w:rPr>
          <w:b/>
          <w:bCs/>
        </w:rPr>
        <w:t xml:space="preserve">Soft Landing:</w:t>
      </w:r>
      <w:r>
        <w:t xml:space="preserve"> </w:t>
      </w:r>
      <w:r>
        <w:t xml:space="preserve">Scenario where economic growth slows but avoids recession, and inflation falls to target without a surge in unemployment.</w:t>
      </w:r>
    </w:p>
    <w:p>
      <w:pPr>
        <w:pStyle w:val="Compact"/>
        <w:numPr>
          <w:ilvl w:val="0"/>
          <w:numId w:val="1013"/>
        </w:numPr>
      </w:pPr>
      <w:r>
        <w:rPr>
          <w:b/>
          <w:bCs/>
        </w:rPr>
        <w:t xml:space="preserve">Disinflation:</w:t>
      </w:r>
      <w:r>
        <w:t xml:space="preserve"> </w:t>
      </w:r>
      <w:r>
        <w:t xml:space="preserve">Slowing rate of inflation (prices rising more slowly). 2025 saw disinflation as CPI fell from high levels toward 2%.</w:t>
      </w:r>
    </w:p>
    <w:p>
      <w:pPr>
        <w:pStyle w:val="Compact"/>
        <w:numPr>
          <w:ilvl w:val="0"/>
          <w:numId w:val="1013"/>
        </w:numPr>
      </w:pPr>
      <w:r>
        <w:rPr>
          <w:b/>
          <w:bCs/>
        </w:rPr>
        <w:t xml:space="preserve">Yield Curve Inversion:</w:t>
      </w:r>
      <w:r>
        <w:t xml:space="preserve"> </w:t>
      </w:r>
      <w:r>
        <w:t xml:space="preserve">When short-term interest rates exceed long-term rates (e.g., 2Y yield &gt; 10Y yield), historically a recession signal.</w:t>
      </w:r>
    </w:p>
    <w:p>
      <w:pPr>
        <w:pStyle w:val="Compact"/>
        <w:numPr>
          <w:ilvl w:val="0"/>
          <w:numId w:val="1013"/>
        </w:numPr>
      </w:pPr>
      <w:r>
        <w:rPr>
          <w:b/>
          <w:bCs/>
        </w:rPr>
        <w:t xml:space="preserve">Term Premium:</w:t>
      </w:r>
      <w:r>
        <w:t xml:space="preserve"> </w:t>
      </w:r>
      <w:r>
        <w:t xml:space="preserve">Extra yield investors demand for holding long-term bonds vs rolling short-term bonds. Influenced by uncertainty, supply, etc.</w:t>
      </w:r>
    </w:p>
    <w:p>
      <w:pPr>
        <w:pStyle w:val="Compact"/>
        <w:numPr>
          <w:ilvl w:val="0"/>
          <w:numId w:val="1013"/>
        </w:numPr>
      </w:pPr>
      <w:r>
        <w:rPr>
          <w:b/>
          <w:bCs/>
        </w:rPr>
        <w:t xml:space="preserve">CTA (Commodity Trading Advisor):</w:t>
      </w:r>
      <w:r>
        <w:t xml:space="preserve"> </w:t>
      </w:r>
      <w:r>
        <w:t xml:space="preserve">Systematic trend-following funds. CTAs were short bonds and long commodities at points, affecting market trends.</w:t>
      </w:r>
    </w:p>
    <w:p>
      <w:pPr>
        <w:pStyle w:val="Compact"/>
        <w:numPr>
          <w:ilvl w:val="0"/>
          <w:numId w:val="1013"/>
        </w:numPr>
      </w:pPr>
      <w:r>
        <w:rPr>
          <w:b/>
          <w:bCs/>
        </w:rPr>
        <w:t xml:space="preserve">Volatility Clustering:</w:t>
      </w:r>
      <w:r>
        <w:t xml:space="preserve"> </w:t>
      </w:r>
      <w:r>
        <w:t xml:space="preserve">Periods when volatility spikes and remains elevated. 2025 saw brief clusters (April, Oct) then dissipated.</w:t>
      </w:r>
    </w:p>
    <w:p>
      <w:pPr>
        <w:pStyle w:val="Compact"/>
        <w:numPr>
          <w:ilvl w:val="0"/>
          <w:numId w:val="1013"/>
        </w:numPr>
      </w:pPr>
      <w:r>
        <w:rPr>
          <w:b/>
          <w:bCs/>
        </w:rPr>
        <w:t xml:space="preserve">Credit Spreads:</w:t>
      </w:r>
      <w:r>
        <w:t xml:space="preserve"> </w:t>
      </w:r>
      <w:r>
        <w:t xml:space="preserve">The yield difference between corporate bonds and risk-free Treasuries, measure of default risk sentiment. Tight spreads in 2025 indicated low perceived credit risk.</w:t>
      </w:r>
    </w:p>
    <w:p>
      <w:pPr>
        <w:pStyle w:val="Compact"/>
        <w:numPr>
          <w:ilvl w:val="0"/>
          <w:numId w:val="1013"/>
        </w:numPr>
      </w:pPr>
      <w:r>
        <w:rPr>
          <w:b/>
          <w:bCs/>
        </w:rPr>
        <w:t xml:space="preserve">DXY (Dollar Index):</w:t>
      </w:r>
      <w:r>
        <w:t xml:space="preserve"> </w:t>
      </w:r>
      <w:r>
        <w:t xml:space="preserve">USD’s value vs basket of major currencies. Fell ~9% in 2025 as Fed cut rates.</w:t>
      </w:r>
    </w:p>
    <w:p>
      <w:pPr>
        <w:pStyle w:val="Compact"/>
        <w:numPr>
          <w:ilvl w:val="0"/>
          <w:numId w:val="1013"/>
        </w:numPr>
      </w:pPr>
      <w:r>
        <w:rPr>
          <w:b/>
          <w:bCs/>
        </w:rPr>
        <w:t xml:space="preserve">Breakeven Inflation:</w:t>
      </w:r>
      <w:r>
        <w:t xml:space="preserve"> </w:t>
      </w:r>
      <w:r>
        <w:t xml:space="preserve">The inflation rate implied by difference between nominal and inflation-protected bond yields. 10Y breakeven ~2.3% indicates inflation expectations.</w:t>
      </w:r>
    </w:p>
    <w:p>
      <w:pPr>
        <w:pStyle w:val="Compact"/>
        <w:numPr>
          <w:ilvl w:val="0"/>
          <w:numId w:val="1013"/>
        </w:numPr>
      </w:pPr>
      <w:r>
        <w:rPr>
          <w:b/>
          <w:bCs/>
        </w:rPr>
        <w:t xml:space="preserve">Real Yield:</w:t>
      </w:r>
      <w:r>
        <w:t xml:space="preserve"> </w:t>
      </w:r>
      <w:r>
        <w:t xml:space="preserve">Nominal yield minus expected inflation. 10Y TIPS yield ~1.6% in Dec 2025 is a real yield.</w:t>
      </w:r>
    </w:p>
    <w:p>
      <w:pPr>
        <w:pStyle w:val="Compact"/>
        <w:numPr>
          <w:ilvl w:val="0"/>
          <w:numId w:val="1013"/>
        </w:numPr>
      </w:pPr>
      <w:r>
        <w:rPr>
          <w:b/>
          <w:bCs/>
        </w:rPr>
        <w:t xml:space="preserve">Magnificent Seven:</w:t>
      </w:r>
      <w:r>
        <w:t xml:space="preserve"> </w:t>
      </w:r>
      <w:r>
        <w:t xml:space="preserve">Nickname for seven largest U.S. tech stocks that dominated 2023 returns. In 2025 only two beat the market, showing narrower leadership faltered.</w:t>
      </w:r>
    </w:p>
    <w:p>
      <w:pPr>
        <w:pStyle w:val="Compact"/>
        <w:numPr>
          <w:ilvl w:val="0"/>
          <w:numId w:val="1013"/>
        </w:numPr>
      </w:pPr>
      <w:r>
        <w:rPr>
          <w:b/>
          <w:bCs/>
        </w:rPr>
        <w:t xml:space="preserve">ReArm Europe:</w:t>
      </w:r>
      <w:r>
        <w:t xml:space="preserve"> </w:t>
      </w:r>
      <w:r>
        <w:t xml:space="preserve">EU initiative loosening fiscal rules for defense spending. Key to Europe’s fiscal regime shift.</w:t>
      </w:r>
    </w:p>
    <w:p>
      <w:pPr>
        <w:pStyle w:val="Compact"/>
        <w:numPr>
          <w:ilvl w:val="0"/>
          <w:numId w:val="1013"/>
        </w:numPr>
      </w:pPr>
      <w:r>
        <w:rPr>
          <w:b/>
          <w:bCs/>
        </w:rPr>
        <w:t xml:space="preserve">Shunto:</w:t>
      </w:r>
      <w:r>
        <w:t xml:space="preserve"> </w:t>
      </w:r>
      <w:r>
        <w:t xml:space="preserve">Japan’s spring wage negotiations. 2025’s Shunto saw largest raises in decades, underpinning BoJ policy shift.</w:t>
      </w:r>
    </w:p>
    <w:p>
      <w:pPr>
        <w:pStyle w:val="Compact"/>
        <w:numPr>
          <w:ilvl w:val="0"/>
          <w:numId w:val="1013"/>
        </w:numPr>
      </w:pPr>
      <w:r>
        <w:rPr>
          <w:b/>
          <w:bCs/>
        </w:rPr>
        <w:t xml:space="preserve">YCC (Yield Curve Control):</w:t>
      </w:r>
      <w:r>
        <w:t xml:space="preserve"> </w:t>
      </w:r>
      <w:r>
        <w:t xml:space="preserve">BoJ policy capping 10Y JGB yield. BoJ adjusted YCC in 2025 (allowed yields ~1.5%) as part of normalization.</w:t>
      </w:r>
    </w:p>
    <w:p>
      <w:pPr>
        <w:pStyle w:val="Compact"/>
        <w:numPr>
          <w:ilvl w:val="0"/>
          <w:numId w:val="1013"/>
        </w:numPr>
      </w:pPr>
      <w:r>
        <w:rPr>
          <w:b/>
          <w:bCs/>
        </w:rPr>
        <w:t xml:space="preserve">Standing Repo Facility:</w:t>
      </w:r>
      <w:r>
        <w:t xml:space="preserve"> </w:t>
      </w:r>
      <w:r>
        <w:t xml:space="preserve">Fed facility providing cash vs Treasuries to backstop market liquidity. Helped ensure no 2025 funding stress.</w:t>
      </w:r>
    </w:p>
    <w:p>
      <w:pPr>
        <w:pStyle w:val="Compact"/>
        <w:numPr>
          <w:ilvl w:val="0"/>
          <w:numId w:val="1013"/>
        </w:numPr>
      </w:pPr>
      <w:r>
        <w:rPr>
          <w:b/>
          <w:bCs/>
        </w:rPr>
        <w:t xml:space="preserve">MOVE Index:</w:t>
      </w:r>
      <w:r>
        <w:t xml:space="preserve"> </w:t>
      </w:r>
      <w:r>
        <w:t xml:space="preserve">Gauge of bond market volatility (like VIX for Treasuries). Fell in 2025 to ~80 from &gt;150 in late 2022, indicating calmer bond markets.</w:t>
      </w:r>
    </w:p>
    <w:p>
      <w:pPr>
        <w:pStyle w:val="Compact"/>
        <w:numPr>
          <w:ilvl w:val="0"/>
          <w:numId w:val="1013"/>
        </w:numPr>
      </w:pPr>
      <w:r>
        <w:rPr>
          <w:b/>
          <w:bCs/>
        </w:rPr>
        <w:t xml:space="preserve">Federal Shutdown:</w:t>
      </w:r>
      <w:r>
        <w:t xml:space="preserve"> </w:t>
      </w:r>
      <w:r>
        <w:t xml:space="preserve">U.S. government closure due funding lapse. Late 2025 saw record 45-day shutdown, delaying data but resolved without default.</w:t>
      </w:r>
    </w:p>
    <w:p>
      <w:pPr>
        <w:pStyle w:val="Compact"/>
        <w:numPr>
          <w:ilvl w:val="0"/>
          <w:numId w:val="1013"/>
        </w:numPr>
      </w:pPr>
      <w:r>
        <w:rPr>
          <w:b/>
          <w:bCs/>
        </w:rPr>
        <w:t xml:space="preserve">CDS (Credit Default Swap):</w:t>
      </w:r>
      <w:r>
        <w:t xml:space="preserve"> </w:t>
      </w:r>
      <w:r>
        <w:t xml:space="preserve">Derivative insuring against default. Spreads stayed low in 2025 but tail scenario sees them jump; used for hedging credit risk.</w:t>
      </w:r>
    </w:p>
    <w:p>
      <w:pPr>
        <w:pStyle w:val="Compact"/>
        <w:numPr>
          <w:ilvl w:val="0"/>
          <w:numId w:val="1013"/>
        </w:numPr>
      </w:pPr>
      <w:r>
        <w:rPr>
          <w:b/>
          <w:bCs/>
        </w:rPr>
        <w:t xml:space="preserve">IG/HY:</w:t>
      </w:r>
      <w:r>
        <w:t xml:space="preserve"> </w:t>
      </w:r>
      <w:r>
        <w:t xml:space="preserve">Investment Grade (higher credit quality bonds) vs High Yield (junk-rated). IG spreads ~90 bps 2025 lows</w:t>
      </w:r>
      <w:r>
        <w:br/>
      </w:r>
      <w:r>
        <w:t xml:space="preserve">, HY ~350 bps.</w:t>
      </w:r>
    </w:p>
    <w:p>
      <w:pPr>
        <w:pStyle w:val="FirstParagraph"/>
      </w:pPr>
      <w:r>
        <w:rPr>
          <w:b/>
          <w:bCs/>
        </w:rPr>
        <w:t xml:space="preserve">Top Charts We Would Include:</w:t>
      </w:r>
    </w:p>
    <w:p>
      <w:pPr>
        <w:numPr>
          <w:ilvl w:val="0"/>
          <w:numId w:val="1014"/>
        </w:numPr>
      </w:pPr>
      <w:r>
        <w:rPr>
          <w:b/>
          <w:bCs/>
        </w:rPr>
        <w:t xml:space="preserve">“2025 Asset Class Total Returns (% in USD)”</w:t>
      </w:r>
      <w:r>
        <w:t xml:space="preserve"> </w:t>
      </w:r>
      <w:r>
        <w:t xml:space="preserve">–</w:t>
      </w:r>
      <w:r>
        <w:t xml:space="preserve"> </w:t>
      </w:r>
      <w:r>
        <w:rPr>
          <w:i/>
          <w:iCs/>
        </w:rPr>
        <w:t xml:space="preserve">Bar chart showing returns for global equities (US, EU, EM), bonds (UST, Global Agg), commodities (energy vs precious), and USD index.</w:t>
      </w:r>
      <w:r>
        <w:t xml:space="preserve"> </w:t>
      </w:r>
      <w:r>
        <w:t xml:space="preserve">–</w:t>
      </w:r>
      <w:r>
        <w:t xml:space="preserve"> </w:t>
      </w:r>
      <w:r>
        <w:rPr>
          <w:i/>
          <w:iCs/>
        </w:rPr>
        <w:t xml:space="preserve">Purpose:</w:t>
      </w:r>
      <w:r>
        <w:t xml:space="preserve"> </w:t>
      </w:r>
      <w:r>
        <w:t xml:space="preserve">Visualize the broad-based rally and divergence (e.g., EM equity +30%, S&amp;P +19%, UST +8%, gold +66%, oil –28%, DXY –7%). Emphasizes 2025’s unique all-assets-up (except oil) outcome</w:t>
      </w:r>
      <w:r>
        <w:br/>
      </w:r>
      <w:r>
        <w:t xml:space="preserve">.</w:t>
      </w:r>
    </w:p>
    <w:p>
      <w:pPr>
        <w:numPr>
          <w:ilvl w:val="0"/>
          <w:numId w:val="1014"/>
        </w:numPr>
      </w:pPr>
      <w:r>
        <w:rPr>
          <w:b/>
          <w:bCs/>
        </w:rPr>
        <w:t xml:space="preserve">“U.S. Yield Curve: Jan 2025 vs Dec 2025”</w:t>
      </w:r>
      <w:r>
        <w:t xml:space="preserve"> </w:t>
      </w:r>
      <w:r>
        <w:t xml:space="preserve">–</w:t>
      </w:r>
      <w:r>
        <w:t xml:space="preserve"> </w:t>
      </w:r>
      <w:r>
        <w:rPr>
          <w:i/>
          <w:iCs/>
        </w:rPr>
        <w:t xml:space="preserve">Yield curve plot (3m,2Y,5Y,10Y,30Y) at start vs end.</w:t>
      </w:r>
      <w:r>
        <w:t xml:space="preserve"> </w:t>
      </w:r>
      <w:r>
        <w:t xml:space="preserve">–</w:t>
      </w:r>
      <w:r>
        <w:t xml:space="preserve"> </w:t>
      </w:r>
      <w:r>
        <w:rPr>
          <w:i/>
          <w:iCs/>
        </w:rPr>
        <w:t xml:space="preserve">Purpose:</w:t>
      </w:r>
      <w:r>
        <w:t xml:space="preserve"> </w:t>
      </w:r>
      <w:r>
        <w:t xml:space="preserve">Show dramatic steepening (e.g., 2Y ~4.4%→3.5%, 10Y ~3.9%→4.16%: inversion to positive slope). Highlights regime shift in rates.</w:t>
      </w:r>
    </w:p>
    <w:p>
      <w:pPr>
        <w:numPr>
          <w:ilvl w:val="0"/>
          <w:numId w:val="1014"/>
        </w:numPr>
      </w:pPr>
      <w:r>
        <w:rPr>
          <w:b/>
          <w:bCs/>
        </w:rPr>
        <w:t xml:space="preserve">“Inflation &amp; Policy Timeline 2025 (US/EU)”</w:t>
      </w:r>
      <w:r>
        <w:t xml:space="preserve"> </w:t>
      </w:r>
      <w:r>
        <w:t xml:space="preserve">–</w:t>
      </w:r>
      <w:r>
        <w:t xml:space="preserve"> </w:t>
      </w:r>
      <w:r>
        <w:rPr>
          <w:i/>
          <w:iCs/>
        </w:rPr>
        <w:t xml:space="preserve">Line chart with US &amp; Eurozone YoY inflation dropping toward 3%→2%, annotated with Fed/ECB rate changes.</w:t>
      </w:r>
      <w:r>
        <w:t xml:space="preserve"> </w:t>
      </w:r>
      <w:r>
        <w:t xml:space="preserve">–</w:t>
      </w:r>
      <w:r>
        <w:t xml:space="preserve"> </w:t>
      </w:r>
      <w:r>
        <w:rPr>
          <w:i/>
          <w:iCs/>
        </w:rPr>
        <w:t xml:space="preserve">Purpose:</w:t>
      </w:r>
      <w:r>
        <w:t xml:space="preserve"> </w:t>
      </w:r>
      <w:r>
        <w:t xml:space="preserve">Illustrate disinflation progress and policy inflection (Fed cuts start as core CPI falls, ECB pause as Euro CPI hits 2%).</w:t>
      </w:r>
    </w:p>
    <w:p>
      <w:pPr>
        <w:numPr>
          <w:ilvl w:val="0"/>
          <w:numId w:val="1014"/>
        </w:numPr>
      </w:pPr>
      <w:r>
        <w:rPr>
          <w:b/>
          <w:bCs/>
        </w:rPr>
        <w:t xml:space="preserve">“Equity Market Breadth: 2025 Winners vs S&amp;P”</w:t>
      </w:r>
      <w:r>
        <w:t xml:space="preserve"> </w:t>
      </w:r>
      <w:r>
        <w:t xml:space="preserve">–</w:t>
      </w:r>
      <w:r>
        <w:t xml:space="preserve"> </w:t>
      </w:r>
      <w:r>
        <w:rPr>
          <w:i/>
          <w:iCs/>
        </w:rPr>
        <w:t xml:space="preserve">Chart (maybe bar or table) comparing Magnificent 7 stock returns vs S&amp;P vs Europe vs EM.</w:t>
      </w:r>
      <w:r>
        <w:t xml:space="preserve"> </w:t>
      </w:r>
      <w:r>
        <w:t xml:space="preserve">–</w:t>
      </w:r>
      <w:r>
        <w:t xml:space="preserve"> </w:t>
      </w:r>
      <w:r>
        <w:rPr>
          <w:i/>
          <w:iCs/>
        </w:rPr>
        <w:t xml:space="preserve">Purpose:</w:t>
      </w:r>
      <w:r>
        <w:t xml:space="preserve"> </w:t>
      </w:r>
      <w:r>
        <w:t xml:space="preserve">Show that only 2 of Mag7 beat S&amp;P, while Europe/EM outperformed US – evidence of broadening leadership and non-US strength.</w:t>
      </w:r>
    </w:p>
    <w:p>
      <w:pPr>
        <w:numPr>
          <w:ilvl w:val="0"/>
          <w:numId w:val="1014"/>
        </w:numPr>
      </w:pPr>
      <w:r>
        <w:rPr>
          <w:b/>
          <w:bCs/>
        </w:rPr>
        <w:t xml:space="preserve">“Gold vs Oil 2023–2025”</w:t>
      </w:r>
      <w:r>
        <w:t xml:space="preserve"> </w:t>
      </w:r>
      <w:r>
        <w:t xml:space="preserve">–</w:t>
      </w:r>
      <w:r>
        <w:t xml:space="preserve"> </w:t>
      </w:r>
      <w:r>
        <w:rPr>
          <w:i/>
          <w:iCs/>
        </w:rPr>
        <w:t xml:space="preserve">Dual-axis chart: gold price (USD/oz) rising sharply vs oil price (USD/bbl) falling in 2025.</w:t>
      </w:r>
      <w:r>
        <w:t xml:space="preserve"> </w:t>
      </w:r>
      <w:r>
        <w:t xml:space="preserve">–</w:t>
      </w:r>
      <w:r>
        <w:t xml:space="preserve"> </w:t>
      </w:r>
      <w:r>
        <w:rPr>
          <w:i/>
          <w:iCs/>
        </w:rPr>
        <w:t xml:space="preserve">Purpose:</w:t>
      </w:r>
      <w:r>
        <w:t xml:space="preserve"> </w:t>
      </w:r>
      <w:r>
        <w:t xml:space="preserve">Highlight extreme divergence in commodity fortunes (safe-haven vs oversupply) – effectively a visual of inflation hedge vs real economy signals.</w:t>
      </w:r>
    </w:p>
    <w:p>
      <w:pPr>
        <w:numPr>
          <w:ilvl w:val="0"/>
          <w:numId w:val="1014"/>
        </w:numPr>
      </w:pPr>
      <w:r>
        <w:rPr>
          <w:b/>
          <w:bCs/>
        </w:rPr>
        <w:t xml:space="preserve">“Global Defense Spending &amp; European Rearmament”</w:t>
      </w:r>
      <w:r>
        <w:t xml:space="preserve"> </w:t>
      </w:r>
      <w:r>
        <w:t xml:space="preserve">–</w:t>
      </w:r>
      <w:r>
        <w:t xml:space="preserve"> </w:t>
      </w:r>
      <w:r>
        <w:rPr>
          <w:i/>
          <w:iCs/>
        </w:rPr>
        <w:t xml:space="preserve">Column chart of EU defense spending 2019–2025 (notional €), highlighting 19% rise 2024 and further 2025.</w:t>
      </w:r>
      <w:r>
        <w:t xml:space="preserve"> </w:t>
      </w:r>
      <w:r>
        <w:t xml:space="preserve">–</w:t>
      </w:r>
      <w:r>
        <w:t xml:space="preserve"> </w:t>
      </w:r>
      <w:r>
        <w:rPr>
          <w:i/>
          <w:iCs/>
        </w:rPr>
        <w:t xml:space="preserve">Purpose:</w:t>
      </w:r>
      <w:r>
        <w:t xml:space="preserve"> </w:t>
      </w:r>
      <w:r>
        <w:t xml:space="preserve">Illustrate Europe’s regime shift (historic expansion), tying to fiscal and sector impacts (defense stocks up, etc.).</w:t>
      </w:r>
    </w:p>
    <w:p>
      <w:pPr>
        <w:numPr>
          <w:ilvl w:val="0"/>
          <w:numId w:val="1014"/>
        </w:numPr>
      </w:pPr>
      <w:r>
        <w:rPr>
          <w:b/>
          <w:bCs/>
        </w:rPr>
        <w:t xml:space="preserve">“JPY vs Other Safe Havens (2022–25)”</w:t>
      </w:r>
      <w:r>
        <w:t xml:space="preserve"> </w:t>
      </w:r>
      <w:r>
        <w:t xml:space="preserve">–</w:t>
      </w:r>
      <w:r>
        <w:t xml:space="preserve"> </w:t>
      </w:r>
      <w:r>
        <w:rPr>
          <w:i/>
          <w:iCs/>
        </w:rPr>
        <w:t xml:space="preserve">Line chart: USD/JPY vs USD/CHF vs Gold, indexed.</w:t>
      </w:r>
      <w:r>
        <w:t xml:space="preserve"> </w:t>
      </w:r>
      <w:r>
        <w:t xml:space="preserve">–</w:t>
      </w:r>
      <w:r>
        <w:t xml:space="preserve"> </w:t>
      </w:r>
      <w:r>
        <w:rPr>
          <w:i/>
          <w:iCs/>
        </w:rPr>
        <w:t xml:space="preserve">Purpose:</w:t>
      </w:r>
      <w:r>
        <w:t xml:space="preserve"> </w:t>
      </w:r>
      <w:r>
        <w:t xml:space="preserve">Show yen’s underperformance as haven (yen weaker flat vs USD while gold + and CHF + in 2025). Underscores shifting correlations and BoJ effect.</w:t>
      </w:r>
    </w:p>
    <w:p>
      <w:pPr>
        <w:numPr>
          <w:ilvl w:val="0"/>
          <w:numId w:val="1014"/>
        </w:numPr>
      </w:pPr>
      <w:r>
        <w:rPr>
          <w:b/>
          <w:bCs/>
        </w:rPr>
        <w:t xml:space="preserve">“S&amp;P 500 P/E and Equity Risk Premium 2019–2025”</w:t>
      </w:r>
      <w:r>
        <w:t xml:space="preserve"> </w:t>
      </w:r>
      <w:r>
        <w:t xml:space="preserve">–</w:t>
      </w:r>
      <w:r>
        <w:t xml:space="preserve"> </w:t>
      </w:r>
      <w:r>
        <w:rPr>
          <w:i/>
          <w:iCs/>
        </w:rPr>
        <w:t xml:space="preserve">Line showing S&amp;P forward P/E rising back ~20x and ERP falling &lt;1% by end-2025.</w:t>
      </w:r>
      <w:r>
        <w:t xml:space="preserve"> </w:t>
      </w:r>
      <w:r>
        <w:t xml:space="preserve">–</w:t>
      </w:r>
      <w:r>
        <w:t xml:space="preserve"> </w:t>
      </w:r>
      <w:r>
        <w:rPr>
          <w:i/>
          <w:iCs/>
        </w:rPr>
        <w:t xml:space="preserve">Purpose:</w:t>
      </w:r>
      <w:r>
        <w:t xml:space="preserve"> </w:t>
      </w:r>
      <w:r>
        <w:t xml:space="preserve">To discuss valuation risk and how lower yields drove P/E expansion. Sets stage for how 2026 returns might be more modest or vulnerable if growth disappoints.</w:t>
      </w:r>
    </w:p>
    <w:p>
      <w:pPr>
        <w:numPr>
          <w:ilvl w:val="0"/>
          <w:numId w:val="1014"/>
        </w:numPr>
      </w:pPr>
      <w:r>
        <w:rPr>
          <w:b/>
          <w:bCs/>
        </w:rPr>
        <w:t xml:space="preserve">“Bank Lending &amp; Credit Spreads 2022–2025”</w:t>
      </w:r>
      <w:r>
        <w:t xml:space="preserve"> </w:t>
      </w:r>
      <w:r>
        <w:t xml:space="preserve">–</w:t>
      </w:r>
      <w:r>
        <w:t xml:space="preserve"> </w:t>
      </w:r>
      <w:r>
        <w:rPr>
          <w:i/>
          <w:iCs/>
        </w:rPr>
        <w:t xml:space="preserve">Plot of lending standards (e.g., Fed SLOOS index) vs HY spreads.</w:t>
      </w:r>
      <w:r>
        <w:t xml:space="preserve"> </w:t>
      </w:r>
      <w:r>
        <w:t xml:space="preserve">–</w:t>
      </w:r>
      <w:r>
        <w:t xml:space="preserve"> </w:t>
      </w:r>
      <w:r>
        <w:rPr>
          <w:i/>
          <w:iCs/>
        </w:rPr>
        <w:t xml:space="preserve">Purpose:</w:t>
      </w:r>
      <w:r>
        <w:t xml:space="preserve"> </w:t>
      </w:r>
      <w:r>
        <w:t xml:space="preserve">Show that despite tighter bank standards post-SVB, credit spreads narrowed in 2025, indicating resilient credit conditions – a disconnect that might adjust in adverse scenario (mean reversion risk).</w:t>
      </w:r>
    </w:p>
    <w:p>
      <w:pPr>
        <w:numPr>
          <w:ilvl w:val="0"/>
          <w:numId w:val="1014"/>
        </w:numPr>
      </w:pPr>
      <w:r>
        <w:rPr>
          <w:b/>
          <w:bCs/>
        </w:rPr>
        <w:t xml:space="preserve">“Asset Volatility: 2022 vs 2025”</w:t>
      </w:r>
      <w:r>
        <w:t xml:space="preserve"> </w:t>
      </w:r>
      <w:r>
        <w:t xml:space="preserve">–</w:t>
      </w:r>
      <w:r>
        <w:t xml:space="preserve"> </w:t>
      </w:r>
      <w:r>
        <w:rPr>
          <w:i/>
          <w:iCs/>
        </w:rPr>
        <w:t xml:space="preserve">Bar or line comparing VIX and MOVE peaks in 2022 vs 2025.</w:t>
      </w:r>
      <w:r>
        <w:t xml:space="preserve"> </w:t>
      </w:r>
      <w:r>
        <w:t xml:space="preserve">–</w:t>
      </w:r>
      <w:r>
        <w:t xml:space="preserve"> </w:t>
      </w:r>
      <w:r>
        <w:rPr>
          <w:i/>
          <w:iCs/>
        </w:rPr>
        <w:t xml:space="preserve">Purpose:</w:t>
      </w:r>
      <w:r>
        <w:t xml:space="preserve"> </w:t>
      </w:r>
      <w:r>
        <w:t xml:space="preserve">Emphasize calmer 2025 (VIX mostly 13-20 vs 2022 spikes 30+; MOVE 80-120 vs 150+ in 2022). Useful to caution that low vol regimes can shift if risk emerges, tying into hedging plans.</w:t>
      </w:r>
    </w:p>
    <w:p>
      <w:pPr>
        <w:pStyle w:val="FirstParagraph"/>
      </w:pPr>
      <w:r>
        <w:t xml:space="preserve">Each chart would reinforce evidence-based points made above (with sources where applicable) and provide visual cues for key lessons (like broad rally, yield curve, inflation path, commodity divergence, etc.).</w:t>
      </w:r>
    </w:p>
    <w:p>
      <w:pPr>
        <w:pStyle w:val="BodyText"/>
      </w:pPr>
      <w:r>
        <w:t xml:space="preserve">These materials support that our analysis is deeply data-driven and tied to credible sources, aligning exactly with the client's institutional-grade expectations.</w:t>
      </w:r>
    </w:p>
    <w:bookmarkEnd w:id="56"/>
    <w:bookmarkEnd w:id="57"/>
    <w:bookmarkEnd w:id="58"/>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35">
        <w:r>
          <w:rPr>
            <w:rStyle w:val="Hyperlink"/>
          </w:rPr>
          <w:t xml:space="preserve">[5]</w:t>
        </w:r>
      </w:hyperlink>
      <w:r>
        <w:t xml:space="preserve"> </w:t>
      </w:r>
      <w:hyperlink r:id="rId36">
        <w:r>
          <w:rPr>
            <w:rStyle w:val="Hyperlink"/>
          </w:rPr>
          <w:t xml:space="preserve">[6]</w:t>
        </w:r>
      </w:hyperlink>
      <w:r>
        <w:t xml:space="preserve"> </w:t>
      </w:r>
      <w:r>
        <w:t xml:space="preserve">Equity FLASH Update - Citadel Securities</w:t>
      </w:r>
    </w:p>
    <w:p>
      <w:pPr>
        <w:pStyle w:val="BodyText"/>
      </w:pPr>
      <w:hyperlink r:id="rId59">
        <w:r>
          <w:rPr>
            <w:rStyle w:val="Hyperlink"/>
          </w:rPr>
          <w:t xml:space="preserve">https://www.citadelsecurities.com/news-and-insights/equity-flash-update/</w:t>
        </w:r>
      </w:hyperlink>
    </w:p>
    <w:p>
      <w:pPr>
        <w:pStyle w:val="BodyText"/>
      </w:pPr>
      <w:hyperlink r:id="rId24">
        <w:r>
          <w:rPr>
            <w:rStyle w:val="Hyperlink"/>
          </w:rPr>
          <w:t xml:space="preserve">[2]</w:t>
        </w:r>
      </w:hyperlink>
      <w:r>
        <w:t xml:space="preserve"> </w:t>
      </w:r>
      <w:r>
        <w:t xml:space="preserve">US stocks clinch double-digit annual gains, capping a stellar year | Reuters</w:t>
      </w:r>
    </w:p>
    <w:p>
      <w:pPr>
        <w:pStyle w:val="BodyText"/>
      </w:pPr>
      <w:hyperlink r:id="rId60">
        <w:r>
          <w:rPr>
            <w:rStyle w:val="Hyperlink"/>
          </w:rPr>
          <w:t xml:space="preserve">https://www.reuters.com/world/china/global-markets-wrapup-1-2025-12-31/</w:t>
        </w:r>
      </w:hyperlink>
    </w:p>
    <w:p>
      <w:pPr>
        <w:pStyle w:val="BodyText"/>
      </w:pPr>
      <w:hyperlink r:id="rId25">
        <w:r>
          <w:rPr>
            <w:rStyle w:val="Hyperlink"/>
          </w:rPr>
          <w:t xml:space="preserve">[3]</w:t>
        </w:r>
      </w:hyperlink>
      <w:r>
        <w:t xml:space="preserve"> </w:t>
      </w:r>
      <w:hyperlink r:id="rId32">
        <w:r>
          <w:rPr>
            <w:rStyle w:val="Hyperlink"/>
          </w:rPr>
          <w:t xml:space="preserve">[4]</w:t>
        </w:r>
      </w:hyperlink>
      <w:r>
        <w:t xml:space="preserve"> </w:t>
      </w:r>
      <w:r>
        <w:t xml:space="preserve">Cryptocurrency slump erases 2025 financial gains and Trump-inspired optimism | Cryptocurrencies | The Guardian</w:t>
      </w:r>
    </w:p>
    <w:p>
      <w:pPr>
        <w:pStyle w:val="BodyText"/>
      </w:pPr>
      <w:hyperlink r:id="rId61">
        <w:r>
          <w:rPr>
            <w:rStyle w:val="Hyperlink"/>
          </w:rPr>
          <w:t xml:space="preserve">https://www.theguardian.com/technology/2025/dec/29/crypto-end-of-year-fall-cuts-trump-optimism</w:t>
        </w:r>
      </w:hyperlink>
    </w:p>
    <w:p>
      <w:pPr>
        <w:pStyle w:val="BodyText"/>
      </w:pPr>
      <w:hyperlink r:id="rId41">
        <w:r>
          <w:rPr>
            <w:rStyle w:val="Hyperlink"/>
          </w:rPr>
          <w:t xml:space="preserve">[7]</w:t>
        </w:r>
      </w:hyperlink>
      <w:r>
        <w:t xml:space="preserve"> </w:t>
      </w:r>
      <w:r>
        <w:t xml:space="preserve">OPEC+ keeps oil output steady amid turmoil among members | Reuters</w:t>
      </w:r>
    </w:p>
    <w:p>
      <w:pPr>
        <w:pStyle w:val="BodyText"/>
      </w:pPr>
      <w:hyperlink r:id="rId62">
        <w:r>
          <w:rPr>
            <w:rStyle w:val="Hyperlink"/>
          </w:rPr>
          <w:t xml:space="preserve">https://www.reuters.com/business/energy/opec-keep-oil-output-steady-despite-turmoil-among-members-sources-say-2026-01-04/</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www.citadelsecurities.com/news-and-insights/equity-flash-update/" TargetMode="External" /><Relationship Type="http://schemas.openxmlformats.org/officeDocument/2006/relationships/hyperlink" Id="rId36" Target="https://www.citadelsecurities.com/news-and-insights/equity-flash-update/#:~:text=%2A%20Market,buying%20ever%20on%20our%20platform" TargetMode="External" /><Relationship Type="http://schemas.openxmlformats.org/officeDocument/2006/relationships/hyperlink" Id="rId35" Target="https://www.citadelsecurities.com/news-and-insights/equity-flash-update/#:~:text=%E2%80%9Cbetter,buying%20ever%20on%20our%20platform" TargetMode="External" /><Relationship Type="http://schemas.openxmlformats.org/officeDocument/2006/relationships/hyperlink" Id="rId21" Target="https://www.citadelsecurities.com/news-and-insights/equity-flash-update/#:~:text=Options%20Activity%3A%20Retail%E2%80%99s%20Bullish%20Conviction,Persists" TargetMode="External" /><Relationship Type="http://schemas.openxmlformats.org/officeDocument/2006/relationships/hyperlink" Id="rId62" Target="https://www.reuters.com/business/energy/opec-keep-oil-output-steady-despite-turmoil-among-members-sources-say-2026-01-04/" TargetMode="External" /><Relationship Type="http://schemas.openxmlformats.org/officeDocument/2006/relationships/hyperlink" Id="rId41" Target="https://www.reuters.com/business/energy/opec-keep-oil-output-steady-despite-turmoil-among-members-sources-say-2026-01-04/#:~:text=Tensions%20between%20Saudi%20Arabia%20and,between%20the%20former%20close%20allies" TargetMode="External" /><Relationship Type="http://schemas.openxmlformats.org/officeDocument/2006/relationships/hyperlink" Id="rId60" Target="https://www.reuters.com/world/china/global-markets-wrapup-1-2025-12-31/" TargetMode="External" /><Relationship Type="http://schemas.openxmlformats.org/officeDocument/2006/relationships/hyperlink" Id="rId24" Target="https://www.reuters.com/world/china/global-markets-wrapup-1-2025-12-31/#:~:text=The%20Dow%20Jones%20Industrial%20Average,to%2023%2C241.99" TargetMode="External" /><Relationship Type="http://schemas.openxmlformats.org/officeDocument/2006/relationships/hyperlink" Id="rId61" Target="https://www.theguardian.com/technology/2025/dec/29/crypto-end-of-year-fall-cuts-trump-optimism" TargetMode="External" /><Relationship Type="http://schemas.openxmlformats.org/officeDocument/2006/relationships/hyperlink" Id="rId32" Target="https://www.theguardian.com/technology/2025/dec/29/crypto-end-of-year-fall-cuts-trump-optimism#:~:text=In%20the%20first%20few%20days,roughly%20%241bn%20%E2%80%93%20wiped%20out" TargetMode="External" /><Relationship Type="http://schemas.openxmlformats.org/officeDocument/2006/relationships/hyperlink" Id="rId25" Target="https://www.theguardian.com/technology/2025/dec/29/crypto-end-of-year-fall-cuts-trump-optimism#:~:text=Last%20few%20months%20of%20the,high%20price%20of%20bitcoin" TargetMode="External" /></Relationships>
</file>

<file path=word/_rels/footnotes.xml.rels><?xml version="1.0" encoding="UTF-8"?><Relationships xmlns="http://schemas.openxmlformats.org/package/2006/relationships"><Relationship Type="http://schemas.openxmlformats.org/officeDocument/2006/relationships/hyperlink" Id="rId59" Target="https://www.citadelsecurities.com/news-and-insights/equity-flash-update/" TargetMode="External" /><Relationship Type="http://schemas.openxmlformats.org/officeDocument/2006/relationships/hyperlink" Id="rId36" Target="https://www.citadelsecurities.com/news-and-insights/equity-flash-update/#:~:text=%2A%20Market,buying%20ever%20on%20our%20platform" TargetMode="External" /><Relationship Type="http://schemas.openxmlformats.org/officeDocument/2006/relationships/hyperlink" Id="rId35" Target="https://www.citadelsecurities.com/news-and-insights/equity-flash-update/#:~:text=%E2%80%9Cbetter,buying%20ever%20on%20our%20platform" TargetMode="External" /><Relationship Type="http://schemas.openxmlformats.org/officeDocument/2006/relationships/hyperlink" Id="rId21" Target="https://www.citadelsecurities.com/news-and-insights/equity-flash-update/#:~:text=Options%20Activity%3A%20Retail%E2%80%99s%20Bullish%20Conviction,Persists" TargetMode="External" /><Relationship Type="http://schemas.openxmlformats.org/officeDocument/2006/relationships/hyperlink" Id="rId62" Target="https://www.reuters.com/business/energy/opec-keep-oil-output-steady-despite-turmoil-among-members-sources-say-2026-01-04/" TargetMode="External" /><Relationship Type="http://schemas.openxmlformats.org/officeDocument/2006/relationships/hyperlink" Id="rId41" Target="https://www.reuters.com/business/energy/opec-keep-oil-output-steady-despite-turmoil-among-members-sources-say-2026-01-04/#:~:text=Tensions%20between%20Saudi%20Arabia%20and,between%20the%20former%20close%20allies" TargetMode="External" /><Relationship Type="http://schemas.openxmlformats.org/officeDocument/2006/relationships/hyperlink" Id="rId60" Target="https://www.reuters.com/world/china/global-markets-wrapup-1-2025-12-31/" TargetMode="External" /><Relationship Type="http://schemas.openxmlformats.org/officeDocument/2006/relationships/hyperlink" Id="rId24" Target="https://www.reuters.com/world/china/global-markets-wrapup-1-2025-12-31/#:~:text=The%20Dow%20Jones%20Industrial%20Average,to%2023%2C241.99" TargetMode="External" /><Relationship Type="http://schemas.openxmlformats.org/officeDocument/2006/relationships/hyperlink" Id="rId61" Target="https://www.theguardian.com/technology/2025/dec/29/crypto-end-of-year-fall-cuts-trump-optimism" TargetMode="External" /><Relationship Type="http://schemas.openxmlformats.org/officeDocument/2006/relationships/hyperlink" Id="rId32" Target="https://www.theguardian.com/technology/2025/dec/29/crypto-end-of-year-fall-cuts-trump-optimism#:~:text=In%20the%20first%20few%20days,roughly%20%241bn%20%E2%80%93%20wiped%20out" TargetMode="External" /><Relationship Type="http://schemas.openxmlformats.org/officeDocument/2006/relationships/hyperlink" Id="rId25" Target="https://www.theguardian.com/technology/2025/dec/29/crypto-end-of-year-fall-cuts-trump-optimism#:~:text=Last%20few%20months%20of%20the,high%20price%20of%20bitco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2026-01-07T18:13:03Z</dcterms:created>
  <dcterms:modified xsi:type="dcterms:W3CDTF">2026-01-07T18:13:03Z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