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rFonts w:ascii="Arial" w:cs="Arial" w:eastAsia="Arial" w:hAnsi="Arial"/>
          <w:b/>
          <w:bCs/>
          <w:color w:val="CF202F"/>
          <w:spacing w:val="200"/>
          <w:sz w:val="26"/>
          <w:szCs w:val="26"/>
        </w:rPr>
        <w:t xml:space="preserve">WELLS FARGO CIB RISK</w:t>
      </w:r>
    </w:p>
    <w:p>
      <w:pPr>
        <w:spacing w:after="60"/>
        <w:jc w:val="center"/>
      </w:pPr>
      <w:r>
        <w:rPr>
          <w:rFonts w:ascii="Arial" w:cs="Arial" w:eastAsia="Arial" w:hAnsi="Arial"/>
          <w:b/>
          <w:bCs/>
          <w:color w:val="1B1B1B"/>
          <w:sz w:val="52"/>
          <w:szCs w:val="52"/>
        </w:rPr>
        <w:t xml:space="preserve">AI Transformation Playbook</w:t>
      </w:r>
    </w:p>
    <w:p>
      <w:pPr>
        <w:spacing w:after="40"/>
        <w:jc w:val="center"/>
      </w:pPr>
      <w:r>
        <w:rPr>
          <w:rFonts w:ascii="Arial" w:cs="Arial" w:eastAsia="Arial" w:hAnsi="Arial"/>
          <w:b/>
          <w:bCs/>
          <w:color w:val="CF202F"/>
          <w:sz w:val="34"/>
          <w:szCs w:val="34"/>
        </w:rPr>
        <w:t xml:space="preserve">Elephants, Not Ants</w:t>
      </w:r>
    </w:p>
    <w:p>
      <w:pPr>
        <w:spacing w:after="80"/>
        <w:jc w:val="center"/>
      </w:pPr>
      <w:r>
        <w:rPr>
          <w:rFonts w:ascii="Arial" w:cs="Arial" w:eastAsia="Arial" w:hAnsi="Arial"/>
          <w:color w:val="555555"/>
          <w:sz w:val="22"/>
          <w:szCs w:val="22"/>
        </w:rPr>
        <w:t xml:space="preserve">3 Reusable Platforms • 15 Elephant Initiatives • $300M–$900M+ Annual Value</w:t>
      </w:r>
    </w:p>
    <w:p>
      <w:pPr>
        <w:spacing w:after="40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none" w:sz="0"/>
              <w:left w:val="none" w:sz="0"/>
              <w:bottom w:val="single" w:color="CF202F" w:sz="6"/>
              <w:right w:val="none" w:sz="0"/>
            </w:tcBorders>
          </w:tcPr>
          <w:p>
            <w:r>
              <w:t xml:space="preserve"/>
            </w:r>
          </w:p>
        </w:tc>
      </w:tr>
    </w:tbl>
    <w:p>
      <w:pPr>
        <w:spacing w:after="400"/>
      </w:pPr>
    </w:p>
    <w:p>
      <w:pPr>
        <w:spacing w:after="60"/>
        <w:jc w:val="center"/>
      </w:pPr>
      <w:r>
        <w:rPr>
          <w:rFonts w:ascii="Arial" w:cs="Arial" w:eastAsia="Arial" w:hAnsi="Arial"/>
          <w:color w:val="444444"/>
          <w:sz w:val="22"/>
          <w:szCs w:val="22"/>
        </w:rPr>
        <w:t xml:space="preserve">A practical, governed portfolio of AI initiatives designed to deliver $20M+</w:t>
      </w:r>
    </w:p>
    <w:p>
      <w:pPr>
        <w:spacing w:after="60"/>
        <w:jc w:val="center"/>
      </w:pPr>
      <w:r>
        <w:rPr>
          <w:rFonts w:ascii="Arial" w:cs="Arial" w:eastAsia="Arial" w:hAnsi="Arial"/>
          <w:color w:val="444444"/>
          <w:sz w:val="22"/>
          <w:szCs w:val="22"/>
        </w:rPr>
        <w:t xml:space="preserve">annual run-rate benefit each, built on reusable platforms so ROI compounds</w:t>
      </w:r>
    </w:p>
    <w:p>
      <w:pPr>
        <w:spacing w:after="60"/>
        <w:jc w:val="center"/>
      </w:pPr>
      <w:r>
        <w:rPr>
          <w:rFonts w:ascii="Arial" w:cs="Arial" w:eastAsia="Arial" w:hAnsi="Arial"/>
          <w:color w:val="666666"/>
          <w:sz w:val="20"/>
          <w:szCs w:val="20"/>
        </w:rPr>
        <w:t xml:space="preserve">Competitive Intelligence • Implementation Playbooks • ROI Calculators • KPI Frameworks</w:t>
      </w:r>
    </w:p>
    <w:p>
      <w:pPr>
        <w:spacing w:after="1200"/>
      </w:pPr>
    </w:p>
    <w:p>
      <w:pPr>
        <w:spacing w:after="60"/>
        <w:jc w:val="center"/>
      </w:pPr>
      <w:r>
        <w:rPr>
          <w:rFonts w:ascii="Arial" w:cs="Arial" w:eastAsia="Arial" w:hAnsi="Arial"/>
          <w:b/>
          <w:bCs/>
          <w:color w:val="CF202F"/>
          <w:sz w:val="20"/>
          <w:szCs w:val="20"/>
        </w:rPr>
        <w:t xml:space="preserve">CONFIDENTIAL — INTERNAL USE ONLY</w:t>
      </w:r>
    </w:p>
    <w:p>
      <w:pPr>
        <w:jc w:val="center"/>
      </w:pPr>
      <w:r>
        <w:rPr>
          <w:rFonts w:ascii="Arial" w:cs="Arial" w:eastAsia="Arial" w:hAnsi="Arial"/>
          <w:color w:val="888888"/>
          <w:sz w:val="20"/>
          <w:szCs w:val="20"/>
        </w:rPr>
        <w:t xml:space="preserve">Prepared for: Corporate &amp; Investment Bank (CIB) Risk  |  February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20" w:line="276"/>
      </w:pPr>
      <w:r>
        <w:rPr>
          <w:rFonts w:ascii="Arial" w:cs="Arial" w:eastAsia="Arial" w:hAnsi="Arial"/>
          <w:sz w:val="22"/>
          <w:szCs w:val="22"/>
        </w:rPr>
        <w:t xml:space="preserve">This playbook presents a comprehensive AI transformation strategy for Wells Fargo’s CIB Risk Management division. It identifies 15 “elephant” initiatives — each designed to deliver $20M+ in annual run-rate benefit — built on three reusable platform foundations so that ROI compounds across use cases rather than requiring separate point-solution investments for each workflow.</w:t>
      </w:r>
    </w:p>
    <w:p>
      <w:pPr>
        <w:spacing w:after="120" w:line="276"/>
      </w:pPr>
      <w:r>
        <w:rPr>
          <w:rFonts w:ascii="Arial" w:cs="Arial" w:eastAsia="Arial" w:hAnsi="Arial"/>
          <w:sz w:val="22"/>
          <w:szCs w:val="22"/>
        </w:rPr>
        <w:t xml:space="preserve">The combined portfolio targets $300M–$900M+ in annual value at full deployment, against a total investment of $86–$135M. These are not speculative projections: benefit ranges are anchored to peer benchmarks (JPMorgan’s $1.5B+ in realized AI value, Goldman’s 50% reduction in pitch deck time, BofA’s 50%+ reduction in IT support calls), WFC-specific operational scale (19 trading desks, 300,000+ risk drivers, thousands of FTEs in risk and operations), and practical ROI formulas calibrated to WFC volumes and fully-loaded costs.</w:t>
      </w:r>
    </w:p>
    <w:p>
      <w:pPr>
        <w:pStyle w:val="Heading2"/>
      </w:pPr>
      <w:r>
        <w:t xml:space="preserve">The Core Strategy</w:t>
      </w:r>
    </w:p>
    <w:p>
      <w:pPr>
        <w:pStyle w:val="ListParagraph"/>
        <w:numPr>
          <w:ilvl w:val="0"/>
          <w:numId w:val="2"/>
        </w:numPr>
        <w:spacing w:after="80" w:line="276"/>
      </w:pPr>
      <w:r>
        <w:rPr>
          <w:rFonts w:ascii="Arial" w:cs="Arial" w:eastAsia="Arial" w:hAnsi="Arial"/>
          <w:b/>
          <w:bCs/>
          <w:sz w:val="22"/>
          <w:szCs w:val="22"/>
        </w:rPr>
        <w:t xml:space="preserve">Platform-first approach: </w:t>
      </w:r>
      <w:r>
        <w:rPr>
          <w:rFonts w:ascii="Arial" w:cs="Arial" w:eastAsia="Arial" w:hAnsi="Arial"/>
          <w:sz w:val="22"/>
          <w:szCs w:val="22"/>
        </w:rPr>
        <w:t xml:space="preserve">Build three reusable platforms (Document/Terms Intelligence, Risk Knowledge Graph &amp; Signals, Governed Workflow Agents) so benefits compound across use cases and marginal cost per new initiative drops over time.</w:t>
      </w:r>
    </w:p>
    <w:p>
      <w:pPr>
        <w:pStyle w:val="ListParagraph"/>
        <w:numPr>
          <w:ilvl w:val="0"/>
          <w:numId w:val="2"/>
        </w:numPr>
        <w:spacing w:after="80" w:line="276"/>
      </w:pPr>
      <w:r>
        <w:rPr>
          <w:rFonts w:ascii="Arial" w:cs="Arial" w:eastAsia="Arial" w:hAnsi="Arial"/>
          <w:b/>
          <w:bCs/>
          <w:sz w:val="22"/>
          <w:szCs w:val="22"/>
        </w:rPr>
        <w:t xml:space="preserve">Elephants, not ants: </w:t>
      </w:r>
      <w:r>
        <w:rPr>
          <w:rFonts w:ascii="Arial" w:cs="Arial" w:eastAsia="Arial" w:hAnsi="Arial"/>
          <w:sz w:val="22"/>
          <w:szCs w:val="22"/>
        </w:rPr>
        <w:t xml:space="preserve">Prioritize document-heavy, high-volume workflows where time is spent drafting, rekeying, reconciling, and assembling evidence packs — these are the highest-density ROI targets in CIB risk.</w:t>
      </w:r>
    </w:p>
    <w:p>
      <w:pPr>
        <w:pStyle w:val="ListParagraph"/>
        <w:numPr>
          <w:ilvl w:val="0"/>
          <w:numId w:val="2"/>
        </w:numPr>
        <w:spacing w:after="80" w:line="276"/>
      </w:pPr>
      <w:r>
        <w:rPr>
          <w:rFonts w:ascii="Arial" w:cs="Arial" w:eastAsia="Arial" w:hAnsi="Arial"/>
          <w:b/>
          <w:bCs/>
          <w:sz w:val="22"/>
          <w:szCs w:val="22"/>
        </w:rPr>
        <w:t xml:space="preserve">Measurable from day 1: </w:t>
      </w:r>
      <w:r>
        <w:rPr>
          <w:rFonts w:ascii="Arial" w:cs="Arial" w:eastAsia="Arial" w:hAnsi="Arial"/>
          <w:sz w:val="22"/>
          <w:szCs w:val="22"/>
        </w:rPr>
        <w:t xml:space="preserve">Instrument ROI at the unit level (hours per package, alerts per investigator, breaks per report) and enforce adoption through workflow integration, not side tools.</w:t>
      </w:r>
    </w:p>
    <w:p>
      <w:pPr>
        <w:pStyle w:val="ListParagraph"/>
        <w:numPr>
          <w:ilvl w:val="0"/>
          <w:numId w:val="2"/>
        </w:numPr>
        <w:spacing w:after="80" w:line="276"/>
      </w:pPr>
      <w:r>
        <w:rPr>
          <w:rFonts w:ascii="Arial" w:cs="Arial" w:eastAsia="Arial" w:hAnsi="Arial"/>
          <w:b/>
          <w:bCs/>
          <w:sz w:val="22"/>
          <w:szCs w:val="22"/>
        </w:rPr>
        <w:t xml:space="preserve">Tiered governance: </w:t>
      </w:r>
      <w:r>
        <w:rPr>
          <w:rFonts w:ascii="Arial" w:cs="Arial" w:eastAsia="Arial" w:hAnsi="Arial"/>
          <w:sz w:val="22"/>
          <w:szCs w:val="22"/>
        </w:rPr>
        <w:t xml:space="preserve">Draft assist first, then decision support, then limited-scope automation with strict human gates, audit trails, and kill switches.</w:t>
      </w:r>
    </w:p>
    <w:p>
      <w:pPr>
        <w:pStyle w:val="Heading2"/>
      </w:pPr>
      <w:r>
        <w:t xml:space="preserve">Master Initiative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
        <w:gridCol w:w="2100"/>
        <w:gridCol w:w="1200"/>
        <w:gridCol w:w="1100"/>
        <w:gridCol w:w="950"/>
        <w:gridCol w:w="900"/>
        <w:gridCol w:w="1100"/>
        <w:gridCol w:w="1660"/>
      </w:tblGrid>
      <w:tr>
        <w:trPr>
          <w:tblHeader/>
        </w:trPr>
        <w:tc>
          <w:tcPr>
            <w:tcW w:type="dxa" w:w="35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210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Initiative</w:t>
            </w:r>
          </w:p>
        </w:tc>
        <w:tc>
          <w:tcPr>
            <w:tcW w:type="dxa" w:w="120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Cluster</w:t>
            </w:r>
          </w:p>
        </w:tc>
        <w:tc>
          <w:tcPr>
            <w:tcW w:type="dxa" w:w="110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Run-Rate ($M)</w:t>
            </w:r>
          </w:p>
        </w:tc>
        <w:tc>
          <w:tcPr>
            <w:tcW w:type="dxa" w:w="95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Investment</w:t>
            </w:r>
          </w:p>
        </w:tc>
        <w:tc>
          <w:tcPr>
            <w:tcW w:type="dxa" w:w="90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Payback</w:t>
            </w:r>
          </w:p>
        </w:tc>
        <w:tc>
          <w:tcPr>
            <w:tcW w:type="dxa" w:w="110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Platforms</w:t>
            </w:r>
          </w:p>
        </w:tc>
        <w:tc>
          <w:tcPr>
            <w:tcW w:type="dxa" w:w="166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Value Lever</w:t>
            </w:r>
          </w:p>
        </w:tc>
      </w:tr>
      <w:tr>
        <w:tc>
          <w:tcPr>
            <w:tcW w:type="dxa" w:w="35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1</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Credit Doc-to-Decision Factory</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Credit Intelligence</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$30–120M</w:t>
            </w:r>
          </w:p>
        </w:tc>
        <w:tc>
          <w:tcPr>
            <w:tcW w:type="dxa" w:w="95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$6–10M</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6–9 mo</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 + C</w:t>
            </w:r>
          </w:p>
        </w:tc>
        <w:tc>
          <w:tcPr>
            <w:tcW w:type="dxa" w:w="16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Labor + cycle time</w:t>
            </w:r>
          </w:p>
        </w:tc>
      </w:tr>
      <w:tr>
        <w:tc>
          <w:tcPr>
            <w:tcW w:type="dxa" w:w="3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2</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Contract &amp; Covenant Intelligence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Credit Intelligence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$20–60M</w:t>
            </w:r>
          </w:p>
        </w:tc>
        <w:tc>
          <w:tcPr>
            <w:tcW w:type="dxa" w:w="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$5–8M</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6–9 mo</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A</w:t>
            </w:r>
          </w:p>
        </w:tc>
        <w:tc>
          <w:tcPr>
            <w:tcW w:type="dxa" w:w="1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Labor + disputes</w:t>
            </w:r>
          </w:p>
        </w:tc>
      </w:tr>
      <w:tr>
        <w:tc>
          <w:tcPr>
            <w:tcW w:type="dxa" w:w="35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3</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Early-Warning Radar &amp; Dynamic Risk Rating</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Portfolio Monitoring</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$20–100M+</w:t>
            </w:r>
          </w:p>
        </w:tc>
        <w:tc>
          <w:tcPr>
            <w:tcW w:type="dxa" w:w="95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$5–8M</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6–12 mo</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B + C</w:t>
            </w:r>
          </w:p>
        </w:tc>
        <w:tc>
          <w:tcPr>
            <w:tcW w:type="dxa" w:w="16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Loss prevention + labor</w:t>
            </w:r>
          </w:p>
        </w:tc>
      </w:tr>
      <w:tr>
        <w:tc>
          <w:tcPr>
            <w:tcW w:type="dxa" w:w="3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4</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AI-Powered VaR &amp; Market Risk Compute Engine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Core Risk Analytics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$25–50M</w:t>
            </w:r>
          </w:p>
        </w:tc>
        <w:tc>
          <w:tcPr>
            <w:tcW w:type="dxa" w:w="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$8–12M</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6–9 mo</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B + C + MRM</w:t>
            </w:r>
          </w:p>
        </w:tc>
        <w:tc>
          <w:tcPr>
            <w:tcW w:type="dxa" w:w="1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Compute + productivity</w:t>
            </w:r>
          </w:p>
        </w:tc>
      </w:tr>
      <w:tr>
        <w:tc>
          <w:tcPr>
            <w:tcW w:type="dxa" w:w="35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5</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Intelligent Stress Testing &amp; CCAR Automation</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Core Risk Analytics</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$30–45M</w:t>
            </w:r>
          </w:p>
        </w:tc>
        <w:tc>
          <w:tcPr>
            <w:tcW w:type="dxa" w:w="95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$10–15M</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8–12 mo</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B + C</w:t>
            </w:r>
          </w:p>
        </w:tc>
        <w:tc>
          <w:tcPr>
            <w:tcW w:type="dxa" w:w="16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Labor + capital optimization</w:t>
            </w:r>
          </w:p>
        </w:tc>
      </w:tr>
      <w:tr>
        <w:tc>
          <w:tcPr>
            <w:tcW w:type="dxa" w:w="3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6</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Counterparty Credit Risk + Collateral/Margin Ops AI</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Counterparty &amp; Collateral</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$20–75M</w:t>
            </w:r>
          </w:p>
        </w:tc>
        <w:tc>
          <w:tcPr>
            <w:tcW w:type="dxa" w:w="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$6–10M</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8–12 mo</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A + B + C</w:t>
            </w:r>
          </w:p>
        </w:tc>
        <w:tc>
          <w:tcPr>
            <w:tcW w:type="dxa" w:w="1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Labor + incidents + disputes</w:t>
            </w:r>
          </w:p>
        </w:tc>
      </w:tr>
      <w:tr>
        <w:tc>
          <w:tcPr>
            <w:tcW w:type="dxa" w:w="35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7</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AI Market Surveillance &amp; Anomaly Detection</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Compliance &amp; Controls</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$20–100M</w:t>
            </w:r>
          </w:p>
        </w:tc>
        <w:tc>
          <w:tcPr>
            <w:tcW w:type="dxa" w:w="95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$6–9M</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6–8 mo</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B + C</w:t>
            </w:r>
          </w:p>
        </w:tc>
        <w:tc>
          <w:tcPr>
            <w:tcW w:type="dxa" w:w="16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Labor + regulatory risk</w:t>
            </w:r>
          </w:p>
        </w:tc>
      </w:tr>
      <w:tr>
        <w:tc>
          <w:tcPr>
            <w:tcW w:type="dxa" w:w="3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8</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Wholesale KYC at Scale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Compliance &amp; Controls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$20–150M</w:t>
            </w:r>
          </w:p>
        </w:tc>
        <w:tc>
          <w:tcPr>
            <w:tcW w:type="dxa" w:w="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$5–9M</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6–9 mo</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A + C</w:t>
            </w:r>
          </w:p>
        </w:tc>
        <w:tc>
          <w:tcPr>
            <w:tcW w:type="dxa" w:w="1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Labor + cycle time</w:t>
            </w:r>
          </w:p>
        </w:tc>
      </w:tr>
      <w:tr>
        <w:tc>
          <w:tcPr>
            <w:tcW w:type="dxa" w:w="35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9</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Autonomous Regulatory Reporting &amp; Reconciliation</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Regulatory</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$20–60M</w:t>
            </w:r>
          </w:p>
        </w:tc>
        <w:tc>
          <w:tcPr>
            <w:tcW w:type="dxa" w:w="95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$7–10M</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6–9 mo</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B + C</w:t>
            </w:r>
          </w:p>
        </w:tc>
        <w:tc>
          <w:tcPr>
            <w:tcW w:type="dxa" w:w="16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Labor + error prevention</w:t>
            </w:r>
          </w:p>
        </w:tc>
      </w:tr>
      <w:tr>
        <w:tc>
          <w:tcPr>
            <w:tcW w:type="dxa" w:w="3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10</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Intelligent Model Risk Management Factory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Model Governance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$20–50M</w:t>
            </w:r>
          </w:p>
        </w:tc>
        <w:tc>
          <w:tcPr>
            <w:tcW w:type="dxa" w:w="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$5–8M</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6–9 mo</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 + MRM</w:t>
            </w:r>
          </w:p>
        </w:tc>
        <w:tc>
          <w:tcPr>
            <w:tcW w:type="dxa" w:w="1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Labor + cycle time</w:t>
            </w:r>
          </w:p>
        </w:tc>
      </w:tr>
      <w:tr>
        <w:tc>
          <w:tcPr>
            <w:tcW w:type="dxa" w:w="35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11</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Predictive Risk Limit &amp; Exposure Management</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Trading Floor Intelligence</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$20–40M</w:t>
            </w:r>
          </w:p>
        </w:tc>
        <w:tc>
          <w:tcPr>
            <w:tcW w:type="dxa" w:w="95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$5–8M</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4–6 mo</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B + C</w:t>
            </w:r>
          </w:p>
        </w:tc>
        <w:tc>
          <w:tcPr>
            <w:tcW w:type="dxa" w:w="16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Tail-risk avoidance + capital</w:t>
            </w:r>
          </w:p>
        </w:tc>
      </w:tr>
      <w:tr>
        <w:tc>
          <w:tcPr>
            <w:tcW w:type="dxa" w:w="3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12</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Operational Risk &amp; Controls Copilot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Operational Risk</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$20–70M</w:t>
            </w:r>
          </w:p>
        </w:tc>
        <w:tc>
          <w:tcPr>
            <w:tcW w:type="dxa" w:w="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$5–8M</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6–9 mo</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A + C</w:t>
            </w:r>
          </w:p>
        </w:tc>
        <w:tc>
          <w:tcPr>
            <w:tcW w:type="dxa" w:w="1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Labor + rework + incidents</w:t>
            </w:r>
          </w:p>
        </w:tc>
      </w:tr>
      <w:tr>
        <w:tc>
          <w:tcPr>
            <w:tcW w:type="dxa" w:w="35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13</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GenAI Risk Analyst Copilot</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Workforce Multiplier</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$15–25M</w:t>
            </w:r>
          </w:p>
        </w:tc>
        <w:tc>
          <w:tcPr>
            <w:tcW w:type="dxa" w:w="95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$4–6M</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3–5 mo</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 + B + C</w:t>
            </w:r>
          </w:p>
        </w:tc>
        <w:tc>
          <w:tcPr>
            <w:tcW w:type="dxa" w:w="16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Productivity 2–3x</w:t>
            </w:r>
          </w:p>
        </w:tc>
      </w:tr>
      <w:tr>
        <w:tc>
          <w:tcPr>
            <w:tcW w:type="dxa" w:w="3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14</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Real-Time Liquidity Risk Intelligence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Treasury &amp; Liquidity</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$10–20M</w:t>
            </w:r>
          </w:p>
        </w:tc>
        <w:tc>
          <w:tcPr>
            <w:tcW w:type="dxa" w:w="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$5–7M</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6–9 mo</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B + C</w:t>
            </w:r>
          </w:p>
        </w:tc>
        <w:tc>
          <w:tcPr>
            <w:tcW w:type="dxa" w:w="1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Buffer optimization + labor</w:t>
            </w:r>
          </w:p>
        </w:tc>
      </w:tr>
      <w:tr>
        <w:tc>
          <w:tcPr>
            <w:tcW w:type="dxa" w:w="35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15</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Climate &amp; ESG Risk Quantification Engine</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Emerging Risk</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$5–10M + regulatory</w:t>
            </w:r>
          </w:p>
        </w:tc>
        <w:tc>
          <w:tcPr>
            <w:tcW w:type="dxa" w:w="95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$4–7M</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12–18 mo</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B + C</w:t>
            </w:r>
          </w:p>
        </w:tc>
        <w:tc>
          <w:tcPr>
            <w:tcW w:type="dxa" w:w="16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Regulatory future-proofing</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F5E9" w:val="clear"/>
            <w:tcMar>
              <w:top w:type="dxa" w:w="100"/>
              <w:left w:type="dxa" w:w="120"/>
              <w:bottom w:type="dxa" w:w="100"/>
              <w:right w:type="dxa" w:w="120"/>
            </w:tcMar>
          </w:tcPr>
          <w:p>
            <w:pPr>
              <w:jc w:val="center"/>
            </w:pPr>
            <w:r>
              <w:rPr>
                <w:rFonts w:ascii="Arial" w:cs="Arial" w:eastAsia="Arial" w:hAnsi="Arial"/>
                <w:b/>
                <w:bCs/>
                <w:sz w:val="20"/>
                <w:szCs w:val="20"/>
              </w:rPr>
              <w:t xml:space="preserve">Total Annual Value (Portfolio)</w:t>
            </w:r>
          </w:p>
          <w:p>
            <w:pPr>
              <w:jc w:val="center"/>
            </w:pPr>
            <w:r>
              <w:rPr>
                <w:rFonts w:ascii="Arial" w:cs="Arial" w:eastAsia="Arial" w:hAnsi="Arial"/>
                <w:b/>
                <w:bCs/>
                <w:color w:val="2E7D32"/>
                <w:sz w:val="26"/>
                <w:szCs w:val="26"/>
              </w:rPr>
              <w:t xml:space="preserve">$300M – $900M+</w:t>
            </w:r>
          </w:p>
        </w:tc>
        <w:tc>
          <w:tcPr>
            <w:tcW w:type="dxa" w:w="3120"/>
            <w:tcBorders>
              <w:top w:val="single" w:color="BBBBBB" w:sz="1"/>
              <w:left w:val="single" w:color="BBBBBB" w:sz="1"/>
              <w:bottom w:val="single" w:color="BBBBBB" w:sz="1"/>
              <w:right w:val="single" w:color="BBBBBB" w:sz="1"/>
            </w:tcBorders>
            <w:shd w:fill="FFF3E0" w:val="clear"/>
            <w:tcMar>
              <w:top w:type="dxa" w:w="100"/>
              <w:left w:type="dxa" w:w="120"/>
              <w:bottom w:type="dxa" w:w="100"/>
              <w:right w:type="dxa" w:w="120"/>
            </w:tcMar>
          </w:tcPr>
          <w:p>
            <w:pPr>
              <w:jc w:val="center"/>
            </w:pPr>
            <w:r>
              <w:rPr>
                <w:rFonts w:ascii="Arial" w:cs="Arial" w:eastAsia="Arial" w:hAnsi="Arial"/>
                <w:b/>
                <w:bCs/>
                <w:sz w:val="20"/>
                <w:szCs w:val="20"/>
              </w:rPr>
              <w:t xml:space="preserve">Total Investment (One-Time)</w:t>
            </w:r>
          </w:p>
          <w:p>
            <w:pPr>
              <w:jc w:val="center"/>
            </w:pPr>
            <w:r>
              <w:rPr>
                <w:rFonts w:ascii="Arial" w:cs="Arial" w:eastAsia="Arial" w:hAnsi="Arial"/>
                <w:b/>
                <w:bCs/>
                <w:color w:val="E65100"/>
                <w:sz w:val="26"/>
                <w:szCs w:val="26"/>
              </w:rPr>
              <w:t xml:space="preserve">$86M – $135M</w:t>
            </w:r>
          </w:p>
        </w:tc>
        <w:tc>
          <w:tcPr>
            <w:tcW w:type="dxa" w:w="3120"/>
            <w:tcBorders>
              <w:top w:val="single" w:color="BBBBBB" w:sz="1"/>
              <w:left w:val="single" w:color="BBBBBB" w:sz="1"/>
              <w:bottom w:val="single" w:color="BBBBBB" w:sz="1"/>
              <w:right w:val="single" w:color="BBBBBB" w:sz="1"/>
            </w:tcBorders>
            <w:shd w:fill="E3F2FD" w:val="clear"/>
            <w:tcMar>
              <w:top w:type="dxa" w:w="100"/>
              <w:left w:type="dxa" w:w="120"/>
              <w:bottom w:type="dxa" w:w="100"/>
              <w:right w:type="dxa" w:w="120"/>
            </w:tcMar>
          </w:tcPr>
          <w:p>
            <w:pPr>
              <w:jc w:val="center"/>
            </w:pPr>
            <w:r>
              <w:rPr>
                <w:rFonts w:ascii="Arial" w:cs="Arial" w:eastAsia="Arial" w:hAnsi="Arial"/>
                <w:b/>
                <w:bCs/>
                <w:sz w:val="20"/>
                <w:szCs w:val="20"/>
              </w:rPr>
              <w:t xml:space="preserve">Blended Payback Period</w:t>
            </w:r>
          </w:p>
          <w:p>
            <w:pPr>
              <w:jc w:val="center"/>
            </w:pPr>
            <w:r>
              <w:rPr>
                <w:rFonts w:ascii="Arial" w:cs="Arial" w:eastAsia="Arial" w:hAnsi="Arial"/>
                <w:b/>
                <w:bCs/>
                <w:color w:val="1565C0"/>
                <w:sz w:val="26"/>
                <w:szCs w:val="26"/>
              </w:rPr>
              <w:t xml:space="preserve">6 – 12 Months</w:t>
            </w:r>
          </w:p>
        </w:tc>
      </w:tr>
    </w:tbl>
    <w:p>
      <w:pPr>
        <w:spacing w:after="200"/>
      </w:pPr>
    </w:p>
    <w:p>
      <w:pPr>
        <w:spacing w:after="120" w:line="276"/>
      </w:pPr>
      <w:r>
        <w:rPr>
          <w:rFonts w:ascii="Arial" w:cs="Arial" w:eastAsia="Arial" w:hAnsi="Arial"/>
          <w:sz w:val="22"/>
          <w:szCs w:val="22"/>
        </w:rPr>
        <w:t xml:space="preserve">Platform legend: A = Document &amp; Terms Intelligence, B = Risk Knowledge Graph &amp; Signals, C = Governed Workflow Agents, MRM = Model Risk Management dependency. Benefit ranges are indicative and must be recalibrated using WFC volumes, FTE counts, and fully-loaded costs. A practical ROI calculator is provided in Appendix A.</w:t>
      </w:r>
    </w:p>
    <w:p>
      <w:r>
        <w:br w:type="page"/>
      </w:r>
    </w:p>
    <w:p>
      <w:pPr>
        <w:pStyle w:val="Heading1"/>
      </w:pPr>
      <w:r>
        <w:t xml:space="preserve">Competitive Intelligence: What Peers Are Doing</w:t>
      </w:r>
    </w:p>
    <w:p>
      <w:pPr>
        <w:spacing w:after="120" w:line="276"/>
      </w:pPr>
      <w:r>
        <w:rPr>
          <w:rFonts w:ascii="Arial" w:cs="Arial" w:eastAsia="Arial" w:hAnsi="Arial"/>
          <w:sz w:val="22"/>
          <w:szCs w:val="22"/>
        </w:rPr>
        <w:t xml:space="preserve">The competitive bar has shifted from AI pilots to AI platforms. Leading banks are scaling by building secure internal AI hubs, industrial document intelligence, and agentic workflow automation with strong governance. The following benchmarks set the capability standard WFC must meet or exceed.</w:t>
      </w:r>
    </w:p>
    <w:p>
      <w:pPr>
        <w:pStyle w:val="Heading2"/>
      </w:pPr>
      <w:r>
        <w:t xml:space="preserve">JPMorgan Chase — The Scale Leader</w:t>
      </w:r>
    </w:p>
    <w:p>
      <w:pPr>
        <w:spacing w:after="120" w:line="276"/>
      </w:pPr>
      <w:r>
        <w:rPr>
          <w:rFonts w:ascii="Arial" w:cs="Arial" w:eastAsia="Arial" w:hAnsi="Arial"/>
          <w:sz w:val="22"/>
          <w:szCs w:val="22"/>
        </w:rPr>
        <w:t xml:space="preserve">JPMorgan is ranked #1 on the Evident AI Index for three consecutive years. Their $18B technology budget for 2025 (with ~$1.3B dedicated to AI) has produced 450+ AI use cases in production and 175+ specifically within CIB, generating an estimated $1.5–$2.0B in annual value.</w:t>
      </w:r>
    </w:p>
    <w:p>
      <w:pPr>
        <w:pStyle w:val="ListParagraph"/>
        <w:numPr>
          <w:ilvl w:val="0"/>
          <w:numId w:val="2"/>
        </w:numPr>
        <w:spacing w:after="80" w:line="276"/>
      </w:pPr>
      <w:r>
        <w:rPr>
          <w:rFonts w:ascii="Arial" w:cs="Arial" w:eastAsia="Arial" w:hAnsi="Arial"/>
          <w:b/>
          <w:bCs/>
          <w:sz w:val="22"/>
          <w:szCs w:val="22"/>
        </w:rPr>
        <w:t xml:space="preserve">COiN (Contract Intelligence): </w:t>
      </w:r>
      <w:r>
        <w:rPr>
          <w:rFonts w:ascii="Arial" w:cs="Arial" w:eastAsia="Arial" w:hAnsi="Arial"/>
          <w:sz w:val="22"/>
          <w:szCs w:val="22"/>
        </w:rPr>
        <w:t xml:space="preserve">Processes 12,000 commercial credit agreements in seconds, replacing ~360,000 hours of manual legal review annually. This is the benchmark for WFC’s Contract &amp; Covenant Intelligence initiative.</w:t>
      </w:r>
    </w:p>
    <w:p>
      <w:pPr>
        <w:pStyle w:val="ListParagraph"/>
        <w:numPr>
          <w:ilvl w:val="0"/>
          <w:numId w:val="2"/>
        </w:numPr>
        <w:spacing w:after="80" w:line="276"/>
      </w:pPr>
      <w:r>
        <w:rPr>
          <w:rFonts w:ascii="Arial" w:cs="Arial" w:eastAsia="Arial" w:hAnsi="Arial"/>
          <w:b/>
          <w:bCs/>
          <w:sz w:val="22"/>
          <w:szCs w:val="22"/>
        </w:rPr>
        <w:t xml:space="preserve">LLM Suite: </w:t>
      </w:r>
      <w:r>
        <w:rPr>
          <w:rFonts w:ascii="Arial" w:cs="Arial" w:eastAsia="Arial" w:hAnsi="Arial"/>
          <w:sz w:val="22"/>
          <w:szCs w:val="22"/>
        </w:rPr>
        <w:t xml:space="preserve">Enterprise GenAI platform deployed to 50,000+ employees (15% of workforce) for document summarization, data extraction, and workflow acceleration across all CIB functions.</w:t>
      </w:r>
    </w:p>
    <w:p>
      <w:pPr>
        <w:pStyle w:val="ListParagraph"/>
        <w:numPr>
          <w:ilvl w:val="0"/>
          <w:numId w:val="2"/>
        </w:numPr>
        <w:spacing w:after="80" w:line="276"/>
      </w:pPr>
      <w:r>
        <w:rPr>
          <w:rFonts w:ascii="Arial" w:cs="Arial" w:eastAsia="Arial" w:hAnsi="Arial"/>
          <w:b/>
          <w:bCs/>
          <w:sz w:val="22"/>
          <w:szCs w:val="22"/>
        </w:rPr>
        <w:t xml:space="preserve">Real-time Trade Surveillance: </w:t>
      </w:r>
      <w:r>
        <w:rPr>
          <w:rFonts w:ascii="Arial" w:cs="Arial" w:eastAsia="Arial" w:hAnsi="Arial"/>
          <w:sz w:val="22"/>
          <w:szCs w:val="22"/>
        </w:rPr>
        <w:t xml:space="preserve">Anomaly detection and graph ML monitoring market flows, client behavior, and trade signals. Reduced investigation time by 40% and improved discovery of hidden risk chains.</w:t>
      </w:r>
    </w:p>
    <w:p>
      <w:pPr>
        <w:pStyle w:val="ListParagraph"/>
        <w:numPr>
          <w:ilvl w:val="0"/>
          <w:numId w:val="2"/>
        </w:numPr>
        <w:spacing w:after="80" w:line="276"/>
      </w:pPr>
      <w:r>
        <w:rPr>
          <w:rFonts w:ascii="Arial" w:cs="Arial" w:eastAsia="Arial" w:hAnsi="Arial"/>
          <w:b/>
          <w:bCs/>
          <w:sz w:val="22"/>
          <w:szCs w:val="22"/>
        </w:rPr>
        <w:t xml:space="preserve">Data Modernization: </w:t>
      </w:r>
      <w:r>
        <w:rPr>
          <w:rFonts w:ascii="Arial" w:cs="Arial" w:eastAsia="Arial" w:hAnsi="Arial"/>
          <w:sz w:val="22"/>
          <w:szCs w:val="22"/>
        </w:rPr>
        <w:t xml:space="preserve">Multi-year initiative processing an exabyte of data daily. 65% of applications now on cloud (up from 50% in 2024). Goal: “pull humans out of the cycle for fixing data.”</w:t>
      </w:r>
    </w:p>
    <w:p>
      <w:pPr>
        <w:pStyle w:val="ListParagraph"/>
        <w:numPr>
          <w:ilvl w:val="0"/>
          <w:numId w:val="2"/>
        </w:numPr>
        <w:spacing w:after="80" w:line="276"/>
      </w:pPr>
      <w:r>
        <w:rPr>
          <w:rFonts w:ascii="Arial" w:cs="Arial" w:eastAsia="Arial" w:hAnsi="Arial"/>
          <w:b/>
          <w:bCs/>
          <w:sz w:val="22"/>
          <w:szCs w:val="22"/>
        </w:rPr>
        <w:t xml:space="preserve">Engineering Productivity: </w:t>
      </w:r>
      <w:r>
        <w:rPr>
          <w:rFonts w:ascii="Arial" w:cs="Arial" w:eastAsia="Arial" w:hAnsi="Arial"/>
          <w:sz w:val="22"/>
          <w:szCs w:val="22"/>
        </w:rPr>
        <w:t xml:space="preserve">Coding assistant delivering 10–20% engineer efficiency gains; productivity is quantified and reinvested.</w:t>
      </w:r>
    </w:p>
    <w:p>
      <w:pPr>
        <w:pStyle w:val="Heading2"/>
      </w:pPr>
      <w:r>
        <w:t xml:space="preserve">Goldman Sachs — The Precision Player</w:t>
      </w:r>
    </w:p>
    <w:p>
      <w:pPr>
        <w:spacing w:after="120" w:line="276"/>
      </w:pPr>
      <w:r>
        <w:rPr>
          <w:rFonts w:ascii="Arial" w:cs="Arial" w:eastAsia="Arial" w:hAnsi="Arial"/>
          <w:sz w:val="22"/>
          <w:szCs w:val="22"/>
        </w:rPr>
        <w:t xml:space="preserve">Goldman’s strategy focuses on high-margin, specialized applications in markets and investment banking. Their model-agnostic architecture (GPT, Gemini, Claude) deployed to ~46,500 employees represents the “bespoke workshop” approach versus JPMorgan’s “AI factory.”</w:t>
      </w:r>
    </w:p>
    <w:p>
      <w:pPr>
        <w:pStyle w:val="ListParagraph"/>
        <w:numPr>
          <w:ilvl w:val="0"/>
          <w:numId w:val="2"/>
        </w:numPr>
        <w:spacing w:after="80" w:line="276"/>
      </w:pPr>
      <w:r>
        <w:rPr>
          <w:rFonts w:ascii="Arial" w:cs="Arial" w:eastAsia="Arial" w:hAnsi="Arial"/>
          <w:b/>
          <w:bCs/>
          <w:sz w:val="22"/>
          <w:szCs w:val="22"/>
        </w:rPr>
        <w:t xml:space="preserve">Banker Copilot: </w:t>
      </w:r>
      <w:r>
        <w:rPr>
          <w:rFonts w:ascii="Arial" w:cs="Arial" w:eastAsia="Arial" w:hAnsi="Arial"/>
          <w:sz w:val="22"/>
          <w:szCs w:val="22"/>
        </w:rPr>
        <w:t xml:space="preserve">Reduced pitch deck preparation time by 50%, reclaiming thousands of analyst hours across IB division.</w:t>
      </w:r>
    </w:p>
    <w:p>
      <w:pPr>
        <w:pStyle w:val="ListParagraph"/>
        <w:numPr>
          <w:ilvl w:val="0"/>
          <w:numId w:val="2"/>
        </w:numPr>
        <w:spacing w:after="80" w:line="276"/>
      </w:pPr>
      <w:r>
        <w:rPr>
          <w:rFonts w:ascii="Arial" w:cs="Arial" w:eastAsia="Arial" w:hAnsi="Arial"/>
          <w:b/>
          <w:bCs/>
          <w:sz w:val="22"/>
          <w:szCs w:val="22"/>
        </w:rPr>
        <w:t xml:space="preserve">Talent &amp; Data Strategy: </w:t>
      </w:r>
      <w:r>
        <w:rPr>
          <w:rFonts w:ascii="Arial" w:cs="Arial" w:eastAsia="Arial" w:hAnsi="Arial"/>
          <w:sz w:val="22"/>
          <w:szCs w:val="22"/>
        </w:rPr>
        <w:t xml:space="preserve">Hired 500+ AI engineers in 2024 alone. Actively exploring data monetization strategies — a May 2025 Financial Times article by GS executives laid out a vision for commercial markets for AI training data.</w:t>
      </w:r>
    </w:p>
    <w:p>
      <w:pPr>
        <w:pStyle w:val="ListParagraph"/>
        <w:numPr>
          <w:ilvl w:val="0"/>
          <w:numId w:val="2"/>
        </w:numPr>
        <w:spacing w:after="80" w:line="276"/>
      </w:pPr>
      <w:r>
        <w:rPr>
          <w:rFonts w:ascii="Arial" w:cs="Arial" w:eastAsia="Arial" w:hAnsi="Arial"/>
          <w:b/>
          <w:bCs/>
          <w:sz w:val="22"/>
          <w:szCs w:val="22"/>
        </w:rPr>
        <w:t xml:space="preserve">Risk &amp; Compliance AI: </w:t>
      </w:r>
      <w:r>
        <w:rPr>
          <w:rFonts w:ascii="Arial" w:cs="Arial" w:eastAsia="Arial" w:hAnsi="Arial"/>
          <w:sz w:val="22"/>
          <w:szCs w:val="22"/>
        </w:rPr>
        <w:t xml:space="preserve">Targeting compliance, research analysis, and client service with GenAI once accuracy and compliance thresholds are met.</w:t>
      </w:r>
    </w:p>
    <w:p>
      <w:pPr>
        <w:pStyle w:val="Heading2"/>
      </w:pPr>
      <w:r>
        <w:t xml:space="preserve">Other Key Competitors</w:t>
      </w:r>
    </w:p>
    <w:p>
      <w:pPr>
        <w:pStyle w:val="ListParagraph"/>
        <w:numPr>
          <w:ilvl w:val="0"/>
          <w:numId w:val="2"/>
        </w:numPr>
        <w:spacing w:after="80" w:line="276"/>
      </w:pPr>
      <w:r>
        <w:rPr>
          <w:rFonts w:ascii="Arial" w:cs="Arial" w:eastAsia="Arial" w:hAnsi="Arial"/>
          <w:b/>
          <w:bCs/>
          <w:sz w:val="22"/>
          <w:szCs w:val="22"/>
        </w:rPr>
        <w:t xml:space="preserve">Bank of America: </w:t>
      </w:r>
      <w:r>
        <w:rPr>
          <w:rFonts w:ascii="Arial" w:cs="Arial" w:eastAsia="Arial" w:hAnsi="Arial"/>
          <w:sz w:val="22"/>
          <w:szCs w:val="22"/>
        </w:rPr>
        <w:t xml:space="preserve">$4B invested in AI for 2025. “Erica for Employees” used by 90%+ of staff, cutting IT support calls by more than half. Blueprint for enterprise-wide adoption.</w:t>
      </w:r>
    </w:p>
    <w:p>
      <w:pPr>
        <w:pStyle w:val="ListParagraph"/>
        <w:numPr>
          <w:ilvl w:val="0"/>
          <w:numId w:val="2"/>
        </w:numPr>
        <w:spacing w:after="80" w:line="276"/>
      </w:pPr>
      <w:r>
        <w:rPr>
          <w:rFonts w:ascii="Arial" w:cs="Arial" w:eastAsia="Arial" w:hAnsi="Arial"/>
          <w:b/>
          <w:bCs/>
          <w:sz w:val="22"/>
          <w:szCs w:val="22"/>
        </w:rPr>
        <w:t xml:space="preserve">Morgan Stanley: </w:t>
      </w:r>
      <w:r>
        <w:rPr>
          <w:rFonts w:ascii="Arial" w:cs="Arial" w:eastAsia="Arial" w:hAnsi="Arial"/>
          <w:sz w:val="22"/>
          <w:szCs w:val="22"/>
        </w:rPr>
        <w:t xml:space="preserve">AI@MS Assistant (GPT-4) serves 16,000+ financial advisors with access to 100,000+ internal research documents. Demonstrates RAG-based knowledge system at scale.</w:t>
      </w:r>
    </w:p>
    <w:p>
      <w:pPr>
        <w:pStyle w:val="ListParagraph"/>
        <w:numPr>
          <w:ilvl w:val="0"/>
          <w:numId w:val="2"/>
        </w:numPr>
        <w:spacing w:after="80" w:line="276"/>
      </w:pPr>
      <w:r>
        <w:rPr>
          <w:rFonts w:ascii="Arial" w:cs="Arial" w:eastAsia="Arial" w:hAnsi="Arial"/>
          <w:b/>
          <w:bCs/>
          <w:sz w:val="22"/>
          <w:szCs w:val="22"/>
        </w:rPr>
        <w:t xml:space="preserve">Citigroup: </w:t>
      </w:r>
      <w:r>
        <w:rPr>
          <w:rFonts w:ascii="Arial" w:cs="Arial" w:eastAsia="Arial" w:hAnsi="Arial"/>
          <w:sz w:val="22"/>
          <w:szCs w:val="22"/>
        </w:rPr>
        <w:t xml:space="preserve">Internal tools (Citi Assist, Citi Stylus) rolled out across multiple countries for policy and document work.</w:t>
      </w:r>
    </w:p>
    <w:p>
      <w:pPr>
        <w:pStyle w:val="ListParagraph"/>
        <w:numPr>
          <w:ilvl w:val="0"/>
          <w:numId w:val="2"/>
        </w:numPr>
        <w:spacing w:after="80" w:line="276"/>
      </w:pPr>
      <w:r>
        <w:rPr>
          <w:rFonts w:ascii="Arial" w:cs="Arial" w:eastAsia="Arial" w:hAnsi="Arial"/>
          <w:b/>
          <w:bCs/>
          <w:sz w:val="22"/>
          <w:szCs w:val="22"/>
        </w:rPr>
        <w:t xml:space="preserve">BNY: </w:t>
      </w:r>
      <w:r>
        <w:rPr>
          <w:rFonts w:ascii="Arial" w:cs="Arial" w:eastAsia="Arial" w:hAnsi="Arial"/>
          <w:sz w:val="22"/>
          <w:szCs w:val="22"/>
        </w:rPr>
        <w:t xml:space="preserve">“Eliza” enterprise AI platform providing a marketplace of AI solutions and access to approved datasets under governance.</w:t>
      </w:r>
    </w:p>
    <w:p>
      <w:pPr>
        <w:pStyle w:val="ListParagraph"/>
        <w:numPr>
          <w:ilvl w:val="0"/>
          <w:numId w:val="2"/>
        </w:numPr>
        <w:spacing w:after="80" w:line="276"/>
      </w:pPr>
      <w:r>
        <w:rPr>
          <w:rFonts w:ascii="Arial" w:cs="Arial" w:eastAsia="Arial" w:hAnsi="Arial"/>
          <w:b/>
          <w:bCs/>
          <w:sz w:val="22"/>
          <w:szCs w:val="22"/>
        </w:rPr>
        <w:t xml:space="preserve">Standard Chartered: </w:t>
      </w:r>
      <w:r>
        <w:rPr>
          <w:rFonts w:ascii="Arial" w:cs="Arial" w:eastAsia="Arial" w:hAnsi="Arial"/>
          <w:sz w:val="22"/>
          <w:szCs w:val="22"/>
        </w:rPr>
        <w:t xml:space="preserve">SC GPT launched across 41 markets to enhance productivity.</w:t>
      </w:r>
    </w:p>
    <w:p>
      <w:pPr>
        <w:pStyle w:val="ListParagraph"/>
        <w:numPr>
          <w:ilvl w:val="0"/>
          <w:numId w:val="2"/>
        </w:numPr>
        <w:spacing w:after="80" w:line="276"/>
      </w:pPr>
      <w:r>
        <w:rPr>
          <w:rFonts w:ascii="Arial" w:cs="Arial" w:eastAsia="Arial" w:hAnsi="Arial"/>
          <w:b/>
          <w:bCs/>
          <w:sz w:val="22"/>
          <w:szCs w:val="22"/>
        </w:rPr>
        <w:t xml:space="preserve">HSBC: </w:t>
      </w:r>
      <w:r>
        <w:rPr>
          <w:rFonts w:ascii="Arial" w:cs="Arial" w:eastAsia="Arial" w:hAnsi="Arial"/>
          <w:sz w:val="22"/>
          <w:szCs w:val="22"/>
        </w:rPr>
        <w:t xml:space="preserve">Partnership with Mistral to self-host models for risk assessment and document workflows.</w:t>
      </w:r>
    </w:p>
    <w:p>
      <w:pPr>
        <w:pStyle w:val="Heading2"/>
      </w:pPr>
      <w:r>
        <w:t xml:space="preserve">AI-Native Competitors</w:t>
      </w:r>
    </w:p>
    <w:p>
      <w:pPr>
        <w:spacing w:after="120" w:line="276"/>
      </w:pPr>
      <w:r>
        <w:rPr>
          <w:rFonts w:ascii="Arial" w:cs="Arial" w:eastAsia="Arial" w:hAnsi="Arial"/>
          <w:sz w:val="22"/>
          <w:szCs w:val="22"/>
        </w:rPr>
        <w:t xml:space="preserve">The most existential competitive threat comes from AI-native trading firms: Citadel, XTX Markets, and Jump Trading have built operations entirely around computational capabilities. The global AI trading platform market is projected to reach $69.95B by 2034. These firms demonstrate what is possible when AI is the foundation, not an overlay.</w:t>
      </w:r>
    </w:p>
    <w:p>
      <w:pPr>
        <w:pStyle w:val="Heading2"/>
      </w:pPr>
      <w:r>
        <w:t xml:space="preserve">Implications for WFC CIB Risk</w:t>
      </w:r>
    </w:p>
    <w:p>
      <w:pPr>
        <w:spacing w:after="120" w:line="276"/>
      </w:pPr>
      <w:r>
        <w:rPr>
          <w:rFonts w:ascii="Arial" w:cs="Arial" w:eastAsia="Arial" w:hAnsi="Arial"/>
          <w:sz w:val="22"/>
          <w:szCs w:val="22"/>
        </w:rPr>
        <w:t xml:space="preserve">Wells Fargo’s current AI posture — the Fargo™ virtual assistant, the Google Cloud Agentspace partnership, the responsible AI framework with Stanford HAI, and the recently formed GenAI team under Tracy Kerrins — provides a solid foundation. However, CIB risk-specific AI applications lag tier-1 peers significantly. JPMorgan’s 175+ CIB-specific AI use cases versus WFC’s comparatively nascent CIB AI footprint represents an accelerating competitive gap. WFC can differentiate by: (1) building reusable data products (terms + evidence-linked facts), (2) integrating AI into risk workflows so it writes back into systems of record, and (3) instrumenting outputs so productivity gains are provable and repeatable.</w:t>
      </w:r>
    </w:p>
    <w:p>
      <w:r>
        <w:br w:type="page"/>
      </w:r>
    </w:p>
    <w:p>
      <w:pPr>
        <w:pStyle w:val="Heading1"/>
      </w:pPr>
      <w:r>
        <w:t xml:space="preserve">Strategy: Build 3 Reusable Platforms So ROI Compounds</w:t>
      </w:r>
    </w:p>
    <w:p>
      <w:pPr>
        <w:spacing w:after="120" w:line="276"/>
      </w:pPr>
      <w:r>
        <w:rPr>
          <w:rFonts w:ascii="Arial" w:cs="Arial" w:eastAsia="Arial" w:hAnsi="Arial"/>
          <w:sz w:val="22"/>
          <w:szCs w:val="22"/>
        </w:rPr>
        <w:t xml:space="preserve">Instead of building separate point solutions, the highest-ROI path is to build three governed platforms that reuse ingestion, knowledge, evaluation, controls, and integration patterns across all 15 elephant initiatives. This is the architectural insight that separates $100M in value from $500M+: every new use case becomes cheaper and faster to deploy because it reuses the platform spine.</w:t>
      </w:r>
    </w:p>
    <w:p>
      <w:pPr>
        <w:pStyle w:val="Heading2"/>
      </w:pPr>
      <w:r>
        <w:t xml:space="preserve">Platform A — Risk Document &amp; Terms Intelligence</w:t>
      </w:r>
    </w:p>
    <w:p>
      <w:pPr>
        <w:pStyle w:val="ListParagraph"/>
        <w:numPr>
          <w:ilvl w:val="0"/>
          <w:numId w:val="2"/>
        </w:numPr>
        <w:spacing w:after="80" w:line="276"/>
      </w:pPr>
      <w:r>
        <w:rPr>
          <w:rFonts w:ascii="Arial" w:cs="Arial" w:eastAsia="Arial" w:hAnsi="Arial"/>
          <w:sz w:val="22"/>
          <w:szCs w:val="22"/>
        </w:rPr>
        <w:t xml:space="preserve">Secure ingestion (PDF, Excel, images, email artifacts), OCR, classification, and de-duplication.</w:t>
      </w:r>
    </w:p>
    <w:p>
      <w:pPr>
        <w:pStyle w:val="ListParagraph"/>
        <w:numPr>
          <w:ilvl w:val="0"/>
          <w:numId w:val="2"/>
        </w:numPr>
        <w:spacing w:after="80" w:line="276"/>
      </w:pPr>
      <w:r>
        <w:rPr>
          <w:rFonts w:ascii="Arial" w:cs="Arial" w:eastAsia="Arial" w:hAnsi="Arial"/>
          <w:sz w:val="22"/>
          <w:szCs w:val="22"/>
        </w:rPr>
        <w:t xml:space="preserve">Evidence-linked extraction for loan terms, covenants, collateral schedules, KYC artifacts, ISDA/CSA terms, and operational evidence packs.</w:t>
      </w:r>
    </w:p>
    <w:p>
      <w:pPr>
        <w:pStyle w:val="ListParagraph"/>
        <w:numPr>
          <w:ilvl w:val="0"/>
          <w:numId w:val="2"/>
        </w:numPr>
        <w:spacing w:after="80" w:line="276"/>
      </w:pPr>
      <w:r>
        <w:rPr>
          <w:rFonts w:ascii="Arial" w:cs="Arial" w:eastAsia="Arial" w:hAnsi="Arial"/>
          <w:sz w:val="22"/>
          <w:szCs w:val="22"/>
        </w:rPr>
        <w:t xml:space="preserve">Standard schemas for terms and facts, with confidence scoring, citation pointers, and human review workflows.</w:t>
      </w:r>
    </w:p>
    <w:p>
      <w:pPr>
        <w:pStyle w:val="ListParagraph"/>
        <w:numPr>
          <w:ilvl w:val="0"/>
          <w:numId w:val="2"/>
        </w:numPr>
        <w:spacing w:after="80" w:line="276"/>
      </w:pPr>
      <w:r>
        <w:rPr>
          <w:rFonts w:ascii="Arial" w:cs="Arial" w:eastAsia="Arial" w:hAnsi="Arial"/>
          <w:sz w:val="22"/>
          <w:szCs w:val="22"/>
        </w:rPr>
        <w:t xml:space="preserve">Consumed by: Initiatives 1, 2, 6, 8, 12, 13.</w:t>
      </w:r>
    </w:p>
    <w:p>
      <w:pPr>
        <w:spacing w:after="120" w:line="276"/>
      </w:pPr>
      <w:r>
        <w:rPr>
          <w:rFonts w:ascii="Arial" w:cs="Arial" w:eastAsia="Arial" w:hAnsi="Arial"/>
          <w:sz w:val="22"/>
          <w:szCs w:val="22"/>
        </w:rPr>
        <w:t xml:space="preserve">Investment: $8–12M | Team: 10–18 FTE (product owner, credit/legal SMEs, data eng, NLP/ML, MLOps, security)</w:t>
      </w:r>
    </w:p>
    <w:p>
      <w:pPr>
        <w:pStyle w:val="Heading2"/>
      </w:pPr>
      <w:r>
        <w:t xml:space="preserve">Platform B — Risk Knowledge Graph &amp; Signals</w:t>
      </w:r>
    </w:p>
    <w:p>
      <w:pPr>
        <w:pStyle w:val="ListParagraph"/>
        <w:numPr>
          <w:ilvl w:val="0"/>
          <w:numId w:val="2"/>
        </w:numPr>
        <w:spacing w:after="80" w:line="276"/>
      </w:pPr>
      <w:r>
        <w:rPr>
          <w:rFonts w:ascii="Arial" w:cs="Arial" w:eastAsia="Arial" w:hAnsi="Arial"/>
          <w:sz w:val="22"/>
          <w:szCs w:val="22"/>
        </w:rPr>
        <w:t xml:space="preserve">Entity resolution for obligors, parents/subsidiaries, guarantors, and counterparties; maintains hierarchies and identifiers across all 19 desks.</w:t>
      </w:r>
    </w:p>
    <w:p>
      <w:pPr>
        <w:pStyle w:val="ListParagraph"/>
        <w:numPr>
          <w:ilvl w:val="0"/>
          <w:numId w:val="2"/>
        </w:numPr>
        <w:spacing w:after="80" w:line="276"/>
      </w:pPr>
      <w:r>
        <w:rPr>
          <w:rFonts w:ascii="Arial" w:cs="Arial" w:eastAsia="Arial" w:hAnsi="Arial"/>
          <w:sz w:val="22"/>
          <w:szCs w:val="22"/>
        </w:rPr>
        <w:t xml:space="preserve">Exposure graph linking facilities, collateral, covenants, disputes, issues, and events into a single queryable timeline.</w:t>
      </w:r>
    </w:p>
    <w:p>
      <w:pPr>
        <w:pStyle w:val="ListParagraph"/>
        <w:numPr>
          <w:ilvl w:val="0"/>
          <w:numId w:val="2"/>
        </w:numPr>
        <w:spacing w:after="80" w:line="276"/>
      </w:pPr>
      <w:r>
        <w:rPr>
          <w:rFonts w:ascii="Arial" w:cs="Arial" w:eastAsia="Arial" w:hAnsi="Arial"/>
          <w:sz w:val="22"/>
          <w:szCs w:val="22"/>
        </w:rPr>
        <w:t xml:space="preserve">Signal layer (internal + permitted external sources) powering early warning, surveillance triage, data-break root cause analysis, and cross-desk correlation detection.</w:t>
      </w:r>
    </w:p>
    <w:p>
      <w:pPr>
        <w:pStyle w:val="ListParagraph"/>
        <w:numPr>
          <w:ilvl w:val="0"/>
          <w:numId w:val="2"/>
        </w:numPr>
        <w:spacing w:after="80" w:line="276"/>
      </w:pPr>
      <w:r>
        <w:rPr>
          <w:rFonts w:ascii="Arial" w:cs="Arial" w:eastAsia="Arial" w:hAnsi="Arial"/>
          <w:sz w:val="22"/>
          <w:szCs w:val="22"/>
        </w:rPr>
        <w:t xml:space="preserve">Real-time streaming layer (Kafka/Flink) enabling sub-second data availability for all downstream AI applications.</w:t>
      </w:r>
    </w:p>
    <w:p>
      <w:pPr>
        <w:pStyle w:val="ListParagraph"/>
        <w:numPr>
          <w:ilvl w:val="0"/>
          <w:numId w:val="2"/>
        </w:numPr>
        <w:spacing w:after="80" w:line="276"/>
      </w:pPr>
      <w:r>
        <w:rPr>
          <w:rFonts w:ascii="Arial" w:cs="Arial" w:eastAsia="Arial" w:hAnsi="Arial"/>
          <w:sz w:val="22"/>
          <w:szCs w:val="22"/>
        </w:rPr>
        <w:t xml:space="preserve">Consumed by: Initiatives 3, 4, 5, 6, 7, 9, 11, 13, 14, 15.</w:t>
      </w:r>
    </w:p>
    <w:p>
      <w:pPr>
        <w:spacing w:after="120" w:line="276"/>
      </w:pPr>
      <w:r>
        <w:rPr>
          <w:rFonts w:ascii="Arial" w:cs="Arial" w:eastAsia="Arial" w:hAnsi="Arial"/>
          <w:sz w:val="22"/>
          <w:szCs w:val="22"/>
        </w:rPr>
        <w:t xml:space="preserve">Investment: $10–15M | Team: 8–14 FTE (product owner, entity master SME, data eng, ML, data governance)</w:t>
      </w:r>
    </w:p>
    <w:p>
      <w:pPr>
        <w:pStyle w:val="Heading2"/>
      </w:pPr>
      <w:r>
        <w:t xml:space="preserve">Platform C — Governed AI Workflow Agents</w:t>
      </w:r>
    </w:p>
    <w:p>
      <w:pPr>
        <w:pStyle w:val="ListParagraph"/>
        <w:numPr>
          <w:ilvl w:val="0"/>
          <w:numId w:val="2"/>
        </w:numPr>
        <w:spacing w:after="80" w:line="276"/>
      </w:pPr>
      <w:r>
        <w:rPr>
          <w:rFonts w:ascii="Arial" w:cs="Arial" w:eastAsia="Arial" w:hAnsi="Arial"/>
          <w:sz w:val="22"/>
          <w:szCs w:val="22"/>
        </w:rPr>
        <w:t xml:space="preserve">Role-based assistants and agents embedded in existing tooling (credit workflow, case management, collateral systems, GRC, reporting).</w:t>
      </w:r>
    </w:p>
    <w:p>
      <w:pPr>
        <w:pStyle w:val="ListParagraph"/>
        <w:numPr>
          <w:ilvl w:val="0"/>
          <w:numId w:val="2"/>
        </w:numPr>
        <w:spacing w:after="80" w:line="276"/>
      </w:pPr>
      <w:r>
        <w:rPr>
          <w:rFonts w:ascii="Arial" w:cs="Arial" w:eastAsia="Arial" w:hAnsi="Arial"/>
          <w:sz w:val="22"/>
          <w:szCs w:val="22"/>
        </w:rPr>
        <w:t xml:space="preserve">Human gates, audit trails, and evaluation harnesses (regression tests, prompt/test sets, drift monitoring).</w:t>
      </w:r>
    </w:p>
    <w:p>
      <w:pPr>
        <w:pStyle w:val="ListParagraph"/>
        <w:numPr>
          <w:ilvl w:val="0"/>
          <w:numId w:val="2"/>
        </w:numPr>
        <w:spacing w:after="80" w:line="276"/>
      </w:pPr>
      <w:r>
        <w:rPr>
          <w:rFonts w:ascii="Arial" w:cs="Arial" w:eastAsia="Arial" w:hAnsi="Arial"/>
          <w:sz w:val="22"/>
          <w:szCs w:val="22"/>
        </w:rPr>
        <w:t xml:space="preserve">Tooling for structured outputs (schemas), policy checks, and automated completeness/consistency validation.</w:t>
      </w:r>
    </w:p>
    <w:p>
      <w:pPr>
        <w:pStyle w:val="ListParagraph"/>
        <w:numPr>
          <w:ilvl w:val="0"/>
          <w:numId w:val="2"/>
        </w:numPr>
        <w:spacing w:after="80" w:line="276"/>
      </w:pPr>
      <w:r>
        <w:rPr>
          <w:rFonts w:ascii="Arial" w:cs="Arial" w:eastAsia="Arial" w:hAnsi="Arial"/>
          <w:sz w:val="22"/>
          <w:szCs w:val="22"/>
        </w:rPr>
        <w:t xml:space="preserve">Write-back into systems-of-record is mandatory — no side tools.</w:t>
      </w:r>
    </w:p>
    <w:p>
      <w:pPr>
        <w:pStyle w:val="ListParagraph"/>
        <w:numPr>
          <w:ilvl w:val="0"/>
          <w:numId w:val="2"/>
        </w:numPr>
        <w:spacing w:after="80" w:line="276"/>
      </w:pPr>
      <w:r>
        <w:rPr>
          <w:rFonts w:ascii="Arial" w:cs="Arial" w:eastAsia="Arial" w:hAnsi="Arial"/>
          <w:sz w:val="22"/>
          <w:szCs w:val="22"/>
        </w:rPr>
        <w:t xml:space="preserve">Consumed by: All 15 initiatives.</w:t>
      </w:r>
    </w:p>
    <w:p>
      <w:pPr>
        <w:spacing w:after="120" w:line="276"/>
      </w:pPr>
      <w:r>
        <w:rPr>
          <w:rFonts w:ascii="Arial" w:cs="Arial" w:eastAsia="Arial" w:hAnsi="Arial"/>
          <w:sz w:val="22"/>
          <w:szCs w:val="22"/>
        </w:rPr>
        <w:t xml:space="preserve">Investment: $7–11M | Team: 8–14 FTE (product owner, app eng, integration eng, MLOps, controls)</w:t>
      </w:r>
    </w:p>
    <w:p>
      <w:pPr>
        <w:pStyle w:val="Heading3"/>
      </w:pPr>
      <w:r>
        <w:t xml:space="preserve">Reference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Layer</w:t>
            </w:r>
          </w:p>
        </w:tc>
        <w:tc>
          <w:tcPr>
            <w:tcW w:type="dxa" w:w="358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Capabilities</w:t>
            </w:r>
          </w:p>
        </w:tc>
        <w:tc>
          <w:tcPr>
            <w:tcW w:type="dxa" w:w="358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Model Layer</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Approved LLMs + task-specific models (extract/classify/predict)</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Multi-model routing; isolate sensitive workloads</w:t>
            </w:r>
          </w:p>
        </w:tc>
      </w:tr>
      <w:tr>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Retrieval &amp; Grounding</w:t>
            </w:r>
          </w:p>
        </w:tc>
        <w:tc>
          <w:tcPr>
            <w:tcW w:type="dxa" w:w="35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Vector retrieval + citation store + allow-lists</w:t>
            </w:r>
          </w:p>
        </w:tc>
        <w:tc>
          <w:tcPr>
            <w:tcW w:type="dxa" w:w="35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Evidence must be durable and auditable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Workflow/Agent Layer</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Orchestration, tool calling, write-back, approvals</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Embed in system-of-record, no side tools</w:t>
            </w:r>
          </w:p>
        </w:tc>
      </w:tr>
      <w:tr>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Controls</w:t>
            </w:r>
          </w:p>
        </w:tc>
        <w:tc>
          <w:tcPr>
            <w:tcW w:type="dxa" w:w="35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DLP, access control, monitoring, red teaming</w:t>
            </w:r>
          </w:p>
        </w:tc>
        <w:tc>
          <w:tcPr>
            <w:tcW w:type="dxa" w:w="35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Tiered controls by use case risk</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Measurement</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Telemetry, time saved, quality metrics, ROI dashboard</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Baseline first; measure continuously</w:t>
            </w:r>
          </w:p>
        </w:tc>
      </w:tr>
    </w:tbl>
    <w:p>
      <w:pPr>
        <w:spacing w:after="200"/>
      </w:pPr>
    </w:p>
    <w:p>
      <w:pPr>
        <w:pStyle w:val="Heading3"/>
      </w:pPr>
      <w:r>
        <w:t xml:space="preserve">Design Principles (Non-Negotiables)</w:t>
      </w:r>
    </w:p>
    <w:p>
      <w:pPr>
        <w:pStyle w:val="ListParagraph"/>
        <w:numPr>
          <w:ilvl w:val="0"/>
          <w:numId w:val="2"/>
        </w:numPr>
        <w:spacing w:after="80" w:line="276"/>
      </w:pPr>
      <w:r>
        <w:rPr>
          <w:rFonts w:ascii="Arial" w:cs="Arial" w:eastAsia="Arial" w:hAnsi="Arial"/>
          <w:b/>
          <w:bCs/>
          <w:sz w:val="22"/>
          <w:szCs w:val="22"/>
        </w:rPr>
        <w:t xml:space="preserve">Workflow integration: </w:t>
      </w:r>
      <w:r>
        <w:rPr>
          <w:rFonts w:ascii="Arial" w:cs="Arial" w:eastAsia="Arial" w:hAnsi="Arial"/>
          <w:sz w:val="22"/>
          <w:szCs w:val="22"/>
        </w:rPr>
        <w:t xml:space="preserve">The system must create/update the official record, not just generate text.</w:t>
      </w:r>
    </w:p>
    <w:p>
      <w:pPr>
        <w:pStyle w:val="ListParagraph"/>
        <w:numPr>
          <w:ilvl w:val="0"/>
          <w:numId w:val="2"/>
        </w:numPr>
        <w:spacing w:after="80" w:line="276"/>
      </w:pPr>
      <w:r>
        <w:rPr>
          <w:rFonts w:ascii="Arial" w:cs="Arial" w:eastAsia="Arial" w:hAnsi="Arial"/>
          <w:b/>
          <w:bCs/>
          <w:sz w:val="22"/>
          <w:szCs w:val="22"/>
        </w:rPr>
        <w:t xml:space="preserve">Evidence and traceability: </w:t>
      </w:r>
      <w:r>
        <w:rPr>
          <w:rFonts w:ascii="Arial" w:cs="Arial" w:eastAsia="Arial" w:hAnsi="Arial"/>
          <w:sz w:val="22"/>
          <w:szCs w:val="22"/>
        </w:rPr>
        <w:t xml:space="preserve">Every non-trivial statement must cite a source or be flagged as needing evidence.</w:t>
      </w:r>
    </w:p>
    <w:p>
      <w:pPr>
        <w:pStyle w:val="ListParagraph"/>
        <w:numPr>
          <w:ilvl w:val="0"/>
          <w:numId w:val="2"/>
        </w:numPr>
        <w:spacing w:after="80" w:line="276"/>
      </w:pPr>
      <w:r>
        <w:rPr>
          <w:rFonts w:ascii="Arial" w:cs="Arial" w:eastAsia="Arial" w:hAnsi="Arial"/>
          <w:b/>
          <w:bCs/>
          <w:sz w:val="22"/>
          <w:szCs w:val="22"/>
        </w:rPr>
        <w:t xml:space="preserve">Tiered risk controls: </w:t>
      </w:r>
      <w:r>
        <w:rPr>
          <w:rFonts w:ascii="Arial" w:cs="Arial" w:eastAsia="Arial" w:hAnsi="Arial"/>
          <w:sz w:val="22"/>
          <w:szCs w:val="22"/>
        </w:rPr>
        <w:t xml:space="preserve">Draft assist → decision support → limited automation, each with escalating validation and approvals.</w:t>
      </w:r>
    </w:p>
    <w:p>
      <w:pPr>
        <w:pStyle w:val="ListParagraph"/>
        <w:numPr>
          <w:ilvl w:val="0"/>
          <w:numId w:val="2"/>
        </w:numPr>
        <w:spacing w:after="80" w:line="276"/>
      </w:pPr>
      <w:r>
        <w:rPr>
          <w:rFonts w:ascii="Arial" w:cs="Arial" w:eastAsia="Arial" w:hAnsi="Arial"/>
          <w:b/>
          <w:bCs/>
          <w:sz w:val="22"/>
          <w:szCs w:val="22"/>
        </w:rPr>
        <w:t xml:space="preserve">Measurement: </w:t>
      </w:r>
      <w:r>
        <w:rPr>
          <w:rFonts w:ascii="Arial" w:cs="Arial" w:eastAsia="Arial" w:hAnsi="Arial"/>
          <w:sz w:val="22"/>
          <w:szCs w:val="22"/>
        </w:rPr>
        <w:t xml:space="preserve">Every use case must have baseline and post-deployment unit metrics tied to dollars.</w:t>
      </w:r>
    </w:p>
    <w:p>
      <w:r>
        <w:br w:type="page"/>
      </w:r>
    </w:p>
    <w:p>
      <w:pPr>
        <w:pStyle w:val="Heading1"/>
      </w:pPr>
      <w:r>
        <w:t xml:space="preserve">The 15 Elephant Initiatives: Detailed Playbooks</w:t>
      </w:r>
    </w:p>
    <w:p>
      <w:pPr>
        <w:pStyle w:val="Heading2"/>
      </w:pPr>
      <w:r>
        <w:t xml:space="preserve">Elephant 1: Credit Doc-to-Decision Factory</w:t>
      </w:r>
    </w:p>
    <w:p>
      <w:pPr>
        <w:pStyle w:val="Heading3"/>
      </w:pPr>
      <w:r>
        <w:t xml:space="preserve">Why This Is an Elephant</w:t>
      </w:r>
    </w:p>
    <w:p>
      <w:pPr>
        <w:spacing w:after="120" w:line="276"/>
      </w:pPr>
      <w:r>
        <w:rPr>
          <w:rFonts w:ascii="Arial" w:cs="Arial" w:eastAsia="Arial" w:hAnsi="Arial"/>
          <w:sz w:val="22"/>
          <w:szCs w:val="22"/>
        </w:rPr>
        <w:t xml:space="preserve">Credit production is high-volume and document-heavy. Analysts and risk officers spend enormous time spreading financials, drafting narratives, reconciling details, and assembling exhibits. When AI is embedded directly into the credit workflow, time savings convert to sustainable run-rate cost reduction and faster decisioning. At WFC’s scale of thousands of credit packages annually, even 25–35% time reduction across 500–1,500 impacted staff justifies $30M+ in annual benefit.</w:t>
      </w:r>
    </w:p>
    <w:p>
      <w:pPr>
        <w:pStyle w:val="Heading3"/>
      </w:pPr>
      <w:r>
        <w:t xml:space="preserve">Target Workflows</w:t>
      </w:r>
    </w:p>
    <w:p>
      <w:pPr>
        <w:pStyle w:val="ListParagraph"/>
        <w:numPr>
          <w:ilvl w:val="0"/>
          <w:numId w:val="2"/>
        </w:numPr>
        <w:spacing w:after="80" w:line="276"/>
      </w:pPr>
      <w:r>
        <w:rPr>
          <w:rFonts w:ascii="Arial" w:cs="Arial" w:eastAsia="Arial" w:hAnsi="Arial"/>
          <w:sz w:val="22"/>
          <w:szCs w:val="22"/>
        </w:rPr>
        <w:t xml:space="preserve">New deal underwriting packages, annual/periodic reviews, renewals, amendments.</w:t>
      </w:r>
    </w:p>
    <w:p>
      <w:pPr>
        <w:pStyle w:val="ListParagraph"/>
        <w:numPr>
          <w:ilvl w:val="0"/>
          <w:numId w:val="2"/>
        </w:numPr>
        <w:spacing w:after="80" w:line="276"/>
      </w:pPr>
      <w:r>
        <w:rPr>
          <w:rFonts w:ascii="Arial" w:cs="Arial" w:eastAsia="Arial" w:hAnsi="Arial"/>
          <w:sz w:val="22"/>
          <w:szCs w:val="22"/>
        </w:rPr>
        <w:t xml:space="preserve">Financial spreading and adjustments; ratio calculations; variance commentary.</w:t>
      </w:r>
    </w:p>
    <w:p>
      <w:pPr>
        <w:pStyle w:val="ListParagraph"/>
        <w:numPr>
          <w:ilvl w:val="0"/>
          <w:numId w:val="2"/>
        </w:numPr>
        <w:spacing w:after="80" w:line="276"/>
      </w:pPr>
      <w:r>
        <w:rPr>
          <w:rFonts w:ascii="Arial" w:cs="Arial" w:eastAsia="Arial" w:hAnsi="Arial"/>
          <w:sz w:val="22"/>
          <w:szCs w:val="22"/>
        </w:rPr>
        <w:t xml:space="preserve">First-draft credit memo sections (business profile, key risks, mitigants, structure summary) with citations.</w:t>
      </w:r>
    </w:p>
    <w:p>
      <w:pPr>
        <w:pStyle w:val="ListParagraph"/>
        <w:numPr>
          <w:ilvl w:val="0"/>
          <w:numId w:val="2"/>
        </w:numPr>
        <w:spacing w:after="80" w:line="276"/>
      </w:pPr>
      <w:r>
        <w:rPr>
          <w:rFonts w:ascii="Arial" w:cs="Arial" w:eastAsia="Arial" w:hAnsi="Arial"/>
          <w:sz w:val="22"/>
          <w:szCs w:val="22"/>
        </w:rPr>
        <w:t xml:space="preserve">Approval package assembly: required exhibits, completeness checks, and committee-ready output.</w:t>
      </w:r>
    </w:p>
    <w:p>
      <w:pPr>
        <w:pStyle w:val="Heading3"/>
      </w:pPr>
      <w:r>
        <w:t xml:space="preserve">Solution Design</w:t>
      </w:r>
    </w:p>
    <w:p>
      <w:pPr>
        <w:spacing w:after="120" w:line="276"/>
      </w:pPr>
      <w:r>
        <w:rPr>
          <w:rFonts w:ascii="Arial" w:cs="Arial" w:eastAsia="Arial" w:hAnsi="Arial"/>
          <w:sz w:val="22"/>
          <w:szCs w:val="22"/>
        </w:rPr>
        <w:t xml:space="preserve">Document ingestion + extraction pipeline for statements, decks, borrower submissions, and prior memos (Platform A). Structured output schema for credit memo sections enforcing templates and policy-aligned language. Cross-document consistency checks (exposure totals, maturities, collateral, covenant thresholds). Workflow integration: write back to the official credit package system; capture reviewer approvals and version history (Platform C).</w:t>
      </w:r>
    </w:p>
    <w:p>
      <w:pPr>
        <w:pStyle w:val="Heading3"/>
      </w:pPr>
      <w:r>
        <w:t xml:space="preserve">Delivery Plan</w:t>
      </w:r>
    </w:p>
    <w:p>
      <w:pPr>
        <w:spacing w:after="120" w:line="276"/>
      </w:pPr>
      <w:r>
        <w:rPr>
          <w:rFonts w:ascii="Arial" w:cs="Arial" w:eastAsia="Arial" w:hAnsi="Arial"/>
          <w:b/>
          <w:bCs/>
          <w:sz w:val="22"/>
          <w:szCs w:val="22"/>
        </w:rPr>
        <w:t xml:space="preserve">0–90 days (MVP): </w:t>
      </w:r>
      <w:r>
        <w:rPr>
          <w:rFonts w:ascii="Arial" w:cs="Arial" w:eastAsia="Arial" w:hAnsi="Arial"/>
          <w:sz w:val="22"/>
          <w:szCs w:val="22"/>
        </w:rPr>
        <w:t xml:space="preserve">Select 1–2 products/segments with high volume. Build ingestion + spread extraction for top line items and ratios. Generate first-draft memo sections with citations and reviewer workflow.</w:t>
      </w:r>
    </w:p>
    <w:p>
      <w:pPr>
        <w:spacing w:after="120" w:line="276"/>
      </w:pPr>
      <w:r>
        <w:rPr>
          <w:rFonts w:ascii="Arial" w:cs="Arial" w:eastAsia="Arial" w:hAnsi="Arial"/>
          <w:b/>
          <w:bCs/>
          <w:sz w:val="22"/>
          <w:szCs w:val="22"/>
        </w:rPr>
        <w:t xml:space="preserve">90–180 days (Scale): </w:t>
      </w:r>
      <w:r>
        <w:rPr>
          <w:rFonts w:ascii="Arial" w:cs="Arial" w:eastAsia="Arial" w:hAnsi="Arial"/>
          <w:sz w:val="22"/>
          <w:szCs w:val="22"/>
        </w:rPr>
        <w:t xml:space="preserve">Expand to renewals/annual reviews. Add completeness checks and automated exhibit assembly. Implement cross-document reconciliation and exception flags.</w:t>
      </w:r>
    </w:p>
    <w:p>
      <w:pPr>
        <w:spacing w:after="120" w:line="276"/>
      </w:pPr>
      <w:r>
        <w:rPr>
          <w:rFonts w:ascii="Arial" w:cs="Arial" w:eastAsia="Arial" w:hAnsi="Arial"/>
          <w:b/>
          <w:bCs/>
          <w:sz w:val="22"/>
          <w:szCs w:val="22"/>
        </w:rPr>
        <w:t xml:space="preserve">6–12 months (Industrialize): </w:t>
      </w:r>
      <w:r>
        <w:rPr>
          <w:rFonts w:ascii="Arial" w:cs="Arial" w:eastAsia="Arial" w:hAnsi="Arial"/>
          <w:sz w:val="22"/>
          <w:szCs w:val="22"/>
        </w:rPr>
        <w:t xml:space="preserve">Add agentic assembly (collect exhibits, pre-fill approvals, route for sign-off). Extend to more products and geographies. Establish BAU support and quarterly KPI/ROI reporting.</w:t>
      </w:r>
    </w:p>
    <w:p>
      <w:pPr>
        <w:pStyle w:val="Heading3"/>
      </w:pPr>
      <w:r>
        <w:t xml:space="preserve">ROI Formula</w:t>
      </w:r>
    </w:p>
    <w:p>
      <w:pPr>
        <w:spacing w:after="120" w:line="276"/>
      </w:pPr>
      <w:r>
        <w:rPr>
          <w:rFonts w:ascii="Arial" w:cs="Arial" w:eastAsia="Arial" w:hAnsi="Arial"/>
          <w:sz w:val="22"/>
          <w:szCs w:val="22"/>
        </w:rPr>
        <w:t xml:space="preserve">Annual benefit ≈ (FTE impacted) × (avg fully loaded cost/FTE) × (% time saved). Example: 800 FTE × $220K × 25% = $44M. Add quality benefits (fewer rework loops, fewer errors) and optional revenue uplift from faster turnaround.</w:t>
      </w:r>
    </w:p>
    <w:p>
      <w:pPr>
        <w:pStyle w:val="Heading3"/>
      </w:pPr>
      <w:r>
        <w:t xml:space="preserve">KPIs to Instrument</w:t>
      </w:r>
    </w:p>
    <w:p>
      <w:pPr>
        <w:pStyle w:val="ListParagraph"/>
        <w:numPr>
          <w:ilvl w:val="0"/>
          <w:numId w:val="2"/>
        </w:numPr>
        <w:spacing w:after="80" w:line="276"/>
      </w:pPr>
      <w:r>
        <w:rPr>
          <w:rFonts w:ascii="Arial" w:cs="Arial" w:eastAsia="Arial" w:hAnsi="Arial"/>
          <w:sz w:val="22"/>
          <w:szCs w:val="22"/>
        </w:rPr>
        <w:t xml:space="preserve">Hours per credit package (baseline vs post) by product/segment.</w:t>
      </w:r>
    </w:p>
    <w:p>
      <w:pPr>
        <w:pStyle w:val="ListParagraph"/>
        <w:numPr>
          <w:ilvl w:val="0"/>
          <w:numId w:val="2"/>
        </w:numPr>
        <w:spacing w:after="80" w:line="276"/>
      </w:pPr>
      <w:r>
        <w:rPr>
          <w:rFonts w:ascii="Arial" w:cs="Arial" w:eastAsia="Arial" w:hAnsi="Arial"/>
          <w:sz w:val="22"/>
          <w:szCs w:val="22"/>
        </w:rPr>
        <w:t xml:space="preserve">Cycle time to approval; number of returns/rework loops.</w:t>
      </w:r>
    </w:p>
    <w:p>
      <w:pPr>
        <w:pStyle w:val="ListParagraph"/>
        <w:numPr>
          <w:ilvl w:val="0"/>
          <w:numId w:val="2"/>
        </w:numPr>
        <w:spacing w:after="80" w:line="276"/>
      </w:pPr>
      <w:r>
        <w:rPr>
          <w:rFonts w:ascii="Arial" w:cs="Arial" w:eastAsia="Arial" w:hAnsi="Arial"/>
          <w:sz w:val="22"/>
          <w:szCs w:val="22"/>
        </w:rPr>
        <w:t xml:space="preserve">Spread error rate and exception rate (missing/incorrect exhibits).</w:t>
      </w:r>
    </w:p>
    <w:p>
      <w:pPr>
        <w:pStyle w:val="ListParagraph"/>
        <w:numPr>
          <w:ilvl w:val="0"/>
          <w:numId w:val="2"/>
        </w:numPr>
        <w:spacing w:after="80" w:line="276"/>
      </w:pPr>
      <w:r>
        <w:rPr>
          <w:rFonts w:ascii="Arial" w:cs="Arial" w:eastAsia="Arial" w:hAnsi="Arial"/>
          <w:sz w:val="22"/>
          <w:szCs w:val="22"/>
        </w:rPr>
        <w:t xml:space="preserve">Draft acceptance rate (% of AI draft retained after review). Adoption: weekly active users.</w:t>
      </w:r>
    </w:p>
    <w:p>
      <w:pPr>
        <w:pStyle w:val="Heading3"/>
      </w:pPr>
      <w:r>
        <w:t xml:space="preserve">Synergies</w:t>
      </w:r>
    </w:p>
    <w:p>
      <w:pPr>
        <w:spacing w:after="120" w:line="276"/>
      </w:pPr>
      <w:r>
        <w:rPr>
          <w:rFonts w:ascii="Arial" w:cs="Arial" w:eastAsia="Arial" w:hAnsi="Arial"/>
          <w:sz w:val="22"/>
          <w:szCs w:val="22"/>
        </w:rPr>
        <w:t xml:space="preserve">Consumes covenant and term data from Elephant 2. Feeds Early-Warning Radar (Elephant 3) with structured facts and covenants. Shared ingestion framework becomes backbone for KYC (Elephant 8) and audit packs (Elephant 12).</w:t>
      </w:r>
    </w:p>
    <w:p>
      <w:r>
        <w:br w:type="page"/>
      </w:r>
    </w:p>
    <w:p>
      <w:pPr>
        <w:pStyle w:val="Heading2"/>
      </w:pPr>
      <w:r>
        <w:t xml:space="preserve">Elephant 2: Contract &amp; Covenant Intelligence</w:t>
      </w:r>
    </w:p>
    <w:p>
      <w:pPr>
        <w:pStyle w:val="Heading3"/>
      </w:pPr>
      <w:r>
        <w:t xml:space="preserve">Why This Is an Elephant</w:t>
      </w:r>
    </w:p>
    <w:p>
      <w:pPr>
        <w:spacing w:after="120" w:line="276"/>
      </w:pPr>
      <w:r>
        <w:rPr>
          <w:rFonts w:ascii="Arial" w:cs="Arial" w:eastAsia="Arial" w:hAnsi="Arial"/>
          <w:sz w:val="22"/>
          <w:szCs w:val="22"/>
        </w:rPr>
        <w:t xml:space="preserve">Contract review and term extraction drive large recurring effort across risk, legal, and operations. Normalized terms reduce rework, downstream disputes, and enable automation in monitoring and collateral workflows. Peer precedent: JPMorgan’s COiN saved ~360,000 hours/year in commercial-loan agreement interpretation.</w:t>
      </w:r>
    </w:p>
    <w:p>
      <w:pPr>
        <w:pStyle w:val="Heading3"/>
      </w:pPr>
      <w:r>
        <w:t xml:space="preserve">Target Workflows &amp; Solution Design</w:t>
      </w:r>
    </w:p>
    <w:p>
      <w:pPr>
        <w:spacing w:after="120" w:line="276"/>
      </w:pPr>
      <w:r>
        <w:rPr>
          <w:rFonts w:ascii="Arial" w:cs="Arial" w:eastAsia="Arial" w:hAnsi="Arial"/>
          <w:sz w:val="22"/>
          <w:szCs w:val="22"/>
        </w:rPr>
        <w:t xml:space="preserve">Loan agreements: covenants, reporting requirements, collateral, guarantors, events of default, baskets, thresholds. ISDA/CSA: netting sets, thresholds, eligible collateral, haircuts, dispute mechanics. Document classification and clause segmentation; field extraction with confidence scoring (Platform A). Canonical term taxonomy and schema; rules engine turning extracted terms into operational checks (covenant test schedule, collateral eligibility). Human validation UI for low-confidence fields and sampling-based QA.</w:t>
      </w:r>
    </w:p>
    <w:p>
      <w:pPr>
        <w:pStyle w:val="Heading3"/>
      </w:pPr>
      <w:r>
        <w:t xml:space="preserve">Delivery &amp; ROI</w:t>
      </w:r>
    </w:p>
    <w:p>
      <w:pPr>
        <w:spacing w:after="120" w:line="276"/>
      </w:pPr>
      <w:r>
        <w:rPr>
          <w:rFonts w:ascii="Arial" w:cs="Arial" w:eastAsia="Arial" w:hAnsi="Arial"/>
          <w:b/>
          <w:bCs/>
          <w:sz w:val="22"/>
          <w:szCs w:val="22"/>
        </w:rPr>
        <w:t xml:space="preserve">0–90 days: </w:t>
      </w:r>
      <w:r>
        <w:rPr>
          <w:rFonts w:ascii="Arial" w:cs="Arial" w:eastAsia="Arial" w:hAnsi="Arial"/>
          <w:sz w:val="22"/>
          <w:szCs w:val="22"/>
        </w:rPr>
        <w:t xml:space="preserve">Choose one document family (bilateral loans) and extract 30–50 high-value fields. Create reviewer workflow and gold-set evaluation.</w:t>
      </w:r>
    </w:p>
    <w:p>
      <w:pPr>
        <w:spacing w:after="120" w:line="276"/>
      </w:pPr>
      <w:r>
        <w:rPr>
          <w:rFonts w:ascii="Arial" w:cs="Arial" w:eastAsia="Arial" w:hAnsi="Arial"/>
          <w:b/>
          <w:bCs/>
          <w:sz w:val="22"/>
          <w:szCs w:val="22"/>
        </w:rPr>
        <w:t xml:space="preserve">90–180 days: </w:t>
      </w:r>
      <w:r>
        <w:rPr>
          <w:rFonts w:ascii="Arial" w:cs="Arial" w:eastAsia="Arial" w:hAnsi="Arial"/>
          <w:sz w:val="22"/>
          <w:szCs w:val="22"/>
        </w:rPr>
        <w:t xml:space="preserve">Expand to amendments and more products; add CSA/ISDA extraction for top counterparties; integrate collateral rules engine.</w:t>
      </w:r>
    </w:p>
    <w:p>
      <w:pPr>
        <w:spacing w:after="120" w:line="276"/>
      </w:pPr>
      <w:r>
        <w:rPr>
          <w:rFonts w:ascii="Arial" w:cs="Arial" w:eastAsia="Arial" w:hAnsi="Arial"/>
          <w:b/>
          <w:bCs/>
          <w:sz w:val="22"/>
          <w:szCs w:val="22"/>
        </w:rPr>
        <w:t xml:space="preserve">6–12 months: </w:t>
      </w:r>
      <w:r>
        <w:rPr>
          <w:rFonts w:ascii="Arial" w:cs="Arial" w:eastAsia="Arial" w:hAnsi="Arial"/>
          <w:sz w:val="22"/>
          <w:szCs w:val="22"/>
        </w:rPr>
        <w:t xml:space="preserve">Feed normalized terms into covenant testing calculators and margin ops workflows. Continuous monitoring and sampling QA.</w:t>
      </w:r>
    </w:p>
    <w:p>
      <w:pPr>
        <w:spacing w:after="120" w:line="276"/>
      </w:pPr>
      <w:r>
        <w:rPr>
          <w:rFonts w:ascii="Arial" w:cs="Arial" w:eastAsia="Arial" w:hAnsi="Arial"/>
          <w:sz w:val="22"/>
          <w:szCs w:val="22"/>
        </w:rPr>
        <w:t xml:space="preserve">ROI: Annual benefit ≈ (documents/year × minutes saved/document × labor cost per minute) + (reduction in disputes × cost per dispute). Run-rate: $20–60M.</w:t>
      </w:r>
    </w:p>
    <w:p>
      <w:r>
        <w:br w:type="page"/>
      </w:r>
    </w:p>
    <w:p>
      <w:pPr>
        <w:pStyle w:val="Heading2"/>
      </w:pPr>
      <w:r>
        <w:t xml:space="preserve">Elephant 3: Early-Warning Radar &amp; Dynamic Risk Rating</w:t>
      </w:r>
    </w:p>
    <w:p>
      <w:pPr>
        <w:pStyle w:val="Heading3"/>
      </w:pPr>
      <w:r>
        <w:t xml:space="preserve">Why This Is an Elephant</w:t>
      </w:r>
    </w:p>
    <w:p>
      <w:pPr>
        <w:spacing w:after="120" w:line="276"/>
      </w:pPr>
      <w:r>
        <w:rPr>
          <w:rFonts w:ascii="Arial" w:cs="Arial" w:eastAsia="Arial" w:hAnsi="Arial"/>
          <w:sz w:val="22"/>
          <w:szCs w:val="22"/>
        </w:rPr>
        <w:t xml:space="preserve">Portfolio monitoring has two elephant levers: (1) loss reduction through earlier action, and (2) reduced manual scanning effort. Even 1 basis point of loss reduction on a $500B wholesale portfolio = $50M in value. The system continuously monitors obligors and exposures to surface explainable deterioration signals, prioritized cases, and evidence-linked briefings.</w:t>
      </w:r>
    </w:p>
    <w:p>
      <w:pPr>
        <w:pStyle w:val="Heading3"/>
      </w:pPr>
      <w:r>
        <w:t xml:space="preserve">Solution Design</w:t>
      </w:r>
    </w:p>
    <w:p>
      <w:pPr>
        <w:spacing w:after="120" w:line="276"/>
      </w:pPr>
      <w:r>
        <w:rPr>
          <w:rFonts w:ascii="Arial" w:cs="Arial" w:eastAsia="Arial" w:hAnsi="Arial"/>
          <w:sz w:val="22"/>
          <w:szCs w:val="22"/>
        </w:rPr>
        <w:t xml:space="preserve">Risk knowledge graph connecting obligors, exposures, covenants, collateral, events (Platform B). Signal models for watchlist/downgrade prediction trained on historical outcomes. LLM-generated case briefs grounded in evidence with template-driven recommendations (Platform C). Integration with case management: create/route cases and capture outcomes for continuous learning.</w:t>
      </w:r>
    </w:p>
    <w:p>
      <w:pPr>
        <w:pStyle w:val="Heading3"/>
      </w:pPr>
      <w:r>
        <w:t xml:space="preserve">Delivery &amp; ROI</w:t>
      </w:r>
    </w:p>
    <w:p>
      <w:pPr>
        <w:spacing w:after="120" w:line="276"/>
      </w:pPr>
      <w:r>
        <w:rPr>
          <w:rFonts w:ascii="Arial" w:cs="Arial" w:eastAsia="Arial" w:hAnsi="Arial"/>
          <w:b/>
          <w:bCs/>
          <w:sz w:val="22"/>
          <w:szCs w:val="22"/>
        </w:rPr>
        <w:t xml:space="preserve">0–90 days: </w:t>
      </w:r>
      <w:r>
        <w:rPr>
          <w:rFonts w:ascii="Arial" w:cs="Arial" w:eastAsia="Arial" w:hAnsi="Arial"/>
          <w:sz w:val="22"/>
          <w:szCs w:val="22"/>
        </w:rPr>
        <w:t xml:space="preserve">Build entity resolution and minimal exposure graph for pilot portfolio. Deploy rules + ML hybrid for top deterioration signals.</w:t>
      </w:r>
    </w:p>
    <w:p>
      <w:pPr>
        <w:spacing w:after="120" w:line="276"/>
      </w:pPr>
      <w:r>
        <w:rPr>
          <w:rFonts w:ascii="Arial" w:cs="Arial" w:eastAsia="Arial" w:hAnsi="Arial"/>
          <w:b/>
          <w:bCs/>
          <w:sz w:val="22"/>
          <w:szCs w:val="22"/>
        </w:rPr>
        <w:t xml:space="preserve">90–180 days: </w:t>
      </w:r>
      <w:r>
        <w:rPr>
          <w:rFonts w:ascii="Arial" w:cs="Arial" w:eastAsia="Arial" w:hAnsi="Arial"/>
          <w:sz w:val="22"/>
          <w:szCs w:val="22"/>
        </w:rPr>
        <w:t xml:space="preserve">Expand signals; integrate covenants from Elephant 2 and credit facts from Elephant 1. Add dynamic risk rating support.</w:t>
      </w:r>
    </w:p>
    <w:p>
      <w:pPr>
        <w:spacing w:after="120" w:line="276"/>
      </w:pPr>
      <w:r>
        <w:rPr>
          <w:rFonts w:ascii="Arial" w:cs="Arial" w:eastAsia="Arial" w:hAnsi="Arial"/>
          <w:b/>
          <w:bCs/>
          <w:sz w:val="22"/>
          <w:szCs w:val="22"/>
        </w:rPr>
        <w:t xml:space="preserve">6–12 months: </w:t>
      </w:r>
      <w:r>
        <w:rPr>
          <w:rFonts w:ascii="Arial" w:cs="Arial" w:eastAsia="Arial" w:hAnsi="Arial"/>
          <w:sz w:val="22"/>
          <w:szCs w:val="22"/>
        </w:rPr>
        <w:t xml:space="preserve">Portfolio-wide rollout with drift monitoring and quarterly recalibration. Tie signals to playbooks.</w:t>
      </w:r>
    </w:p>
    <w:p>
      <w:pPr>
        <w:spacing w:after="120" w:line="276"/>
      </w:pPr>
      <w:r>
        <w:rPr>
          <w:rFonts w:ascii="Arial" w:cs="Arial" w:eastAsia="Arial" w:hAnsi="Arial"/>
          <w:sz w:val="22"/>
          <w:szCs w:val="22"/>
        </w:rPr>
        <w:t xml:space="preserve">ROI: Loss reduction ≈ (portfolio EAD × bps loss reduction) + (monitoring FTE × cost × % time saved). Run-rate: $20–100M+.</w:t>
      </w:r>
    </w:p>
    <w:p>
      <w:r>
        <w:br w:type="page"/>
      </w:r>
    </w:p>
    <w:p>
      <w:pPr>
        <w:pStyle w:val="Heading2"/>
      </w:pPr>
      <w:r>
        <w:t xml:space="preserve">Elephant 4: AI-Powered VaR &amp; Market Risk Compute Engine</w:t>
      </w:r>
    </w:p>
    <w:p>
      <w:pPr>
        <w:pStyle w:val="Heading3"/>
      </w:pPr>
      <w:r>
        <w:t xml:space="preserve">Why This Is an Elephant</w:t>
      </w:r>
    </w:p>
    <w:p>
      <w:pPr>
        <w:spacing w:after="120" w:line="276"/>
      </w:pPr>
      <w:r>
        <w:rPr>
          <w:rFonts w:ascii="Arial" w:cs="Arial" w:eastAsia="Arial" w:hAnsi="Arial"/>
          <w:sz w:val="22"/>
          <w:szCs w:val="22"/>
        </w:rPr>
        <w:t xml:space="preserve">The current VaR calculation infrastructure across CIB’s 19 trading desks relies on overnight Monte Carlo batch processing with 300,000+ risk drivers. This creates a 6–8 hour computational bottleneck, prevents intraday risk visibility, and requires extensive manual intervention. Legacy grid computing costs are substantial. This initiative combines validated ML surrogates with GPU-accelerated computation to deliver real-time risk analytics.</w:t>
      </w:r>
    </w:p>
    <w:p>
      <w:pPr>
        <w:pStyle w:val="Heading3"/>
      </w:pPr>
      <w:r>
        <w:t xml:space="preserve">Technical Architecture</w:t>
      </w:r>
    </w:p>
    <w:p>
      <w:pPr>
        <w:spacing w:after="120" w:line="276"/>
      </w:pPr>
      <w:r>
        <w:rPr>
          <w:rFonts w:ascii="Arial" w:cs="Arial" w:eastAsia="Arial" w:hAnsi="Arial"/>
          <w:sz w:val="22"/>
          <w:szCs w:val="22"/>
        </w:rPr>
        <w:t xml:space="preserve">Replace traditional full-revaluation Monte Carlo with a hybrid architecture: GPU-accelerated gradient-boosted trees for primary VaR estimation (trained on historical full-reval results), complemented by neural network-based scenario generators. Hierarchical risk driver compression reduces 300,000+ drivers to ~2,000 representative factors via PCA and autoencoders, enabling real-time computation while preserving tail-risk sensitivity. Automated backtesting module continuously validates performance against realized P&amp;L. Runtime orchestration: surrogate vs full calc selection rules; caching and reuse with defined validity domains.</w:t>
      </w:r>
    </w:p>
    <w:p>
      <w:pPr>
        <w:pStyle w:val="Heading3"/>
      </w:pPr>
      <w:r>
        <w:t xml:space="preserve">Delivery Plan</w:t>
      </w:r>
    </w:p>
    <w:p>
      <w:pPr>
        <w:spacing w:after="120" w:line="276"/>
      </w:pPr>
      <w:r>
        <w:rPr>
          <w:rFonts w:ascii="Arial" w:cs="Arial" w:eastAsia="Arial" w:hAnsi="Arial"/>
          <w:b/>
          <w:bCs/>
          <w:sz w:val="22"/>
          <w:szCs w:val="22"/>
        </w:rPr>
        <w:t xml:space="preserve">0–90 days: </w:t>
      </w:r>
      <w:r>
        <w:rPr>
          <w:rFonts w:ascii="Arial" w:cs="Arial" w:eastAsia="Arial" w:hAnsi="Arial"/>
          <w:sz w:val="22"/>
          <w:szCs w:val="22"/>
        </w:rPr>
        <w:t xml:space="preserve">Pick 1 bounded use case (what-if sensitivities) on 2–3 liquid desks (rates, FX). Train surrogate, validate error distribution.</w:t>
      </w:r>
    </w:p>
    <w:p>
      <w:pPr>
        <w:spacing w:after="120" w:line="276"/>
      </w:pPr>
      <w:r>
        <w:rPr>
          <w:rFonts w:ascii="Arial" w:cs="Arial" w:eastAsia="Arial" w:hAnsi="Arial"/>
          <w:b/>
          <w:bCs/>
          <w:sz w:val="22"/>
          <w:szCs w:val="22"/>
        </w:rPr>
        <w:t xml:space="preserve">90–180 days: </w:t>
      </w:r>
      <w:r>
        <w:rPr>
          <w:rFonts w:ascii="Arial" w:cs="Arial" w:eastAsia="Arial" w:hAnsi="Arial"/>
          <w:sz w:val="22"/>
          <w:szCs w:val="22"/>
        </w:rPr>
        <w:t xml:space="preserve">Introduce caching and orchestration. Expand to all linear desks. Build real-time streaming pipeline.</w:t>
      </w:r>
    </w:p>
    <w:p>
      <w:pPr>
        <w:spacing w:after="120" w:line="276"/>
      </w:pPr>
      <w:r>
        <w:rPr>
          <w:rFonts w:ascii="Arial" w:cs="Arial" w:eastAsia="Arial" w:hAnsi="Arial"/>
          <w:b/>
          <w:bCs/>
          <w:sz w:val="22"/>
          <w:szCs w:val="22"/>
        </w:rPr>
        <w:t xml:space="preserve">6–12 months: </w:t>
      </w:r>
      <w:r>
        <w:rPr>
          <w:rFonts w:ascii="Arial" w:cs="Arial" w:eastAsia="Arial" w:hAnsi="Arial"/>
          <w:sz w:val="22"/>
          <w:szCs w:val="22"/>
        </w:rPr>
        <w:t xml:space="preserve">Deploy for exotic/structured desks with bespoke neural pricers. Achieve full production cutover. Operationalize surrogate factory.</w:t>
      </w:r>
    </w:p>
    <w:p>
      <w:pPr>
        <w:pStyle w:val="Heading3"/>
      </w:pPr>
      <w:r>
        <w:t xml:space="preserve">Controls</w:t>
      </w:r>
    </w:p>
    <w:p>
      <w:pPr>
        <w:spacing w:after="120" w:line="276"/>
      </w:pPr>
      <w:r>
        <w:rPr>
          <w:rFonts w:ascii="Arial" w:cs="Arial" w:eastAsia="Arial" w:hAnsi="Arial"/>
          <w:sz w:val="22"/>
          <w:szCs w:val="22"/>
        </w:rPr>
        <w:t xml:space="preserve">Treat surrogates as models under MRM: validation, performance bounds, monitoring. Enforce fallbacks and domain restrictions. No use beyond validated ranges. Change control for model and infrastructure updates.</w:t>
      </w:r>
    </w:p>
    <w:p>
      <w:pPr>
        <w:spacing w:after="120" w:line="276"/>
      </w:pPr>
      <w:r>
        <w:rPr>
          <w:rFonts w:ascii="Arial" w:cs="Arial" w:eastAsia="Arial" w:hAnsi="Arial"/>
          <w:sz w:val="22"/>
          <w:szCs w:val="22"/>
        </w:rPr>
        <w:t xml:space="preserve">ROI: Compute savings ($8–12M) + FTE reallocation ($12–18M from 40–60 analysts) + trading desk performance ($5–10M from intraday VaR). Surrogate error metrics vs full model; batch runtime and failure rate; cost per risk run. Run-rate: $25–50M.</w:t>
      </w:r>
    </w:p>
    <w:p>
      <w:r>
        <w:br w:type="page"/>
      </w:r>
    </w:p>
    <w:p>
      <w:pPr>
        <w:pStyle w:val="Heading2"/>
      </w:pPr>
      <w:r>
        <w:t xml:space="preserve">Elephant 5: Intelligent Stress Testing &amp; CCAR Automation</w:t>
      </w:r>
    </w:p>
    <w:p>
      <w:pPr>
        <w:pStyle w:val="Heading3"/>
      </w:pPr>
      <w:r>
        <w:t xml:space="preserve">Why This Is an Elephant</w:t>
      </w:r>
    </w:p>
    <w:p>
      <w:pPr>
        <w:spacing w:after="120" w:line="276"/>
      </w:pPr>
      <w:r>
        <w:rPr>
          <w:rFonts w:ascii="Arial" w:cs="Arial" w:eastAsia="Arial" w:hAnsi="Arial"/>
          <w:sz w:val="22"/>
          <w:szCs w:val="22"/>
        </w:rPr>
        <w:t xml:space="preserve">The CCAR/DFAST cycle is the single most resource-intensive regulatory exercise in CIB Risk, consuming 4–6 months of concentrated effort from 60–80+ FTEs across stress testing, scenario design, loss modeling, narrative writing, and Schedule F population. With the Fed considering increased stress test frequency and scenario variability, the current manual approach is unsustainable.</w:t>
      </w:r>
    </w:p>
    <w:p>
      <w:pPr>
        <w:pStyle w:val="Heading3"/>
      </w:pPr>
      <w:r>
        <w:t xml:space="preserve">Technical Architecture</w:t>
      </w:r>
    </w:p>
    <w:p>
      <w:pPr>
        <w:spacing w:after="120" w:line="276"/>
      </w:pPr>
      <w:r>
        <w:rPr>
          <w:rFonts w:ascii="Arial" w:cs="Arial" w:eastAsia="Arial" w:hAnsi="Arial"/>
          <w:sz w:val="22"/>
          <w:szCs w:val="22"/>
        </w:rPr>
        <w:t xml:space="preserve">End-to-end AI platform covering the full CCAR lifecycle: (1) Generative Scenario Engine: transformer-based models trained on historical macroeconomic data, Fed scenarios, and internal risk factor relationships. (2) Automated Loss Forecasting: ensemble methods + recurrent neural networks replacing manual loss models for PPNR, credit losses, and market risk losses. (3) Schedule F Auto-Population: NLP agents extracting data from risk systems to auto-populate ~2,000 manual inputs. (4) Narrative Generation: LLM-powered system drafting CCAR qualitative narratives, methodology descriptions, and risk commentary with human review.</w:t>
      </w:r>
    </w:p>
    <w:p>
      <w:pPr>
        <w:pStyle w:val="Heading3"/>
      </w:pPr>
      <w:r>
        <w:t xml:space="preserve">Financial Impact</w:t>
      </w:r>
    </w:p>
    <w:p>
      <w:pPr>
        <w:spacing w:after="120" w:line="276"/>
      </w:pPr>
      <w:r>
        <w:rPr>
          <w:rFonts w:ascii="Arial" w:cs="Arial" w:eastAsia="Arial" w:hAnsi="Arial"/>
          <w:sz w:val="22"/>
          <w:szCs w:val="22"/>
        </w:rPr>
        <w:t xml:space="preserve">60–80 FTEs currently dedicated for 4–6 months reduced to 15–20 FTEs for 4–6 weeks = $20–30M in direct labor savings. Additional $10–15M from continuous stress testing enabling real-time portfolio optimization against stress capital buffer, potentially freeing $500M–$1B+ in regulatory capital. Run-rate: $30–45M.</w:t>
      </w:r>
    </w:p>
    <w:p>
      <w:pPr>
        <w:pStyle w:val="Heading3"/>
      </w:pPr>
      <w:r>
        <w:t xml:space="preserve">Synergy with Elephant 4</w:t>
      </w:r>
    </w:p>
    <w:p>
      <w:pPr>
        <w:spacing w:after="120" w:line="276"/>
      </w:pPr>
      <w:r>
        <w:rPr>
          <w:rFonts w:ascii="Arial" w:cs="Arial" w:eastAsia="Arial" w:hAnsi="Arial"/>
          <w:sz w:val="22"/>
          <w:szCs w:val="22"/>
        </w:rPr>
        <w:t xml:space="preserve">The VaR Engine directly feeds the stress testing platform with real-time portfolio sensitivities and risk factor exposures. The combined system creates a closed-loop continuous risk intelligence capability that no competitor currently offers at scale.</w:t>
      </w:r>
    </w:p>
    <w:p>
      <w:r>
        <w:br w:type="page"/>
      </w:r>
    </w:p>
    <w:p>
      <w:pPr>
        <w:pStyle w:val="Heading2"/>
      </w:pPr>
      <w:r>
        <w:t xml:space="preserve">Elephant 6: Counterparty Credit Risk + Collateral/Margin Ops AI</w:t>
      </w:r>
    </w:p>
    <w:p>
      <w:pPr>
        <w:pStyle w:val="Heading3"/>
      </w:pPr>
      <w:r>
        <w:t xml:space="preserve">Why This Is an Elephant</w:t>
      </w:r>
    </w:p>
    <w:p>
      <w:pPr>
        <w:spacing w:after="120" w:line="276"/>
      </w:pPr>
      <w:r>
        <w:rPr>
          <w:rFonts w:ascii="Arial" w:cs="Arial" w:eastAsia="Arial" w:hAnsi="Arial"/>
          <w:sz w:val="22"/>
          <w:szCs w:val="22"/>
        </w:rPr>
        <w:t xml:space="preserve">This initiative merges two high-value workstreams: (1) XVA calculations (CVA/DVA/FVA) that are among the most computationally intensive processes in CIB risk, and (2) collateral/margin operations that are high-volume, exception-heavy, and expensive. Term normalization plus workflow automation plus ML-driven credit scoring creates a comprehensive counterparty risk platform.</w:t>
      </w:r>
    </w:p>
    <w:p>
      <w:pPr>
        <w:pStyle w:val="Heading3"/>
      </w:pPr>
      <w:r>
        <w:t xml:space="preserve">Solution Design</w:t>
      </w:r>
    </w:p>
    <w:p>
      <w:pPr>
        <w:spacing w:after="120" w:line="276"/>
      </w:pPr>
      <w:r>
        <w:rPr>
          <w:rFonts w:ascii="Arial" w:cs="Arial" w:eastAsia="Arial" w:hAnsi="Arial"/>
          <w:sz w:val="22"/>
          <w:szCs w:val="22"/>
        </w:rPr>
        <w:t xml:space="preserve">Neural network XVA pricers trained on full Monte Carlo results (near-instantaneous CVA/DVA/FVA at 100x+ speed). Real-time credit scoring ingesting alternative data: news sentiment (NLP), CDS spreads, equity volatility, supply chain signals. Wrong-way risk detection via graph neural networks identifying hidden exposure correlations. CSA/ISDA term ingestion from Elephant 2 powering collateral eligibility and haircut application. Dispute classifier predicting likely disputes and categorizing reasons; LLM summarizing context. Integration with collateral systems and ticketing.</w:t>
      </w:r>
    </w:p>
    <w:p>
      <w:pPr>
        <w:pStyle w:val="Heading3"/>
      </w:pPr>
      <w:r>
        <w:t xml:space="preserve">Delivery &amp; ROI</w:t>
      </w:r>
    </w:p>
    <w:p>
      <w:pPr>
        <w:spacing w:after="120" w:line="276"/>
      </w:pPr>
      <w:r>
        <w:rPr>
          <w:rFonts w:ascii="Arial" w:cs="Arial" w:eastAsia="Arial" w:hAnsi="Arial"/>
          <w:b/>
          <w:bCs/>
          <w:sz w:val="22"/>
          <w:szCs w:val="22"/>
        </w:rPr>
        <w:t xml:space="preserve">0–90 days: </w:t>
      </w:r>
      <w:r>
        <w:rPr>
          <w:rFonts w:ascii="Arial" w:cs="Arial" w:eastAsia="Arial" w:hAnsi="Arial"/>
          <w:sz w:val="22"/>
          <w:szCs w:val="22"/>
        </w:rPr>
        <w:t xml:space="preserve">Pilot dispute summarization and evidence pack drafting with subset of counterparties. Build neural XVA for top product.</w:t>
      </w:r>
    </w:p>
    <w:p>
      <w:pPr>
        <w:spacing w:after="120" w:line="276"/>
      </w:pPr>
      <w:r>
        <w:rPr>
          <w:rFonts w:ascii="Arial" w:cs="Arial" w:eastAsia="Arial" w:hAnsi="Arial"/>
          <w:b/>
          <w:bCs/>
          <w:sz w:val="22"/>
          <w:szCs w:val="22"/>
        </w:rPr>
        <w:t xml:space="preserve">90–180 days: </w:t>
      </w:r>
      <w:r>
        <w:rPr>
          <w:rFonts w:ascii="Arial" w:cs="Arial" w:eastAsia="Arial" w:hAnsi="Arial"/>
          <w:sz w:val="22"/>
          <w:szCs w:val="22"/>
        </w:rPr>
        <w:t xml:space="preserve">Expand term coverage and integrate rules engine. Deploy dispute prediction and real-time credit scoring.</w:t>
      </w:r>
    </w:p>
    <w:p>
      <w:pPr>
        <w:spacing w:after="120" w:line="276"/>
      </w:pPr>
      <w:r>
        <w:rPr>
          <w:rFonts w:ascii="Arial" w:cs="Arial" w:eastAsia="Arial" w:hAnsi="Arial"/>
          <w:b/>
          <w:bCs/>
          <w:sz w:val="22"/>
          <w:szCs w:val="22"/>
        </w:rPr>
        <w:t xml:space="preserve">6–12 months: </w:t>
      </w:r>
      <w:r>
        <w:rPr>
          <w:rFonts w:ascii="Arial" w:cs="Arial" w:eastAsia="Arial" w:hAnsi="Arial"/>
          <w:sz w:val="22"/>
          <w:szCs w:val="22"/>
        </w:rPr>
        <w:t xml:space="preserve">Introduce agentic task execution with approvals. Roll out portfolio-wide with BAU monitoring.</w:t>
      </w:r>
    </w:p>
    <w:p>
      <w:pPr>
        <w:spacing w:after="120" w:line="276"/>
      </w:pPr>
      <w:r>
        <w:rPr>
          <w:rFonts w:ascii="Arial" w:cs="Arial" w:eastAsia="Arial" w:hAnsi="Arial"/>
          <w:sz w:val="22"/>
          <w:szCs w:val="22"/>
        </w:rPr>
        <w:t xml:space="preserve">Run-rate: $20–75M from ops FTE savings, dispute reduction, XVA compute savings, wrong-way risk detection, and collateral optimization.</w:t>
      </w:r>
    </w:p>
    <w:p>
      <w:r>
        <w:br w:type="page"/>
      </w:r>
    </w:p>
    <w:p>
      <w:pPr>
        <w:pStyle w:val="Heading2"/>
      </w:pPr>
      <w:r>
        <w:t xml:space="preserve">Elephant 7: AI Market Surveillance &amp; Anomaly Detection</w:t>
      </w:r>
    </w:p>
    <w:p>
      <w:pPr>
        <w:pStyle w:val="Heading3"/>
      </w:pPr>
      <w:r>
        <w:t xml:space="preserve">Why This Is an Elephant</w:t>
      </w:r>
    </w:p>
    <w:p>
      <w:pPr>
        <w:spacing w:after="120" w:line="276"/>
      </w:pPr>
      <w:r>
        <w:rPr>
          <w:rFonts w:ascii="Arial" w:cs="Arial" w:eastAsia="Arial" w:hAnsi="Arial"/>
          <w:sz w:val="22"/>
          <w:szCs w:val="22"/>
        </w:rPr>
        <w:t xml:space="preserve">Surveillance generates extremely high alert volumes with 90–95% false positive rates industry-wide. Even modest reduction translates to tens of millions in labor savings. JPMorgan’s deployment reduced investigation time by 40%. For WFC specifically, post-consent-order regulatory scrutiny makes best-in-class surveillance a strategic imperative.</w:t>
      </w:r>
    </w:p>
    <w:p>
      <w:pPr>
        <w:pStyle w:val="Heading3"/>
      </w:pPr>
      <w:r>
        <w:t xml:space="preserve">Solution Design</w:t>
      </w:r>
    </w:p>
    <w:p>
      <w:pPr>
        <w:spacing w:after="120" w:line="276"/>
      </w:pPr>
      <w:r>
        <w:rPr>
          <w:rFonts w:ascii="Arial" w:cs="Arial" w:eastAsia="Arial" w:hAnsi="Arial"/>
          <w:sz w:val="22"/>
          <w:szCs w:val="22"/>
        </w:rPr>
        <w:t xml:space="preserve">Graph neural networks mapping trader-counterparty-instrument relationships to detect coordinated manipulation. Transformer-based sequence models analyzing order-book patterns. Behavioral analytics establishing baseline trader profiles. LLM case narratives: who/what/why with direct evidence links. Auto-clustering of related alerts and entity link analysis. Explainability layer using SHAP values for regulatory defensibility. Human investigator retains final decisions; model outputs are decision-support only.</w:t>
      </w:r>
    </w:p>
    <w:p>
      <w:pPr>
        <w:spacing w:after="120" w:line="276"/>
      </w:pPr>
      <w:r>
        <w:rPr>
          <w:rFonts w:ascii="Arial" w:cs="Arial" w:eastAsia="Arial" w:hAnsi="Arial"/>
          <w:sz w:val="22"/>
          <w:szCs w:val="22"/>
        </w:rPr>
        <w:t xml:space="preserve">Run-rate: $20–100M from false-positive reduction, investigator time savings, and regulatory risk avoidance.</w:t>
      </w:r>
    </w:p>
    <w:p>
      <w:pPr>
        <w:pStyle w:val="Heading2"/>
      </w:pPr>
      <w:r>
        <w:t xml:space="preserve">Elephant 8: Wholesale KYC at Scale</w:t>
      </w:r>
    </w:p>
    <w:p>
      <w:pPr>
        <w:pStyle w:val="Heading3"/>
      </w:pPr>
      <w:r>
        <w:t xml:space="preserve">Why This Is an Elephant</w:t>
      </w:r>
    </w:p>
    <w:p>
      <w:pPr>
        <w:spacing w:after="120" w:line="276"/>
      </w:pPr>
      <w:r>
        <w:rPr>
          <w:rFonts w:ascii="Arial" w:cs="Arial" w:eastAsia="Arial" w:hAnsi="Arial"/>
          <w:sz w:val="22"/>
          <w:szCs w:val="22"/>
        </w:rPr>
        <w:t xml:space="preserve">Wholesale KYC and periodic reviews are recurring, document-heavy workflows with massive operational footprints. AI reduces research, drafting, and document handling time while improving completeness through automated checklists. At WFC’s scale, this is easily a $20–150M opportunity depending on volume and current FTE allocation.</w:t>
      </w:r>
    </w:p>
    <w:p>
      <w:pPr>
        <w:pStyle w:val="Heading3"/>
      </w:pPr>
      <w:r>
        <w:t xml:space="preserve">Solution Design &amp; Delivery</w:t>
      </w:r>
    </w:p>
    <w:p>
      <w:pPr>
        <w:spacing w:after="120" w:line="276"/>
      </w:pPr>
      <w:r>
        <w:rPr>
          <w:rFonts w:ascii="Arial" w:cs="Arial" w:eastAsia="Arial" w:hAnsi="Arial"/>
          <w:sz w:val="22"/>
          <w:szCs w:val="22"/>
        </w:rPr>
        <w:t xml:space="preserve">KYC evidence locker per entity using Platform A. Entity resolution and hierarchy graph integrated with onboarding systems (Platform B). LLM-driven drafting of KYC profiles with mandatory evidence citations and completeness checklists (Platform C). Automated identification of missing documents and inconsistent facts. PII controls: masking, access restrictions, logging; data minimization. Pilot one client segment → expand to periodic reviews → roll out across wholesale with BAU monitoring and regulatory-ready audit trails.</w:t>
      </w:r>
    </w:p>
    <w:p>
      <w:pPr>
        <w:spacing w:after="120" w:line="276"/>
      </w:pPr>
      <w:r>
        <w:rPr>
          <w:rFonts w:ascii="Arial" w:cs="Arial" w:eastAsia="Arial" w:hAnsi="Arial"/>
          <w:sz w:val="22"/>
          <w:szCs w:val="22"/>
        </w:rPr>
        <w:t xml:space="preserve">Run-rate: $20–150M from labor savings, cycle time reduction, and rework elimination.</w:t>
      </w:r>
    </w:p>
    <w:p>
      <w:r>
        <w:br w:type="page"/>
      </w:r>
    </w:p>
    <w:p>
      <w:pPr>
        <w:pStyle w:val="Heading2"/>
      </w:pPr>
      <w:r>
        <w:t xml:space="preserve">Elephant 9: Autonomous Regulatory Reporting &amp; Reconciliation</w:t>
      </w:r>
    </w:p>
    <w:p>
      <w:pPr>
        <w:pStyle w:val="Heading3"/>
      </w:pPr>
      <w:r>
        <w:t xml:space="preserve">Why This Is an Elephant</w:t>
      </w:r>
    </w:p>
    <w:p>
      <w:pPr>
        <w:spacing w:after="120" w:line="276"/>
      </w:pPr>
      <w:r>
        <w:rPr>
          <w:rFonts w:ascii="Arial" w:cs="Arial" w:eastAsia="Arial" w:hAnsi="Arial"/>
          <w:sz w:val="22"/>
          <w:szCs w:val="22"/>
        </w:rPr>
        <w:t xml:space="preserve">Risk reporting and data controls require repeated manual investigation: what changed, why it changed, and whether it is valid. CIB Risk dedicates 50–70+ FTEs to regulatory reporting across FR Y-14A/Q/M, Pillar 3, FRTB, and OCC/SEC/CFTC submissions. AI accelerates break diagnosis and narrative creation while strengthening governance through better lineage explanations.</w:t>
      </w:r>
    </w:p>
    <w:p>
      <w:pPr>
        <w:pStyle w:val="Heading3"/>
      </w:pPr>
      <w:r>
        <w:t xml:space="preserve">Solution Design</w:t>
      </w:r>
    </w:p>
    <w:p>
      <w:pPr>
        <w:spacing w:after="120" w:line="276"/>
      </w:pPr>
      <w:r>
        <w:rPr>
          <w:rFonts w:ascii="Arial" w:cs="Arial" w:eastAsia="Arial" w:hAnsi="Arial"/>
          <w:sz w:val="22"/>
          <w:szCs w:val="22"/>
        </w:rPr>
        <w:t xml:space="preserve">Three integrated layers: (1) Regulatory Intelligence: NLP agents continuously monitoring publications from Fed, OCC, SEC, CFTC, FINRA, and international bodies. (2) Semantic layer of business definitions + data lineage + transformations for lineage-backed delta explanations (Platform B). (3) Auto-population pipelines with ML-based data quality checks; LLM-drafted narratives citing actual lineage metadata (Platform C). Automated anomaly detection and clustering of recurring break patterns. Integration with data quality tools and ticketing.</w:t>
      </w:r>
    </w:p>
    <w:p>
      <w:pPr>
        <w:spacing w:after="120" w:line="276"/>
      </w:pPr>
      <w:r>
        <w:rPr>
          <w:rFonts w:ascii="Arial" w:cs="Arial" w:eastAsia="Arial" w:hAnsi="Arial"/>
          <w:sz w:val="22"/>
          <w:szCs w:val="22"/>
        </w:rPr>
        <w:t xml:space="preserve">Run-rate: $20–60M from labor savings, error prevention, and proactive regulatory change management.</w:t>
      </w:r>
    </w:p>
    <w:p>
      <w:pPr>
        <w:pStyle w:val="Heading2"/>
      </w:pPr>
      <w:r>
        <w:t xml:space="preserve">Elephant 10: Intelligent Model Risk Management Factory</w:t>
      </w:r>
    </w:p>
    <w:p>
      <w:pPr>
        <w:pStyle w:val="Heading3"/>
      </w:pPr>
      <w:r>
        <w:t xml:space="preserve">Why This Is an Elephant</w:t>
      </w:r>
    </w:p>
    <w:p>
      <w:pPr>
        <w:spacing w:after="120" w:line="276"/>
      </w:pPr>
      <w:r>
        <w:rPr>
          <w:rFonts w:ascii="Arial" w:cs="Arial" w:eastAsia="Arial" w:hAnsi="Arial"/>
          <w:sz w:val="22"/>
          <w:szCs w:val="22"/>
        </w:rPr>
        <w:t xml:space="preserve">CIB Risk operates hundreds of models requiring periodic validation under SR 11-7. The current validation cycle takes 3–6 months per model, creating a persistent backlog. Model inventory growth (driven by new products, regulatory requirements, and now AI models themselves) is outpacing validation capacity. The irony: AI-powered risk models require validated AI validation models.</w:t>
      </w:r>
    </w:p>
    <w:p>
      <w:pPr>
        <w:pStyle w:val="Heading3"/>
      </w:pPr>
      <w:r>
        <w:t xml:space="preserve">Solution Design</w:t>
      </w:r>
    </w:p>
    <w:p>
      <w:pPr>
        <w:spacing w:after="120" w:line="276"/>
      </w:pPr>
      <w:r>
        <w:rPr>
          <w:rFonts w:ascii="Arial" w:cs="Arial" w:eastAsia="Arial" w:hAnsi="Arial"/>
          <w:sz w:val="22"/>
          <w:szCs w:val="22"/>
        </w:rPr>
        <w:t xml:space="preserve">Agentic AI platform for model lifecycle management: automated challenger model generation (3–5 challengers per model), continuous backtesting with drift detection, NLP documentation extraction from existing model docs, validation report drafting via LLM. Developer tooling to rapidly create and validate surrogates (links to Elephant 4). Treat as critical enabler: without MRM Factory automation, the pace of AI deployment across all other initiatives is constrained by validation bottleneck.</w:t>
      </w:r>
    </w:p>
    <w:p>
      <w:pPr>
        <w:spacing w:after="120" w:line="276"/>
      </w:pPr>
      <w:r>
        <w:rPr>
          <w:rFonts w:ascii="Arial" w:cs="Arial" w:eastAsia="Arial" w:hAnsi="Arial"/>
          <w:sz w:val="22"/>
          <w:szCs w:val="22"/>
        </w:rPr>
        <w:t xml:space="preserve">Run-rate: $20–50M from validation cycle compression (3–6 months → 2–4 weeks), degraded model loss prevention, and MRA/MRIA risk elimination.</w:t>
      </w:r>
    </w:p>
    <w:p>
      <w:r>
        <w:br w:type="page"/>
      </w:r>
    </w:p>
    <w:p>
      <w:pPr>
        <w:pStyle w:val="Heading2"/>
      </w:pPr>
      <w:r>
        <w:t xml:space="preserve">Elephant 11: Predictive Risk Limit &amp; Exposure Management</w:t>
      </w:r>
    </w:p>
    <w:p>
      <w:pPr>
        <w:pStyle w:val="Heading3"/>
      </w:pPr>
      <w:r>
        <w:t xml:space="preserve">Why This Is an Elephant</w:t>
      </w:r>
    </w:p>
    <w:p>
      <w:pPr>
        <w:spacing w:after="120" w:line="276"/>
      </w:pPr>
      <w:r>
        <w:rPr>
          <w:rFonts w:ascii="Arial" w:cs="Arial" w:eastAsia="Arial" w:hAnsi="Arial"/>
          <w:sz w:val="22"/>
          <w:szCs w:val="22"/>
        </w:rPr>
        <w:t xml:space="preserve">Static risk limits fail to capture rapidly evolving market conditions. Current limit monitoring is reactive — breaches identified after they occur. This initiative has asymmetric payoff: preventing even one major limit breach / rogue trading incident every 3–5 years could save $100M–$500M+ in direct losses and reputational damage.</w:t>
      </w:r>
    </w:p>
    <w:p>
      <w:pPr>
        <w:pStyle w:val="Heading3"/>
      </w:pPr>
      <w:r>
        <w:t xml:space="preserve">Solution Design</w:t>
      </w:r>
    </w:p>
    <w:p>
      <w:pPr>
        <w:spacing w:after="120" w:line="276"/>
      </w:pPr>
      <w:r>
        <w:rPr>
          <w:rFonts w:ascii="Arial" w:cs="Arial" w:eastAsia="Arial" w:hAnsi="Arial"/>
          <w:sz w:val="22"/>
          <w:szCs w:val="22"/>
        </w:rPr>
        <w:t xml:space="preserve">Reinforcement learning system that: predicts limit breaches 2–4 hours in advance; recommends dynamic limit adjustments calibrated to volatility regime (quiet, elevated, crisis); generates automated position reduction recommendations with optimal unwind sequencing; provides real-time capital allocation optimization across desks. Annualized expected value: $20–40M. ROI: 4–8x.</w:t>
      </w:r>
    </w:p>
    <w:p>
      <w:pPr>
        <w:pStyle w:val="Heading2"/>
      </w:pPr>
      <w:r>
        <w:t xml:space="preserve">Elephant 12: Operational Risk &amp; Controls Copilot</w:t>
      </w:r>
    </w:p>
    <w:p>
      <w:pPr>
        <w:pStyle w:val="Heading3"/>
      </w:pPr>
      <w:r>
        <w:t xml:space="preserve">Why This Is an Elephant</w:t>
      </w:r>
    </w:p>
    <w:p>
      <w:pPr>
        <w:spacing w:after="120" w:line="276"/>
      </w:pPr>
      <w:r>
        <w:rPr>
          <w:rFonts w:ascii="Arial" w:cs="Arial" w:eastAsia="Arial" w:hAnsi="Arial"/>
          <w:sz w:val="22"/>
          <w:szCs w:val="22"/>
        </w:rPr>
        <w:t xml:space="preserve">Issue management, RCSA, audit response, and control testing involve extensive manual effort drafting narratives while improving consistency through standardized templates. NLP analysis of incident reports, near-misses, and operational events predicts and prevents losses. Process mining identifies control gaps in trade processing, settlements, and confirmations.</w:t>
      </w:r>
    </w:p>
    <w:p>
      <w:pPr>
        <w:pStyle w:val="Heading3"/>
      </w:pPr>
      <w:r>
        <w:t xml:space="preserve">Solution Design &amp; Delivery</w:t>
      </w:r>
    </w:p>
    <w:p>
      <w:pPr>
        <w:spacing w:after="120" w:line="276"/>
      </w:pPr>
      <w:r>
        <w:rPr>
          <w:rFonts w:ascii="Arial" w:cs="Arial" w:eastAsia="Arial" w:hAnsi="Arial"/>
          <w:sz w:val="22"/>
          <w:szCs w:val="22"/>
        </w:rPr>
        <w:t xml:space="preserve">Controlled knowledge base of policies, procedures, prior issues, and audit findings (Platform A). LLM drafting of issue narratives, remediation plans, evidence checklists forced to cite internal sources. Workflow integration with GRC tooling (Platform C). Analytics on recurring control failures and remediation bottlenecks. Hard rule: no auto-attestations. AI drafts; humans approve and attest.</w:t>
      </w:r>
    </w:p>
    <w:p>
      <w:pPr>
        <w:spacing w:after="120" w:line="276"/>
      </w:pPr>
      <w:r>
        <w:rPr>
          <w:rFonts w:ascii="Arial" w:cs="Arial" w:eastAsia="Arial" w:hAnsi="Arial"/>
          <w:b/>
          <w:bCs/>
          <w:sz w:val="22"/>
          <w:szCs w:val="22"/>
        </w:rPr>
        <w:t xml:space="preserve">0–90 days: </w:t>
      </w:r>
      <w:r>
        <w:rPr>
          <w:rFonts w:ascii="Arial" w:cs="Arial" w:eastAsia="Arial" w:hAnsi="Arial"/>
          <w:sz w:val="22"/>
          <w:szCs w:val="22"/>
        </w:rPr>
        <w:t xml:space="preserve">Pilot audit-response evidence pack generation for one domain. Measure time-to-assemble and defect rates.</w:t>
      </w:r>
    </w:p>
    <w:p>
      <w:pPr>
        <w:spacing w:after="120" w:line="276"/>
      </w:pPr>
      <w:r>
        <w:rPr>
          <w:rFonts w:ascii="Arial" w:cs="Arial" w:eastAsia="Arial" w:hAnsi="Arial"/>
          <w:b/>
          <w:bCs/>
          <w:sz w:val="22"/>
          <w:szCs w:val="22"/>
        </w:rPr>
        <w:t xml:space="preserve">90–180 days: </w:t>
      </w:r>
      <w:r>
        <w:rPr>
          <w:rFonts w:ascii="Arial" w:cs="Arial" w:eastAsia="Arial" w:hAnsi="Arial"/>
          <w:sz w:val="22"/>
          <w:szCs w:val="22"/>
        </w:rPr>
        <w:t xml:space="preserve">Expand to issue narratives and remediation plan drafting; add policy-to-control mapping.</w:t>
      </w:r>
    </w:p>
    <w:p>
      <w:pPr>
        <w:spacing w:after="120" w:line="276"/>
      </w:pPr>
      <w:r>
        <w:rPr>
          <w:rFonts w:ascii="Arial" w:cs="Arial" w:eastAsia="Arial" w:hAnsi="Arial"/>
          <w:b/>
          <w:bCs/>
          <w:sz w:val="22"/>
          <w:szCs w:val="22"/>
        </w:rPr>
        <w:t xml:space="preserve">6–12 months: </w:t>
      </w:r>
      <w:r>
        <w:rPr>
          <w:rFonts w:ascii="Arial" w:cs="Arial" w:eastAsia="Arial" w:hAnsi="Arial"/>
          <w:sz w:val="22"/>
          <w:szCs w:val="22"/>
        </w:rPr>
        <w:t xml:space="preserve">Roll out across risk/control functions; build BAU operating model and KPI dashboards.</w:t>
      </w:r>
    </w:p>
    <w:p>
      <w:pPr>
        <w:spacing w:after="120" w:line="276"/>
      </w:pPr>
      <w:r>
        <w:rPr>
          <w:rFonts w:ascii="Arial" w:cs="Arial" w:eastAsia="Arial" w:hAnsi="Arial"/>
          <w:sz w:val="22"/>
          <w:szCs w:val="22"/>
        </w:rPr>
        <w:t xml:space="preserve">Run-rate: $20–70M from labor savings, rework reduction, and faster audit response.</w:t>
      </w:r>
    </w:p>
    <w:p>
      <w:r>
        <w:br w:type="page"/>
      </w:r>
    </w:p>
    <w:p>
      <w:pPr>
        <w:pStyle w:val="Heading2"/>
      </w:pPr>
      <w:r>
        <w:t xml:space="preserve">Elephant 13: GenAI Risk Analyst Copilot</w:t>
      </w:r>
    </w:p>
    <w:p>
      <w:pPr>
        <w:pStyle w:val="Heading3"/>
      </w:pPr>
      <w:r>
        <w:t xml:space="preserve">Why This Is an Elephant</w:t>
      </w:r>
    </w:p>
    <w:p>
      <w:pPr>
        <w:spacing w:after="120" w:line="276"/>
      </w:pPr>
      <w:r>
        <w:rPr>
          <w:rFonts w:ascii="Arial" w:cs="Arial" w:eastAsia="Arial" w:hAnsi="Arial"/>
          <w:sz w:val="22"/>
          <w:szCs w:val="22"/>
        </w:rPr>
        <w:t xml:space="preserve">Fastest-ROI initiative because it augments existing workflows immediately. Purpose-built risk analyst copilot deployed via secure RAG architecture over internal risk documentation: auto-generates daily market intelligence briefings (2–4 hours of manual work per analyst), drafts limit review memos, performs ad-hoc scenario analysis via natural language, auto-summarizes 10-Ks/10-Qs for counterparty reviews. Deploys on WFC’s existing Google Agentspace infrastructure in 3–5 months.</w:t>
      </w:r>
    </w:p>
    <w:p>
      <w:pPr>
        <w:pStyle w:val="Heading3"/>
      </w:pPr>
      <w:r>
        <w:t xml:space="preserve">Synergy as Ecosystem Interface</w:t>
      </w:r>
    </w:p>
    <w:p>
      <w:pPr>
        <w:spacing w:after="120" w:line="276"/>
      </w:pPr>
      <w:r>
        <w:rPr>
          <w:rFonts w:ascii="Arial" w:cs="Arial" w:eastAsia="Arial" w:hAnsi="Arial"/>
          <w:sz w:val="22"/>
          <w:szCs w:val="22"/>
        </w:rPr>
        <w:t xml:space="preserve">The copilot is the user interface for the entire platform ecosystem. As each underlying initiative comes online, the copilot gains new capabilities. Analysts can ask: “What’s the firm-wide impact if rates spike 200bps and credit spreads widen 150bps simultaneously?” and receive real-time, quantified answers from live risk systems. Productivity improvement: 2–3x across 200+ analysts = $15–25M.</w:t>
      </w:r>
    </w:p>
    <w:p>
      <w:pPr>
        <w:pStyle w:val="Heading2"/>
      </w:pPr>
      <w:r>
        <w:t xml:space="preserve">Elephant 14: Real-Time Liquidity Risk Intelligence</w:t>
      </w:r>
    </w:p>
    <w:p>
      <w:pPr>
        <w:spacing w:after="120" w:line="276"/>
      </w:pPr>
      <w:r>
        <w:rPr>
          <w:rFonts w:ascii="Arial" w:cs="Arial" w:eastAsia="Arial" w:hAnsi="Arial"/>
          <w:sz w:val="22"/>
          <w:szCs w:val="22"/>
        </w:rPr>
        <w:t xml:space="preserve">AI-powered intraday liquidity forecasting using recurrent neural networks and transformer models. Predicts T+1 through T+30 cash requirements with 95%+ accuracy. Dynamic collateral optimization engine evaluates all eligible assets. Margin call prediction module anticipates calls 24–48 hours in advance. Value: $10–20M from liquidity buffer optimization ($200M+ reduction in excess reserves), collateral efficiency, and FTE savings.</w:t>
      </w:r>
    </w:p>
    <w:p>
      <w:pPr>
        <w:pStyle w:val="Heading2"/>
      </w:pPr>
      <w:r>
        <w:t xml:space="preserve">Elephant 15: Climate &amp; ESG Risk Quantification Engine</w:t>
      </w:r>
    </w:p>
    <w:p>
      <w:pPr>
        <w:spacing w:after="120" w:line="276"/>
      </w:pPr>
      <w:r>
        <w:rPr>
          <w:rFonts w:ascii="Arial" w:cs="Arial" w:eastAsia="Arial" w:hAnsi="Arial"/>
          <w:sz w:val="22"/>
          <w:szCs w:val="22"/>
        </w:rPr>
        <w:t xml:space="preserve">ML models quantifying physical and transition climate risk across CIB portfolios. Automated TCFD/CSRD reporting. Scenario analysis for carbon tax regimes, stranded asset exposures, and green taxonomy alignment. McKinsey reports banks using GenAI reduced climate risk assessment time by 90%. Value: $5–10M direct + substantial regulatory future-proofing. Positions WFC ahead of inevitable regulatory mandates.</w:t>
      </w:r>
    </w:p>
    <w:p>
      <w:r>
        <w:br w:type="page"/>
      </w:r>
    </w:p>
    <w:p>
      <w:pPr>
        <w:pStyle w:val="Heading1"/>
      </w:pPr>
      <w:r>
        <w:t xml:space="preserve">18-Month Delivery Blueprint</w:t>
      </w:r>
    </w:p>
    <w:p>
      <w:pPr>
        <w:spacing w:after="120" w:line="276"/>
      </w:pPr>
      <w:r>
        <w:rPr>
          <w:rFonts w:ascii="Arial" w:cs="Arial" w:eastAsia="Arial" w:hAnsi="Arial"/>
          <w:sz w:val="22"/>
          <w:szCs w:val="22"/>
        </w:rPr>
        <w:t xml:space="preserve">This blueprint sequences platform foundations and high-value MVPs, then scales through reuse. Timelines assume strong executive sponsorship, dedicated product ownership, and direct integration into systems where work happens.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2200"/>
        <w:gridCol w:w="2200"/>
        <w:gridCol w:w="2160"/>
      </w:tblGrid>
      <w:tr>
        <w:tc>
          <w:tcPr>
            <w:tcW w:type="dxa" w:w="130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Quarter</w:t>
            </w:r>
          </w:p>
        </w:tc>
        <w:tc>
          <w:tcPr>
            <w:tcW w:type="dxa" w:w="150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Platforms</w:t>
            </w:r>
          </w:p>
        </w:tc>
        <w:tc>
          <w:tcPr>
            <w:tcW w:type="dxa" w:w="220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Primary Deliveries</w:t>
            </w:r>
          </w:p>
        </w:tc>
        <w:tc>
          <w:tcPr>
            <w:tcW w:type="dxa" w:w="220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Key Metrics Shipped</w:t>
            </w:r>
          </w:p>
        </w:tc>
        <w:tc>
          <w:tcPr>
            <w:tcW w:type="dxa" w:w="216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Cumulative Run-Rate</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Q1 (Mo 0–3)</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A + C (MVP)</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Credit memo/spread MVP; covenant extraction MVP; GenAI Copilot pilot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Hours/package baseline; extraction accuracy; copilot adoption</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$15–35M</w:t>
            </w:r>
          </w:p>
        </w:tc>
      </w:tr>
      <w:tr>
        <w:tc>
          <w:tcPr>
            <w:tcW w:type="dxa" w:w="1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Q2 (Mo 3–6)</w:t>
            </w:r>
          </w:p>
        </w:tc>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 + C (scale)</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Renewals/reviews; exhibit assembly; term library expansion; VaR surrogate MVP</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Cycle time; rework loops; adoption; surrogate error vs full model</w:t>
            </w:r>
          </w:p>
        </w:tc>
        <w:tc>
          <w:tcPr>
            <w:tcW w:type="dxa" w:w="2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$40–80M</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Q3 (Mo 6–9)</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B (add)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Early-warning pilot; entity resolution; surveillance scoring + triage; CCAR scenario engine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Precision/recall; lead time; case outcomes; false-positive rate</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$80–160M</w:t>
            </w:r>
          </w:p>
        </w:tc>
      </w:tr>
      <w:tr>
        <w:tc>
          <w:tcPr>
            <w:tcW w:type="dxa" w:w="1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Q4 (Mo 9–12)</w:t>
            </w:r>
          </w:p>
        </w:tc>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 + B + C</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Collateral dispute triage; KYC pilot; reporting reconciliation MVP; controls copilot MVP; predictive limits pilot</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MTTR breaks; dispute days; audit response time; limit breach prediction accuracy</w:t>
            </w:r>
          </w:p>
        </w:tc>
        <w:tc>
          <w:tcPr>
            <w:tcW w:type="dxa" w:w="2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$130–280M</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Q5–Q6 (Mo 12–18)</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A+B+C+MRM</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Scale all initiatives; MRM factory automation; liquidity intelligence; climate/ESG engine; full CCAR automation for 2027 cycle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Portfolio run-rate benefit; quality + control KPIs; regulatory capital impact</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$300–900M+</w:t>
            </w:r>
          </w:p>
        </w:tc>
      </w:tr>
    </w:tbl>
    <w:p>
      <w:r>
        <w:br w:type="page"/>
      </w:r>
    </w:p>
    <w:p>
      <w:pPr>
        <w:pStyle w:val="Heading1"/>
      </w:pPr>
      <w:r>
        <w:t xml:space="preserve">Resourcing, Cost, and Value Tracking</w:t>
      </w:r>
    </w:p>
    <w:p>
      <w:pPr>
        <w:pStyle w:val="Heading2"/>
      </w:pPr>
      <w:r>
        <w:t xml:space="preserve">Recommended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360"/>
        <w:gridCol w:w="3000"/>
      </w:tblGrid>
      <w:tr>
        <w:tc>
          <w:tcPr>
            <w:tcW w:type="dxa" w:w="200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Workstream</w:t>
            </w:r>
          </w:p>
        </w:tc>
        <w:tc>
          <w:tcPr>
            <w:tcW w:type="dxa" w:w="300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Core Roles</w:t>
            </w:r>
          </w:p>
        </w:tc>
        <w:tc>
          <w:tcPr>
            <w:tcW w:type="dxa" w:w="136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Team Size</w:t>
            </w:r>
          </w:p>
        </w:tc>
        <w:tc>
          <w:tcPr>
            <w:tcW w:type="dxa" w:w="300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Platform A (Docs/Terms)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Product owner, credit/legal SMEs, data eng, NLP/ML, MLOps, security</w:t>
            </w:r>
          </w:p>
        </w:tc>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10–18 FTE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Front-load taxonomy, gold sets, and reviewer UI</w:t>
            </w:r>
          </w:p>
        </w:tc>
      </w:tr>
      <w:tr>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Platform B (Graph/Signals)</w:t>
            </w:r>
          </w:p>
        </w:tc>
        <w:tc>
          <w:tcPr>
            <w:tcW w:type="dxa" w:w="3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Product owner, entity master SME, data eng, ML, data governance</w:t>
            </w:r>
          </w:p>
        </w:tc>
        <w:tc>
          <w:tcPr>
            <w:tcW w:type="dxa" w:w="1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8–14 FTE</w:t>
            </w:r>
          </w:p>
        </w:tc>
        <w:tc>
          <w:tcPr>
            <w:tcW w:type="dxa" w:w="3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Entity resolution and lineage are critical path</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Platform C (Workflow Agents)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Product owner, app eng, integration eng, MLOps, controls</w:t>
            </w:r>
          </w:p>
        </w:tc>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8–14 FTE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Write-back into systems-of-record is mandatory</w:t>
            </w:r>
          </w:p>
        </w:tc>
      </w:tr>
      <w:tr>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Use-case squads (per elephant)</w:t>
            </w:r>
          </w:p>
        </w:tc>
        <w:tc>
          <w:tcPr>
            <w:tcW w:type="dxa" w:w="3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Risk/ops SME, BA, app eng, ML/NLP, QA</w:t>
            </w:r>
          </w:p>
        </w:tc>
        <w:tc>
          <w:tcPr>
            <w:tcW w:type="dxa" w:w="1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6–12 FTE</w:t>
            </w:r>
          </w:p>
        </w:tc>
        <w:tc>
          <w:tcPr>
            <w:tcW w:type="dxa" w:w="3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Reuse platforms; focus on workflow + adoption</w:t>
            </w:r>
          </w:p>
        </w:tc>
      </w:tr>
    </w:tbl>
    <w:p>
      <w:pPr>
        <w:pStyle w:val="Heading2"/>
      </w:pPr>
      <w:r>
        <w:t xml:space="preserve">Cost Model</w:t>
      </w:r>
    </w:p>
    <w:p>
      <w:pPr>
        <w:spacing w:after="120" w:line="276"/>
      </w:pPr>
      <w:r>
        <w:rPr>
          <w:rFonts w:ascii="Arial" w:cs="Arial" w:eastAsia="Arial" w:hAnsi="Arial"/>
          <w:sz w:val="22"/>
          <w:szCs w:val="22"/>
        </w:rPr>
        <w:t xml:space="preserve">Total program cost: $86–135M over 18 months. This covers platform build ($25–38M), use-case squads ($35–55M), infrastructure/compute ($15–25M), and change management/adoption ($11–17M). For business cases, report costs transparently as: (a) build cost, (b) run cost (compute, licenses, support), and (c) change management/adoption cost.</w:t>
      </w:r>
    </w:p>
    <w:p>
      <w:pPr>
        <w:pStyle w:val="Heading2"/>
      </w:pPr>
      <w:r>
        <w:t xml:space="preserve">Value Tracking Cadence</w:t>
      </w:r>
    </w:p>
    <w:p>
      <w:pPr>
        <w:pStyle w:val="ListParagraph"/>
        <w:numPr>
          <w:ilvl w:val="0"/>
          <w:numId w:val="2"/>
        </w:numPr>
        <w:spacing w:after="80" w:line="276"/>
      </w:pPr>
      <w:r>
        <w:rPr>
          <w:rFonts w:ascii="Arial" w:cs="Arial" w:eastAsia="Arial" w:hAnsi="Arial"/>
          <w:b/>
          <w:bCs/>
          <w:sz w:val="22"/>
          <w:szCs w:val="22"/>
        </w:rPr>
        <w:t xml:space="preserve">Before build: </w:t>
      </w:r>
      <w:r>
        <w:rPr>
          <w:rFonts w:ascii="Arial" w:cs="Arial" w:eastAsia="Arial" w:hAnsi="Arial"/>
          <w:sz w:val="22"/>
          <w:szCs w:val="22"/>
        </w:rPr>
        <w:t xml:space="preserve">Baseline time-and-motion and defect/rework baselines for pilot segments.</w:t>
      </w:r>
    </w:p>
    <w:p>
      <w:pPr>
        <w:pStyle w:val="ListParagraph"/>
        <w:numPr>
          <w:ilvl w:val="0"/>
          <w:numId w:val="2"/>
        </w:numPr>
        <w:spacing w:after="80" w:line="276"/>
      </w:pPr>
      <w:r>
        <w:rPr>
          <w:rFonts w:ascii="Arial" w:cs="Arial" w:eastAsia="Arial" w:hAnsi="Arial"/>
          <w:b/>
          <w:bCs/>
          <w:sz w:val="22"/>
          <w:szCs w:val="22"/>
        </w:rPr>
        <w:t xml:space="preserve">At MVP: </w:t>
      </w:r>
      <w:r>
        <w:rPr>
          <w:rFonts w:ascii="Arial" w:cs="Arial" w:eastAsia="Arial" w:hAnsi="Arial"/>
          <w:sz w:val="22"/>
          <w:szCs w:val="22"/>
        </w:rPr>
        <w:t xml:space="preserve">Measure per-unit time saved, quality, and adoption weekly; tune workflow until it becomes default behavior.</w:t>
      </w:r>
    </w:p>
    <w:p>
      <w:pPr>
        <w:pStyle w:val="ListParagraph"/>
        <w:numPr>
          <w:ilvl w:val="0"/>
          <w:numId w:val="2"/>
        </w:numPr>
        <w:spacing w:after="80" w:line="276"/>
      </w:pPr>
      <w:r>
        <w:rPr>
          <w:rFonts w:ascii="Arial" w:cs="Arial" w:eastAsia="Arial" w:hAnsi="Arial"/>
          <w:b/>
          <w:bCs/>
          <w:sz w:val="22"/>
          <w:szCs w:val="22"/>
        </w:rPr>
        <w:t xml:space="preserve">At scale: </w:t>
      </w:r>
      <w:r>
        <w:rPr>
          <w:rFonts w:ascii="Arial" w:cs="Arial" w:eastAsia="Arial" w:hAnsi="Arial"/>
          <w:sz w:val="22"/>
          <w:szCs w:val="22"/>
        </w:rPr>
        <w:t xml:space="preserve">Convert unit metrics to dollars monthly; report a rolling 12-month run-rate view.</w:t>
      </w:r>
    </w:p>
    <w:p>
      <w:pPr>
        <w:pStyle w:val="ListParagraph"/>
        <w:numPr>
          <w:ilvl w:val="0"/>
          <w:numId w:val="2"/>
        </w:numPr>
        <w:spacing w:after="80" w:line="276"/>
      </w:pPr>
      <w:r>
        <w:rPr>
          <w:rFonts w:ascii="Arial" w:cs="Arial" w:eastAsia="Arial" w:hAnsi="Arial"/>
          <w:b/>
          <w:bCs/>
          <w:sz w:val="22"/>
          <w:szCs w:val="22"/>
        </w:rPr>
        <w:t xml:space="preserve">Governance: </w:t>
      </w:r>
      <w:r>
        <w:rPr>
          <w:rFonts w:ascii="Arial" w:cs="Arial" w:eastAsia="Arial" w:hAnsi="Arial"/>
          <w:sz w:val="22"/>
          <w:szCs w:val="22"/>
        </w:rPr>
        <w:t xml:space="preserve">Publish model and control metrics alongside ROI to maintain trust and auditability.</w:t>
      </w:r>
    </w:p>
    <w:p>
      <w:r>
        <w:br w:type="page"/>
      </w:r>
    </w:p>
    <w:p>
      <w:pPr>
        <w:pStyle w:val="Heading1"/>
      </w:pPr>
      <w:r>
        <w:t xml:space="preserve">Operating Model, Governance, and Controls</w:t>
      </w:r>
    </w:p>
    <w:p>
      <w:pPr>
        <w:pStyle w:val="Heading2"/>
      </w:pPr>
      <w:r>
        <w:t xml:space="preserve">Tiered Governance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Tier</w:t>
            </w:r>
          </w:p>
        </w:tc>
        <w:tc>
          <w:tcPr>
            <w:tcW w:type="dxa" w:w="252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Examples</w:t>
            </w:r>
          </w:p>
        </w:tc>
        <w:tc>
          <w:tcPr>
            <w:tcW w:type="dxa" w:w="252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Allowed Actions</w:t>
            </w:r>
          </w:p>
        </w:tc>
        <w:tc>
          <w:tcPr>
            <w:tcW w:type="dxa" w:w="252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Required Controls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Tier 1 — Draft Assist</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Summarize, draft, extract fields</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No automated decisions; output is a draft</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Evidence citations; reviewer sign-off; audit logs</w:t>
            </w:r>
          </w:p>
        </w:tc>
      </w:tr>
      <w:tr>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Tier 2 — Decision Support</w:t>
            </w:r>
          </w:p>
        </w:tc>
        <w:tc>
          <w:tcPr>
            <w:tcW w:type="dxa" w:w="25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Prioritized cases; recommendations</w:t>
            </w:r>
          </w:p>
        </w:tc>
        <w:tc>
          <w:tcPr>
            <w:tcW w:type="dxa" w:w="25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Create cases/tasks; suggest actions</w:t>
            </w:r>
          </w:p>
        </w:tc>
        <w:tc>
          <w:tcPr>
            <w:tcW w:type="dxa" w:w="25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Explainability; outcome tracking; monitoring; MRM validation</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Tier 3 — Limited Automation</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Assemble packs; create tickets; pre-fill forms</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Execute bounded actions with approvals</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Segregation of duties; kill switch; strict domain limits; continuous QA</w:t>
            </w:r>
          </w:p>
        </w:tc>
      </w:tr>
    </w:tbl>
    <w:p>
      <w:pPr>
        <w:pStyle w:val="Heading2"/>
      </w:pPr>
      <w:r>
        <w:t xml:space="preserve">Minimum Control Checklist</w:t>
      </w:r>
    </w:p>
    <w:p>
      <w:pPr>
        <w:pStyle w:val="ListParagraph"/>
        <w:numPr>
          <w:ilvl w:val="0"/>
          <w:numId w:val="2"/>
        </w:numPr>
        <w:spacing w:after="80" w:line="276"/>
      </w:pPr>
      <w:r>
        <w:rPr>
          <w:rFonts w:ascii="Arial" w:cs="Arial" w:eastAsia="Arial" w:hAnsi="Arial"/>
          <w:sz w:val="22"/>
          <w:szCs w:val="22"/>
        </w:rPr>
        <w:t xml:space="preserve">Data privacy, access control, and DLP (including redaction/masking where needed).</w:t>
      </w:r>
    </w:p>
    <w:p>
      <w:pPr>
        <w:pStyle w:val="ListParagraph"/>
        <w:numPr>
          <w:ilvl w:val="0"/>
          <w:numId w:val="2"/>
        </w:numPr>
        <w:spacing w:after="80" w:line="276"/>
      </w:pPr>
      <w:r>
        <w:rPr>
          <w:rFonts w:ascii="Arial" w:cs="Arial" w:eastAsia="Arial" w:hAnsi="Arial"/>
          <w:sz w:val="22"/>
          <w:szCs w:val="22"/>
        </w:rPr>
        <w:t xml:space="preserve">Prompt injection and retrieval safety controls; allow-lists for external sources.</w:t>
      </w:r>
    </w:p>
    <w:p>
      <w:pPr>
        <w:pStyle w:val="ListParagraph"/>
        <w:numPr>
          <w:ilvl w:val="0"/>
          <w:numId w:val="2"/>
        </w:numPr>
        <w:spacing w:after="80" w:line="276"/>
      </w:pPr>
      <w:r>
        <w:rPr>
          <w:rFonts w:ascii="Arial" w:cs="Arial" w:eastAsia="Arial" w:hAnsi="Arial"/>
          <w:sz w:val="22"/>
          <w:szCs w:val="22"/>
        </w:rPr>
        <w:t xml:space="preserve">Evaluation harnesses: gold test sets, regression tests, and drift monitoring.</w:t>
      </w:r>
    </w:p>
    <w:p>
      <w:pPr>
        <w:pStyle w:val="ListParagraph"/>
        <w:numPr>
          <w:ilvl w:val="0"/>
          <w:numId w:val="2"/>
        </w:numPr>
        <w:spacing w:after="80" w:line="276"/>
      </w:pPr>
      <w:r>
        <w:rPr>
          <w:rFonts w:ascii="Arial" w:cs="Arial" w:eastAsia="Arial" w:hAnsi="Arial"/>
          <w:sz w:val="22"/>
          <w:szCs w:val="22"/>
        </w:rPr>
        <w:t xml:space="preserve">Audit trails: inputs, outputs, reviewers, and version history.</w:t>
      </w:r>
    </w:p>
    <w:p>
      <w:pPr>
        <w:pStyle w:val="ListParagraph"/>
        <w:numPr>
          <w:ilvl w:val="0"/>
          <w:numId w:val="2"/>
        </w:numPr>
        <w:spacing w:after="80" w:line="276"/>
      </w:pPr>
      <w:r>
        <w:rPr>
          <w:rFonts w:ascii="Arial" w:cs="Arial" w:eastAsia="Arial" w:hAnsi="Arial"/>
          <w:sz w:val="22"/>
          <w:szCs w:val="22"/>
        </w:rPr>
        <w:t xml:space="preserve">Model risk management alignment for all predictive and generative components used in material workflows.</w:t>
      </w:r>
    </w:p>
    <w:p>
      <w:pPr>
        <w:pStyle w:val="ListParagraph"/>
        <w:numPr>
          <w:ilvl w:val="0"/>
          <w:numId w:val="2"/>
        </w:numPr>
        <w:spacing w:after="80" w:line="276"/>
      </w:pPr>
      <w:r>
        <w:rPr>
          <w:rFonts w:ascii="Arial" w:cs="Arial" w:eastAsia="Arial" w:hAnsi="Arial"/>
          <w:sz w:val="22"/>
          <w:szCs w:val="22"/>
        </w:rPr>
        <w:t xml:space="preserve">Kill switches and fallback paths for any automation that touches systems-of-record.</w:t>
      </w:r>
    </w:p>
    <w:p>
      <w:pPr>
        <w:pStyle w:val="Heading2"/>
      </w:pPr>
      <w:r>
        <w:t xml:space="preserve">Governance Structure</w:t>
      </w:r>
    </w:p>
    <w:p>
      <w:pPr>
        <w:spacing w:after="120" w:line="276"/>
      </w:pPr>
      <w:r>
        <w:rPr>
          <w:rFonts w:ascii="Arial" w:cs="Arial" w:eastAsia="Arial" w:hAnsi="Arial"/>
          <w:sz w:val="22"/>
          <w:szCs w:val="22"/>
        </w:rPr>
        <w:t xml:space="preserve">Three-tier governance: (1) Strategic Steering Committee (CRO, CTO, CIB Risk Head): quarterly portfolio reviews, resource allocation, strategic alignment. (2) Technical Architecture Board: monthly reviews of model performance, data quality, infrastructure capacity. (3) Regulatory Engagement Working Group: continuous OCC/Fed examination team engagement on AI-powered risk management.</w:t>
      </w:r>
    </w:p>
    <w:p>
      <w:pPr>
        <w:pStyle w:val="Heading2"/>
      </w:pPr>
      <w:r>
        <w:t xml:space="preserve">Key Risk Factors</w:t>
      </w:r>
    </w:p>
    <w:p>
      <w:pPr>
        <w:spacing w:after="120" w:line="276"/>
      </w:pPr>
      <w:r>
        <w:rPr>
          <w:rFonts w:ascii="Arial" w:cs="Arial" w:eastAsia="Arial" w:hAnsi="Arial"/>
          <w:b/>
          <w:bCs/>
          <w:sz w:val="22"/>
          <w:szCs w:val="22"/>
        </w:rPr>
        <w:t xml:space="preserve">Model Risk: </w:t>
      </w:r>
      <w:r>
        <w:rPr>
          <w:rFonts w:ascii="Arial" w:cs="Arial" w:eastAsia="Arial" w:hAnsi="Arial"/>
          <w:sz w:val="22"/>
          <w:szCs w:val="22"/>
        </w:rPr>
        <w:t xml:space="preserve">AI risk models introduce second-order model risk. Mitigation: Elephant 10 (MRM Factory) provides automated validation, continuous monitoring, and SHAP/LIME explainability. All production models require SR 11-7 compliant validation.</w:t>
      </w:r>
    </w:p>
    <w:p>
      <w:pPr>
        <w:spacing w:after="120" w:line="276"/>
      </w:pPr>
      <w:r>
        <w:rPr>
          <w:rFonts w:ascii="Arial" w:cs="Arial" w:eastAsia="Arial" w:hAnsi="Arial"/>
          <w:b/>
          <w:bCs/>
          <w:sz w:val="22"/>
          <w:szCs w:val="22"/>
        </w:rPr>
        <w:t xml:space="preserve">Data Quality: </w:t>
      </w:r>
      <w:r>
        <w:rPr>
          <w:rFonts w:ascii="Arial" w:cs="Arial" w:eastAsia="Arial" w:hAnsi="Arial"/>
          <w:sz w:val="22"/>
          <w:szCs w:val="22"/>
        </w:rPr>
        <w:t xml:space="preserve">AI outputs are only as good as input data. Mitigation: Platform B includes comprehensive data quality monitoring, lineage tracking, and automated reconciliation. No AI model deploys without certified data quality scores.</w:t>
      </w:r>
    </w:p>
    <w:p>
      <w:pPr>
        <w:spacing w:after="120" w:line="276"/>
      </w:pPr>
      <w:r>
        <w:rPr>
          <w:rFonts w:ascii="Arial" w:cs="Arial" w:eastAsia="Arial" w:hAnsi="Arial"/>
          <w:b/>
          <w:bCs/>
          <w:sz w:val="22"/>
          <w:szCs w:val="22"/>
        </w:rPr>
        <w:t xml:space="preserve">Regulatory Risk: </w:t>
      </w:r>
      <w:r>
        <w:rPr>
          <w:rFonts w:ascii="Arial" w:cs="Arial" w:eastAsia="Arial" w:hAnsi="Arial"/>
          <w:sz w:val="22"/>
          <w:szCs w:val="22"/>
        </w:rPr>
        <w:t xml:space="preserve">Regulators are developing AI governance frameworks. Mitigation: WFC’s responsible AI framework and Stanford HAI partnership provide strong foundation. All initiatives include explainability layers and human-in-the-loop controls.</w:t>
      </w:r>
    </w:p>
    <w:p>
      <w:pPr>
        <w:spacing w:after="120" w:line="276"/>
      </w:pPr>
      <w:r>
        <w:rPr>
          <w:rFonts w:ascii="Arial" w:cs="Arial" w:eastAsia="Arial" w:hAnsi="Arial"/>
          <w:b/>
          <w:bCs/>
          <w:sz w:val="22"/>
          <w:szCs w:val="22"/>
        </w:rPr>
        <w:t xml:space="preserve">Execution Risk: </w:t>
      </w:r>
      <w:r>
        <w:rPr>
          <w:rFonts w:ascii="Arial" w:cs="Arial" w:eastAsia="Arial" w:hAnsi="Arial"/>
          <w:sz w:val="22"/>
          <w:szCs w:val="22"/>
        </w:rPr>
        <w:t xml:space="preserve">Large-scale tech transformations have historically high failure rates. Mitigation: Phased implementation, quick wins (Elephant 13 Copilot), dedicated executive sponsorship, and platform-first architecture that delivers incremental value.</w:t>
      </w:r>
    </w:p>
    <w:p>
      <w:pPr>
        <w:spacing w:after="120" w:line="276"/>
      </w:pPr>
      <w:r>
        <w:rPr>
          <w:rFonts w:ascii="Arial" w:cs="Arial" w:eastAsia="Arial" w:hAnsi="Arial"/>
          <w:b/>
          <w:bCs/>
          <w:sz w:val="22"/>
          <w:szCs w:val="22"/>
        </w:rPr>
        <w:t xml:space="preserve">Talent Risk: </w:t>
      </w:r>
      <w:r>
        <w:rPr>
          <w:rFonts w:ascii="Arial" w:cs="Arial" w:eastAsia="Arial" w:hAnsi="Arial"/>
          <w:sz w:val="22"/>
          <w:szCs w:val="22"/>
        </w:rPr>
        <w:t xml:space="preserve">AI talent is scarce. Intersection of risk management and ML engineering is thin. Mitigation: Hybrid approach combining internal upskilling, strategic hiring, and managed AI vendor partnerships.</w:t>
      </w:r>
    </w:p>
    <w:p>
      <w:r>
        <w:br w:type="page"/>
      </w:r>
    </w:p>
    <w:p>
      <w:pPr>
        <w:pStyle w:val="Heading1"/>
      </w:pPr>
      <w:r>
        <w:t xml:space="preserve">Appendix A — Practical ROI Calculator Templates</w:t>
      </w:r>
    </w:p>
    <w:p>
      <w:pPr>
        <w:spacing w:after="120" w:line="276"/>
      </w:pPr>
      <w:r>
        <w:rPr>
          <w:rFonts w:ascii="Arial" w:cs="Arial" w:eastAsia="Arial" w:hAnsi="Arial"/>
          <w:sz w:val="22"/>
          <w:szCs w:val="22"/>
        </w:rPr>
        <w:t xml:space="preserve">Use these templates to size each initiative using WFC-specific volumes and costs. Keep assumptions conservative and refresh quarterly with measured post-deployment data.</w:t>
      </w:r>
    </w:p>
    <w:p>
      <w:pPr>
        <w:pStyle w:val="Heading2"/>
      </w:pPr>
      <w:r>
        <w:t xml:space="preserve">A1. Labor Savings Template</w:t>
      </w:r>
    </w:p>
    <w:p>
      <w:pPr>
        <w:spacing w:after="120" w:line="276"/>
      </w:pPr>
      <w:r>
        <w:rPr>
          <w:rFonts w:ascii="Arial" w:cs="Arial" w:eastAsia="Arial" w:hAnsi="Arial"/>
          <w:sz w:val="22"/>
          <w:szCs w:val="22"/>
        </w:rPr>
        <w:t xml:space="preserve">Annual labor benefit ≈ FTE impacted × fully loaded cost/FTE × percent time saved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Input</w:t>
            </w:r>
          </w:p>
        </w:tc>
        <w:tc>
          <w:tcPr>
            <w:tcW w:type="dxa" w:w="234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Example</w:t>
            </w:r>
          </w:p>
        </w:tc>
        <w:tc>
          <w:tcPr>
            <w:tcW w:type="dxa" w:w="234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Your Value</w:t>
            </w:r>
          </w:p>
        </w:tc>
        <w:tc>
          <w:tcPr>
            <w:tcW w:type="dxa" w:w="234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FTE impacted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800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Include analysts, risk officers, ops; avoid double counting</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Fully loaded cost/FTE</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$220,000</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Use WFC finance standard</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Percent time saved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25%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Use measured post-deployment value</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Annual labor benefit</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$44.0M</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Computed</w:t>
            </w:r>
          </w:p>
        </w:tc>
      </w:tr>
    </w:tbl>
    <w:p>
      <w:pPr>
        <w:pStyle w:val="Heading2"/>
      </w:pPr>
      <w:r>
        <w:t xml:space="preserve">A2. Volume-Based Savings Template</w:t>
      </w:r>
    </w:p>
    <w:p>
      <w:pPr>
        <w:spacing w:after="120" w:line="276"/>
      </w:pPr>
      <w:r>
        <w:rPr>
          <w:rFonts w:ascii="Arial" w:cs="Arial" w:eastAsia="Arial" w:hAnsi="Arial"/>
          <w:sz w:val="22"/>
          <w:szCs w:val="22"/>
        </w:rPr>
        <w:t xml:space="preserve">Annual benefit ≈ volume/year × minutes saved/unit × labor cost per minute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Input</w:t>
            </w:r>
          </w:p>
        </w:tc>
        <w:tc>
          <w:tcPr>
            <w:tcW w:type="dxa" w:w="234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Example</w:t>
            </w:r>
          </w:p>
        </w:tc>
        <w:tc>
          <w:tcPr>
            <w:tcW w:type="dxa" w:w="234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Your Value</w:t>
            </w:r>
          </w:p>
        </w:tc>
        <w:tc>
          <w:tcPr>
            <w:tcW w:type="dxa" w:w="234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Units/year (cases/docs/alerts)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200,000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Use system-of-record counts</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Minutes saved per unit</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6</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Measured</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Labor cost per minute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$1.75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Fully loaded; include overhead</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Annual benefit</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$2.1M</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Computed</w:t>
            </w:r>
          </w:p>
        </w:tc>
      </w:tr>
    </w:tbl>
    <w:p>
      <w:pPr>
        <w:pStyle w:val="Heading2"/>
      </w:pPr>
      <w:r>
        <w:t xml:space="preserve">A3. Loss Reduction Template (Early Warning)</w:t>
      </w:r>
    </w:p>
    <w:p>
      <w:pPr>
        <w:spacing w:after="120" w:line="276"/>
      </w:pPr>
      <w:r>
        <w:rPr>
          <w:rFonts w:ascii="Arial" w:cs="Arial" w:eastAsia="Arial" w:hAnsi="Arial"/>
          <w:sz w:val="22"/>
          <w:szCs w:val="22"/>
        </w:rPr>
        <w:t xml:space="preserve">Annual benefit ≈ portfolio EAD × (bps loss reduction)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Input</w:t>
            </w:r>
          </w:p>
        </w:tc>
        <w:tc>
          <w:tcPr>
            <w:tcW w:type="dxa" w:w="234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Example</w:t>
            </w:r>
          </w:p>
        </w:tc>
        <w:tc>
          <w:tcPr>
            <w:tcW w:type="dxa" w:w="234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Your Value</w:t>
            </w:r>
          </w:p>
        </w:tc>
        <w:tc>
          <w:tcPr>
            <w:tcW w:type="dxa" w:w="234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Relevant EAD/balance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$500B</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Use scoped portfolio only</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Loss/provision reduction (bps)</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1 bp</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Be conservative; require evidence</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Annual benefit</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$50M</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Computed</w:t>
            </w:r>
          </w:p>
        </w:tc>
      </w:tr>
    </w:tbl>
    <w:p>
      <w:r>
        <w:br w:type="page"/>
      </w:r>
    </w:p>
    <w:p>
      <w:pPr>
        <w:pStyle w:val="Heading1"/>
      </w:pPr>
      <w:r>
        <w:t xml:space="preserve">Appendix B — KPIs and Acceptance Criteria</w:t>
      </w:r>
    </w:p>
    <w:p>
      <w:pPr>
        <w:spacing w:after="120" w:line="276"/>
      </w:pPr>
      <w:r>
        <w:rPr>
          <w:rFonts w:ascii="Arial" w:cs="Arial" w:eastAsia="Arial" w:hAnsi="Arial"/>
          <w:sz w:val="22"/>
          <w:szCs w:val="22"/>
        </w:rPr>
        <w:t xml:space="preserve">Use these as starting points; tune thresholds by segment and risk appetite.</w:t>
      </w:r>
    </w:p>
    <w:p>
      <w:pPr>
        <w:pStyle w:val="ListParagraph"/>
        <w:numPr>
          <w:ilvl w:val="0"/>
          <w:numId w:val="2"/>
        </w:numPr>
        <w:spacing w:after="80" w:line="276"/>
      </w:pPr>
      <w:r>
        <w:rPr>
          <w:rFonts w:ascii="Arial" w:cs="Arial" w:eastAsia="Arial" w:hAnsi="Arial"/>
          <w:b/>
          <w:bCs/>
          <w:sz w:val="22"/>
          <w:szCs w:val="22"/>
        </w:rPr>
        <w:t xml:space="preserve">Credit Factory: </w:t>
      </w:r>
      <w:r>
        <w:rPr>
          <w:rFonts w:ascii="Arial" w:cs="Arial" w:eastAsia="Arial" w:hAnsi="Arial"/>
          <w:sz w:val="22"/>
          <w:szCs w:val="22"/>
        </w:rPr>
        <w:t xml:space="preserve">&gt;= 30% reduction in drafting/spreading time in pilot; &lt;= baseline error rate after review; &gt;= 70% draft acceptance for standard sections.</w:t>
      </w:r>
    </w:p>
    <w:p>
      <w:pPr>
        <w:pStyle w:val="ListParagraph"/>
        <w:numPr>
          <w:ilvl w:val="0"/>
          <w:numId w:val="2"/>
        </w:numPr>
        <w:spacing w:after="80" w:line="276"/>
      </w:pPr>
      <w:r>
        <w:rPr>
          <w:rFonts w:ascii="Arial" w:cs="Arial" w:eastAsia="Arial" w:hAnsi="Arial"/>
          <w:b/>
          <w:bCs/>
          <w:sz w:val="22"/>
          <w:szCs w:val="22"/>
        </w:rPr>
        <w:t xml:space="preserve">Contract Intelligence: </w:t>
      </w:r>
      <w:r>
        <w:rPr>
          <w:rFonts w:ascii="Arial" w:cs="Arial" w:eastAsia="Arial" w:hAnsi="Arial"/>
          <w:sz w:val="22"/>
          <w:szCs w:val="22"/>
        </w:rPr>
        <w:t xml:space="preserve">&gt;= 95% precision on critical term fields; &gt;= 85% recall with reviewer workflow; documented QA sampling plan.</w:t>
      </w:r>
    </w:p>
    <w:p>
      <w:pPr>
        <w:pStyle w:val="ListParagraph"/>
        <w:numPr>
          <w:ilvl w:val="0"/>
          <w:numId w:val="2"/>
        </w:numPr>
        <w:spacing w:after="80" w:line="276"/>
      </w:pPr>
      <w:r>
        <w:rPr>
          <w:rFonts w:ascii="Arial" w:cs="Arial" w:eastAsia="Arial" w:hAnsi="Arial"/>
          <w:b/>
          <w:bCs/>
          <w:sz w:val="22"/>
          <w:szCs w:val="22"/>
        </w:rPr>
        <w:t xml:space="preserve">Early Warning: </w:t>
      </w:r>
      <w:r>
        <w:rPr>
          <w:rFonts w:ascii="Arial" w:cs="Arial" w:eastAsia="Arial" w:hAnsi="Arial"/>
          <w:sz w:val="22"/>
          <w:szCs w:val="22"/>
        </w:rPr>
        <w:t xml:space="preserve">Measured lead time improvement; precision at top-N cases; documented playbooks and outcome tracking.</w:t>
      </w:r>
    </w:p>
    <w:p>
      <w:pPr>
        <w:pStyle w:val="ListParagraph"/>
        <w:numPr>
          <w:ilvl w:val="0"/>
          <w:numId w:val="2"/>
        </w:numPr>
        <w:spacing w:after="80" w:line="276"/>
      </w:pPr>
      <w:r>
        <w:rPr>
          <w:rFonts w:ascii="Arial" w:cs="Arial" w:eastAsia="Arial" w:hAnsi="Arial"/>
          <w:b/>
          <w:bCs/>
          <w:sz w:val="22"/>
          <w:szCs w:val="22"/>
        </w:rPr>
        <w:t xml:space="preserve">Collateral Ops: </w:t>
      </w:r>
      <w:r>
        <w:rPr>
          <w:rFonts w:ascii="Arial" w:cs="Arial" w:eastAsia="Arial" w:hAnsi="Arial"/>
          <w:sz w:val="22"/>
          <w:szCs w:val="22"/>
        </w:rPr>
        <w:t xml:space="preserve">Measurable reduction in dispute resolution time; reduction in aged disputes; stable incident rate.</w:t>
      </w:r>
    </w:p>
    <w:p>
      <w:pPr>
        <w:pStyle w:val="ListParagraph"/>
        <w:numPr>
          <w:ilvl w:val="0"/>
          <w:numId w:val="2"/>
        </w:numPr>
        <w:spacing w:after="80" w:line="276"/>
      </w:pPr>
      <w:r>
        <w:rPr>
          <w:rFonts w:ascii="Arial" w:cs="Arial" w:eastAsia="Arial" w:hAnsi="Arial"/>
          <w:b/>
          <w:bCs/>
          <w:sz w:val="22"/>
          <w:szCs w:val="22"/>
        </w:rPr>
        <w:t xml:space="preserve">VaR/Market Risk: </w:t>
      </w:r>
      <w:r>
        <w:rPr>
          <w:rFonts w:ascii="Arial" w:cs="Arial" w:eastAsia="Arial" w:hAnsi="Arial"/>
          <w:sz w:val="22"/>
          <w:szCs w:val="22"/>
        </w:rPr>
        <w:t xml:space="preserve">Batch runtime reduction &gt;= 50%; surrogate error within 1–2% of full model; cost per risk run reduction.</w:t>
      </w:r>
    </w:p>
    <w:p>
      <w:pPr>
        <w:pStyle w:val="ListParagraph"/>
        <w:numPr>
          <w:ilvl w:val="0"/>
          <w:numId w:val="2"/>
        </w:numPr>
        <w:spacing w:after="80" w:line="276"/>
      </w:pPr>
      <w:r>
        <w:rPr>
          <w:rFonts w:ascii="Arial" w:cs="Arial" w:eastAsia="Arial" w:hAnsi="Arial"/>
          <w:b/>
          <w:bCs/>
          <w:sz w:val="22"/>
          <w:szCs w:val="22"/>
        </w:rPr>
        <w:t xml:space="preserve">Stress Testing: </w:t>
      </w:r>
      <w:r>
        <w:rPr>
          <w:rFonts w:ascii="Arial" w:cs="Arial" w:eastAsia="Arial" w:hAnsi="Arial"/>
          <w:sz w:val="22"/>
          <w:szCs w:val="22"/>
        </w:rPr>
        <w:t xml:space="preserve">CCAR cycle time reduced by &gt;= 75%; Schedule F auto-population &gt;= 90% accuracy; narrative quality score &gt;= human baseline.</w:t>
      </w:r>
    </w:p>
    <w:p>
      <w:pPr>
        <w:pStyle w:val="ListParagraph"/>
        <w:numPr>
          <w:ilvl w:val="0"/>
          <w:numId w:val="2"/>
        </w:numPr>
        <w:spacing w:after="80" w:line="276"/>
      </w:pPr>
      <w:r>
        <w:rPr>
          <w:rFonts w:ascii="Arial" w:cs="Arial" w:eastAsia="Arial" w:hAnsi="Arial"/>
          <w:b/>
          <w:bCs/>
          <w:sz w:val="22"/>
          <w:szCs w:val="22"/>
        </w:rPr>
        <w:t xml:space="preserve">Surveillance: </w:t>
      </w:r>
      <w:r>
        <w:rPr>
          <w:rFonts w:ascii="Arial" w:cs="Arial" w:eastAsia="Arial" w:hAnsi="Arial"/>
          <w:sz w:val="22"/>
          <w:szCs w:val="22"/>
        </w:rPr>
        <w:t xml:space="preserve">False-positive reduction &gt;= 50% without material drop in true-positive capture; investigator minutes per case reduced &gt;= 40%.</w:t>
      </w:r>
    </w:p>
    <w:p>
      <w:pPr>
        <w:pStyle w:val="ListParagraph"/>
        <w:numPr>
          <w:ilvl w:val="0"/>
          <w:numId w:val="2"/>
        </w:numPr>
        <w:spacing w:after="80" w:line="276"/>
      </w:pPr>
      <w:r>
        <w:rPr>
          <w:rFonts w:ascii="Arial" w:cs="Arial" w:eastAsia="Arial" w:hAnsi="Arial"/>
          <w:b/>
          <w:bCs/>
          <w:sz w:val="22"/>
          <w:szCs w:val="22"/>
        </w:rPr>
        <w:t xml:space="preserve">KYC: </w:t>
      </w:r>
      <w:r>
        <w:rPr>
          <w:rFonts w:ascii="Arial" w:cs="Arial" w:eastAsia="Arial" w:hAnsi="Arial"/>
          <w:sz w:val="22"/>
          <w:szCs w:val="22"/>
        </w:rPr>
        <w:t xml:space="preserve">Minutes per KYC case reduced &gt;= 30%; rework/return rate below baseline; completeness defect rate stable.</w:t>
      </w:r>
    </w:p>
    <w:p>
      <w:pPr>
        <w:pStyle w:val="ListParagraph"/>
        <w:numPr>
          <w:ilvl w:val="0"/>
          <w:numId w:val="2"/>
        </w:numPr>
        <w:spacing w:after="80" w:line="276"/>
      </w:pPr>
      <w:r>
        <w:rPr>
          <w:rFonts w:ascii="Arial" w:cs="Arial" w:eastAsia="Arial" w:hAnsi="Arial"/>
          <w:b/>
          <w:bCs/>
          <w:sz w:val="22"/>
          <w:szCs w:val="22"/>
        </w:rPr>
        <w:t xml:space="preserve">Reg Reporting: </w:t>
      </w:r>
      <w:r>
        <w:rPr>
          <w:rFonts w:ascii="Arial" w:cs="Arial" w:eastAsia="Arial" w:hAnsi="Arial"/>
          <w:sz w:val="22"/>
          <w:szCs w:val="22"/>
        </w:rPr>
        <w:t xml:space="preserve">Mean time to resolve breaks reduced &gt;= 40%; narrative drafting time reduced &gt;= 50%; zero fabricated explanations.</w:t>
      </w:r>
    </w:p>
    <w:p>
      <w:pPr>
        <w:pStyle w:val="ListParagraph"/>
        <w:numPr>
          <w:ilvl w:val="0"/>
          <w:numId w:val="2"/>
        </w:numPr>
        <w:spacing w:after="80" w:line="276"/>
      </w:pPr>
      <w:r>
        <w:rPr>
          <w:rFonts w:ascii="Arial" w:cs="Arial" w:eastAsia="Arial" w:hAnsi="Arial"/>
          <w:b/>
          <w:bCs/>
          <w:sz w:val="22"/>
          <w:szCs w:val="22"/>
        </w:rPr>
        <w:t xml:space="preserve">MRM Factory: </w:t>
      </w:r>
      <w:r>
        <w:rPr>
          <w:rFonts w:ascii="Arial" w:cs="Arial" w:eastAsia="Arial" w:hAnsi="Arial"/>
          <w:sz w:val="22"/>
          <w:szCs w:val="22"/>
        </w:rPr>
        <w:t xml:space="preserve">Validation cycle reduced from months to weeks; continuous monitoring coverage &gt;= 90% of production models.</w:t>
      </w:r>
    </w:p>
    <w:p>
      <w:r>
        <w:br w:type="page"/>
      </w:r>
    </w:p>
    <w:p>
      <w:pPr>
        <w:pStyle w:val="Heading1"/>
      </w:pPr>
      <w:r>
        <w:t xml:space="preserve">Appendix C — Financial Summary &amp; ROI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c>
          <w:tcPr>
            <w:tcW w:type="dxa" w:w="320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Initiative</w:t>
            </w:r>
          </w:p>
        </w:tc>
        <w:tc>
          <w:tcPr>
            <w:tcW w:type="dxa" w:w="154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Savings Low</w:t>
            </w:r>
          </w:p>
        </w:tc>
        <w:tc>
          <w:tcPr>
            <w:tcW w:type="dxa" w:w="154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Savings High</w:t>
            </w:r>
          </w:p>
        </w:tc>
        <w:tc>
          <w:tcPr>
            <w:tcW w:type="dxa" w:w="154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Invest Low</w:t>
            </w:r>
          </w:p>
        </w:tc>
        <w:tc>
          <w:tcPr>
            <w:tcW w:type="dxa" w:w="154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Invest High</w:t>
            </w:r>
          </w:p>
        </w:tc>
      </w:tr>
      <w:tr>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1. Credit Doc-to-Decision</w:t>
            </w:r>
          </w:p>
        </w:tc>
        <w:tc>
          <w:tcPr>
            <w:tcW w:type="dxa" w:w="15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$30M</w:t>
            </w:r>
          </w:p>
        </w:tc>
        <w:tc>
          <w:tcPr>
            <w:tcW w:type="dxa" w:w="15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$120M</w:t>
            </w:r>
          </w:p>
        </w:tc>
        <w:tc>
          <w:tcPr>
            <w:tcW w:type="dxa" w:w="15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$6M</w:t>
            </w:r>
          </w:p>
        </w:tc>
        <w:tc>
          <w:tcPr>
            <w:tcW w:type="dxa" w:w="15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$10M</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2. Contract &amp; Covenant Intel</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$20M</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$60M</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$5M</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$8M</w:t>
            </w:r>
          </w:p>
        </w:tc>
      </w:tr>
      <w:tr>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3. Early-Warning Radar</w:t>
            </w:r>
          </w:p>
        </w:tc>
        <w:tc>
          <w:tcPr>
            <w:tcW w:type="dxa" w:w="15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$20M</w:t>
            </w:r>
          </w:p>
        </w:tc>
        <w:tc>
          <w:tcPr>
            <w:tcW w:type="dxa" w:w="15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$100M</w:t>
            </w:r>
          </w:p>
        </w:tc>
        <w:tc>
          <w:tcPr>
            <w:tcW w:type="dxa" w:w="15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$5M</w:t>
            </w:r>
          </w:p>
        </w:tc>
        <w:tc>
          <w:tcPr>
            <w:tcW w:type="dxa" w:w="15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$8M</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4. VaR &amp; Market Risk Engine</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$25M</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$50M</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$8M</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$12M</w:t>
            </w:r>
          </w:p>
        </w:tc>
      </w:tr>
      <w:tr>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5. CCAR Automation</w:t>
            </w:r>
          </w:p>
        </w:tc>
        <w:tc>
          <w:tcPr>
            <w:tcW w:type="dxa" w:w="15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$30M</w:t>
            </w:r>
          </w:p>
        </w:tc>
        <w:tc>
          <w:tcPr>
            <w:tcW w:type="dxa" w:w="15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$45M</w:t>
            </w:r>
          </w:p>
        </w:tc>
        <w:tc>
          <w:tcPr>
            <w:tcW w:type="dxa" w:w="15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$10M</w:t>
            </w:r>
          </w:p>
        </w:tc>
        <w:tc>
          <w:tcPr>
            <w:tcW w:type="dxa" w:w="15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$15M</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6. CCR + Collateral/Margin</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$20M</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$75M</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$6M</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$10M</w:t>
            </w:r>
          </w:p>
        </w:tc>
      </w:tr>
      <w:tr>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7. Market Surveillance</w:t>
            </w:r>
          </w:p>
        </w:tc>
        <w:tc>
          <w:tcPr>
            <w:tcW w:type="dxa" w:w="15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$20M</w:t>
            </w:r>
          </w:p>
        </w:tc>
        <w:tc>
          <w:tcPr>
            <w:tcW w:type="dxa" w:w="15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$100M</w:t>
            </w:r>
          </w:p>
        </w:tc>
        <w:tc>
          <w:tcPr>
            <w:tcW w:type="dxa" w:w="15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$6M</w:t>
            </w:r>
          </w:p>
        </w:tc>
        <w:tc>
          <w:tcPr>
            <w:tcW w:type="dxa" w:w="15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$9M</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8. Wholesale KYC</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$20M</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$150M</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$5M</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$9M</w:t>
            </w:r>
          </w:p>
        </w:tc>
      </w:tr>
      <w:tr>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9. Reg Reporting &amp; Recon</w:t>
            </w:r>
          </w:p>
        </w:tc>
        <w:tc>
          <w:tcPr>
            <w:tcW w:type="dxa" w:w="15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$20M</w:t>
            </w:r>
          </w:p>
        </w:tc>
        <w:tc>
          <w:tcPr>
            <w:tcW w:type="dxa" w:w="15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$60M</w:t>
            </w:r>
          </w:p>
        </w:tc>
        <w:tc>
          <w:tcPr>
            <w:tcW w:type="dxa" w:w="15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$7M</w:t>
            </w:r>
          </w:p>
        </w:tc>
        <w:tc>
          <w:tcPr>
            <w:tcW w:type="dxa" w:w="15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$10M</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10. MRM Factory</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$20M</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$50M</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$5M</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$8M</w:t>
            </w:r>
          </w:p>
        </w:tc>
      </w:tr>
      <w:tr>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11. Predictive Limits</w:t>
            </w:r>
          </w:p>
        </w:tc>
        <w:tc>
          <w:tcPr>
            <w:tcW w:type="dxa" w:w="15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$20M</w:t>
            </w:r>
          </w:p>
        </w:tc>
        <w:tc>
          <w:tcPr>
            <w:tcW w:type="dxa" w:w="15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$40M</w:t>
            </w:r>
          </w:p>
        </w:tc>
        <w:tc>
          <w:tcPr>
            <w:tcW w:type="dxa" w:w="15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$5M</w:t>
            </w:r>
          </w:p>
        </w:tc>
        <w:tc>
          <w:tcPr>
            <w:tcW w:type="dxa" w:w="15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$8M</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12. Op Risk &amp; Controls</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$20M</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$70M</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$5M</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$8M</w:t>
            </w:r>
          </w:p>
        </w:tc>
      </w:tr>
      <w:tr>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13. GenAI Copilot</w:t>
            </w:r>
          </w:p>
        </w:tc>
        <w:tc>
          <w:tcPr>
            <w:tcW w:type="dxa" w:w="15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$15M</w:t>
            </w:r>
          </w:p>
        </w:tc>
        <w:tc>
          <w:tcPr>
            <w:tcW w:type="dxa" w:w="15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$25M</w:t>
            </w:r>
          </w:p>
        </w:tc>
        <w:tc>
          <w:tcPr>
            <w:tcW w:type="dxa" w:w="15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$4M</w:t>
            </w:r>
          </w:p>
        </w:tc>
        <w:tc>
          <w:tcPr>
            <w:tcW w:type="dxa" w:w="15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$6M</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14. Liquidity Intelligence</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$10M</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$20M</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$5M</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$7M</w:t>
            </w:r>
          </w:p>
        </w:tc>
      </w:tr>
      <w:tr>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15. Climate/ESG Engine</w:t>
            </w:r>
          </w:p>
        </w:tc>
        <w:tc>
          <w:tcPr>
            <w:tcW w:type="dxa" w:w="15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$5M</w:t>
            </w:r>
          </w:p>
        </w:tc>
        <w:tc>
          <w:tcPr>
            <w:tcW w:type="dxa" w:w="15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bCs/>
                <w:sz w:val="18"/>
                <w:szCs w:val="18"/>
              </w:rPr>
              <w:t xml:space="preserve">$10M</w:t>
            </w:r>
          </w:p>
        </w:tc>
        <w:tc>
          <w:tcPr>
            <w:tcW w:type="dxa" w:w="15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$4M</w:t>
            </w:r>
          </w:p>
        </w:tc>
        <w:tc>
          <w:tcPr>
            <w:tcW w:type="dxa" w:w="15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$7M</w:t>
            </w:r>
          </w:p>
        </w:tc>
      </w:tr>
      <w:tr>
        <w:tc>
          <w:tcPr>
            <w:tcW w:type="dxa" w:w="320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TOTAL PORTFOLIO</w:t>
            </w:r>
          </w:p>
        </w:tc>
        <w:tc>
          <w:tcPr>
            <w:tcW w:type="dxa" w:w="154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$295M</w:t>
            </w:r>
          </w:p>
        </w:tc>
        <w:tc>
          <w:tcPr>
            <w:tcW w:type="dxa" w:w="154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$975M</w:t>
            </w:r>
          </w:p>
        </w:tc>
        <w:tc>
          <w:tcPr>
            <w:tcW w:type="dxa" w:w="154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$86M</w:t>
            </w:r>
          </w:p>
        </w:tc>
        <w:tc>
          <w:tcPr>
            <w:tcW w:type="dxa" w:w="154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19"/>
                <w:szCs w:val="19"/>
              </w:rPr>
              <w:t xml:space="preserve">$135M</w:t>
            </w:r>
          </w:p>
        </w:tc>
      </w:tr>
    </w:tbl>
    <w:p>
      <w:pPr>
        <w:spacing w:after="200"/>
      </w:pPr>
    </w:p>
    <w:p>
      <w:pPr>
        <w:spacing w:after="120" w:line="276"/>
      </w:pPr>
      <w:r>
        <w:rPr>
          <w:rFonts w:ascii="Arial" w:cs="Arial" w:eastAsia="Arial" w:hAnsi="Arial"/>
          <w:sz w:val="22"/>
          <w:szCs w:val="22"/>
        </w:rPr>
        <w:t xml:space="preserve">Midpoint estimate: ~$635M in annual recurring value against ~$111M in one-time investment, yielding a 5.7x Year 1 ROI at full deployment. The wide range reflects the difference between conservative assumptions (25% time savings, narrow scope) and full-scale deployment with loss-prevention benefits. Even at the low end ($295M), the portfolio delivers 2.2x–3.4x returns on investment. These figures exclude second-order benefits: regulatory capital optimization ($500M–$1B+ in freed capital), revenue uplift from faster trading desk responses, and talent attraction/retention.</w:t>
      </w:r>
    </w:p>
    <w:p>
      <w:pPr>
        <w:pStyle w:val="Heading2"/>
      </w:pPr>
      <w:r>
        <w:t xml:space="preserve">Comparison to Peer Investment</w:t>
      </w:r>
    </w:p>
    <w:p>
      <w:pPr>
        <w:spacing w:after="120" w:line="276"/>
      </w:pPr>
      <w:r>
        <w:rPr>
          <w:rFonts w:ascii="Arial" w:cs="Arial" w:eastAsia="Arial" w:hAnsi="Arial"/>
          <w:sz w:val="22"/>
          <w:szCs w:val="22"/>
        </w:rPr>
        <w:t xml:space="preserve">JPMorgan’s $1.3B annual AI investment generating $1.5–2.0B in value represents ~1.3–1.5x annual return. This roadmap proposes $86–135M for $295–975M in annual returns — a significantly higher return density because it targets the highest-ROI use cases in CIB risk rather than boiling the ocean. The focused, surgical approach delivers outsized returns relative to investment and can be expanded based on proven results.</w:t>
      </w:r>
    </w:p>
    <w:p>
      <w:r>
        <w:br w:type="page"/>
      </w:r>
    </w:p>
    <w:p>
      <w:pPr>
        <w:pStyle w:val="Heading1"/>
      </w:pPr>
      <w:r>
        <w:t xml:space="preserve">References</w:t>
      </w:r>
    </w:p>
    <w:p>
      <w:pPr>
        <w:spacing w:after="120" w:line="276"/>
      </w:pPr>
      <w:r>
        <w:rPr>
          <w:rFonts w:ascii="Arial" w:cs="Arial" w:eastAsia="Arial" w:hAnsi="Arial"/>
          <w:sz w:val="22"/>
          <w:szCs w:val="22"/>
        </w:rPr>
        <w:t xml:space="preserve">1. Bloomberg (2017): JPMorgan COiN and 360,000 hours/year estimate.</w:t>
      </w:r>
    </w:p>
    <w:p>
      <w:pPr>
        <w:spacing w:after="120" w:line="276"/>
      </w:pPr>
      <w:r>
        <w:rPr>
          <w:rFonts w:ascii="Arial" w:cs="Arial" w:eastAsia="Arial" w:hAnsi="Arial"/>
          <w:sz w:val="22"/>
          <w:szCs w:val="22"/>
        </w:rPr>
        <w:t xml:space="preserve">2. Reuters (2024-07-25): JPMorgan LLM Suite internal rollout.</w:t>
      </w:r>
    </w:p>
    <w:p>
      <w:pPr>
        <w:spacing w:after="120" w:line="276"/>
      </w:pPr>
      <w:r>
        <w:rPr>
          <w:rFonts w:ascii="Arial" w:cs="Arial" w:eastAsia="Arial" w:hAnsi="Arial"/>
          <w:sz w:val="22"/>
          <w:szCs w:val="22"/>
        </w:rPr>
        <w:t xml:space="preserve">3. Reuters (2025-03-13): JPMorgan engineer efficiency gains 10–20% from coding assistant.</w:t>
      </w:r>
    </w:p>
    <w:p>
      <w:pPr>
        <w:spacing w:after="120" w:line="276"/>
      </w:pPr>
      <w:r>
        <w:rPr>
          <w:rFonts w:ascii="Arial" w:cs="Arial" w:eastAsia="Arial" w:hAnsi="Arial"/>
          <w:sz w:val="22"/>
          <w:szCs w:val="22"/>
        </w:rPr>
        <w:t xml:space="preserve">4. Reuters (2025-06-23): Goldman Sachs firmwide GS AI Assistant rollout.</w:t>
      </w:r>
    </w:p>
    <w:p>
      <w:pPr>
        <w:spacing w:after="120" w:line="276"/>
      </w:pPr>
      <w:r>
        <w:rPr>
          <w:rFonts w:ascii="Arial" w:cs="Arial" w:eastAsia="Arial" w:hAnsi="Arial"/>
          <w:sz w:val="22"/>
          <w:szCs w:val="22"/>
        </w:rPr>
        <w:t xml:space="preserve">5. Reuters (2024-12-04): Citigroup Assist and Stylus rollout.</w:t>
      </w:r>
    </w:p>
    <w:p>
      <w:pPr>
        <w:spacing w:after="120" w:line="276"/>
      </w:pPr>
      <w:r>
        <w:rPr>
          <w:rFonts w:ascii="Arial" w:cs="Arial" w:eastAsia="Arial" w:hAnsi="Arial"/>
          <w:sz w:val="22"/>
          <w:szCs w:val="22"/>
        </w:rPr>
        <w:t xml:space="preserve">6. BNY: Eliza enterprise AI platform page.</w:t>
      </w:r>
    </w:p>
    <w:p>
      <w:pPr>
        <w:spacing w:after="120" w:line="276"/>
      </w:pPr>
      <w:r>
        <w:rPr>
          <w:rFonts w:ascii="Arial" w:cs="Arial" w:eastAsia="Arial" w:hAnsi="Arial"/>
          <w:sz w:val="22"/>
          <w:szCs w:val="22"/>
        </w:rPr>
        <w:t xml:space="preserve">7. Standard Chartered (2025-03-27): SC GPT rollout across 41 markets.</w:t>
      </w:r>
    </w:p>
    <w:p>
      <w:pPr>
        <w:spacing w:after="120" w:line="276"/>
      </w:pPr>
      <w:r>
        <w:rPr>
          <w:rFonts w:ascii="Arial" w:cs="Arial" w:eastAsia="Arial" w:hAnsi="Arial"/>
          <w:sz w:val="22"/>
          <w:szCs w:val="22"/>
        </w:rPr>
        <w:t xml:space="preserve">8. Reuters (2025-12-01): HSBC partnership with Mistral.</w:t>
      </w:r>
    </w:p>
    <w:p>
      <w:pPr>
        <w:spacing w:after="120" w:line="276"/>
      </w:pPr>
      <w:r>
        <w:rPr>
          <w:rFonts w:ascii="Arial" w:cs="Arial" w:eastAsia="Arial" w:hAnsi="Arial"/>
          <w:sz w:val="22"/>
          <w:szCs w:val="22"/>
        </w:rPr>
        <w:t xml:space="preserve">9. Wells Fargo newsroom (2024-07-30): Head of Technology and GenAI team announcement.</w:t>
      </w:r>
    </w:p>
    <w:p>
      <w:pPr>
        <w:spacing w:after="120" w:line="276"/>
      </w:pPr>
      <w:r>
        <w:rPr>
          <w:rFonts w:ascii="Arial" w:cs="Arial" w:eastAsia="Arial" w:hAnsi="Arial"/>
          <w:sz w:val="22"/>
          <w:szCs w:val="22"/>
        </w:rPr>
        <w:t xml:space="preserve">10. Evident AI Index (2023–2025): JPMorgan #1 ranking for three consecutive years.</w:t>
      </w:r>
    </w:p>
    <w:p>
      <w:pPr>
        <w:spacing w:after="120" w:line="276"/>
      </w:pPr>
      <w:r>
        <w:rPr>
          <w:rFonts w:ascii="Arial" w:cs="Arial" w:eastAsia="Arial" w:hAnsi="Arial"/>
          <w:sz w:val="22"/>
          <w:szCs w:val="22"/>
        </w:rPr>
        <w:t xml:space="preserve">11. JPMorgan Chase Investor Day (May 2025): 175+ CIB AI use cases, $18B tech budget, data modernization metrics.</w:t>
      </w:r>
    </w:p>
    <w:p>
      <w:pPr>
        <w:spacing w:after="120" w:line="276"/>
      </w:pPr>
      <w:r>
        <w:rPr>
          <w:rFonts w:ascii="Arial" w:cs="Arial" w:eastAsia="Arial" w:hAnsi="Arial"/>
          <w:sz w:val="22"/>
          <w:szCs w:val="22"/>
        </w:rPr>
        <w:t xml:space="preserve">12. Klover.ai (July 2025): Wells Fargo AI Strategy Analysis; Goldman Sachs AI Strategy Analysis; JPMorgan AI Strategy Analysis.</w:t>
      </w:r>
    </w:p>
    <w:p>
      <w:pPr>
        <w:spacing w:after="120" w:line="276"/>
      </w:pPr>
      <w:r>
        <w:rPr>
          <w:rFonts w:ascii="Arial" w:cs="Arial" w:eastAsia="Arial" w:hAnsi="Arial"/>
          <w:sz w:val="22"/>
          <w:szCs w:val="22"/>
        </w:rPr>
        <w:t xml:space="preserve">13. Training the Street (October 2025): State of AI in Finance: 2025 Global Outlook.</w:t>
      </w:r>
    </w:p>
    <w:p>
      <w:pPr>
        <w:spacing w:after="120" w:line="276"/>
      </w:pPr>
      <w:r>
        <w:rPr>
          <w:rFonts w:ascii="Arial" w:cs="Arial" w:eastAsia="Arial" w:hAnsi="Arial"/>
          <w:sz w:val="22"/>
          <w:szCs w:val="22"/>
        </w:rPr>
        <w:t xml:space="preserve">14. IBM Institute for Business Value (2025): Banking in the AI Era — risk management survey.</w:t>
      </w:r>
    </w:p>
    <w:p>
      <w:pPr>
        <w:spacing w:after="120" w:line="276"/>
      </w:pPr>
      <w:r>
        <w:rPr>
          <w:rFonts w:ascii="Arial" w:cs="Arial" w:eastAsia="Arial" w:hAnsi="Arial"/>
          <w:sz w:val="22"/>
          <w:szCs w:val="22"/>
        </w:rPr>
        <w:t xml:space="preserve">15. McKinsey &amp; Company: 74% of AI pioneers report &gt;10% ROI; 90% reduction in climate risk assessment time with GenAI.</w:t>
      </w:r>
    </w:p>
    <w:p>
      <w:pPr>
        <w:spacing w:after="120" w:line="276"/>
      </w:pPr>
      <w:r>
        <w:rPr>
          <w:rFonts w:ascii="Arial" w:cs="Arial" w:eastAsia="Arial" w:hAnsi="Arial"/>
          <w:sz w:val="22"/>
          <w:szCs w:val="22"/>
        </w:rPr>
        <w:t xml:space="preserve">16. PwC 2025 Pulse Survey: 49% of tech leaders report AI fully integrated into core strategies.</w:t>
      </w:r>
    </w:p>
    <w:p>
      <w:pPr>
        <w:spacing w:after="120" w:line="276"/>
      </w:pPr>
      <w:r>
        <w:rPr>
          <w:rFonts w:ascii="Arial" w:cs="Arial" w:eastAsia="Arial" w:hAnsi="Arial"/>
          <w:sz w:val="22"/>
          <w:szCs w:val="22"/>
        </w:rPr>
        <w:t xml:space="preserve">17. Bank Policy Institute (February 2025): DFAST 2025 Stress Test Scenario Analysis.</w:t>
      </w:r>
    </w:p>
    <w:p>
      <w:pPr>
        <w:spacing w:after="120" w:line="276"/>
      </w:pPr>
      <w:r>
        <w:rPr>
          <w:rFonts w:ascii="Arial" w:cs="Arial" w:eastAsia="Arial" w:hAnsi="Arial"/>
          <w:sz w:val="22"/>
          <w:szCs w:val="22"/>
        </w:rPr>
        <w:t xml:space="preserve">18. IOSCO (March 2025): AI Governance Consultation Report for capital markets.</w:t>
      </w:r>
    </w:p>
    <w:p>
      <w:pPr>
        <w:spacing w:after="120" w:line="276"/>
      </w:pPr>
      <w:r>
        <w:rPr>
          <w:rFonts w:ascii="Arial" w:cs="Arial" w:eastAsia="Arial" w:hAnsi="Arial"/>
          <w:sz w:val="22"/>
          <w:szCs w:val="22"/>
        </w:rPr>
        <w:t xml:space="preserve">19. FSB (November 2024): AI Systemic Risk Report.</w:t>
      </w:r>
    </w:p>
    <w:p>
      <w:pPr>
        <w:spacing w:after="120" w:line="276"/>
      </w:pPr>
      <w:r>
        <w:rPr>
          <w:rFonts w:ascii="Arial" w:cs="Arial" w:eastAsia="Arial" w:hAnsi="Arial"/>
          <w:sz w:val="22"/>
          <w:szCs w:val="22"/>
        </w:rPr>
        <w:t xml:space="preserve">20. American Banker (November 2025): How Wells Fargo is Building Agentic AI into Its Workflows.</w:t>
      </w:r>
    </w:p>
    <w:p>
      <w:pPr>
        <w:spacing w:after="120" w:line="276"/>
      </w:pPr>
      <w:r>
        <w:rPr>
          <w:rFonts w:ascii="Arial" w:cs="Arial" w:eastAsia="Arial" w:hAnsi="Arial"/>
          <w:sz w:val="22"/>
          <w:szCs w:val="22"/>
        </w:rPr>
        <w:t xml:space="preserve">21. Accenture 2025: 78% of investment banks providing customized portfolios with AI; 15% client retention improvement.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1B1B"/>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A4A7F"/>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A3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2026-02-11T21:26:30.667Z</dcterms:created>
  <dcterms:modified xsi:type="dcterms:W3CDTF">2026-02-11T21:26:30.668Z</dcterms:modified>
</cp:coreProperties>
</file>

<file path=docProps/custom.xml><?xml version="1.0" encoding="utf-8"?>
<Properties xmlns="http://schemas.openxmlformats.org/officeDocument/2006/custom-properties" xmlns:vt="http://schemas.openxmlformats.org/officeDocument/2006/docPropsVTypes"/>
</file>