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200"/>
        <w:jc w:val="center"/>
      </w:pPr>
      <w:r>
        <w:rPr>
          <w:rFonts w:ascii="Arial" w:cs="Arial" w:eastAsia="Arial" w:hAnsi="Arial"/>
          <w:b/>
          <w:bCs/>
          <w:color w:val="1a365d"/>
          <w:sz w:val="56"/>
          <w:szCs w:val="56"/>
        </w:rPr>
        <w:t xml:space="preserve">MARKET RISK INTELLIGENCE BRIEF</w:t>
      </w:r>
    </w:p>
    <w:p>
      <w:pPr>
        <w:spacing w:after="400"/>
        <w:jc w:val="center"/>
      </w:pPr>
      <w:r>
        <w:rPr>
          <w:rFonts w:ascii="Arial" w:cs="Arial" w:eastAsia="Arial" w:hAnsi="Arial"/>
          <w:color w:val="4a5568"/>
          <w:sz w:val="28"/>
          <w:szCs w:val="28"/>
        </w:rPr>
        <w:t xml:space="preserve">Corporate &amp; Investment Banking Division</w:t>
      </w:r>
    </w:p>
    <w:p>
      <w:pPr>
        <w:spacing w:after="100"/>
        <w:jc w:val="center"/>
      </w:pPr>
      <w:r>
        <w:rPr>
          <w:rFonts w:ascii="Arial" w:cs="Arial" w:eastAsia="Arial" w:hAnsi="Arial"/>
          <w:sz w:val="24"/>
          <w:szCs w:val="24"/>
        </w:rPr>
        <w:t xml:space="preserve">Report Date: Friday, January 30, 2026</w:t>
      </w:r>
    </w:p>
    <w:p>
      <w:pPr>
        <w:spacing w:after="600"/>
        <w:jc w:val="center"/>
      </w:pPr>
      <w:r>
        <w:rPr>
          <w:rFonts w:ascii="Arial" w:cs="Arial" w:eastAsia="Arial" w:hAnsi="Arial"/>
          <w:sz w:val="24"/>
          <w:szCs w:val="24"/>
        </w:rPr>
        <w:t xml:space="preserve">Outlook Period: Week of January 26 through February 9, 2026</w:t>
      </w:r>
    </w:p>
    <w:p>
      <w:pPr>
        <w:spacing w:after="200"/>
        <w:jc w:val="center"/>
      </w:pPr>
      <w:r>
        <w:rPr>
          <w:rFonts w:ascii="Arial" w:cs="Arial" w:eastAsia="Arial" w:hAnsi="Arial"/>
          <w:i/>
          <w:iCs/>
          <w:color w:val="666666"/>
          <w:sz w:val="22"/>
          <w:szCs w:val="22"/>
        </w:rPr>
        <w:t xml:space="preserve">Prepared for the Chief Risk Officer</w:t>
      </w:r>
    </w:p>
    <w:p>
      <w:pPr>
        <w:spacing w:before="1200"/>
      </w:pPr>
    </w:p>
    <w:tbl>
      <w:tblPr>
        <w:tblW w:type="pct" w:w="5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C0000" w:sz="2"/>
              <w:left w:val="single" w:color="CC0000" w:sz="2"/>
              <w:bottom w:val="single" w:color="CC0000" w:sz="2"/>
              <w:right w:val="single" w:color="CC0000" w:sz="2"/>
            </w:tcBorders>
            <w:tcMar>
              <w:top w:type="dxa" w:w="100"/>
              <w:left w:type="dxa" w:w="200"/>
              <w:bottom w:type="dxa" w:w="100"/>
              <w:right w:type="dxa" w:w="200"/>
            </w:tcMar>
          </w:tcPr>
          <w:p>
            <w:pPr>
              <w:jc w:val="center"/>
            </w:pPr>
            <w:r>
              <w:rPr>
                <w:rFonts w:ascii="Arial" w:cs="Arial" w:eastAsia="Arial" w:hAnsi="Arial"/>
                <w:b/>
                <w:bCs/>
                <w:color w:val="CC0000"/>
                <w:sz w:val="22"/>
                <w:szCs w:val="22"/>
              </w:rPr>
              <w:t xml:space="preserve">CONFIDENTIAL - INTERNAL USE ONLY</w:t>
            </w:r>
          </w:p>
        </w:tc>
      </w:tr>
    </w:tbl>
    <w:p>
      <w:r>
        <w:br w:type="page"/>
      </w:r>
    </w:p>
    <w:p>
      <w:pPr>
        <w:pStyle w:val="Heading1"/>
      </w:pPr>
      <w:r>
        <w:t xml:space="preserve">I. EXECUTIVE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53030" w:sz="2"/>
              <w:left w:val="single" w:color="C53030" w:sz="2"/>
              <w:bottom w:val="single" w:color="C53030" w:sz="2"/>
              <w:right w:val="single" w:color="C53030" w:sz="2"/>
            </w:tcBorders>
            <w:shd w:fill="FFF5F5" w:val="clear"/>
            <w:tcMar>
              <w:top w:type="dxa" w:w="120"/>
              <w:left w:type="dxa" w:w="200"/>
              <w:bottom w:type="dxa" w:w="120"/>
              <w:right w:type="dxa" w:w="200"/>
            </w:tcMar>
          </w:tcPr>
          <w:p>
            <w:r>
              <w:rPr>
                <w:rFonts w:ascii="Arial" w:cs="Arial" w:eastAsia="Arial" w:hAnsi="Arial"/>
                <w:b/>
                <w:bCs/>
                <w:sz w:val="24"/>
                <w:szCs w:val="24"/>
              </w:rPr>
              <w:t xml:space="preserve">RISK POSTURE RECOMMENDATION: </w:t>
            </w:r>
            <w:r>
              <w:rPr>
                <w:rFonts w:ascii="Arial" w:cs="Arial" w:eastAsia="Arial" w:hAnsi="Arial"/>
                <w:b/>
                <w:bCs/>
                <w:color w:val="C53030"/>
                <w:sz w:val="28"/>
                <w:szCs w:val="28"/>
              </w:rPr>
              <w:t xml:space="preserve">DEFENSIVE</w:t>
            </w:r>
          </w:p>
          <w:p>
            <w:pPr>
              <w:spacing w:before="80"/>
            </w:pPr>
            <w:r>
              <w:rPr>
                <w:rFonts w:ascii="Arial" w:cs="Arial" w:eastAsia="Arial" w:hAnsi="Arial"/>
                <w:sz w:val="22"/>
                <w:szCs w:val="22"/>
              </w:rPr>
              <w:t xml:space="preserve">Fed leadership transition uncertainty, elevated geopolitical risks (Iran, Japan election), and stretched valuations across credit and equities warrant reduced risk appetite and enhanced hedging.</w:t>
            </w:r>
          </w:p>
        </w:tc>
      </w:tr>
    </w:tbl>
    <w:p>
      <w:pPr>
        <w:pStyle w:val="Heading2"/>
        <w:spacing w:before="300"/>
      </w:pPr>
      <w:r>
        <w:t xml:space="preserve">Top 3 Priority Risks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2000"/>
        <w:gridCol w:w="3560"/>
      </w:tblGrid>
      <w:tr>
        <w:tc>
          <w:tcPr>
            <w:tcW w:type="dxa" w:w="600"/>
            <w:tcBorders>
              <w:top w:val="single" w:color="666666" w:sz="1"/>
              <w:left w:val="single" w:color="666666" w:sz="1"/>
              <w:bottom w:val="single" w:color="666666" w:sz="1"/>
              <w:right w:val="single" w:color="666666"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200"/>
            <w:tcBorders>
              <w:top w:val="single" w:color="666666" w:sz="1"/>
              <w:left w:val="single" w:color="666666" w:sz="1"/>
              <w:bottom w:val="single" w:color="666666" w:sz="1"/>
              <w:right w:val="single" w:color="666666"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Risk Description</w:t>
            </w:r>
          </w:p>
        </w:tc>
        <w:tc>
          <w:tcPr>
            <w:tcW w:type="dxa" w:w="2000"/>
            <w:tcBorders>
              <w:top w:val="single" w:color="666666" w:sz="1"/>
              <w:left w:val="single" w:color="666666" w:sz="1"/>
              <w:bottom w:val="single" w:color="666666" w:sz="1"/>
              <w:right w:val="single" w:color="666666"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Affected Desks</w:t>
            </w:r>
          </w:p>
        </w:tc>
        <w:tc>
          <w:tcPr>
            <w:tcW w:type="dxa" w:w="3560"/>
            <w:tcBorders>
              <w:top w:val="single" w:color="666666" w:sz="1"/>
              <w:left w:val="single" w:color="666666" w:sz="1"/>
              <w:bottom w:val="single" w:color="666666" w:sz="1"/>
              <w:right w:val="single" w:color="666666"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Recommended Action</w:t>
            </w:r>
          </w:p>
        </w:tc>
      </w:tr>
      <w:tr>
        <w:tc>
          <w:tcPr>
            <w:tcW w:type="dxa" w:w="60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rFonts w:ascii="Arial" w:cs="Arial" w:eastAsia="Arial" w:hAnsi="Arial"/>
                <w:b/>
                <w:bCs/>
                <w:sz w:val="20"/>
                <w:szCs w:val="20"/>
              </w:rPr>
              <w:t xml:space="preserve">1</w:t>
            </w:r>
          </w:p>
        </w:tc>
        <w:tc>
          <w:tcPr>
            <w:tcW w:type="dxa" w:w="320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rFonts w:ascii="Arial" w:cs="Arial" w:eastAsia="Arial" w:hAnsi="Arial"/>
                <w:b w:val="false"/>
                <w:bCs w:val="false"/>
                <w:sz w:val="20"/>
                <w:szCs w:val="20"/>
              </w:rPr>
              <w:t xml:space="preserve">Fed Chair Transition: Kevin Warsh nomination creates policy uncertainty; Senate confirmation contested; market pricing for 2026 rate path unstable</w:t>
            </w:r>
          </w:p>
        </w:tc>
        <w:tc>
          <w:tcPr>
            <w:tcW w:type="dxa" w:w="200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rFonts w:ascii="Arial" w:cs="Arial" w:eastAsia="Arial" w:hAnsi="Arial"/>
                <w:b w:val="false"/>
                <w:bCs w:val="false"/>
                <w:sz w:val="20"/>
                <w:szCs w:val="20"/>
              </w:rPr>
              <w:t xml:space="preserve">Rates, FX, Equities</w:t>
            </w:r>
          </w:p>
        </w:tc>
        <w:tc>
          <w:tcPr>
            <w:tcW w:type="dxa" w:w="356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rFonts w:ascii="Arial" w:cs="Arial" w:eastAsia="Arial" w:hAnsi="Arial"/>
                <w:b w:val="false"/>
                <w:bCs w:val="false"/>
                <w:sz w:val="20"/>
                <w:szCs w:val="20"/>
              </w:rPr>
              <w:t xml:space="preserve">Reduce duration exposure; increase optionality on SOFR; monitor Warsh confirmation hearings</w:t>
            </w:r>
          </w:p>
        </w:tc>
      </w:tr>
      <w:tr>
        <w:tc>
          <w:tcPr>
            <w:tcW w:type="dxa" w:w="60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rFonts w:ascii="Arial" w:cs="Arial" w:eastAsia="Arial" w:hAnsi="Arial"/>
                <w:b/>
                <w:bCs/>
                <w:sz w:val="20"/>
                <w:szCs w:val="20"/>
              </w:rPr>
              <w:t xml:space="preserve">2</w:t>
            </w:r>
          </w:p>
        </w:tc>
        <w:tc>
          <w:tcPr>
            <w:tcW w:type="dxa" w:w="320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rFonts w:ascii="Arial" w:cs="Arial" w:eastAsia="Arial" w:hAnsi="Arial"/>
                <w:b w:val="false"/>
                <w:bCs w:val="false"/>
                <w:sz w:val="20"/>
                <w:szCs w:val="20"/>
              </w:rPr>
              <w:t xml:space="preserve">Japan Financial Instability: JGB yields at 27-year highs (2.275%); snap election Feb 8; yen intervention risk; fiscal credibility concerns</w:t>
            </w:r>
          </w:p>
        </w:tc>
        <w:tc>
          <w:tcPr>
            <w:tcW w:type="dxa" w:w="200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rFonts w:ascii="Arial" w:cs="Arial" w:eastAsia="Arial" w:hAnsi="Arial"/>
                <w:b w:val="false"/>
                <w:bCs w:val="false"/>
                <w:sz w:val="20"/>
                <w:szCs w:val="20"/>
              </w:rPr>
              <w:t xml:space="preserve">Rates, FX, EM</w:t>
            </w:r>
          </w:p>
        </w:tc>
        <w:tc>
          <w:tcPr>
            <w:tcW w:type="dxa" w:w="356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rFonts w:ascii="Arial" w:cs="Arial" w:eastAsia="Arial" w:hAnsi="Arial"/>
                <w:b w:val="false"/>
                <w:bCs w:val="false"/>
                <w:sz w:val="20"/>
                <w:szCs w:val="20"/>
              </w:rPr>
              <w:t xml:space="preserve">Reduce JGB exposure; position for continued yen volatility; review Japan counterparty limits</w:t>
            </w:r>
          </w:p>
        </w:tc>
      </w:tr>
      <w:tr>
        <w:tc>
          <w:tcPr>
            <w:tcW w:type="dxa" w:w="60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rFonts w:ascii="Arial" w:cs="Arial" w:eastAsia="Arial" w:hAnsi="Arial"/>
                <w:b/>
                <w:bCs/>
                <w:sz w:val="20"/>
                <w:szCs w:val="20"/>
              </w:rPr>
              <w:t xml:space="preserve">3</w:t>
            </w:r>
          </w:p>
        </w:tc>
        <w:tc>
          <w:tcPr>
            <w:tcW w:type="dxa" w:w="320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rFonts w:ascii="Arial" w:cs="Arial" w:eastAsia="Arial" w:hAnsi="Arial"/>
                <w:b w:val="false"/>
                <w:bCs w:val="false"/>
                <w:sz w:val="20"/>
                <w:szCs w:val="20"/>
              </w:rPr>
              <w:t xml:space="preserve">Iran Escalation: Trump administration threatening military action; Strait of Hormuz disruption risk; oil price spike potential</w:t>
            </w:r>
          </w:p>
        </w:tc>
        <w:tc>
          <w:tcPr>
            <w:tcW w:type="dxa" w:w="200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rFonts w:ascii="Arial" w:cs="Arial" w:eastAsia="Arial" w:hAnsi="Arial"/>
                <w:b w:val="false"/>
                <w:bCs w:val="false"/>
                <w:sz w:val="20"/>
                <w:szCs w:val="20"/>
              </w:rPr>
              <w:t xml:space="preserve">Commodities, FX, Credit</w:t>
            </w:r>
          </w:p>
        </w:tc>
        <w:tc>
          <w:tcPr>
            <w:tcW w:type="dxa" w:w="356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rFonts w:ascii="Arial" w:cs="Arial" w:eastAsia="Arial" w:hAnsi="Arial"/>
                <w:b w:val="false"/>
                <w:bCs w:val="false"/>
                <w:sz w:val="20"/>
                <w:szCs w:val="20"/>
              </w:rPr>
              <w:t xml:space="preserve">Increase crude call spreads; monitor energy sector credit; stress test MENA exposures</w:t>
            </w:r>
          </w:p>
        </w:tc>
      </w:tr>
    </w:tbl>
    <w:p>
      <w:pPr>
        <w:pStyle w:val="Heading2"/>
        <w:spacing w:before="300"/>
      </w:pPr>
      <w:r>
        <w:t xml:space="preserve">Top 3 Opportunities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2200"/>
        <w:gridCol w:w="3360"/>
      </w:tblGrid>
      <w:tr>
        <w:tc>
          <w:tcPr>
            <w:tcW w:type="dxa" w:w="600"/>
            <w:tcBorders>
              <w:top w:val="single" w:color="666666" w:sz="1"/>
              <w:left w:val="single" w:color="666666" w:sz="1"/>
              <w:bottom w:val="single" w:color="666666" w:sz="1"/>
              <w:right w:val="single" w:color="666666"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200"/>
            <w:tcBorders>
              <w:top w:val="single" w:color="666666" w:sz="1"/>
              <w:left w:val="single" w:color="666666" w:sz="1"/>
              <w:bottom w:val="single" w:color="666666" w:sz="1"/>
              <w:right w:val="single" w:color="666666"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Opportunity Description</w:t>
            </w:r>
          </w:p>
        </w:tc>
        <w:tc>
          <w:tcPr>
            <w:tcW w:type="dxa" w:w="2200"/>
            <w:tcBorders>
              <w:top w:val="single" w:color="666666" w:sz="1"/>
              <w:left w:val="single" w:color="666666" w:sz="1"/>
              <w:bottom w:val="single" w:color="666666" w:sz="1"/>
              <w:right w:val="single" w:color="666666"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Asset Class</w:t>
            </w:r>
          </w:p>
        </w:tc>
        <w:tc>
          <w:tcPr>
            <w:tcW w:type="dxa" w:w="3360"/>
            <w:tcBorders>
              <w:top w:val="single" w:color="666666" w:sz="1"/>
              <w:left w:val="single" w:color="666666" w:sz="1"/>
              <w:bottom w:val="single" w:color="666666" w:sz="1"/>
              <w:right w:val="single" w:color="666666"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Strategy</w:t>
            </w:r>
          </w:p>
        </w:tc>
      </w:tr>
      <w:tr>
        <w:tc>
          <w:tcPr>
            <w:tcW w:type="dxa" w:w="60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rFonts w:ascii="Arial" w:cs="Arial" w:eastAsia="Arial" w:hAnsi="Arial"/>
                <w:b/>
                <w:bCs/>
                <w:sz w:val="20"/>
                <w:szCs w:val="20"/>
              </w:rPr>
              <w:t xml:space="preserve">1</w:t>
            </w:r>
          </w:p>
        </w:tc>
        <w:tc>
          <w:tcPr>
            <w:tcW w:type="dxa" w:w="320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rFonts w:ascii="Arial" w:cs="Arial" w:eastAsia="Arial" w:hAnsi="Arial"/>
                <w:b w:val="false"/>
                <w:bCs w:val="false"/>
                <w:sz w:val="20"/>
                <w:szCs w:val="20"/>
              </w:rPr>
              <w:t xml:space="preserve">EM FX Carry: Low volatility, attractive rate differentials in LATAM (BRL, MXN); dollar weakness supporting EM performance</w:t>
            </w:r>
          </w:p>
        </w:tc>
        <w:tc>
          <w:tcPr>
            <w:tcW w:type="dxa" w:w="220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rFonts w:ascii="Arial" w:cs="Arial" w:eastAsia="Arial" w:hAnsi="Arial"/>
                <w:b w:val="false"/>
                <w:bCs w:val="false"/>
                <w:sz w:val="20"/>
                <w:szCs w:val="20"/>
              </w:rPr>
              <w:t xml:space="preserve">FX</w:t>
            </w:r>
          </w:p>
        </w:tc>
        <w:tc>
          <w:tcPr>
            <w:tcW w:type="dxa" w:w="336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rFonts w:ascii="Arial" w:cs="Arial" w:eastAsia="Arial" w:hAnsi="Arial"/>
                <w:b w:val="false"/>
                <w:bCs w:val="false"/>
                <w:sz w:val="20"/>
                <w:szCs w:val="20"/>
              </w:rPr>
              <w:t xml:space="preserve">Overweight BRL carry (10% net yield); structured EM FX basket with tail protection</w:t>
            </w:r>
          </w:p>
        </w:tc>
      </w:tr>
      <w:tr>
        <w:tc>
          <w:tcPr>
            <w:tcW w:type="dxa" w:w="60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rFonts w:ascii="Arial" w:cs="Arial" w:eastAsia="Arial" w:hAnsi="Arial"/>
                <w:b/>
                <w:bCs/>
                <w:sz w:val="20"/>
                <w:szCs w:val="20"/>
              </w:rPr>
              <w:t xml:space="preserve">2</w:t>
            </w:r>
          </w:p>
        </w:tc>
        <w:tc>
          <w:tcPr>
            <w:tcW w:type="dxa" w:w="320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rFonts w:ascii="Arial" w:cs="Arial" w:eastAsia="Arial" w:hAnsi="Arial"/>
                <w:b w:val="false"/>
                <w:bCs w:val="false"/>
                <w:sz w:val="20"/>
                <w:szCs w:val="20"/>
              </w:rPr>
              <w:t xml:space="preserve">Commodities Safe Haven: Gold at record $5,500+/oz; copper at all-time highs; dollar weakness amplifying rally</w:t>
            </w:r>
          </w:p>
        </w:tc>
        <w:tc>
          <w:tcPr>
            <w:tcW w:type="dxa" w:w="220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rFonts w:ascii="Arial" w:cs="Arial" w:eastAsia="Arial" w:hAnsi="Arial"/>
                <w:b w:val="false"/>
                <w:bCs w:val="false"/>
                <w:sz w:val="20"/>
                <w:szCs w:val="20"/>
              </w:rPr>
              <w:t xml:space="preserve">Commodities</w:t>
            </w:r>
          </w:p>
        </w:tc>
        <w:tc>
          <w:tcPr>
            <w:tcW w:type="dxa" w:w="336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rFonts w:ascii="Arial" w:cs="Arial" w:eastAsia="Arial" w:hAnsi="Arial"/>
                <w:b w:val="false"/>
                <w:bCs w:val="false"/>
                <w:sz w:val="20"/>
                <w:szCs w:val="20"/>
              </w:rPr>
              <w:t xml:space="preserve">Maintain long gold exposure; copper call spreads for tariff optionality</w:t>
            </w:r>
          </w:p>
        </w:tc>
      </w:tr>
      <w:tr>
        <w:tc>
          <w:tcPr>
            <w:tcW w:type="dxa" w:w="60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rFonts w:ascii="Arial" w:cs="Arial" w:eastAsia="Arial" w:hAnsi="Arial"/>
                <w:b/>
                <w:bCs/>
                <w:sz w:val="20"/>
                <w:szCs w:val="20"/>
              </w:rPr>
              <w:t xml:space="preserve">3</w:t>
            </w:r>
          </w:p>
        </w:tc>
        <w:tc>
          <w:tcPr>
            <w:tcW w:type="dxa" w:w="320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rFonts w:ascii="Arial" w:cs="Arial" w:eastAsia="Arial" w:hAnsi="Arial"/>
                <w:b w:val="false"/>
                <w:bCs w:val="false"/>
                <w:sz w:val="20"/>
                <w:szCs w:val="20"/>
              </w:rPr>
              <w:t xml:space="preserve">Treasury Curve Steepeners: 2s10s curve likely to steepen on fiscal concerns and Fed uncertainty</w:t>
            </w:r>
          </w:p>
        </w:tc>
        <w:tc>
          <w:tcPr>
            <w:tcW w:type="dxa" w:w="220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rFonts w:ascii="Arial" w:cs="Arial" w:eastAsia="Arial" w:hAnsi="Arial"/>
                <w:b w:val="false"/>
                <w:bCs w:val="false"/>
                <w:sz w:val="20"/>
                <w:szCs w:val="20"/>
              </w:rPr>
              <w:t xml:space="preserve">Rates</w:t>
            </w:r>
          </w:p>
        </w:tc>
        <w:tc>
          <w:tcPr>
            <w:tcW w:type="dxa" w:w="336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rFonts w:ascii="Arial" w:cs="Arial" w:eastAsia="Arial" w:hAnsi="Arial"/>
                <w:b w:val="false"/>
                <w:bCs w:val="false"/>
                <w:sz w:val="20"/>
                <w:szCs w:val="20"/>
              </w:rPr>
              <w:t xml:space="preserve">2s10s steepeners; receive 2Y, pay 10Y in swaps</w:t>
            </w:r>
          </w:p>
        </w:tc>
      </w:tr>
    </w:tbl>
    <w:p>
      <w:pPr>
        <w:pStyle w:val="Heading2"/>
        <w:spacing w:before="300"/>
      </w:pPr>
      <w:r>
        <w:t xml:space="preserve">Key Dates: Next 2 Weeks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5360"/>
        <w:gridCol w:w="2000"/>
      </w:tblGrid>
      <w:tr>
        <w:tc>
          <w:tcPr>
            <w:tcW w:type="dxa" w:w="2000"/>
            <w:tcBorders>
              <w:top w:val="single" w:color="666666" w:sz="1"/>
              <w:left w:val="single" w:color="666666" w:sz="1"/>
              <w:bottom w:val="single" w:color="666666" w:sz="1"/>
              <w:right w:val="single" w:color="666666"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5360"/>
            <w:tcBorders>
              <w:top w:val="single" w:color="666666" w:sz="1"/>
              <w:left w:val="single" w:color="666666" w:sz="1"/>
              <w:bottom w:val="single" w:color="666666" w:sz="1"/>
              <w:right w:val="single" w:color="666666"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Event</w:t>
            </w:r>
          </w:p>
        </w:tc>
        <w:tc>
          <w:tcPr>
            <w:tcW w:type="dxa" w:w="2000"/>
            <w:tcBorders>
              <w:top w:val="single" w:color="666666" w:sz="1"/>
              <w:left w:val="single" w:color="666666" w:sz="1"/>
              <w:bottom w:val="single" w:color="666666" w:sz="1"/>
              <w:right w:val="single" w:color="666666"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Risk Level</w:t>
            </w:r>
          </w:p>
        </w:tc>
      </w:tr>
      <w:tr>
        <w:tc>
          <w:tcPr>
            <w:tcW w:type="dxa" w:w="200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rFonts w:ascii="Arial" w:cs="Arial" w:eastAsia="Arial" w:hAnsi="Arial"/>
                <w:b w:val="false"/>
                <w:bCs w:val="false"/>
                <w:sz w:val="20"/>
                <w:szCs w:val="20"/>
              </w:rPr>
              <w:t xml:space="preserve">Feb 4-5</w:t>
            </w:r>
          </w:p>
        </w:tc>
        <w:tc>
          <w:tcPr>
            <w:tcW w:type="dxa" w:w="536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rFonts w:ascii="Arial" w:cs="Arial" w:eastAsia="Arial" w:hAnsi="Arial"/>
                <w:b w:val="false"/>
                <w:bCs w:val="false"/>
                <w:sz w:val="20"/>
                <w:szCs w:val="20"/>
              </w:rPr>
              <w:t xml:space="preserve">ECB Monetary Policy Meeting &amp; Press Conference</w:t>
            </w:r>
          </w:p>
        </w:tc>
        <w:tc>
          <w:tcPr>
            <w:tcW w:type="dxa" w:w="200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rFonts w:ascii="Arial" w:cs="Arial" w:eastAsia="Arial" w:hAnsi="Arial"/>
                <w:b w:val="false"/>
                <w:bCs w:val="false"/>
                <w:sz w:val="20"/>
                <w:szCs w:val="20"/>
              </w:rPr>
              <w:t xml:space="preserve">MEDIUM</w:t>
            </w:r>
          </w:p>
        </w:tc>
      </w:tr>
      <w:tr>
        <w:tc>
          <w:tcPr>
            <w:tcW w:type="dxa" w:w="200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rFonts w:ascii="Arial" w:cs="Arial" w:eastAsia="Arial" w:hAnsi="Arial"/>
                <w:b w:val="false"/>
                <w:bCs w:val="false"/>
                <w:sz w:val="20"/>
                <w:szCs w:val="20"/>
              </w:rPr>
              <w:t xml:space="preserve">Feb 6</w:t>
            </w:r>
          </w:p>
        </w:tc>
        <w:tc>
          <w:tcPr>
            <w:tcW w:type="dxa" w:w="536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rFonts w:ascii="Arial" w:cs="Arial" w:eastAsia="Arial" w:hAnsi="Arial"/>
                <w:b w:val="false"/>
                <w:bCs w:val="false"/>
                <w:sz w:val="20"/>
                <w:szCs w:val="20"/>
              </w:rPr>
              <w:t xml:space="preserve">US Nonfarm Payrolls (January)</w:t>
            </w:r>
          </w:p>
        </w:tc>
        <w:tc>
          <w:tcPr>
            <w:tcW w:type="dxa" w:w="200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rFonts w:ascii="Arial" w:cs="Arial" w:eastAsia="Arial" w:hAnsi="Arial"/>
                <w:b w:val="false"/>
                <w:bCs w:val="false"/>
                <w:sz w:val="20"/>
                <w:szCs w:val="20"/>
              </w:rPr>
              <w:t xml:space="preserve">HIGH</w:t>
            </w:r>
          </w:p>
        </w:tc>
      </w:tr>
      <w:tr>
        <w:tc>
          <w:tcPr>
            <w:tcW w:type="dxa" w:w="200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rFonts w:ascii="Arial" w:cs="Arial" w:eastAsia="Arial" w:hAnsi="Arial"/>
                <w:b w:val="false"/>
                <w:bCs w:val="false"/>
                <w:sz w:val="20"/>
                <w:szCs w:val="20"/>
              </w:rPr>
              <w:t xml:space="preserve">Feb 8</w:t>
            </w:r>
          </w:p>
        </w:tc>
        <w:tc>
          <w:tcPr>
            <w:tcW w:type="dxa" w:w="536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rFonts w:ascii="Arial" w:cs="Arial" w:eastAsia="Arial" w:hAnsi="Arial"/>
                <w:b w:val="false"/>
                <w:bCs w:val="false"/>
                <w:sz w:val="20"/>
                <w:szCs w:val="20"/>
              </w:rPr>
              <w:t xml:space="preserve">Japan Snap Election (House of Representatives)</w:t>
            </w:r>
          </w:p>
        </w:tc>
        <w:tc>
          <w:tcPr>
            <w:tcW w:type="dxa" w:w="200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rFonts w:ascii="Arial" w:cs="Arial" w:eastAsia="Arial" w:hAnsi="Arial"/>
                <w:b w:val="false"/>
                <w:bCs w:val="false"/>
                <w:sz w:val="20"/>
                <w:szCs w:val="20"/>
              </w:rPr>
              <w:t xml:space="preserve">CRITICAL</w:t>
            </w:r>
          </w:p>
        </w:tc>
      </w:tr>
      <w:tr>
        <w:tc>
          <w:tcPr>
            <w:tcW w:type="dxa" w:w="200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rFonts w:ascii="Arial" w:cs="Arial" w:eastAsia="Arial" w:hAnsi="Arial"/>
                <w:b w:val="false"/>
                <w:bCs w:val="false"/>
                <w:sz w:val="20"/>
                <w:szCs w:val="20"/>
              </w:rPr>
              <w:t xml:space="preserve">Feb 11</w:t>
            </w:r>
          </w:p>
        </w:tc>
        <w:tc>
          <w:tcPr>
            <w:tcW w:type="dxa" w:w="536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rFonts w:ascii="Arial" w:cs="Arial" w:eastAsia="Arial" w:hAnsi="Arial"/>
                <w:b w:val="false"/>
                <w:bCs w:val="false"/>
                <w:sz w:val="20"/>
                <w:szCs w:val="20"/>
              </w:rPr>
              <w:t xml:space="preserve">US CPI (January) - Updated seasonal factors</w:t>
            </w:r>
          </w:p>
        </w:tc>
        <w:tc>
          <w:tcPr>
            <w:tcW w:type="dxa" w:w="200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rFonts w:ascii="Arial" w:cs="Arial" w:eastAsia="Arial" w:hAnsi="Arial"/>
                <w:b w:val="false"/>
                <w:bCs w:val="false"/>
                <w:sz w:val="20"/>
                <w:szCs w:val="20"/>
              </w:rPr>
              <w:t xml:space="preserve">HIGH</w:t>
            </w:r>
          </w:p>
        </w:tc>
      </w:tr>
    </w:tbl>
    <w:p>
      <w:r>
        <w:br w:type="page"/>
      </w:r>
    </w:p>
    <w:p>
      <w:pPr>
        <w:pStyle w:val="Heading1"/>
      </w:pPr>
      <w:r>
        <w:t xml:space="preserve">II. MACRO REGIME ASSESSMENT</w:t>
      </w:r>
    </w:p>
    <w:p>
      <w:pPr>
        <w:pStyle w:val="Heading2"/>
      </w:pPr>
      <w:r>
        <w:t xml:space="preserve">Current Regime Classification: LATE-CYCLE EXPANSION WITH ELEVATED POLICY UNCERTAINTY</w:t>
      </w:r>
    </w:p>
    <w:p>
      <w:pPr>
        <w:spacing w:before="150" w:after="150"/>
      </w:pPr>
      <w:r>
        <w:rPr>
          <w:rFonts w:ascii="Arial" w:cs="Arial" w:eastAsia="Arial" w:hAnsi="Arial"/>
          <w:sz w:val="22"/>
          <w:szCs w:val="22"/>
        </w:rPr>
        <w:t xml:space="preserve">The US economy remains on solid footing despite elevated uncertainty. Fed Chair Powell characterized the economy as entering 2026 on "firm footing" with solid expansion in 2025. However, the regime is complicated by: policy uncertainty from the Fed leadership transition, persistent above-target inflation (core CPI at 2.6% YoY, core PCE ~2.4%), and geopolitical crosscurrents affecting trade and energy markets.</w:t>
      </w:r>
    </w:p>
    <w:p>
      <w:pPr>
        <w:pStyle w:val="Heading3"/>
      </w:pPr>
      <w:r>
        <w:t xml:space="preserve">Regime Transition Probability</w:t>
      </w:r>
    </w:p>
    <w:p>
      <w:pPr>
        <w:pStyle w:val="ListParagraph"/>
        <w:numPr>
          <w:ilvl w:val="0"/>
          <w:numId w:val="2"/>
        </w:numPr>
      </w:pPr>
      <w:r>
        <w:rPr>
          <w:rFonts w:ascii="Arial" w:cs="Arial" w:eastAsia="Arial" w:hAnsi="Arial"/>
          <w:b/>
          <w:bCs/>
          <w:sz w:val="22"/>
          <w:szCs w:val="22"/>
        </w:rPr>
        <w:t xml:space="preserve">Probability of Slowdown (next 6 months): 35%</w:t>
      </w:r>
      <w:r>
        <w:rPr>
          <w:rFonts w:ascii="Arial" w:cs="Arial" w:eastAsia="Arial" w:hAnsi="Arial"/>
          <w:sz w:val="22"/>
          <w:szCs w:val="22"/>
        </w:rPr>
        <w:t xml:space="preserve"> - Trade policy uncertainty and potential tariff escalation remain key risks</w:t>
      </w:r>
    </w:p>
    <w:p>
      <w:pPr>
        <w:pStyle w:val="ListParagraph"/>
        <w:numPr>
          <w:ilvl w:val="0"/>
          <w:numId w:val="2"/>
        </w:numPr>
      </w:pPr>
      <w:r>
        <w:rPr>
          <w:rFonts w:ascii="Arial" w:cs="Arial" w:eastAsia="Arial" w:hAnsi="Arial"/>
          <w:b/>
          <w:bCs/>
          <w:sz w:val="22"/>
          <w:szCs w:val="22"/>
        </w:rPr>
        <w:t xml:space="preserve">Probability of Continued Expansion: 55%</w:t>
      </w:r>
      <w:r>
        <w:rPr>
          <w:rFonts w:ascii="Arial" w:cs="Arial" w:eastAsia="Arial" w:hAnsi="Arial"/>
          <w:sz w:val="22"/>
          <w:szCs w:val="22"/>
        </w:rPr>
        <w:t xml:space="preserve"> - AI investment boom offsetting trade headwinds; consumer resilient</w:t>
      </w:r>
    </w:p>
    <w:p>
      <w:pPr>
        <w:pStyle w:val="ListParagraph"/>
        <w:numPr>
          <w:ilvl w:val="0"/>
          <w:numId w:val="2"/>
        </w:numPr>
      </w:pPr>
      <w:r>
        <w:rPr>
          <w:rFonts w:ascii="Arial" w:cs="Arial" w:eastAsia="Arial" w:hAnsi="Arial"/>
          <w:b/>
          <w:bCs/>
          <w:sz w:val="22"/>
          <w:szCs w:val="22"/>
        </w:rPr>
        <w:t xml:space="preserve">Probability of Acceleration: 10%</w:t>
      </w:r>
      <w:r>
        <w:rPr>
          <w:rFonts w:ascii="Arial" w:cs="Arial" w:eastAsia="Arial" w:hAnsi="Arial"/>
          <w:sz w:val="22"/>
          <w:szCs w:val="22"/>
        </w:rPr>
        <w:t xml:space="preserve"> - Fiscal stimulus and tax cuts could boost growth if implemented</w:t>
      </w:r>
    </w:p>
    <w:p>
      <w:pPr>
        <w:pStyle w:val="Heading3"/>
      </w:pPr>
      <w:r>
        <w:t xml:space="preserve">Central Bank Policy Trajectories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2400"/>
        <w:gridCol w:w="3660"/>
      </w:tblGrid>
      <w:tr>
        <w:tc>
          <w:tcPr>
            <w:tcW w:type="dxa" w:w="1500"/>
            <w:tcBorders>
              <w:top w:val="single" w:color="666666" w:sz="1"/>
              <w:left w:val="single" w:color="666666" w:sz="1"/>
              <w:bottom w:val="single" w:color="666666" w:sz="1"/>
              <w:right w:val="single" w:color="666666"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Central Bank</w:t>
            </w:r>
          </w:p>
        </w:tc>
        <w:tc>
          <w:tcPr>
            <w:tcW w:type="dxa" w:w="1800"/>
            <w:tcBorders>
              <w:top w:val="single" w:color="666666" w:sz="1"/>
              <w:left w:val="single" w:color="666666" w:sz="1"/>
              <w:bottom w:val="single" w:color="666666" w:sz="1"/>
              <w:right w:val="single" w:color="666666"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Current Rate</w:t>
            </w:r>
          </w:p>
        </w:tc>
        <w:tc>
          <w:tcPr>
            <w:tcW w:type="dxa" w:w="2400"/>
            <w:tcBorders>
              <w:top w:val="single" w:color="666666" w:sz="1"/>
              <w:left w:val="single" w:color="666666" w:sz="1"/>
              <w:bottom w:val="single" w:color="666666" w:sz="1"/>
              <w:right w:val="single" w:color="666666"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2026 Outlook</w:t>
            </w:r>
          </w:p>
        </w:tc>
        <w:tc>
          <w:tcPr>
            <w:tcW w:type="dxa" w:w="3660"/>
            <w:tcBorders>
              <w:top w:val="single" w:color="666666" w:sz="1"/>
              <w:left w:val="single" w:color="666666" w:sz="1"/>
              <w:bottom w:val="single" w:color="666666" w:sz="1"/>
              <w:right w:val="single" w:color="666666"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Key Factors</w:t>
            </w:r>
          </w:p>
        </w:tc>
      </w:tr>
      <w:tr>
        <w:tc>
          <w:tcPr>
            <w:tcW w:type="dxa" w:w="1500"/>
            <w:tcBorders>
              <w:top w:val="single" w:color="666666" w:sz="1"/>
              <w:left w:val="single" w:color="666666" w:sz="1"/>
              <w:bottom w:val="single" w:color="666666" w:sz="1"/>
              <w:right w:val="single" w:color="666666" w:sz="1"/>
            </w:tcBorders>
            <w:shd w:fill="E8F4FD" w:val="clear"/>
            <w:tcMar>
              <w:top w:type="dxa" w:w="60"/>
              <w:left w:type="dxa" w:w="100"/>
              <w:bottom w:type="dxa" w:w="60"/>
              <w:right w:type="dxa" w:w="100"/>
            </w:tcMar>
          </w:tcPr>
          <w:p>
            <w:r>
              <w:rPr>
                <w:rFonts w:ascii="Arial" w:cs="Arial" w:eastAsia="Arial" w:hAnsi="Arial"/>
                <w:b/>
                <w:bCs/>
                <w:sz w:val="20"/>
                <w:szCs w:val="20"/>
              </w:rPr>
              <w:t xml:space="preserve">Federal Reserve</w:t>
            </w:r>
          </w:p>
        </w:tc>
        <w:tc>
          <w:tcPr>
            <w:tcW w:type="dxa" w:w="180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rFonts w:ascii="Arial" w:cs="Arial" w:eastAsia="Arial" w:hAnsi="Arial"/>
                <w:b w:val="false"/>
                <w:bCs w:val="false"/>
                <w:sz w:val="20"/>
                <w:szCs w:val="20"/>
              </w:rPr>
              <w:t xml:space="preserve">3.50-3.75%</w:t>
            </w:r>
          </w:p>
        </w:tc>
        <w:tc>
          <w:tcPr>
            <w:tcW w:type="dxa" w:w="240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rFonts w:ascii="Arial" w:cs="Arial" w:eastAsia="Arial" w:hAnsi="Arial"/>
                <w:b w:val="false"/>
                <w:bCs w:val="false"/>
                <w:sz w:val="20"/>
                <w:szCs w:val="20"/>
              </w:rPr>
              <w:t xml:space="preserve">1-2 cuts expected (June, Oct)</w:t>
            </w:r>
          </w:p>
        </w:tc>
        <w:tc>
          <w:tcPr>
            <w:tcW w:type="dxa" w:w="366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rFonts w:ascii="Arial" w:cs="Arial" w:eastAsia="Arial" w:hAnsi="Arial"/>
                <w:b w:val="false"/>
                <w:bCs w:val="false"/>
                <w:sz w:val="20"/>
                <w:szCs w:val="20"/>
              </w:rPr>
              <w:t xml:space="preserve">Warsh nomination; inflation at 2.6%; labor market stable</w:t>
            </w:r>
          </w:p>
        </w:tc>
      </w:tr>
      <w:tr>
        <w:tc>
          <w:tcPr>
            <w:tcW w:type="dxa" w:w="1500"/>
            <w:tcBorders>
              <w:top w:val="single" w:color="666666" w:sz="1"/>
              <w:left w:val="single" w:color="666666" w:sz="1"/>
              <w:bottom w:val="single" w:color="666666" w:sz="1"/>
              <w:right w:val="single" w:color="666666" w:sz="1"/>
            </w:tcBorders>
            <w:shd w:fill="E8F4FD" w:val="clear"/>
            <w:tcMar>
              <w:top w:type="dxa" w:w="60"/>
              <w:left w:type="dxa" w:w="100"/>
              <w:bottom w:type="dxa" w:w="60"/>
              <w:right w:type="dxa" w:w="100"/>
            </w:tcMar>
          </w:tcPr>
          <w:p>
            <w:r>
              <w:rPr>
                <w:rFonts w:ascii="Arial" w:cs="Arial" w:eastAsia="Arial" w:hAnsi="Arial"/>
                <w:b/>
                <w:bCs/>
                <w:sz w:val="20"/>
                <w:szCs w:val="20"/>
              </w:rPr>
              <w:t xml:space="preserve">ECB</w:t>
            </w:r>
          </w:p>
        </w:tc>
        <w:tc>
          <w:tcPr>
            <w:tcW w:type="dxa" w:w="180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rFonts w:ascii="Arial" w:cs="Arial" w:eastAsia="Arial" w:hAnsi="Arial"/>
                <w:b w:val="false"/>
                <w:bCs w:val="false"/>
                <w:sz w:val="20"/>
                <w:szCs w:val="20"/>
              </w:rPr>
              <w:t xml:space="preserve">2.00% / 2.15%</w:t>
            </w:r>
          </w:p>
        </w:tc>
        <w:tc>
          <w:tcPr>
            <w:tcW w:type="dxa" w:w="240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rFonts w:ascii="Arial" w:cs="Arial" w:eastAsia="Arial" w:hAnsi="Arial"/>
                <w:b w:val="false"/>
                <w:bCs w:val="false"/>
                <w:sz w:val="20"/>
                <w:szCs w:val="20"/>
              </w:rPr>
              <w:t xml:space="preserve">On hold through H1 2026</w:t>
            </w:r>
          </w:p>
        </w:tc>
        <w:tc>
          <w:tcPr>
            <w:tcW w:type="dxa" w:w="366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rFonts w:ascii="Arial" w:cs="Arial" w:eastAsia="Arial" w:hAnsi="Arial"/>
                <w:b w:val="false"/>
                <w:bCs w:val="false"/>
                <w:sz w:val="20"/>
                <w:szCs w:val="20"/>
              </w:rPr>
              <w:t xml:space="preserve">Inflation at target (2.0%); weak growth (1.2%); no urgency to cut</w:t>
            </w:r>
          </w:p>
        </w:tc>
      </w:tr>
      <w:tr>
        <w:tc>
          <w:tcPr>
            <w:tcW w:type="dxa" w:w="1500"/>
            <w:tcBorders>
              <w:top w:val="single" w:color="666666" w:sz="1"/>
              <w:left w:val="single" w:color="666666" w:sz="1"/>
              <w:bottom w:val="single" w:color="666666" w:sz="1"/>
              <w:right w:val="single" w:color="666666" w:sz="1"/>
            </w:tcBorders>
            <w:shd w:fill="E8F4FD" w:val="clear"/>
            <w:tcMar>
              <w:top w:type="dxa" w:w="60"/>
              <w:left w:type="dxa" w:w="100"/>
              <w:bottom w:type="dxa" w:w="60"/>
              <w:right w:type="dxa" w:w="100"/>
            </w:tcMar>
          </w:tcPr>
          <w:p>
            <w:r>
              <w:rPr>
                <w:rFonts w:ascii="Arial" w:cs="Arial" w:eastAsia="Arial" w:hAnsi="Arial"/>
                <w:b/>
                <w:bCs/>
                <w:sz w:val="20"/>
                <w:szCs w:val="20"/>
              </w:rPr>
              <w:t xml:space="preserve">BOJ</w:t>
            </w:r>
          </w:p>
        </w:tc>
        <w:tc>
          <w:tcPr>
            <w:tcW w:type="dxa" w:w="180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rFonts w:ascii="Arial" w:cs="Arial" w:eastAsia="Arial" w:hAnsi="Arial"/>
                <w:b w:val="false"/>
                <w:bCs w:val="false"/>
                <w:sz w:val="20"/>
                <w:szCs w:val="20"/>
              </w:rPr>
              <w:t xml:space="preserve">0.75%</w:t>
            </w:r>
          </w:p>
        </w:tc>
        <w:tc>
          <w:tcPr>
            <w:tcW w:type="dxa" w:w="240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rFonts w:ascii="Arial" w:cs="Arial" w:eastAsia="Arial" w:hAnsi="Arial"/>
                <w:b w:val="false"/>
                <w:bCs w:val="false"/>
                <w:sz w:val="20"/>
                <w:szCs w:val="20"/>
              </w:rPr>
              <w:t xml:space="preserve">1 hike to 1.00% (Q4 2026)</w:t>
            </w:r>
          </w:p>
        </w:tc>
        <w:tc>
          <w:tcPr>
            <w:tcW w:type="dxa" w:w="366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rFonts w:ascii="Arial" w:cs="Arial" w:eastAsia="Arial" w:hAnsi="Arial"/>
                <w:b w:val="false"/>
                <w:bCs w:val="false"/>
                <w:sz w:val="20"/>
                <w:szCs w:val="20"/>
              </w:rPr>
              <w:t xml:space="preserve">Election Feb 8; yen pressure; JGB yields at 27-year highs</w:t>
            </w:r>
          </w:p>
        </w:tc>
      </w:tr>
      <w:tr>
        <w:tc>
          <w:tcPr>
            <w:tcW w:type="dxa" w:w="1500"/>
            <w:tcBorders>
              <w:top w:val="single" w:color="666666" w:sz="1"/>
              <w:left w:val="single" w:color="666666" w:sz="1"/>
              <w:bottom w:val="single" w:color="666666" w:sz="1"/>
              <w:right w:val="single" w:color="666666" w:sz="1"/>
            </w:tcBorders>
            <w:shd w:fill="E8F4FD" w:val="clear"/>
            <w:tcMar>
              <w:top w:type="dxa" w:w="60"/>
              <w:left w:type="dxa" w:w="100"/>
              <w:bottom w:type="dxa" w:w="60"/>
              <w:right w:type="dxa" w:w="100"/>
            </w:tcMar>
          </w:tcPr>
          <w:p>
            <w:r>
              <w:rPr>
                <w:rFonts w:ascii="Arial" w:cs="Arial" w:eastAsia="Arial" w:hAnsi="Arial"/>
                <w:b/>
                <w:bCs/>
                <w:sz w:val="20"/>
                <w:szCs w:val="20"/>
              </w:rPr>
              <w:t xml:space="preserve">PBOC</w:t>
            </w:r>
          </w:p>
        </w:tc>
        <w:tc>
          <w:tcPr>
            <w:tcW w:type="dxa" w:w="180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rFonts w:ascii="Arial" w:cs="Arial" w:eastAsia="Arial" w:hAnsi="Arial"/>
                <w:b w:val="false"/>
                <w:bCs w:val="false"/>
                <w:sz w:val="20"/>
                <w:szCs w:val="20"/>
              </w:rPr>
              <w:t xml:space="preserve">1.25% (relending)</w:t>
            </w:r>
          </w:p>
        </w:tc>
        <w:tc>
          <w:tcPr>
            <w:tcW w:type="dxa" w:w="240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rFonts w:ascii="Arial" w:cs="Arial" w:eastAsia="Arial" w:hAnsi="Arial"/>
                <w:b w:val="false"/>
                <w:bCs w:val="false"/>
                <w:sz w:val="20"/>
                <w:szCs w:val="20"/>
              </w:rPr>
              <w:t xml:space="preserve">Further RRR/rate cuts likely</w:t>
            </w:r>
          </w:p>
        </w:tc>
        <w:tc>
          <w:tcPr>
            <w:tcW w:type="dxa" w:w="366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rFonts w:ascii="Arial" w:cs="Arial" w:eastAsia="Arial" w:hAnsi="Arial"/>
                <w:b w:val="false"/>
                <w:bCs w:val="false"/>
                <w:sz w:val="20"/>
                <w:szCs w:val="20"/>
              </w:rPr>
              <w:t xml:space="preserve">"Moderately loose" stance; deflationary pressure; digital yuan stimulus</w:t>
            </w:r>
          </w:p>
        </w:tc>
      </w:tr>
    </w:tbl>
    <w:p>
      <w:pPr>
        <w:pStyle w:val="Heading3"/>
        <w:spacing w:before="200"/>
      </w:pPr>
      <w:r>
        <w:t xml:space="preserve">Policy Divergence Implications</w:t>
      </w:r>
    </w:p>
    <w:p>
      <w:r>
        <w:rPr>
          <w:rFonts w:ascii="Arial" w:cs="Arial" w:eastAsia="Arial" w:hAnsi="Arial"/>
          <w:sz w:val="22"/>
          <w:szCs w:val="22"/>
        </w:rPr>
        <w:t xml:space="preserve">Fed-ECB divergence has narrowed with both on hold, but Fed-BOJ divergence remains extreme. BOJ at 0.75% vs Fed at 3.625% creates persistent carry trade dynamics. Risk: coordinated USD/JPY intervention could trigger rapid yen appreciation and carry trade unwind, impacting EM FX correlations.</w:t>
      </w:r>
    </w:p>
    <w:p>
      <w:pPr>
        <w:pStyle w:val="Heading3"/>
        <w:spacing w:before="200"/>
      </w:pPr>
      <w:r>
        <w:t xml:space="preserve">Contrarian View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69E2E" w:sz="1"/>
              <w:left w:val="single" w:color="D69E2E" w:sz="1"/>
              <w:bottom w:val="single" w:color="D69E2E" w:sz="1"/>
              <w:right w:val="single" w:color="D69E2E" w:sz="1"/>
            </w:tcBorders>
            <w:shd w:fill="FFFFF0" w:val="clear"/>
            <w:tcMar>
              <w:top w:type="dxa" w:w="100"/>
              <w:left w:type="dxa" w:w="150"/>
              <w:bottom w:type="dxa" w:w="100"/>
              <w:right w:type="dxa" w:w="150"/>
            </w:tcMar>
          </w:tcPr>
          <w:p>
            <w:r>
              <w:rPr>
                <w:rFonts w:ascii="Arial" w:cs="Arial" w:eastAsia="Arial" w:hAnsi="Arial"/>
                <w:b/>
                <w:bCs/>
                <w:sz w:val="22"/>
                <w:szCs w:val="22"/>
              </w:rPr>
              <w:t xml:space="preserve">CONSENSUS MAY BE WRONG: </w:t>
            </w:r>
          </w:p>
          <w:p>
            <w:pPr>
              <w:spacing w:before="60"/>
            </w:pPr>
            <w:r>
              <w:rPr>
                <w:rFonts w:ascii="Arial" w:cs="Arial" w:eastAsia="Arial" w:hAnsi="Arial"/>
                <w:sz w:val="22"/>
                <w:szCs w:val="22"/>
              </w:rPr>
              <w:t xml:space="preserve">Markets are pricing only 2 Fed cuts in 2026 and assume the Warsh transition will be smooth. However, Senate confirmation is contested (Sen. Tillis blocking), and Warsh's historical hawkishness combined with Trump's preference for 1% rates creates unpredictable policy dynamics. If confirmation drags into H2 or Warsh proves more dovish than expected, we could see 3-4 cuts and significant curve re-pricing.</w:t>
            </w:r>
          </w:p>
        </w:tc>
      </w:tr>
    </w:tbl>
    <w:p>
      <w:r>
        <w:br w:type="page"/>
      </w:r>
    </w:p>
    <w:p>
      <w:pPr>
        <w:pStyle w:val="Heading1"/>
      </w:pPr>
      <w:r>
        <w:t xml:space="preserve">III. CROSS-ASSET RISK DASHBOARD</w:t>
      </w:r>
    </w:p>
    <w:p>
      <w:pPr>
        <w:pStyle w:val="Heading2"/>
      </w:pPr>
      <w:r>
        <w:t xml:space="preserve">1. RATES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666666" w:sz="1"/>
              <w:left w:val="single" w:color="666666" w:sz="1"/>
              <w:bottom w:val="single" w:color="666666" w:sz="1"/>
              <w:right w:val="single" w:color="666666" w:sz="1"/>
            </w:tcBorders>
            <w:shd w:fill="E8F4FD" w:val="clear"/>
            <w:tcMar>
              <w:top w:type="dxa" w:w="60"/>
              <w:left w:type="dxa" w:w="100"/>
              <w:bottom w:type="dxa" w:w="60"/>
              <w:right w:type="dxa" w:w="100"/>
            </w:tcMar>
          </w:tcPr>
          <w:p>
            <w:r>
              <w:rPr>
                <w:rFonts w:ascii="Arial" w:cs="Arial" w:eastAsia="Arial" w:hAnsi="Arial"/>
                <w:b/>
                <w:bCs/>
                <w:sz w:val="20"/>
                <w:szCs w:val="20"/>
              </w:rPr>
              <w:t xml:space="preserve">Current State</w:t>
            </w:r>
          </w:p>
        </w:tc>
        <w:tc>
          <w:tcPr>
            <w:tcW w:type="dxa" w:w="736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rFonts w:ascii="Arial" w:cs="Arial" w:eastAsia="Arial" w:hAnsi="Arial"/>
                <w:b w:val="false"/>
                <w:bCs w:val="false"/>
                <w:sz w:val="20"/>
                <w:szCs w:val="20"/>
              </w:rPr>
              <w:t xml:space="preserve">10Y UST: 4.26% (+9bps MTD); 2Y: 3.87%; 2s10s: +39bps; 10Y real rate: 1.89%. Curve modestly steeper on fiscal concerns from "One Big Beautiful Bill Act." SOFR at 3.87% post-Fed.</w:t>
            </w:r>
          </w:p>
        </w:tc>
      </w:tr>
      <w:tr>
        <w:tc>
          <w:tcPr>
            <w:tcW w:type="dxa" w:w="2000"/>
            <w:tcBorders>
              <w:top w:val="single" w:color="666666" w:sz="1"/>
              <w:left w:val="single" w:color="666666" w:sz="1"/>
              <w:bottom w:val="single" w:color="666666" w:sz="1"/>
              <w:right w:val="single" w:color="666666" w:sz="1"/>
            </w:tcBorders>
            <w:shd w:fill="E8F4FD" w:val="clear"/>
            <w:tcMar>
              <w:top w:type="dxa" w:w="60"/>
              <w:left w:type="dxa" w:w="100"/>
              <w:bottom w:type="dxa" w:w="60"/>
              <w:right w:type="dxa" w:w="100"/>
            </w:tcMar>
          </w:tcPr>
          <w:p>
            <w:r>
              <w:rPr>
                <w:rFonts w:ascii="Arial" w:cs="Arial" w:eastAsia="Arial" w:hAnsi="Arial"/>
                <w:b/>
                <w:bCs/>
                <w:sz w:val="20"/>
                <w:szCs w:val="20"/>
              </w:rPr>
              <w:t xml:space="preserve">Positioning</w:t>
            </w:r>
          </w:p>
        </w:tc>
        <w:tc>
          <w:tcPr>
            <w:tcW w:type="dxa" w:w="736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rFonts w:ascii="Arial" w:cs="Arial" w:eastAsia="Arial" w:hAnsi="Arial"/>
                <w:b w:val="false"/>
                <w:bCs w:val="false"/>
                <w:sz w:val="20"/>
                <w:szCs w:val="20"/>
              </w:rPr>
              <w:t xml:space="preserve">CFTC: Net long in 10Y increased 45k contracts; shorts covering in 5Y. Duration positioning neutral to slightly long. Dealers still underweight duration per primary dealer surveys.</w:t>
            </w:r>
          </w:p>
        </w:tc>
      </w:tr>
      <w:tr>
        <w:tc>
          <w:tcPr>
            <w:tcW w:type="dxa" w:w="2000"/>
            <w:tcBorders>
              <w:top w:val="single" w:color="666666" w:sz="1"/>
              <w:left w:val="single" w:color="666666" w:sz="1"/>
              <w:bottom w:val="single" w:color="666666" w:sz="1"/>
              <w:right w:val="single" w:color="666666" w:sz="1"/>
            </w:tcBorders>
            <w:shd w:fill="E8F4FD" w:val="clear"/>
            <w:tcMar>
              <w:top w:type="dxa" w:w="60"/>
              <w:left w:type="dxa" w:w="100"/>
              <w:bottom w:type="dxa" w:w="60"/>
              <w:right w:type="dxa" w:w="100"/>
            </w:tcMar>
          </w:tcPr>
          <w:p>
            <w:r>
              <w:rPr>
                <w:rFonts w:ascii="Arial" w:cs="Arial" w:eastAsia="Arial" w:hAnsi="Arial"/>
                <w:b/>
                <w:bCs/>
                <w:sz w:val="20"/>
                <w:szCs w:val="20"/>
              </w:rPr>
              <w:t xml:space="preserve">Base Case (60%)</w:t>
            </w:r>
          </w:p>
        </w:tc>
        <w:tc>
          <w:tcPr>
            <w:tcW w:type="dxa" w:w="736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rFonts w:ascii="Arial" w:cs="Arial" w:eastAsia="Arial" w:hAnsi="Arial"/>
                <w:b w:val="false"/>
                <w:bCs w:val="false"/>
                <w:sz w:val="20"/>
                <w:szCs w:val="20"/>
              </w:rPr>
              <w:t xml:space="preserve">10Y range-bound 4.15-4.35% for next 4 weeks. Curve bias steeper. Fed on hold through March. No vol spike unless Warsh confirmation drama escalates.</w:t>
            </w:r>
          </w:p>
        </w:tc>
      </w:tr>
      <w:tr>
        <w:tc>
          <w:tcPr>
            <w:tcW w:type="dxa" w:w="2000"/>
            <w:tcBorders>
              <w:top w:val="single" w:color="666666" w:sz="1"/>
              <w:left w:val="single" w:color="666666" w:sz="1"/>
              <w:bottom w:val="single" w:color="666666" w:sz="1"/>
              <w:right w:val="single" w:color="666666" w:sz="1"/>
            </w:tcBorders>
            <w:shd w:fill="E8F4FD" w:val="clear"/>
            <w:tcMar>
              <w:top w:type="dxa" w:w="60"/>
              <w:left w:type="dxa" w:w="100"/>
              <w:bottom w:type="dxa" w:w="60"/>
              <w:right w:type="dxa" w:w="100"/>
            </w:tcMar>
          </w:tcPr>
          <w:p>
            <w:r>
              <w:rPr>
                <w:rFonts w:ascii="Arial" w:cs="Arial" w:eastAsia="Arial" w:hAnsi="Arial"/>
                <w:b/>
                <w:bCs/>
                <w:sz w:val="20"/>
                <w:szCs w:val="20"/>
              </w:rPr>
              <w:t xml:space="preserve">Bull Scenario</w:t>
            </w:r>
          </w:p>
        </w:tc>
        <w:tc>
          <w:tcPr>
            <w:tcW w:type="dxa" w:w="736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rFonts w:ascii="Arial" w:cs="Arial" w:eastAsia="Arial" w:hAnsi="Arial"/>
                <w:b w:val="false"/>
                <w:bCs w:val="false"/>
                <w:sz w:val="20"/>
                <w:szCs w:val="20"/>
              </w:rPr>
              <w:t xml:space="preserve">Trigger: Weak payrolls Feb 6 + soft CPI Feb 11. 10Y rallies to 4.00%. Receive 10Y in swaps.</w:t>
            </w:r>
          </w:p>
        </w:tc>
      </w:tr>
      <w:tr>
        <w:tc>
          <w:tcPr>
            <w:tcW w:type="dxa" w:w="2000"/>
            <w:tcBorders>
              <w:top w:val="single" w:color="666666" w:sz="1"/>
              <w:left w:val="single" w:color="666666" w:sz="1"/>
              <w:bottom w:val="single" w:color="666666" w:sz="1"/>
              <w:right w:val="single" w:color="666666" w:sz="1"/>
            </w:tcBorders>
            <w:shd w:fill="E8F4FD" w:val="clear"/>
            <w:tcMar>
              <w:top w:type="dxa" w:w="60"/>
              <w:left w:type="dxa" w:w="100"/>
              <w:bottom w:type="dxa" w:w="60"/>
              <w:right w:type="dxa" w:w="100"/>
            </w:tcMar>
          </w:tcPr>
          <w:p>
            <w:r>
              <w:rPr>
                <w:rFonts w:ascii="Arial" w:cs="Arial" w:eastAsia="Arial" w:hAnsi="Arial"/>
                <w:b/>
                <w:bCs/>
                <w:sz w:val="20"/>
                <w:szCs w:val="20"/>
              </w:rPr>
              <w:t xml:space="preserve">Bear Scenario</w:t>
            </w:r>
          </w:p>
        </w:tc>
        <w:tc>
          <w:tcPr>
            <w:tcW w:type="dxa" w:w="736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rFonts w:ascii="Arial" w:cs="Arial" w:eastAsia="Arial" w:hAnsi="Arial"/>
                <w:b w:val="false"/>
                <w:bCs w:val="false"/>
                <w:sz w:val="20"/>
                <w:szCs w:val="20"/>
              </w:rPr>
              <w:t xml:space="preserve">Trigger: Japan JGB contagion + fiscal concerns. 10Y tests 4.50%. Pay 10Y, buy vol.</w:t>
            </w:r>
          </w:p>
        </w:tc>
      </w:tr>
      <w:tr>
        <w:tc>
          <w:tcPr>
            <w:tcW w:type="dxa" w:w="2000"/>
            <w:tcBorders>
              <w:top w:val="single" w:color="666666" w:sz="1"/>
              <w:left w:val="single" w:color="666666" w:sz="1"/>
              <w:bottom w:val="single" w:color="666666" w:sz="1"/>
              <w:right w:val="single" w:color="666666" w:sz="1"/>
            </w:tcBorders>
            <w:shd w:fill="E8F4FD" w:val="clear"/>
            <w:tcMar>
              <w:top w:type="dxa" w:w="60"/>
              <w:left w:type="dxa" w:w="100"/>
              <w:bottom w:type="dxa" w:w="60"/>
              <w:right w:type="dxa" w:w="100"/>
            </w:tcMar>
          </w:tcPr>
          <w:p>
            <w:r>
              <w:rPr>
                <w:rFonts w:ascii="Arial" w:cs="Arial" w:eastAsia="Arial" w:hAnsi="Arial"/>
                <w:b/>
                <w:bCs/>
                <w:sz w:val="20"/>
                <w:szCs w:val="20"/>
              </w:rPr>
              <w:t xml:space="preserve">Desk Flags</w:t>
            </w:r>
          </w:p>
        </w:tc>
        <w:tc>
          <w:tcPr>
            <w:tcW w:type="dxa" w:w="736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rFonts w:ascii="Arial" w:cs="Arial" w:eastAsia="Arial" w:hAnsi="Arial"/>
                <w:b w:val="false"/>
                <w:bCs w:val="false"/>
                <w:sz w:val="20"/>
                <w:szCs w:val="20"/>
              </w:rPr>
              <w:t xml:space="preserve">CRITICAL: Japan JGB sell-off (10Y at 2.275%) creating transmission risk to UST. Monitor JGB-UST spread for contagion. Warsh confirmation hearings key for term premium.</w:t>
            </w:r>
          </w:p>
        </w:tc>
      </w:tr>
    </w:tbl>
    <w:p>
      <w:pPr>
        <w:pStyle w:val="Heading2"/>
        <w:spacing w:before="300"/>
      </w:pPr>
      <w:r>
        <w:t xml:space="preserve">2. CREDIT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666666" w:sz="1"/>
              <w:left w:val="single" w:color="666666" w:sz="1"/>
              <w:bottom w:val="single" w:color="666666" w:sz="1"/>
              <w:right w:val="single" w:color="666666" w:sz="1"/>
            </w:tcBorders>
            <w:shd w:fill="E8F4FD" w:val="clear"/>
            <w:tcMar>
              <w:top w:type="dxa" w:w="60"/>
              <w:left w:type="dxa" w:w="100"/>
              <w:bottom w:type="dxa" w:w="60"/>
              <w:right w:type="dxa" w:w="100"/>
            </w:tcMar>
          </w:tcPr>
          <w:p>
            <w:r>
              <w:rPr>
                <w:rFonts w:ascii="Arial" w:cs="Arial" w:eastAsia="Arial" w:hAnsi="Arial"/>
                <w:b/>
                <w:bCs/>
                <w:sz w:val="20"/>
                <w:szCs w:val="20"/>
              </w:rPr>
              <w:t xml:space="preserve">Current State</w:t>
            </w:r>
          </w:p>
        </w:tc>
        <w:tc>
          <w:tcPr>
            <w:tcW w:type="dxa" w:w="736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rFonts w:ascii="Arial" w:cs="Arial" w:eastAsia="Arial" w:hAnsi="Arial"/>
                <w:b w:val="false"/>
                <w:bCs w:val="false"/>
                <w:sz w:val="20"/>
                <w:szCs w:val="20"/>
              </w:rPr>
              <w:t xml:space="preserve">IG OAS: 74bps (near historic lows, -6bps MTD); HY OAS: 250bps (-10bps MTD); CDX IG: 48bps; CDX HY: 285bps. Primary market active with $25B+ IG issuance WTD.</w:t>
            </w:r>
          </w:p>
        </w:tc>
      </w:tr>
      <w:tr>
        <w:tc>
          <w:tcPr>
            <w:tcW w:type="dxa" w:w="2000"/>
            <w:tcBorders>
              <w:top w:val="single" w:color="666666" w:sz="1"/>
              <w:left w:val="single" w:color="666666" w:sz="1"/>
              <w:bottom w:val="single" w:color="666666" w:sz="1"/>
              <w:right w:val="single" w:color="666666" w:sz="1"/>
            </w:tcBorders>
            <w:shd w:fill="E8F4FD" w:val="clear"/>
            <w:tcMar>
              <w:top w:type="dxa" w:w="60"/>
              <w:left w:type="dxa" w:w="100"/>
              <w:bottom w:type="dxa" w:w="60"/>
              <w:right w:type="dxa" w:w="100"/>
            </w:tcMar>
          </w:tcPr>
          <w:p>
            <w:r>
              <w:rPr>
                <w:rFonts w:ascii="Arial" w:cs="Arial" w:eastAsia="Arial" w:hAnsi="Arial"/>
                <w:b/>
                <w:bCs/>
                <w:sz w:val="20"/>
                <w:szCs w:val="20"/>
              </w:rPr>
              <w:t xml:space="preserve">Positioning</w:t>
            </w:r>
          </w:p>
        </w:tc>
        <w:tc>
          <w:tcPr>
            <w:tcW w:type="dxa" w:w="736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rFonts w:ascii="Arial" w:cs="Arial" w:eastAsia="Arial" w:hAnsi="Arial"/>
                <w:b w:val="false"/>
                <w:bCs w:val="false"/>
                <w:sz w:val="20"/>
                <w:szCs w:val="20"/>
              </w:rPr>
              <w:t xml:space="preserve">Fund flows positive for IG (+$2.3B weekly); HY flows neutral. CCC outperforming (+1.15% YTD). Credit quality concerns in retail and commercial real estate sectors.</w:t>
            </w:r>
          </w:p>
        </w:tc>
      </w:tr>
      <w:tr>
        <w:tc>
          <w:tcPr>
            <w:tcW w:type="dxa" w:w="2000"/>
            <w:tcBorders>
              <w:top w:val="single" w:color="666666" w:sz="1"/>
              <w:left w:val="single" w:color="666666" w:sz="1"/>
              <w:bottom w:val="single" w:color="666666" w:sz="1"/>
              <w:right w:val="single" w:color="666666" w:sz="1"/>
            </w:tcBorders>
            <w:shd w:fill="E8F4FD" w:val="clear"/>
            <w:tcMar>
              <w:top w:type="dxa" w:w="60"/>
              <w:left w:type="dxa" w:w="100"/>
              <w:bottom w:type="dxa" w:w="60"/>
              <w:right w:type="dxa" w:w="100"/>
            </w:tcMar>
          </w:tcPr>
          <w:p>
            <w:r>
              <w:rPr>
                <w:rFonts w:ascii="Arial" w:cs="Arial" w:eastAsia="Arial" w:hAnsi="Arial"/>
                <w:b/>
                <w:bCs/>
                <w:sz w:val="20"/>
                <w:szCs w:val="20"/>
              </w:rPr>
              <w:t xml:space="preserve">Base Case (60%)</w:t>
            </w:r>
          </w:p>
        </w:tc>
        <w:tc>
          <w:tcPr>
            <w:tcW w:type="dxa" w:w="736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rFonts w:ascii="Arial" w:cs="Arial" w:eastAsia="Arial" w:hAnsi="Arial"/>
                <w:b w:val="false"/>
                <w:bCs w:val="false"/>
                <w:sz w:val="20"/>
                <w:szCs w:val="20"/>
              </w:rPr>
              <w:t xml:space="preserve">Spreads remain tight with modest widening bias (IG to 80-85bps, HY to 260-275bps). Low default environment continues. Carry trade remains attractive.</w:t>
            </w:r>
          </w:p>
        </w:tc>
      </w:tr>
      <w:tr>
        <w:tc>
          <w:tcPr>
            <w:tcW w:type="dxa" w:w="2000"/>
            <w:tcBorders>
              <w:top w:val="single" w:color="666666" w:sz="1"/>
              <w:left w:val="single" w:color="666666" w:sz="1"/>
              <w:bottom w:val="single" w:color="666666" w:sz="1"/>
              <w:right w:val="single" w:color="666666" w:sz="1"/>
            </w:tcBorders>
            <w:shd w:fill="E8F4FD" w:val="clear"/>
            <w:tcMar>
              <w:top w:type="dxa" w:w="60"/>
              <w:left w:type="dxa" w:w="100"/>
              <w:bottom w:type="dxa" w:w="60"/>
              <w:right w:type="dxa" w:w="100"/>
            </w:tcMar>
          </w:tcPr>
          <w:p>
            <w:r>
              <w:rPr>
                <w:rFonts w:ascii="Arial" w:cs="Arial" w:eastAsia="Arial" w:hAnsi="Arial"/>
                <w:b/>
                <w:bCs/>
                <w:sz w:val="20"/>
                <w:szCs w:val="20"/>
              </w:rPr>
              <w:t xml:space="preserve">Bull Scenario</w:t>
            </w:r>
          </w:p>
        </w:tc>
        <w:tc>
          <w:tcPr>
            <w:tcW w:type="dxa" w:w="736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rFonts w:ascii="Arial" w:cs="Arial" w:eastAsia="Arial" w:hAnsi="Arial"/>
                <w:b w:val="false"/>
                <w:bCs w:val="false"/>
                <w:sz w:val="20"/>
                <w:szCs w:val="20"/>
              </w:rPr>
              <w:t xml:space="preserve">Trigger: Soft landing confirmed + rate cuts. IG tightens to 65bps, HY to 225bps. Overweight BB-rated credits.</w:t>
            </w:r>
          </w:p>
        </w:tc>
      </w:tr>
      <w:tr>
        <w:tc>
          <w:tcPr>
            <w:tcW w:type="dxa" w:w="2000"/>
            <w:tcBorders>
              <w:top w:val="single" w:color="666666" w:sz="1"/>
              <w:left w:val="single" w:color="666666" w:sz="1"/>
              <w:bottom w:val="single" w:color="666666" w:sz="1"/>
              <w:right w:val="single" w:color="666666" w:sz="1"/>
            </w:tcBorders>
            <w:shd w:fill="E8F4FD" w:val="clear"/>
            <w:tcMar>
              <w:top w:type="dxa" w:w="60"/>
              <w:left w:type="dxa" w:w="100"/>
              <w:bottom w:type="dxa" w:w="60"/>
              <w:right w:type="dxa" w:w="100"/>
            </w:tcMar>
          </w:tcPr>
          <w:p>
            <w:r>
              <w:rPr>
                <w:rFonts w:ascii="Arial" w:cs="Arial" w:eastAsia="Arial" w:hAnsi="Arial"/>
                <w:b/>
                <w:bCs/>
                <w:sz w:val="20"/>
                <w:szCs w:val="20"/>
              </w:rPr>
              <w:t xml:space="preserve">Bear Scenario</w:t>
            </w:r>
          </w:p>
        </w:tc>
        <w:tc>
          <w:tcPr>
            <w:tcW w:type="dxa" w:w="736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rFonts w:ascii="Arial" w:cs="Arial" w:eastAsia="Arial" w:hAnsi="Arial"/>
                <w:b w:val="false"/>
                <w:bCs w:val="false"/>
                <w:sz w:val="20"/>
                <w:szCs w:val="20"/>
              </w:rPr>
              <w:t xml:space="preserve">Trigger: Recession fears + rate spike. IG widens to 120bps, HY to 400bps. Reduce HY exposure, buy CDX HY protection.</w:t>
            </w:r>
          </w:p>
        </w:tc>
      </w:tr>
      <w:tr>
        <w:tc>
          <w:tcPr>
            <w:tcW w:type="dxa" w:w="2000"/>
            <w:tcBorders>
              <w:top w:val="single" w:color="666666" w:sz="1"/>
              <w:left w:val="single" w:color="666666" w:sz="1"/>
              <w:bottom w:val="single" w:color="666666" w:sz="1"/>
              <w:right w:val="single" w:color="666666" w:sz="1"/>
            </w:tcBorders>
            <w:shd w:fill="E8F4FD" w:val="clear"/>
            <w:tcMar>
              <w:top w:type="dxa" w:w="60"/>
              <w:left w:type="dxa" w:w="100"/>
              <w:bottom w:type="dxa" w:w="60"/>
              <w:right w:type="dxa" w:w="100"/>
            </w:tcMar>
          </w:tcPr>
          <w:p>
            <w:r>
              <w:rPr>
                <w:rFonts w:ascii="Arial" w:cs="Arial" w:eastAsia="Arial" w:hAnsi="Arial"/>
                <w:b/>
                <w:bCs/>
                <w:sz w:val="20"/>
                <w:szCs w:val="20"/>
              </w:rPr>
              <w:t xml:space="preserve">Desk Flags</w:t>
            </w:r>
          </w:p>
        </w:tc>
        <w:tc>
          <w:tcPr>
            <w:tcW w:type="dxa" w:w="736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rFonts w:ascii="Arial" w:cs="Arial" w:eastAsia="Arial" w:hAnsi="Arial"/>
                <w:b w:val="false"/>
                <w:bCs w:val="false"/>
                <w:sz w:val="20"/>
                <w:szCs w:val="20"/>
              </w:rPr>
              <w:t xml:space="preserve">WARNING: Spreads at historic lows do not compensate for embedded default risk (Melnikov, SAS). Energy sector credit stress possible if Iran escalation materializes. Watch CCC segment for early warning.</w:t>
            </w:r>
          </w:p>
        </w:tc>
      </w:tr>
    </w:tbl>
    <w:p>
      <w:pPr>
        <w:pStyle w:val="Heading2"/>
        <w:spacing w:before="300"/>
      </w:pPr>
      <w:r>
        <w:t xml:space="preserve">3. EQUITIES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666666" w:sz="1"/>
              <w:left w:val="single" w:color="666666" w:sz="1"/>
              <w:bottom w:val="single" w:color="666666" w:sz="1"/>
              <w:right w:val="single" w:color="666666" w:sz="1"/>
            </w:tcBorders>
            <w:shd w:fill="E8F4FD" w:val="clear"/>
            <w:tcMar>
              <w:top w:type="dxa" w:w="60"/>
              <w:left w:type="dxa" w:w="100"/>
              <w:bottom w:type="dxa" w:w="60"/>
              <w:right w:type="dxa" w:w="100"/>
            </w:tcMar>
          </w:tcPr>
          <w:p>
            <w:r>
              <w:rPr>
                <w:rFonts w:ascii="Arial" w:cs="Arial" w:eastAsia="Arial" w:hAnsi="Arial"/>
                <w:b/>
                <w:bCs/>
                <w:sz w:val="20"/>
                <w:szCs w:val="20"/>
              </w:rPr>
              <w:t xml:space="preserve">Current State</w:t>
            </w:r>
          </w:p>
        </w:tc>
        <w:tc>
          <w:tcPr>
            <w:tcW w:type="dxa" w:w="736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rFonts w:ascii="Arial" w:cs="Arial" w:eastAsia="Arial" w:hAnsi="Arial"/>
                <w:b w:val="false"/>
                <w:bCs w:val="false"/>
                <w:sz w:val="20"/>
                <w:szCs w:val="20"/>
              </w:rPr>
              <w:t xml:space="preserve">S&amp;P 500: 6,925-6,967 range; +1.8% MTD (January barometer positive). Nasdaq: +1.9% MTD. VIX: 16.87 (+13% on Warsh announcement). NVDA 7.17% weight. Record high 6,932 (Dec 24, 2025).</w:t>
            </w:r>
          </w:p>
        </w:tc>
      </w:tr>
      <w:tr>
        <w:tc>
          <w:tcPr>
            <w:tcW w:type="dxa" w:w="2000"/>
            <w:tcBorders>
              <w:top w:val="single" w:color="666666" w:sz="1"/>
              <w:left w:val="single" w:color="666666" w:sz="1"/>
              <w:bottom w:val="single" w:color="666666" w:sz="1"/>
              <w:right w:val="single" w:color="666666" w:sz="1"/>
            </w:tcBorders>
            <w:shd w:fill="E8F4FD" w:val="clear"/>
            <w:tcMar>
              <w:top w:type="dxa" w:w="60"/>
              <w:left w:type="dxa" w:w="100"/>
              <w:bottom w:type="dxa" w:w="60"/>
              <w:right w:type="dxa" w:w="100"/>
            </w:tcMar>
          </w:tcPr>
          <w:p>
            <w:r>
              <w:rPr>
                <w:rFonts w:ascii="Arial" w:cs="Arial" w:eastAsia="Arial" w:hAnsi="Arial"/>
                <w:b/>
                <w:bCs/>
                <w:sz w:val="20"/>
                <w:szCs w:val="20"/>
              </w:rPr>
              <w:t xml:space="preserve">Positioning</w:t>
            </w:r>
          </w:p>
        </w:tc>
        <w:tc>
          <w:tcPr>
            <w:tcW w:type="dxa" w:w="736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rFonts w:ascii="Arial" w:cs="Arial" w:eastAsia="Arial" w:hAnsi="Arial"/>
                <w:b w:val="false"/>
                <w:bCs w:val="false"/>
                <w:sz w:val="20"/>
                <w:szCs w:val="20"/>
              </w:rPr>
              <w:t xml:space="preserve">Funds overweight tech (Mag 7 concentration at 35%+). Put skew elevated. Gamma positioning mixed - dealers short gamma above 6,950. 0DTE activity elevated.</w:t>
            </w:r>
          </w:p>
        </w:tc>
      </w:tr>
      <w:tr>
        <w:tc>
          <w:tcPr>
            <w:tcW w:type="dxa" w:w="2000"/>
            <w:tcBorders>
              <w:top w:val="single" w:color="666666" w:sz="1"/>
              <w:left w:val="single" w:color="666666" w:sz="1"/>
              <w:bottom w:val="single" w:color="666666" w:sz="1"/>
              <w:right w:val="single" w:color="666666" w:sz="1"/>
            </w:tcBorders>
            <w:shd w:fill="E8F4FD" w:val="clear"/>
            <w:tcMar>
              <w:top w:type="dxa" w:w="60"/>
              <w:left w:type="dxa" w:w="100"/>
              <w:bottom w:type="dxa" w:w="60"/>
              <w:right w:type="dxa" w:w="100"/>
            </w:tcMar>
          </w:tcPr>
          <w:p>
            <w:r>
              <w:rPr>
                <w:rFonts w:ascii="Arial" w:cs="Arial" w:eastAsia="Arial" w:hAnsi="Arial"/>
                <w:b/>
                <w:bCs/>
                <w:sz w:val="20"/>
                <w:szCs w:val="20"/>
              </w:rPr>
              <w:t xml:space="preserve">Base Case (60%)</w:t>
            </w:r>
          </w:p>
        </w:tc>
        <w:tc>
          <w:tcPr>
            <w:tcW w:type="dxa" w:w="736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rFonts w:ascii="Arial" w:cs="Arial" w:eastAsia="Arial" w:hAnsi="Arial"/>
                <w:b w:val="false"/>
                <w:bCs w:val="false"/>
                <w:sz w:val="20"/>
                <w:szCs w:val="20"/>
              </w:rPr>
              <w:t xml:space="preserve">Range-bound 6,800-7,000. Q4 earnings season supportive but valuations stretched (22x forward P/E). January gains historically bullish for year.</w:t>
            </w:r>
          </w:p>
        </w:tc>
      </w:tr>
      <w:tr>
        <w:tc>
          <w:tcPr>
            <w:tcW w:type="dxa" w:w="2000"/>
            <w:tcBorders>
              <w:top w:val="single" w:color="666666" w:sz="1"/>
              <w:left w:val="single" w:color="666666" w:sz="1"/>
              <w:bottom w:val="single" w:color="666666" w:sz="1"/>
              <w:right w:val="single" w:color="666666" w:sz="1"/>
            </w:tcBorders>
            <w:shd w:fill="E8F4FD" w:val="clear"/>
            <w:tcMar>
              <w:top w:type="dxa" w:w="60"/>
              <w:left w:type="dxa" w:w="100"/>
              <w:bottom w:type="dxa" w:w="60"/>
              <w:right w:type="dxa" w:w="100"/>
            </w:tcMar>
          </w:tcPr>
          <w:p>
            <w:r>
              <w:rPr>
                <w:rFonts w:ascii="Arial" w:cs="Arial" w:eastAsia="Arial" w:hAnsi="Arial"/>
                <w:b/>
                <w:bCs/>
                <w:sz w:val="20"/>
                <w:szCs w:val="20"/>
              </w:rPr>
              <w:t xml:space="preserve">Bull Scenario</w:t>
            </w:r>
          </w:p>
        </w:tc>
        <w:tc>
          <w:tcPr>
            <w:tcW w:type="dxa" w:w="736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rFonts w:ascii="Arial" w:cs="Arial" w:eastAsia="Arial" w:hAnsi="Arial"/>
                <w:b w:val="false"/>
                <w:bCs w:val="false"/>
                <w:sz w:val="20"/>
                <w:szCs w:val="20"/>
              </w:rPr>
              <w:t xml:space="preserve">Trigger: Strong earnings + dovish Fed pivot. S&amp;P tests 7,200. Buy calls on tech leaders.</w:t>
            </w:r>
          </w:p>
        </w:tc>
      </w:tr>
      <w:tr>
        <w:tc>
          <w:tcPr>
            <w:tcW w:type="dxa" w:w="2000"/>
            <w:tcBorders>
              <w:top w:val="single" w:color="666666" w:sz="1"/>
              <w:left w:val="single" w:color="666666" w:sz="1"/>
              <w:bottom w:val="single" w:color="666666" w:sz="1"/>
              <w:right w:val="single" w:color="666666" w:sz="1"/>
            </w:tcBorders>
            <w:shd w:fill="E8F4FD" w:val="clear"/>
            <w:tcMar>
              <w:top w:type="dxa" w:w="60"/>
              <w:left w:type="dxa" w:w="100"/>
              <w:bottom w:type="dxa" w:w="60"/>
              <w:right w:type="dxa" w:w="100"/>
            </w:tcMar>
          </w:tcPr>
          <w:p>
            <w:r>
              <w:rPr>
                <w:rFonts w:ascii="Arial" w:cs="Arial" w:eastAsia="Arial" w:hAnsi="Arial"/>
                <w:b/>
                <w:bCs/>
                <w:sz w:val="20"/>
                <w:szCs w:val="20"/>
              </w:rPr>
              <w:t xml:space="preserve">Bear Scenario</w:t>
            </w:r>
          </w:p>
        </w:tc>
        <w:tc>
          <w:tcPr>
            <w:tcW w:type="dxa" w:w="736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rFonts w:ascii="Arial" w:cs="Arial" w:eastAsia="Arial" w:hAnsi="Arial"/>
                <w:b w:val="false"/>
                <w:bCs w:val="false"/>
                <w:sz w:val="20"/>
                <w:szCs w:val="20"/>
              </w:rPr>
              <w:t xml:space="preserve">Trigger: VIX spike &gt;25 + Japan contagion + Iran escalation. S&amp;P tests 6,500 (-6%). Buy puts, reduce beta exposure.</w:t>
            </w:r>
          </w:p>
        </w:tc>
      </w:tr>
      <w:tr>
        <w:tc>
          <w:tcPr>
            <w:tcW w:type="dxa" w:w="2000"/>
            <w:tcBorders>
              <w:top w:val="single" w:color="666666" w:sz="1"/>
              <w:left w:val="single" w:color="666666" w:sz="1"/>
              <w:bottom w:val="single" w:color="666666" w:sz="1"/>
              <w:right w:val="single" w:color="666666" w:sz="1"/>
            </w:tcBorders>
            <w:shd w:fill="E8F4FD" w:val="clear"/>
            <w:tcMar>
              <w:top w:type="dxa" w:w="60"/>
              <w:left w:type="dxa" w:w="100"/>
              <w:bottom w:type="dxa" w:w="60"/>
              <w:right w:type="dxa" w:w="100"/>
            </w:tcMar>
          </w:tcPr>
          <w:p>
            <w:r>
              <w:rPr>
                <w:rFonts w:ascii="Arial" w:cs="Arial" w:eastAsia="Arial" w:hAnsi="Arial"/>
                <w:b/>
                <w:bCs/>
                <w:sz w:val="20"/>
                <w:szCs w:val="20"/>
              </w:rPr>
              <w:t xml:space="preserve">Desk Flags</w:t>
            </w:r>
          </w:p>
        </w:tc>
        <w:tc>
          <w:tcPr>
            <w:tcW w:type="dxa" w:w="736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rFonts w:ascii="Arial" w:cs="Arial" w:eastAsia="Arial" w:hAnsi="Arial"/>
                <w:b w:val="false"/>
                <w:bCs w:val="false"/>
                <w:sz w:val="20"/>
                <w:szCs w:val="20"/>
              </w:rPr>
              <w:t xml:space="preserve">ALERT: Warsh announcement spiked VIX 13%. Earnings: AAPL missed, down 1.2%; XOM, AXP disappointing. Healthcare outperforming. Sector rotation toward defensives possible.</w:t>
            </w:r>
          </w:p>
        </w:tc>
      </w:tr>
    </w:tbl>
    <w:p>
      <w:r>
        <w:br w:type="page"/>
      </w:r>
    </w:p>
    <w:p>
      <w:pPr>
        <w:pStyle w:val="Heading2"/>
      </w:pPr>
      <w:r>
        <w:t xml:space="preserve">4. FX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666666" w:sz="1"/>
              <w:left w:val="single" w:color="666666" w:sz="1"/>
              <w:bottom w:val="single" w:color="666666" w:sz="1"/>
              <w:right w:val="single" w:color="666666" w:sz="1"/>
            </w:tcBorders>
            <w:shd w:fill="E8F4FD" w:val="clear"/>
            <w:tcMar>
              <w:top w:type="dxa" w:w="60"/>
              <w:left w:type="dxa" w:w="100"/>
              <w:bottom w:type="dxa" w:w="60"/>
              <w:right w:type="dxa" w:w="100"/>
            </w:tcMar>
          </w:tcPr>
          <w:p>
            <w:r>
              <w:rPr>
                <w:rFonts w:ascii="Arial" w:cs="Arial" w:eastAsia="Arial" w:hAnsi="Arial"/>
                <w:b/>
                <w:bCs/>
                <w:sz w:val="20"/>
                <w:szCs w:val="20"/>
              </w:rPr>
              <w:t xml:space="preserve">Current State</w:t>
            </w:r>
          </w:p>
        </w:tc>
        <w:tc>
          <w:tcPr>
            <w:tcW w:type="dxa" w:w="736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rFonts w:ascii="Arial" w:cs="Arial" w:eastAsia="Arial" w:hAnsi="Arial"/>
                <w:b w:val="false"/>
                <w:bCs w:val="false"/>
                <w:sz w:val="20"/>
                <w:szCs w:val="20"/>
              </w:rPr>
              <w:t xml:space="preserve">DXY: 96.5 (-2% MTD, worst month since June). USD/JPY: 154.15. EUR/USD: 1.0850. GBP/USD: 1.2950. Dollar at 4-year lows.</w:t>
            </w:r>
          </w:p>
        </w:tc>
      </w:tr>
      <w:tr>
        <w:tc>
          <w:tcPr>
            <w:tcW w:type="dxa" w:w="2000"/>
            <w:tcBorders>
              <w:top w:val="single" w:color="666666" w:sz="1"/>
              <w:left w:val="single" w:color="666666" w:sz="1"/>
              <w:bottom w:val="single" w:color="666666" w:sz="1"/>
              <w:right w:val="single" w:color="666666" w:sz="1"/>
            </w:tcBorders>
            <w:shd w:fill="E8F4FD" w:val="clear"/>
            <w:tcMar>
              <w:top w:type="dxa" w:w="60"/>
              <w:left w:type="dxa" w:w="100"/>
              <w:bottom w:type="dxa" w:w="60"/>
              <w:right w:type="dxa" w:w="100"/>
            </w:tcMar>
          </w:tcPr>
          <w:p>
            <w:r>
              <w:rPr>
                <w:rFonts w:ascii="Arial" w:cs="Arial" w:eastAsia="Arial" w:hAnsi="Arial"/>
                <w:b/>
                <w:bCs/>
                <w:sz w:val="20"/>
                <w:szCs w:val="20"/>
              </w:rPr>
              <w:t xml:space="preserve">Key Drivers</w:t>
            </w:r>
          </w:p>
        </w:tc>
        <w:tc>
          <w:tcPr>
            <w:tcW w:type="dxa" w:w="736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rFonts w:ascii="Arial" w:cs="Arial" w:eastAsia="Arial" w:hAnsi="Arial"/>
                <w:b w:val="false"/>
                <w:bCs w:val="false"/>
                <w:sz w:val="20"/>
                <w:szCs w:val="20"/>
              </w:rPr>
              <w:t xml:space="preserve">"Sell America" trade on geopolitical uncertainty. Bessent affirmed strong dollar policy but Trump expressed comfort with weakness. NY Fed rate checks sparked intervention fears.</w:t>
            </w:r>
          </w:p>
        </w:tc>
      </w:tr>
      <w:tr>
        <w:tc>
          <w:tcPr>
            <w:tcW w:type="dxa" w:w="2000"/>
            <w:tcBorders>
              <w:top w:val="single" w:color="666666" w:sz="1"/>
              <w:left w:val="single" w:color="666666" w:sz="1"/>
              <w:bottom w:val="single" w:color="666666" w:sz="1"/>
              <w:right w:val="single" w:color="666666" w:sz="1"/>
            </w:tcBorders>
            <w:shd w:fill="E8F4FD" w:val="clear"/>
            <w:tcMar>
              <w:top w:type="dxa" w:w="60"/>
              <w:left w:type="dxa" w:w="100"/>
              <w:bottom w:type="dxa" w:w="60"/>
              <w:right w:type="dxa" w:w="100"/>
            </w:tcMar>
          </w:tcPr>
          <w:p>
            <w:r>
              <w:rPr>
                <w:rFonts w:ascii="Arial" w:cs="Arial" w:eastAsia="Arial" w:hAnsi="Arial"/>
                <w:b/>
                <w:bCs/>
                <w:sz w:val="20"/>
                <w:szCs w:val="20"/>
              </w:rPr>
              <w:t xml:space="preserve">Base Case (60%)</w:t>
            </w:r>
          </w:p>
        </w:tc>
        <w:tc>
          <w:tcPr>
            <w:tcW w:type="dxa" w:w="736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rFonts w:ascii="Arial" w:cs="Arial" w:eastAsia="Arial" w:hAnsi="Arial"/>
                <w:b w:val="false"/>
                <w:bCs w:val="false"/>
                <w:sz w:val="20"/>
                <w:szCs w:val="20"/>
              </w:rPr>
              <w:t xml:space="preserve">DXY range 95-98. USD/JPY volatile 150-158. EUR/USD stable 1.08-1.10. Dollar weakness persists but orderly.</w:t>
            </w:r>
          </w:p>
        </w:tc>
      </w:tr>
      <w:tr>
        <w:tc>
          <w:tcPr>
            <w:tcW w:type="dxa" w:w="2000"/>
            <w:tcBorders>
              <w:top w:val="single" w:color="666666" w:sz="1"/>
              <w:left w:val="single" w:color="666666" w:sz="1"/>
              <w:bottom w:val="single" w:color="666666" w:sz="1"/>
              <w:right w:val="single" w:color="666666" w:sz="1"/>
            </w:tcBorders>
            <w:shd w:fill="E8F4FD" w:val="clear"/>
            <w:tcMar>
              <w:top w:type="dxa" w:w="60"/>
              <w:left w:type="dxa" w:w="100"/>
              <w:bottom w:type="dxa" w:w="60"/>
              <w:right w:type="dxa" w:w="100"/>
            </w:tcMar>
          </w:tcPr>
          <w:p>
            <w:r>
              <w:rPr>
                <w:rFonts w:ascii="Arial" w:cs="Arial" w:eastAsia="Arial" w:hAnsi="Arial"/>
                <w:b/>
                <w:bCs/>
                <w:sz w:val="20"/>
                <w:szCs w:val="20"/>
              </w:rPr>
              <w:t xml:space="preserve">Bull USD</w:t>
            </w:r>
          </w:p>
        </w:tc>
        <w:tc>
          <w:tcPr>
            <w:tcW w:type="dxa" w:w="736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rFonts w:ascii="Arial" w:cs="Arial" w:eastAsia="Arial" w:hAnsi="Arial"/>
                <w:b w:val="false"/>
                <w:bCs w:val="false"/>
                <w:sz w:val="20"/>
                <w:szCs w:val="20"/>
              </w:rPr>
              <w:t xml:space="preserve">Trigger: Warsh confirms hawkish stance + geopolitical de-escalation. DXY recovers to 100. Long USD/JPY.</w:t>
            </w:r>
          </w:p>
        </w:tc>
      </w:tr>
      <w:tr>
        <w:tc>
          <w:tcPr>
            <w:tcW w:type="dxa" w:w="2000"/>
            <w:tcBorders>
              <w:top w:val="single" w:color="666666" w:sz="1"/>
              <w:left w:val="single" w:color="666666" w:sz="1"/>
              <w:bottom w:val="single" w:color="666666" w:sz="1"/>
              <w:right w:val="single" w:color="666666" w:sz="1"/>
            </w:tcBorders>
            <w:shd w:fill="E8F4FD" w:val="clear"/>
            <w:tcMar>
              <w:top w:type="dxa" w:w="60"/>
              <w:left w:type="dxa" w:w="100"/>
              <w:bottom w:type="dxa" w:w="60"/>
              <w:right w:type="dxa" w:w="100"/>
            </w:tcMar>
          </w:tcPr>
          <w:p>
            <w:r>
              <w:rPr>
                <w:rFonts w:ascii="Arial" w:cs="Arial" w:eastAsia="Arial" w:hAnsi="Arial"/>
                <w:b/>
                <w:bCs/>
                <w:sz w:val="20"/>
                <w:szCs w:val="20"/>
              </w:rPr>
              <w:t xml:space="preserve">Bear USD</w:t>
            </w:r>
          </w:p>
        </w:tc>
        <w:tc>
          <w:tcPr>
            <w:tcW w:type="dxa" w:w="736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rFonts w:ascii="Arial" w:cs="Arial" w:eastAsia="Arial" w:hAnsi="Arial"/>
                <w:b w:val="false"/>
                <w:bCs w:val="false"/>
                <w:sz w:val="20"/>
                <w:szCs w:val="20"/>
              </w:rPr>
              <w:t xml:space="preserve">Trigger: Coordinated intervention + trade war escalation. DXY tests 94. Short DXY, long gold.</w:t>
            </w:r>
          </w:p>
        </w:tc>
      </w:tr>
      <w:tr>
        <w:tc>
          <w:tcPr>
            <w:tcW w:type="dxa" w:w="2000"/>
            <w:tcBorders>
              <w:top w:val="single" w:color="666666" w:sz="1"/>
              <w:left w:val="single" w:color="666666" w:sz="1"/>
              <w:bottom w:val="single" w:color="666666" w:sz="1"/>
              <w:right w:val="single" w:color="666666" w:sz="1"/>
            </w:tcBorders>
            <w:shd w:fill="E8F4FD" w:val="clear"/>
            <w:tcMar>
              <w:top w:type="dxa" w:w="60"/>
              <w:left w:type="dxa" w:w="100"/>
              <w:bottom w:type="dxa" w:w="60"/>
              <w:right w:type="dxa" w:w="100"/>
            </w:tcMar>
          </w:tcPr>
          <w:p>
            <w:r>
              <w:rPr>
                <w:rFonts w:ascii="Arial" w:cs="Arial" w:eastAsia="Arial" w:hAnsi="Arial"/>
                <w:b/>
                <w:bCs/>
                <w:sz w:val="20"/>
                <w:szCs w:val="20"/>
              </w:rPr>
              <w:t xml:space="preserve">EM FX</w:t>
            </w:r>
          </w:p>
        </w:tc>
        <w:tc>
          <w:tcPr>
            <w:tcW w:type="dxa" w:w="736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rFonts w:ascii="Arial" w:cs="Arial" w:eastAsia="Arial" w:hAnsi="Arial"/>
                <w:b w:val="false"/>
                <w:bCs w:val="false"/>
                <w:sz w:val="20"/>
                <w:szCs w:val="20"/>
              </w:rPr>
              <w:t xml:space="preserve">Strong performance: BRL, ZAR, KRW leading. JPMorgan EM FX vol at 5-year lows. Carry trades attractive. Top call: Short USD/BRL (10% net carry).</w:t>
            </w:r>
          </w:p>
        </w:tc>
      </w:tr>
      <w:tr>
        <w:tc>
          <w:tcPr>
            <w:tcW w:type="dxa" w:w="2000"/>
            <w:tcBorders>
              <w:top w:val="single" w:color="666666" w:sz="1"/>
              <w:left w:val="single" w:color="666666" w:sz="1"/>
              <w:bottom w:val="single" w:color="666666" w:sz="1"/>
              <w:right w:val="single" w:color="666666" w:sz="1"/>
            </w:tcBorders>
            <w:shd w:fill="E8F4FD" w:val="clear"/>
            <w:tcMar>
              <w:top w:type="dxa" w:w="60"/>
              <w:left w:type="dxa" w:w="100"/>
              <w:bottom w:type="dxa" w:w="60"/>
              <w:right w:type="dxa" w:w="100"/>
            </w:tcMar>
          </w:tcPr>
          <w:p>
            <w:r>
              <w:rPr>
                <w:rFonts w:ascii="Arial" w:cs="Arial" w:eastAsia="Arial" w:hAnsi="Arial"/>
                <w:b/>
                <w:bCs/>
                <w:sz w:val="20"/>
                <w:szCs w:val="20"/>
              </w:rPr>
              <w:t xml:space="preserve">Desk Flags</w:t>
            </w:r>
          </w:p>
        </w:tc>
        <w:tc>
          <w:tcPr>
            <w:tcW w:type="dxa" w:w="736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rFonts w:ascii="Arial" w:cs="Arial" w:eastAsia="Arial" w:hAnsi="Arial"/>
                <w:b w:val="false"/>
                <w:bCs w:val="false"/>
                <w:sz w:val="20"/>
                <w:szCs w:val="20"/>
              </w:rPr>
              <w:t xml:space="preserve">CRITICAL: USD/JPY intervention risk elevated. NY Fed rate checks confirmed. PM Takaichi pledged "necessary steps" against speculation. Goldman sees coordinated intervention more likely than 2022/2024.</w:t>
            </w:r>
          </w:p>
        </w:tc>
      </w:tr>
    </w:tbl>
    <w:p>
      <w:pPr>
        <w:pStyle w:val="Heading2"/>
        <w:spacing w:before="300"/>
      </w:pPr>
      <w:r>
        <w:t xml:space="preserve">5. COMMODITIES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666666" w:sz="1"/>
              <w:left w:val="single" w:color="666666" w:sz="1"/>
              <w:bottom w:val="single" w:color="666666" w:sz="1"/>
              <w:right w:val="single" w:color="666666" w:sz="1"/>
            </w:tcBorders>
            <w:shd w:fill="E8F4FD" w:val="clear"/>
            <w:tcMar>
              <w:top w:type="dxa" w:w="60"/>
              <w:left w:type="dxa" w:w="100"/>
              <w:bottom w:type="dxa" w:w="60"/>
              <w:right w:type="dxa" w:w="100"/>
            </w:tcMar>
          </w:tcPr>
          <w:p>
            <w:r>
              <w:rPr>
                <w:rFonts w:ascii="Arial" w:cs="Arial" w:eastAsia="Arial" w:hAnsi="Arial"/>
                <w:b/>
                <w:bCs/>
                <w:sz w:val="20"/>
                <w:szCs w:val="20"/>
              </w:rPr>
              <w:t xml:space="preserve">Crude Oil</w:t>
            </w:r>
          </w:p>
        </w:tc>
        <w:tc>
          <w:tcPr>
            <w:tcW w:type="dxa" w:w="736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rFonts w:ascii="Arial" w:cs="Arial" w:eastAsia="Arial" w:hAnsi="Arial"/>
                <w:b w:val="false"/>
                <w:bCs w:val="false"/>
                <w:sz w:val="20"/>
                <w:szCs w:val="20"/>
              </w:rPr>
              <w:t xml:space="preserve">WTI: $63/bbl (+10% MTD, 4-month high); Brent: $70.5/bbl (+12% MTD). Winter storm cut US production 2M bpd. Iran threats boosting geopolitical premium.</w:t>
            </w:r>
          </w:p>
        </w:tc>
      </w:tr>
      <w:tr>
        <w:tc>
          <w:tcPr>
            <w:tcW w:type="dxa" w:w="2000"/>
            <w:tcBorders>
              <w:top w:val="single" w:color="666666" w:sz="1"/>
              <w:left w:val="single" w:color="666666" w:sz="1"/>
              <w:bottom w:val="single" w:color="666666" w:sz="1"/>
              <w:right w:val="single" w:color="666666" w:sz="1"/>
            </w:tcBorders>
            <w:shd w:fill="E8F4FD" w:val="clear"/>
            <w:tcMar>
              <w:top w:type="dxa" w:w="60"/>
              <w:left w:type="dxa" w:w="100"/>
              <w:bottom w:type="dxa" w:w="60"/>
              <w:right w:type="dxa" w:w="100"/>
            </w:tcMar>
          </w:tcPr>
          <w:p>
            <w:r>
              <w:rPr>
                <w:rFonts w:ascii="Arial" w:cs="Arial" w:eastAsia="Arial" w:hAnsi="Arial"/>
                <w:b/>
                <w:bCs/>
                <w:sz w:val="20"/>
                <w:szCs w:val="20"/>
              </w:rPr>
              <w:t xml:space="preserve">Natural Gas</w:t>
            </w:r>
          </w:p>
        </w:tc>
        <w:tc>
          <w:tcPr>
            <w:tcW w:type="dxa" w:w="736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rFonts w:ascii="Arial" w:cs="Arial" w:eastAsia="Arial" w:hAnsi="Arial"/>
                <w:b w:val="false"/>
                <w:bCs w:val="false"/>
                <w:sz w:val="20"/>
                <w:szCs w:val="20"/>
              </w:rPr>
              <w:t xml:space="preserve">Henry Hub: $3.88/MMBtu (+27% YoY). Europe TTF: €39/MWh. US-Europe spread narrowing. EIA draw 242 bcf vs 175 bcf expected.</w:t>
            </w:r>
          </w:p>
        </w:tc>
      </w:tr>
      <w:tr>
        <w:tc>
          <w:tcPr>
            <w:tcW w:type="dxa" w:w="2000"/>
            <w:tcBorders>
              <w:top w:val="single" w:color="666666" w:sz="1"/>
              <w:left w:val="single" w:color="666666" w:sz="1"/>
              <w:bottom w:val="single" w:color="666666" w:sz="1"/>
              <w:right w:val="single" w:color="666666" w:sz="1"/>
            </w:tcBorders>
            <w:shd w:fill="E8F4FD" w:val="clear"/>
            <w:tcMar>
              <w:top w:type="dxa" w:w="60"/>
              <w:left w:type="dxa" w:w="100"/>
              <w:bottom w:type="dxa" w:w="60"/>
              <w:right w:type="dxa" w:w="100"/>
            </w:tcMar>
          </w:tcPr>
          <w:p>
            <w:r>
              <w:rPr>
                <w:rFonts w:ascii="Arial" w:cs="Arial" w:eastAsia="Arial" w:hAnsi="Arial"/>
                <w:b/>
                <w:bCs/>
                <w:sz w:val="20"/>
                <w:szCs w:val="20"/>
              </w:rPr>
              <w:t xml:space="preserve">Gold</w:t>
            </w:r>
          </w:p>
        </w:tc>
        <w:tc>
          <w:tcPr>
            <w:tcW w:type="dxa" w:w="736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rFonts w:ascii="Arial" w:cs="Arial" w:eastAsia="Arial" w:hAnsi="Arial"/>
                <w:b w:val="false"/>
                <w:bCs w:val="false"/>
                <w:sz w:val="20"/>
                <w:szCs w:val="20"/>
              </w:rPr>
              <w:t xml:space="preserve">$5,520/oz - ALL TIME HIGH (+18% YTD). Goldman target: $5,400 year-end. Deutsche/SocGen: $6,000+. Central bank buying + de-dollarization driving rally.</w:t>
            </w:r>
          </w:p>
        </w:tc>
      </w:tr>
      <w:tr>
        <w:tc>
          <w:tcPr>
            <w:tcW w:type="dxa" w:w="2000"/>
            <w:tcBorders>
              <w:top w:val="single" w:color="666666" w:sz="1"/>
              <w:left w:val="single" w:color="666666" w:sz="1"/>
              <w:bottom w:val="single" w:color="666666" w:sz="1"/>
              <w:right w:val="single" w:color="666666" w:sz="1"/>
            </w:tcBorders>
            <w:shd w:fill="E8F4FD" w:val="clear"/>
            <w:tcMar>
              <w:top w:type="dxa" w:w="60"/>
              <w:left w:type="dxa" w:w="100"/>
              <w:bottom w:type="dxa" w:w="60"/>
              <w:right w:type="dxa" w:w="100"/>
            </w:tcMar>
          </w:tcPr>
          <w:p>
            <w:r>
              <w:rPr>
                <w:rFonts w:ascii="Arial" w:cs="Arial" w:eastAsia="Arial" w:hAnsi="Arial"/>
                <w:b/>
                <w:bCs/>
                <w:sz w:val="20"/>
                <w:szCs w:val="20"/>
              </w:rPr>
              <w:t xml:space="preserve">Copper</w:t>
            </w:r>
          </w:p>
        </w:tc>
        <w:tc>
          <w:tcPr>
            <w:tcW w:type="dxa" w:w="736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rFonts w:ascii="Arial" w:cs="Arial" w:eastAsia="Arial" w:hAnsi="Arial"/>
                <w:b w:val="false"/>
                <w:bCs w:val="false"/>
                <w:sz w:val="20"/>
                <w:szCs w:val="20"/>
              </w:rPr>
              <w:t xml:space="preserve">$13,000/tonne LME - ALL TIME HIGH (+22% from Nov). AI/data center demand (475k tons 2026 vs 110k 2025). Supply constraints. Goldman: decline to $11,000 by year-end.</w:t>
            </w:r>
          </w:p>
        </w:tc>
      </w:tr>
      <w:tr>
        <w:tc>
          <w:tcPr>
            <w:tcW w:type="dxa" w:w="2000"/>
            <w:tcBorders>
              <w:top w:val="single" w:color="666666" w:sz="1"/>
              <w:left w:val="single" w:color="666666" w:sz="1"/>
              <w:bottom w:val="single" w:color="666666" w:sz="1"/>
              <w:right w:val="single" w:color="666666" w:sz="1"/>
            </w:tcBorders>
            <w:shd w:fill="E8F4FD" w:val="clear"/>
            <w:tcMar>
              <w:top w:type="dxa" w:w="60"/>
              <w:left w:type="dxa" w:w="100"/>
              <w:bottom w:type="dxa" w:w="60"/>
              <w:right w:type="dxa" w:w="100"/>
            </w:tcMar>
          </w:tcPr>
          <w:p>
            <w:r>
              <w:rPr>
                <w:rFonts w:ascii="Arial" w:cs="Arial" w:eastAsia="Arial" w:hAnsi="Arial"/>
                <w:b/>
                <w:bCs/>
                <w:sz w:val="20"/>
                <w:szCs w:val="20"/>
              </w:rPr>
              <w:t xml:space="preserve">Base Case (60%)</w:t>
            </w:r>
          </w:p>
        </w:tc>
        <w:tc>
          <w:tcPr>
            <w:tcW w:type="dxa" w:w="736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rFonts w:ascii="Arial" w:cs="Arial" w:eastAsia="Arial" w:hAnsi="Arial"/>
                <w:b w:val="false"/>
                <w:bCs w:val="false"/>
                <w:sz w:val="20"/>
                <w:szCs w:val="20"/>
              </w:rPr>
              <w:t xml:space="preserve">WTI $58-68 range. Gold consolidates $5,200-5,600. Copper elevated but volatile. Dollar weakness supports complex.</w:t>
            </w:r>
          </w:p>
        </w:tc>
      </w:tr>
      <w:tr>
        <w:tc>
          <w:tcPr>
            <w:tcW w:type="dxa" w:w="2000"/>
            <w:tcBorders>
              <w:top w:val="single" w:color="666666" w:sz="1"/>
              <w:left w:val="single" w:color="666666" w:sz="1"/>
              <w:bottom w:val="single" w:color="666666" w:sz="1"/>
              <w:right w:val="single" w:color="666666" w:sz="1"/>
            </w:tcBorders>
            <w:shd w:fill="E8F4FD" w:val="clear"/>
            <w:tcMar>
              <w:top w:type="dxa" w:w="60"/>
              <w:left w:type="dxa" w:w="100"/>
              <w:bottom w:type="dxa" w:w="60"/>
              <w:right w:type="dxa" w:w="100"/>
            </w:tcMar>
          </w:tcPr>
          <w:p>
            <w:r>
              <w:rPr>
                <w:rFonts w:ascii="Arial" w:cs="Arial" w:eastAsia="Arial" w:hAnsi="Arial"/>
                <w:b/>
                <w:bCs/>
                <w:sz w:val="20"/>
                <w:szCs w:val="20"/>
              </w:rPr>
              <w:t xml:space="preserve">Tail Risk</w:t>
            </w:r>
          </w:p>
        </w:tc>
        <w:tc>
          <w:tcPr>
            <w:tcW w:type="dxa" w:w="736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rFonts w:ascii="Arial" w:cs="Arial" w:eastAsia="Arial" w:hAnsi="Arial"/>
                <w:b w:val="false"/>
                <w:bCs w:val="false"/>
                <w:sz w:val="20"/>
                <w:szCs w:val="20"/>
              </w:rPr>
              <w:t xml:space="preserve">Iran strike: Brent spikes to $85-95. Strait of Hormuz disruption: oil above $100. Long crude calls, energy equities.</w:t>
            </w:r>
          </w:p>
        </w:tc>
      </w:tr>
      <w:tr>
        <w:tc>
          <w:tcPr>
            <w:tcW w:type="dxa" w:w="2000"/>
            <w:tcBorders>
              <w:top w:val="single" w:color="666666" w:sz="1"/>
              <w:left w:val="single" w:color="666666" w:sz="1"/>
              <w:bottom w:val="single" w:color="666666" w:sz="1"/>
              <w:right w:val="single" w:color="666666" w:sz="1"/>
            </w:tcBorders>
            <w:shd w:fill="E8F4FD" w:val="clear"/>
            <w:tcMar>
              <w:top w:type="dxa" w:w="60"/>
              <w:left w:type="dxa" w:w="100"/>
              <w:bottom w:type="dxa" w:w="60"/>
              <w:right w:type="dxa" w:w="100"/>
            </w:tcMar>
          </w:tcPr>
          <w:p>
            <w:r>
              <w:rPr>
                <w:rFonts w:ascii="Arial" w:cs="Arial" w:eastAsia="Arial" w:hAnsi="Arial"/>
                <w:b/>
                <w:bCs/>
                <w:sz w:val="20"/>
                <w:szCs w:val="20"/>
              </w:rPr>
              <w:t xml:space="preserve">Desk Flags</w:t>
            </w:r>
          </w:p>
        </w:tc>
        <w:tc>
          <w:tcPr>
            <w:tcW w:type="dxa" w:w="736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rFonts w:ascii="Arial" w:cs="Arial" w:eastAsia="Arial" w:hAnsi="Arial"/>
                <w:b w:val="false"/>
                <w:bCs w:val="false"/>
                <w:sz w:val="20"/>
                <w:szCs w:val="20"/>
              </w:rPr>
              <w:t xml:space="preserve">ALERT: Gold/copper at records - position sizing critical. Energy: Iran escalation could trigger 15-20% oil spike. Monitor Strait of Hormuz traffic.</w:t>
            </w:r>
          </w:p>
        </w:tc>
      </w:tr>
    </w:tbl>
    <w:p>
      <w:r>
        <w:br w:type="page"/>
      </w:r>
    </w:p>
    <w:p>
      <w:pPr>
        <w:pStyle w:val="Heading1"/>
      </w:pPr>
      <w:r>
        <w:t xml:space="preserve">IV. LIQUIDITY &amp; MARKET STRUCTURE</w:t>
      </w:r>
    </w:p>
    <w:p>
      <w:pPr>
        <w:pStyle w:val="Heading2"/>
      </w:pPr>
      <w:r>
        <w:t xml:space="preserve">Funding Markets</w:t>
      </w:r>
    </w:p>
    <w:p>
      <w:pPr>
        <w:pStyle w:val="ListParagraph"/>
        <w:numPr>
          <w:ilvl w:val="0"/>
          <w:numId w:val="2"/>
        </w:numPr>
      </w:pPr>
      <w:r>
        <w:rPr>
          <w:rFonts w:ascii="Arial" w:cs="Arial" w:eastAsia="Arial" w:hAnsi="Arial"/>
          <w:b/>
          <w:bCs/>
          <w:sz w:val="22"/>
          <w:szCs w:val="22"/>
        </w:rPr>
        <w:t xml:space="preserve">Repo Markets: </w:t>
      </w:r>
      <w:r>
        <w:rPr>
          <w:rFonts w:ascii="Arial" w:cs="Arial" w:eastAsia="Arial" w:hAnsi="Arial"/>
          <w:sz w:val="22"/>
          <w:szCs w:val="22"/>
        </w:rPr>
        <w:t xml:space="preserve">Year-end stress resolved. Fed SRF usage dropped from record $74.6B (Dec 31) to zero (Jan 2). SOFR normalized at 3.87%. No systemic stress indicators.</w:t>
      </w:r>
    </w:p>
    <w:p>
      <w:pPr>
        <w:pStyle w:val="ListParagraph"/>
        <w:numPr>
          <w:ilvl w:val="0"/>
          <w:numId w:val="2"/>
        </w:numPr>
      </w:pPr>
      <w:r>
        <w:rPr>
          <w:rFonts w:ascii="Arial" w:cs="Arial" w:eastAsia="Arial" w:hAnsi="Arial"/>
          <w:b/>
          <w:bCs/>
          <w:sz w:val="22"/>
          <w:szCs w:val="22"/>
        </w:rPr>
        <w:t xml:space="preserve">FX Swap Basis: </w:t>
      </w:r>
      <w:r>
        <w:rPr>
          <w:rFonts w:ascii="Arial" w:cs="Arial" w:eastAsia="Arial" w:hAnsi="Arial"/>
          <w:sz w:val="22"/>
          <w:szCs w:val="22"/>
        </w:rPr>
        <w:t xml:space="preserve">EUR/USD and JPY/USD basis stable. No funding premium stress despite yen volatility.</w:t>
      </w:r>
    </w:p>
    <w:p>
      <w:pPr>
        <w:pStyle w:val="ListParagraph"/>
        <w:numPr>
          <w:ilvl w:val="0"/>
          <w:numId w:val="2"/>
        </w:numPr>
      </w:pPr>
      <w:r>
        <w:rPr>
          <w:rFonts w:ascii="Arial" w:cs="Arial" w:eastAsia="Arial" w:hAnsi="Arial"/>
          <w:b/>
          <w:bCs/>
          <w:sz w:val="22"/>
          <w:szCs w:val="22"/>
        </w:rPr>
        <w:t xml:space="preserve">CP/CD Markets: </w:t>
      </w:r>
      <w:r>
        <w:rPr>
          <w:rFonts w:ascii="Arial" w:cs="Arial" w:eastAsia="Arial" w:hAnsi="Arial"/>
          <w:sz w:val="22"/>
          <w:szCs w:val="22"/>
        </w:rPr>
        <w:t xml:space="preserve">Functioning normally. Financial CP spreads stable at 15-20bps over SOFR.</w:t>
      </w:r>
    </w:p>
    <w:p>
      <w:pPr>
        <w:pStyle w:val="Heading2"/>
      </w:pPr>
      <w:r>
        <w:t xml:space="preserve">Treasury Market Functioning</w:t>
      </w:r>
    </w:p>
    <w:p>
      <w:pPr>
        <w:pStyle w:val="ListParagraph"/>
        <w:numPr>
          <w:ilvl w:val="0"/>
          <w:numId w:val="2"/>
        </w:numPr>
      </w:pPr>
      <w:r>
        <w:rPr>
          <w:rFonts w:ascii="Arial" w:cs="Arial" w:eastAsia="Arial" w:hAnsi="Arial"/>
          <w:b/>
          <w:bCs/>
          <w:sz w:val="22"/>
          <w:szCs w:val="22"/>
        </w:rPr>
        <w:t xml:space="preserve">Market Depth: </w:t>
      </w:r>
      <w:r>
        <w:rPr>
          <w:rFonts w:ascii="Arial" w:cs="Arial" w:eastAsia="Arial" w:hAnsi="Arial"/>
          <w:sz w:val="22"/>
          <w:szCs w:val="22"/>
        </w:rPr>
        <w:t xml:space="preserve">Adequate but thinner than 2023-2024 average. $30T+ outstanding creates periodic liquidity pockets.</w:t>
      </w:r>
    </w:p>
    <w:p>
      <w:pPr>
        <w:pStyle w:val="ListParagraph"/>
        <w:numPr>
          <w:ilvl w:val="0"/>
          <w:numId w:val="2"/>
        </w:numPr>
      </w:pPr>
      <w:r>
        <w:rPr>
          <w:rFonts w:ascii="Arial" w:cs="Arial" w:eastAsia="Arial" w:hAnsi="Arial"/>
          <w:b/>
          <w:bCs/>
          <w:sz w:val="22"/>
          <w:szCs w:val="22"/>
        </w:rPr>
        <w:t xml:space="preserve">Auction Demand: </w:t>
      </w:r>
      <w:r>
        <w:rPr>
          <w:rFonts w:ascii="Arial" w:cs="Arial" w:eastAsia="Arial" w:hAnsi="Arial"/>
          <w:sz w:val="22"/>
          <w:szCs w:val="22"/>
        </w:rPr>
        <w:t xml:space="preserve">Recent 10Y and 30Y auctions saw solid demand. Bid-to-cover ratios healthy. Foreign central bank participation stable.</w:t>
      </w:r>
    </w:p>
    <w:p>
      <w:pPr>
        <w:pStyle w:val="ListParagraph"/>
        <w:numPr>
          <w:ilvl w:val="0"/>
          <w:numId w:val="2"/>
        </w:numPr>
      </w:pPr>
      <w:r>
        <w:rPr>
          <w:rFonts w:ascii="Arial" w:cs="Arial" w:eastAsia="Arial" w:hAnsi="Arial"/>
          <w:b/>
          <w:bCs/>
          <w:sz w:val="22"/>
          <w:szCs w:val="22"/>
        </w:rPr>
        <w:t xml:space="preserve">Concern: </w:t>
      </w:r>
      <w:r>
        <w:rPr>
          <w:rFonts w:ascii="Arial" w:cs="Arial" w:eastAsia="Arial" w:hAnsi="Arial"/>
          <w:sz w:val="22"/>
          <w:szCs w:val="22"/>
        </w:rPr>
        <w:t xml:space="preserve">JGB sell-off could reduce Japanese investor appetite for USTs (Japan is largest foreign holder at ~$1.1T).</w:t>
      </w:r>
    </w:p>
    <w:p>
      <w:pPr>
        <w:pStyle w:val="Heading2"/>
      </w:pPr>
      <w:r>
        <w:t xml:space="preserve">Equity Market Structure</w:t>
      </w:r>
    </w:p>
    <w:p>
      <w:pPr>
        <w:pStyle w:val="ListParagraph"/>
        <w:numPr>
          <w:ilvl w:val="0"/>
          <w:numId w:val="2"/>
        </w:numPr>
      </w:pPr>
      <w:r>
        <w:rPr>
          <w:rFonts w:ascii="Arial" w:cs="Arial" w:eastAsia="Arial" w:hAnsi="Arial"/>
          <w:b/>
          <w:bCs/>
          <w:sz w:val="22"/>
          <w:szCs w:val="22"/>
        </w:rPr>
        <w:t xml:space="preserve">Market Depth: </w:t>
      </w:r>
      <w:r>
        <w:rPr>
          <w:rFonts w:ascii="Arial" w:cs="Arial" w:eastAsia="Arial" w:hAnsi="Arial"/>
          <w:sz w:val="22"/>
          <w:szCs w:val="22"/>
        </w:rPr>
        <w:t xml:space="preserve">S&amp;P 500 top-of-book depth adequate. 0DTE options volume elevated, creating intraday gamma effects.</w:t>
      </w:r>
    </w:p>
    <w:p>
      <w:pPr>
        <w:pStyle w:val="ListParagraph"/>
        <w:numPr>
          <w:ilvl w:val="0"/>
          <w:numId w:val="2"/>
        </w:numPr>
      </w:pPr>
      <w:r>
        <w:rPr>
          <w:rFonts w:ascii="Arial" w:cs="Arial" w:eastAsia="Arial" w:hAnsi="Arial"/>
          <w:b/>
          <w:bCs/>
          <w:sz w:val="22"/>
          <w:szCs w:val="22"/>
        </w:rPr>
        <w:t xml:space="preserve">ETF Flows: </w:t>
      </w:r>
      <w:r>
        <w:rPr>
          <w:rFonts w:ascii="Arial" w:cs="Arial" w:eastAsia="Arial" w:hAnsi="Arial"/>
          <w:sz w:val="22"/>
          <w:szCs w:val="22"/>
        </w:rPr>
        <w:t xml:space="preserve">SPY/IVV/VOO seeing modest inflows. Sector ETFs: rotation into healthcare, out of tech.</w:t>
      </w:r>
    </w:p>
    <w:p>
      <w:pPr>
        <w:pStyle w:val="Heading2"/>
      </w:pPr>
      <w:r>
        <w:t xml:space="preserve">Dealer Balance Sheet Capacity</w:t>
      </w:r>
    </w:p>
    <w:p>
      <w:r>
        <w:rPr>
          <w:rFonts w:ascii="Arial" w:cs="Arial" w:eastAsia="Arial" w:hAnsi="Arial"/>
          <w:sz w:val="22"/>
          <w:szCs w:val="22"/>
        </w:rPr>
        <w:t xml:space="preserve">Primary dealer inventories normalized after year-end. Basel III/IV constraints continue to limit market-making capacity during stress periods. Supplementary Leverage Ratio (SLR) exemption for Treasuries not renewed - watch for quarter-end pressures.</w:t>
      </w:r>
    </w:p>
    <w:p>
      <w:r>
        <w:br w:type="page"/>
      </w:r>
    </w:p>
    <w:p>
      <w:pPr>
        <w:pStyle w:val="Heading1"/>
      </w:pPr>
      <w:r>
        <w:t xml:space="preserve">V. GEOPOLITICAL &amp; EVENT RISK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1100"/>
        <w:gridCol w:w="1600"/>
        <w:gridCol w:w="1600"/>
        <w:gridCol w:w="1960"/>
      </w:tblGrid>
      <w:tr>
        <w:tc>
          <w:tcPr>
            <w:tcW w:type="dxa" w:w="2200"/>
            <w:tcBorders>
              <w:top w:val="single" w:color="666666" w:sz="1"/>
              <w:left w:val="single" w:color="666666" w:sz="1"/>
              <w:bottom w:val="single" w:color="666666" w:sz="1"/>
              <w:right w:val="single" w:color="666666"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Event/Risk</w:t>
            </w:r>
          </w:p>
        </w:tc>
        <w:tc>
          <w:tcPr>
            <w:tcW w:type="dxa" w:w="900"/>
            <w:tcBorders>
              <w:top w:val="single" w:color="666666" w:sz="1"/>
              <w:left w:val="single" w:color="666666" w:sz="1"/>
              <w:bottom w:val="single" w:color="666666" w:sz="1"/>
              <w:right w:val="single" w:color="666666"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Prob.</w:t>
            </w:r>
          </w:p>
        </w:tc>
        <w:tc>
          <w:tcPr>
            <w:tcW w:type="dxa" w:w="1100"/>
            <w:tcBorders>
              <w:top w:val="single" w:color="666666" w:sz="1"/>
              <w:left w:val="single" w:color="666666" w:sz="1"/>
              <w:bottom w:val="single" w:color="666666" w:sz="1"/>
              <w:right w:val="single" w:color="666666"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Timeline</w:t>
            </w:r>
          </w:p>
        </w:tc>
        <w:tc>
          <w:tcPr>
            <w:tcW w:type="dxa" w:w="1600"/>
            <w:tcBorders>
              <w:top w:val="single" w:color="666666" w:sz="1"/>
              <w:left w:val="single" w:color="666666" w:sz="1"/>
              <w:bottom w:val="single" w:color="666666" w:sz="1"/>
              <w:right w:val="single" w:color="666666"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Market Impact</w:t>
            </w:r>
          </w:p>
        </w:tc>
        <w:tc>
          <w:tcPr>
            <w:tcW w:type="dxa" w:w="1600"/>
            <w:tcBorders>
              <w:top w:val="single" w:color="666666" w:sz="1"/>
              <w:left w:val="single" w:color="666666" w:sz="1"/>
              <w:bottom w:val="single" w:color="666666" w:sz="1"/>
              <w:right w:val="single" w:color="666666"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Affected Assets</w:t>
            </w:r>
          </w:p>
        </w:tc>
        <w:tc>
          <w:tcPr>
            <w:tcW w:type="dxa" w:w="1960"/>
            <w:tcBorders>
              <w:top w:val="single" w:color="666666" w:sz="1"/>
              <w:left w:val="single" w:color="666666" w:sz="1"/>
              <w:bottom w:val="single" w:color="666666" w:sz="1"/>
              <w:right w:val="single" w:color="666666"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Hedging</w:t>
            </w:r>
          </w:p>
        </w:tc>
      </w:tr>
      <w:tr>
        <w:tc>
          <w:tcPr>
            <w:tcW w:type="dxa" w:w="220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rFonts w:ascii="Arial" w:cs="Arial" w:eastAsia="Arial" w:hAnsi="Arial"/>
                <w:b/>
                <w:bCs/>
                <w:sz w:val="20"/>
                <w:szCs w:val="20"/>
              </w:rPr>
              <w:t xml:space="preserve">Japan Snap Election</w:t>
            </w:r>
          </w:p>
        </w:tc>
        <w:tc>
          <w:tcPr>
            <w:tcW w:type="dxa" w:w="90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rFonts w:ascii="Arial" w:cs="Arial" w:eastAsia="Arial" w:hAnsi="Arial"/>
                <w:b w:val="false"/>
                <w:bCs w:val="false"/>
                <w:sz w:val="20"/>
                <w:szCs w:val="20"/>
              </w:rPr>
              <w:t xml:space="preserve">100%</w:t>
            </w:r>
          </w:p>
        </w:tc>
        <w:tc>
          <w:tcPr>
            <w:tcW w:type="dxa" w:w="110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rFonts w:ascii="Arial" w:cs="Arial" w:eastAsia="Arial" w:hAnsi="Arial"/>
                <w:b w:val="false"/>
                <w:bCs w:val="false"/>
                <w:sz w:val="20"/>
                <w:szCs w:val="20"/>
              </w:rPr>
              <w:t xml:space="preserve">Feb 8</w:t>
            </w:r>
          </w:p>
        </w:tc>
        <w:tc>
          <w:tcPr>
            <w:tcW w:type="dxa" w:w="160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rFonts w:ascii="Arial" w:cs="Arial" w:eastAsia="Arial" w:hAnsi="Arial"/>
                <w:b w:val="false"/>
                <w:bCs w:val="false"/>
                <w:sz w:val="20"/>
                <w:szCs w:val="20"/>
              </w:rPr>
              <w:t xml:space="preserve">HIGH - Fiscal policy shift, JGB volatility</w:t>
            </w:r>
          </w:p>
        </w:tc>
        <w:tc>
          <w:tcPr>
            <w:tcW w:type="dxa" w:w="160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rFonts w:ascii="Arial" w:cs="Arial" w:eastAsia="Arial" w:hAnsi="Arial"/>
                <w:b w:val="false"/>
                <w:bCs w:val="false"/>
                <w:sz w:val="20"/>
                <w:szCs w:val="20"/>
              </w:rPr>
              <w:t xml:space="preserve">JGBs, JPY, USTs</w:t>
            </w:r>
          </w:p>
        </w:tc>
        <w:tc>
          <w:tcPr>
            <w:tcW w:type="dxa" w:w="196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rFonts w:ascii="Arial" w:cs="Arial" w:eastAsia="Arial" w:hAnsi="Arial"/>
                <w:b w:val="false"/>
                <w:bCs w:val="false"/>
                <w:sz w:val="20"/>
                <w:szCs w:val="20"/>
              </w:rPr>
              <w:t xml:space="preserve">Long JPY puts; reduce JGB duration</w:t>
            </w:r>
          </w:p>
        </w:tc>
      </w:tr>
      <w:tr>
        <w:tc>
          <w:tcPr>
            <w:tcW w:type="dxa" w:w="220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rFonts w:ascii="Arial" w:cs="Arial" w:eastAsia="Arial" w:hAnsi="Arial"/>
                <w:b/>
                <w:bCs/>
                <w:sz w:val="20"/>
                <w:szCs w:val="20"/>
              </w:rPr>
              <w:t xml:space="preserve">US-Iran Military Strike</w:t>
            </w:r>
          </w:p>
        </w:tc>
        <w:tc>
          <w:tcPr>
            <w:tcW w:type="dxa" w:w="90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rFonts w:ascii="Arial" w:cs="Arial" w:eastAsia="Arial" w:hAnsi="Arial"/>
                <w:b w:val="false"/>
                <w:bCs w:val="false"/>
                <w:sz w:val="20"/>
                <w:szCs w:val="20"/>
              </w:rPr>
              <w:t xml:space="preserve">25-30%</w:t>
            </w:r>
          </w:p>
        </w:tc>
        <w:tc>
          <w:tcPr>
            <w:tcW w:type="dxa" w:w="110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rFonts w:ascii="Arial" w:cs="Arial" w:eastAsia="Arial" w:hAnsi="Arial"/>
                <w:b w:val="false"/>
                <w:bCs w:val="false"/>
                <w:sz w:val="20"/>
                <w:szCs w:val="20"/>
              </w:rPr>
              <w:t xml:space="preserve">1-4 weeks</w:t>
            </w:r>
          </w:p>
        </w:tc>
        <w:tc>
          <w:tcPr>
            <w:tcW w:type="dxa" w:w="160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rFonts w:ascii="Arial" w:cs="Arial" w:eastAsia="Arial" w:hAnsi="Arial"/>
                <w:b w:val="false"/>
                <w:bCs w:val="false"/>
                <w:sz w:val="20"/>
                <w:szCs w:val="20"/>
              </w:rPr>
              <w:t xml:space="preserve">SEVERE - Oil spike, risk-off</w:t>
            </w:r>
          </w:p>
        </w:tc>
        <w:tc>
          <w:tcPr>
            <w:tcW w:type="dxa" w:w="160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rFonts w:ascii="Arial" w:cs="Arial" w:eastAsia="Arial" w:hAnsi="Arial"/>
                <w:b w:val="false"/>
                <w:bCs w:val="false"/>
                <w:sz w:val="20"/>
                <w:szCs w:val="20"/>
              </w:rPr>
              <w:t xml:space="preserve">Crude, gold, EM FX, credit</w:t>
            </w:r>
          </w:p>
        </w:tc>
        <w:tc>
          <w:tcPr>
            <w:tcW w:type="dxa" w:w="196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rFonts w:ascii="Arial" w:cs="Arial" w:eastAsia="Arial" w:hAnsi="Arial"/>
                <w:b w:val="false"/>
                <w:bCs w:val="false"/>
                <w:sz w:val="20"/>
                <w:szCs w:val="20"/>
              </w:rPr>
              <w:t xml:space="preserve">Long crude calls; gold longs; CDX HY puts</w:t>
            </w:r>
          </w:p>
        </w:tc>
      </w:tr>
      <w:tr>
        <w:tc>
          <w:tcPr>
            <w:tcW w:type="dxa" w:w="220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rFonts w:ascii="Arial" w:cs="Arial" w:eastAsia="Arial" w:hAnsi="Arial"/>
                <w:b/>
                <w:bCs/>
                <w:sz w:val="20"/>
                <w:szCs w:val="20"/>
              </w:rPr>
              <w:t xml:space="preserve">Fed Chair Confirmation Delay</w:t>
            </w:r>
          </w:p>
        </w:tc>
        <w:tc>
          <w:tcPr>
            <w:tcW w:type="dxa" w:w="90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rFonts w:ascii="Arial" w:cs="Arial" w:eastAsia="Arial" w:hAnsi="Arial"/>
                <w:b w:val="false"/>
                <w:bCs w:val="false"/>
                <w:sz w:val="20"/>
                <w:szCs w:val="20"/>
              </w:rPr>
              <w:t xml:space="preserve">40%</w:t>
            </w:r>
          </w:p>
        </w:tc>
        <w:tc>
          <w:tcPr>
            <w:tcW w:type="dxa" w:w="110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rFonts w:ascii="Arial" w:cs="Arial" w:eastAsia="Arial" w:hAnsi="Arial"/>
                <w:b w:val="false"/>
                <w:bCs w:val="false"/>
                <w:sz w:val="20"/>
                <w:szCs w:val="20"/>
              </w:rPr>
              <w:t xml:space="preserve">Feb-May</w:t>
            </w:r>
          </w:p>
        </w:tc>
        <w:tc>
          <w:tcPr>
            <w:tcW w:type="dxa" w:w="160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rFonts w:ascii="Arial" w:cs="Arial" w:eastAsia="Arial" w:hAnsi="Arial"/>
                <w:b w:val="false"/>
                <w:bCs w:val="false"/>
                <w:sz w:val="20"/>
                <w:szCs w:val="20"/>
              </w:rPr>
              <w:t xml:space="preserve">MEDIUM - Policy uncertainty</w:t>
            </w:r>
          </w:p>
        </w:tc>
        <w:tc>
          <w:tcPr>
            <w:tcW w:type="dxa" w:w="160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rFonts w:ascii="Arial" w:cs="Arial" w:eastAsia="Arial" w:hAnsi="Arial"/>
                <w:b w:val="false"/>
                <w:bCs w:val="false"/>
                <w:sz w:val="20"/>
                <w:szCs w:val="20"/>
              </w:rPr>
              <w:t xml:space="preserve">Rates, equities, USD</w:t>
            </w:r>
          </w:p>
        </w:tc>
        <w:tc>
          <w:tcPr>
            <w:tcW w:type="dxa" w:w="196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rFonts w:ascii="Arial" w:cs="Arial" w:eastAsia="Arial" w:hAnsi="Arial"/>
                <w:b w:val="false"/>
                <w:bCs w:val="false"/>
                <w:sz w:val="20"/>
                <w:szCs w:val="20"/>
              </w:rPr>
              <w:t xml:space="preserve">SOFR options; curve steepeners</w:t>
            </w:r>
          </w:p>
        </w:tc>
      </w:tr>
      <w:tr>
        <w:tc>
          <w:tcPr>
            <w:tcW w:type="dxa" w:w="220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rFonts w:ascii="Arial" w:cs="Arial" w:eastAsia="Arial" w:hAnsi="Arial"/>
                <w:b/>
                <w:bCs/>
                <w:sz w:val="20"/>
                <w:szCs w:val="20"/>
              </w:rPr>
              <w:t xml:space="preserve">China-Taiwan Tensions</w:t>
            </w:r>
          </w:p>
        </w:tc>
        <w:tc>
          <w:tcPr>
            <w:tcW w:type="dxa" w:w="90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rFonts w:ascii="Arial" w:cs="Arial" w:eastAsia="Arial" w:hAnsi="Arial"/>
                <w:b w:val="false"/>
                <w:bCs w:val="false"/>
                <w:sz w:val="20"/>
                <w:szCs w:val="20"/>
              </w:rPr>
              <w:t xml:space="preserve">10%</w:t>
            </w:r>
          </w:p>
        </w:tc>
        <w:tc>
          <w:tcPr>
            <w:tcW w:type="dxa" w:w="110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rFonts w:ascii="Arial" w:cs="Arial" w:eastAsia="Arial" w:hAnsi="Arial"/>
                <w:b w:val="false"/>
                <w:bCs w:val="false"/>
                <w:sz w:val="20"/>
                <w:szCs w:val="20"/>
              </w:rPr>
              <w:t xml:space="preserve">Ongoing</w:t>
            </w:r>
          </w:p>
        </w:tc>
        <w:tc>
          <w:tcPr>
            <w:tcW w:type="dxa" w:w="160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rFonts w:ascii="Arial" w:cs="Arial" w:eastAsia="Arial" w:hAnsi="Arial"/>
                <w:b w:val="false"/>
                <w:bCs w:val="false"/>
                <w:sz w:val="20"/>
                <w:szCs w:val="20"/>
              </w:rPr>
              <w:t xml:space="preserve">SEVERE if escalates</w:t>
            </w:r>
          </w:p>
        </w:tc>
        <w:tc>
          <w:tcPr>
            <w:tcW w:type="dxa" w:w="160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rFonts w:ascii="Arial" w:cs="Arial" w:eastAsia="Arial" w:hAnsi="Arial"/>
                <w:b w:val="false"/>
                <w:bCs w:val="false"/>
                <w:sz w:val="20"/>
                <w:szCs w:val="20"/>
              </w:rPr>
              <w:t xml:space="preserve">Semis, TWD, global equities</w:t>
            </w:r>
          </w:p>
        </w:tc>
        <w:tc>
          <w:tcPr>
            <w:tcW w:type="dxa" w:w="196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rFonts w:ascii="Arial" w:cs="Arial" w:eastAsia="Arial" w:hAnsi="Arial"/>
                <w:b w:val="false"/>
                <w:bCs w:val="false"/>
                <w:sz w:val="20"/>
                <w:szCs w:val="20"/>
              </w:rPr>
              <w:t xml:space="preserve">Reduce Taiwan exposure; long VIX</w:t>
            </w:r>
          </w:p>
        </w:tc>
      </w:tr>
      <w:tr>
        <w:tc>
          <w:tcPr>
            <w:tcW w:type="dxa" w:w="220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rFonts w:ascii="Arial" w:cs="Arial" w:eastAsia="Arial" w:hAnsi="Arial"/>
                <w:b/>
                <w:bCs/>
                <w:sz w:val="20"/>
                <w:szCs w:val="20"/>
              </w:rPr>
              <w:t xml:space="preserve">US Tariff Escalation</w:t>
            </w:r>
          </w:p>
        </w:tc>
        <w:tc>
          <w:tcPr>
            <w:tcW w:type="dxa" w:w="90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rFonts w:ascii="Arial" w:cs="Arial" w:eastAsia="Arial" w:hAnsi="Arial"/>
                <w:b w:val="false"/>
                <w:bCs w:val="false"/>
                <w:sz w:val="20"/>
                <w:szCs w:val="20"/>
              </w:rPr>
              <w:t xml:space="preserve">35%</w:t>
            </w:r>
          </w:p>
        </w:tc>
        <w:tc>
          <w:tcPr>
            <w:tcW w:type="dxa" w:w="110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rFonts w:ascii="Arial" w:cs="Arial" w:eastAsia="Arial" w:hAnsi="Arial"/>
                <w:b w:val="false"/>
                <w:bCs w:val="false"/>
                <w:sz w:val="20"/>
                <w:szCs w:val="20"/>
              </w:rPr>
              <w:t xml:space="preserve">Q1 2026</w:t>
            </w:r>
          </w:p>
        </w:tc>
        <w:tc>
          <w:tcPr>
            <w:tcW w:type="dxa" w:w="160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rFonts w:ascii="Arial" w:cs="Arial" w:eastAsia="Arial" w:hAnsi="Arial"/>
                <w:b w:val="false"/>
                <w:bCs w:val="false"/>
                <w:sz w:val="20"/>
                <w:szCs w:val="20"/>
              </w:rPr>
              <w:t xml:space="preserve">MEDIUM - Inflation, growth risk</w:t>
            </w:r>
          </w:p>
        </w:tc>
        <w:tc>
          <w:tcPr>
            <w:tcW w:type="dxa" w:w="160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rFonts w:ascii="Arial" w:cs="Arial" w:eastAsia="Arial" w:hAnsi="Arial"/>
                <w:b w:val="false"/>
                <w:bCs w:val="false"/>
                <w:sz w:val="20"/>
                <w:szCs w:val="20"/>
              </w:rPr>
              <w:t xml:space="preserve">USD, EM, industrials</w:t>
            </w:r>
          </w:p>
        </w:tc>
        <w:tc>
          <w:tcPr>
            <w:tcW w:type="dxa" w:w="196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rFonts w:ascii="Arial" w:cs="Arial" w:eastAsia="Arial" w:hAnsi="Arial"/>
                <w:b w:val="false"/>
                <w:bCs w:val="false"/>
                <w:sz w:val="20"/>
                <w:szCs w:val="20"/>
              </w:rPr>
              <w:t xml:space="preserve">Inflation breakevens; commodity longs</w:t>
            </w:r>
          </w:p>
        </w:tc>
      </w:tr>
      <w:tr>
        <w:tc>
          <w:tcPr>
            <w:tcW w:type="dxa" w:w="220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rFonts w:ascii="Arial" w:cs="Arial" w:eastAsia="Arial" w:hAnsi="Arial"/>
                <w:b/>
                <w:bCs/>
                <w:sz w:val="20"/>
                <w:szCs w:val="20"/>
              </w:rPr>
              <w:t xml:space="preserve">Supreme Court Tariff Ruling</w:t>
            </w:r>
          </w:p>
        </w:tc>
        <w:tc>
          <w:tcPr>
            <w:tcW w:type="dxa" w:w="90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rFonts w:ascii="Arial" w:cs="Arial" w:eastAsia="Arial" w:hAnsi="Arial"/>
                <w:b w:val="false"/>
                <w:bCs w:val="false"/>
                <w:sz w:val="20"/>
                <w:szCs w:val="20"/>
              </w:rPr>
              <w:t xml:space="preserve">60%</w:t>
            </w:r>
          </w:p>
        </w:tc>
        <w:tc>
          <w:tcPr>
            <w:tcW w:type="dxa" w:w="110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rFonts w:ascii="Arial" w:cs="Arial" w:eastAsia="Arial" w:hAnsi="Arial"/>
                <w:b w:val="false"/>
                <w:bCs w:val="false"/>
                <w:sz w:val="20"/>
                <w:szCs w:val="20"/>
              </w:rPr>
              <w:t xml:space="preserve">Q1 2026</w:t>
            </w:r>
          </w:p>
        </w:tc>
        <w:tc>
          <w:tcPr>
            <w:tcW w:type="dxa" w:w="160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rFonts w:ascii="Arial" w:cs="Arial" w:eastAsia="Arial" w:hAnsi="Arial"/>
                <w:b w:val="false"/>
                <w:bCs w:val="false"/>
                <w:sz w:val="20"/>
                <w:szCs w:val="20"/>
              </w:rPr>
              <w:t xml:space="preserve">MEDIUM - Policy reversal risk</w:t>
            </w:r>
          </w:p>
        </w:tc>
        <w:tc>
          <w:tcPr>
            <w:tcW w:type="dxa" w:w="160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rFonts w:ascii="Arial" w:cs="Arial" w:eastAsia="Arial" w:hAnsi="Arial"/>
                <w:b w:val="false"/>
                <w:bCs w:val="false"/>
                <w:sz w:val="20"/>
                <w:szCs w:val="20"/>
              </w:rPr>
              <w:t xml:space="preserve">Trade-sensitive sectors</w:t>
            </w:r>
          </w:p>
        </w:tc>
        <w:tc>
          <w:tcPr>
            <w:tcW w:type="dxa" w:w="196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rFonts w:ascii="Arial" w:cs="Arial" w:eastAsia="Arial" w:hAnsi="Arial"/>
                <w:b w:val="false"/>
                <w:bCs w:val="false"/>
                <w:sz w:val="20"/>
                <w:szCs w:val="20"/>
              </w:rPr>
              <w:t xml:space="preserve">Sector rotation optionality</w:t>
            </w:r>
          </w:p>
        </w:tc>
      </w:tr>
    </w:tbl>
    <w:p>
      <w:r>
        <w:br w:type="page"/>
      </w:r>
    </w:p>
    <w:p>
      <w:pPr>
        <w:pStyle w:val="Heading1"/>
      </w:pPr>
      <w:r>
        <w:t xml:space="preserve">VI. CORRELATION &amp; CONTAGION WATCH</w:t>
      </w:r>
    </w:p>
    <w:p>
      <w:pPr>
        <w:pStyle w:val="Heading2"/>
      </w:pPr>
      <w:r>
        <w:t xml:space="preserve">Cross-Asset Correlation Shifts</w:t>
      </w:r>
    </w:p>
    <w:p>
      <w:pPr>
        <w:pStyle w:val="ListParagraph"/>
        <w:numPr>
          <w:ilvl w:val="0"/>
          <w:numId w:val="2"/>
        </w:numPr>
      </w:pPr>
      <w:r>
        <w:rPr>
          <w:rFonts w:ascii="Arial" w:cs="Arial" w:eastAsia="Arial" w:hAnsi="Arial"/>
          <w:b/>
          <w:bCs/>
          <w:sz w:val="22"/>
          <w:szCs w:val="22"/>
        </w:rPr>
        <w:t xml:space="preserve">Stocks-Bonds: </w:t>
      </w:r>
      <w:r>
        <w:rPr>
          <w:rFonts w:ascii="Arial" w:cs="Arial" w:eastAsia="Arial" w:hAnsi="Arial"/>
          <w:sz w:val="22"/>
          <w:szCs w:val="22"/>
        </w:rPr>
        <w:t xml:space="preserve">Correlation turning positive (+0.15 rolling 30d) vs historical negative. Reduces traditional 60/40 diversification benefit. Monitor for inflation-driven regime shift.</w:t>
      </w:r>
    </w:p>
    <w:p>
      <w:pPr>
        <w:pStyle w:val="ListParagraph"/>
        <w:numPr>
          <w:ilvl w:val="0"/>
          <w:numId w:val="2"/>
        </w:numPr>
      </w:pPr>
      <w:r>
        <w:rPr>
          <w:rFonts w:ascii="Arial" w:cs="Arial" w:eastAsia="Arial" w:hAnsi="Arial"/>
          <w:b/>
          <w:bCs/>
          <w:sz w:val="22"/>
          <w:szCs w:val="22"/>
        </w:rPr>
        <w:t xml:space="preserve">Gold-Dollar: </w:t>
      </w:r>
      <w:r>
        <w:rPr>
          <w:rFonts w:ascii="Arial" w:cs="Arial" w:eastAsia="Arial" w:hAnsi="Arial"/>
          <w:sz w:val="22"/>
          <w:szCs w:val="22"/>
        </w:rPr>
        <w:t xml:space="preserve">Strong negative correlation maintained (-0.75). Gold rally accelerating as dollar weakens.</w:t>
      </w:r>
    </w:p>
    <w:p>
      <w:pPr>
        <w:pStyle w:val="ListParagraph"/>
        <w:numPr>
          <w:ilvl w:val="0"/>
          <w:numId w:val="2"/>
        </w:numPr>
      </w:pPr>
      <w:r>
        <w:rPr>
          <w:rFonts w:ascii="Arial" w:cs="Arial" w:eastAsia="Arial" w:hAnsi="Arial"/>
          <w:b/>
          <w:bCs/>
          <w:sz w:val="22"/>
          <w:szCs w:val="22"/>
        </w:rPr>
        <w:t xml:space="preserve">VIX-S&amp;P: </w:t>
      </w:r>
      <w:r>
        <w:rPr>
          <w:rFonts w:ascii="Arial" w:cs="Arial" w:eastAsia="Arial" w:hAnsi="Arial"/>
          <w:sz w:val="22"/>
          <w:szCs w:val="22"/>
        </w:rPr>
        <w:t xml:space="preserve">Inverse correlation intact. VIX underpriced relative to realized vol per some analysts - watch for mean reversion.</w:t>
      </w:r>
    </w:p>
    <w:p>
      <w:pPr>
        <w:pStyle w:val="Heading2"/>
      </w:pPr>
      <w:r>
        <w:t xml:space="preserve">Potential Contagion Pathways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666666" w:sz="1"/>
              <w:left w:val="single" w:color="666666" w:sz="1"/>
              <w:bottom w:val="single" w:color="666666" w:sz="1"/>
              <w:right w:val="single" w:color="666666" w:sz="1"/>
            </w:tcBorders>
            <w:shd w:fill="E8F4FD" w:val="clear"/>
            <w:tcMar>
              <w:top w:type="dxa" w:w="60"/>
              <w:left w:type="dxa" w:w="100"/>
              <w:bottom w:type="dxa" w:w="60"/>
              <w:right w:type="dxa" w:w="100"/>
            </w:tcMar>
          </w:tcPr>
          <w:p>
            <w:r>
              <w:rPr>
                <w:rFonts w:ascii="Arial" w:cs="Arial" w:eastAsia="Arial" w:hAnsi="Arial"/>
                <w:b/>
                <w:bCs/>
                <w:sz w:val="20"/>
                <w:szCs w:val="20"/>
              </w:rPr>
              <w:t xml:space="preserve">JGB Sell-off → UST Sell-off</w:t>
            </w:r>
          </w:p>
        </w:tc>
        <w:tc>
          <w:tcPr>
            <w:tcW w:type="dxa" w:w="636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rFonts w:ascii="Arial" w:cs="Arial" w:eastAsia="Arial" w:hAnsi="Arial"/>
                <w:b w:val="false"/>
                <w:bCs w:val="false"/>
                <w:sz w:val="20"/>
                <w:szCs w:val="20"/>
              </w:rPr>
              <w:t xml:space="preserve">Japan investors (BOJ, life insurers) hold $1.1T+ USTs. JGB yield spike could force repatriation, pushing UST yields higher. CRITICAL WATCH.</w:t>
            </w:r>
          </w:p>
        </w:tc>
      </w:tr>
      <w:tr>
        <w:tc>
          <w:tcPr>
            <w:tcW w:type="dxa" w:w="3000"/>
            <w:tcBorders>
              <w:top w:val="single" w:color="666666" w:sz="1"/>
              <w:left w:val="single" w:color="666666" w:sz="1"/>
              <w:bottom w:val="single" w:color="666666" w:sz="1"/>
              <w:right w:val="single" w:color="666666" w:sz="1"/>
            </w:tcBorders>
            <w:shd w:fill="E8F4FD" w:val="clear"/>
            <w:tcMar>
              <w:top w:type="dxa" w:w="60"/>
              <w:left w:type="dxa" w:w="100"/>
              <w:bottom w:type="dxa" w:w="60"/>
              <w:right w:type="dxa" w:w="100"/>
            </w:tcMar>
          </w:tcPr>
          <w:p>
            <w:r>
              <w:rPr>
                <w:rFonts w:ascii="Arial" w:cs="Arial" w:eastAsia="Arial" w:hAnsi="Arial"/>
                <w:b/>
                <w:bCs/>
                <w:sz w:val="20"/>
                <w:szCs w:val="20"/>
              </w:rPr>
              <w:t xml:space="preserve">Yen Spike → EM FX Unwind</w:t>
            </w:r>
          </w:p>
        </w:tc>
        <w:tc>
          <w:tcPr>
            <w:tcW w:type="dxa" w:w="636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rFonts w:ascii="Arial" w:cs="Arial" w:eastAsia="Arial" w:hAnsi="Arial"/>
                <w:b w:val="false"/>
                <w:bCs w:val="false"/>
                <w:sz w:val="20"/>
                <w:szCs w:val="20"/>
              </w:rPr>
              <w:t xml:space="preserve">Yen carry trades fund EM FX longs. Coordinated intervention could trigger rapid yen appreciation, forcing EM carry unwind. Correlation spike expected.</w:t>
            </w:r>
          </w:p>
        </w:tc>
      </w:tr>
      <w:tr>
        <w:tc>
          <w:tcPr>
            <w:tcW w:type="dxa" w:w="3000"/>
            <w:tcBorders>
              <w:top w:val="single" w:color="666666" w:sz="1"/>
              <w:left w:val="single" w:color="666666" w:sz="1"/>
              <w:bottom w:val="single" w:color="666666" w:sz="1"/>
              <w:right w:val="single" w:color="666666" w:sz="1"/>
            </w:tcBorders>
            <w:shd w:fill="E8F4FD" w:val="clear"/>
            <w:tcMar>
              <w:top w:type="dxa" w:w="60"/>
              <w:left w:type="dxa" w:w="100"/>
              <w:bottom w:type="dxa" w:w="60"/>
              <w:right w:type="dxa" w:w="100"/>
            </w:tcMar>
          </w:tcPr>
          <w:p>
            <w:r>
              <w:rPr>
                <w:rFonts w:ascii="Arial" w:cs="Arial" w:eastAsia="Arial" w:hAnsi="Arial"/>
                <w:b/>
                <w:bCs/>
                <w:sz w:val="20"/>
                <w:szCs w:val="20"/>
              </w:rPr>
              <w:t xml:space="preserve">Iran Strike → Credit Stress</w:t>
            </w:r>
          </w:p>
        </w:tc>
        <w:tc>
          <w:tcPr>
            <w:tcW w:type="dxa" w:w="636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rFonts w:ascii="Arial" w:cs="Arial" w:eastAsia="Arial" w:hAnsi="Arial"/>
                <w:b w:val="false"/>
                <w:bCs w:val="false"/>
                <w:sz w:val="20"/>
                <w:szCs w:val="20"/>
              </w:rPr>
              <w:t xml:space="preserve">Oil spike hits energy-importing economies. EM sovereign spreads widen. Energy sector HY credit at risk of downgrades.</w:t>
            </w:r>
          </w:p>
        </w:tc>
      </w:tr>
    </w:tbl>
    <w:p>
      <w:pPr>
        <w:pStyle w:val="Heading2"/>
      </w:pPr>
      <w:r>
        <w:t xml:space="preserve">Crowded Trade Identification</w:t>
      </w:r>
    </w:p>
    <w:p>
      <w:pPr>
        <w:pStyle w:val="ListParagraph"/>
        <w:numPr>
          <w:ilvl w:val="0"/>
          <w:numId w:val="2"/>
        </w:numPr>
      </w:pPr>
      <w:r>
        <w:rPr>
          <w:rFonts w:ascii="Arial" w:cs="Arial" w:eastAsia="Arial" w:hAnsi="Arial"/>
          <w:b/>
          <w:bCs/>
          <w:sz w:val="22"/>
          <w:szCs w:val="22"/>
        </w:rPr>
        <w:t xml:space="preserve">Long Magnificent 7: </w:t>
      </w:r>
      <w:r>
        <w:rPr>
          <w:rFonts w:ascii="Arial" w:cs="Arial" w:eastAsia="Arial" w:hAnsi="Arial"/>
          <w:sz w:val="22"/>
          <w:szCs w:val="22"/>
        </w:rPr>
        <w:t xml:space="preserve">35%+ S&amp;P 500 weight. Concentration risk elevated. Any rotation could trigger outsized index impact.</w:t>
      </w:r>
    </w:p>
    <w:p>
      <w:pPr>
        <w:pStyle w:val="ListParagraph"/>
        <w:numPr>
          <w:ilvl w:val="0"/>
          <w:numId w:val="2"/>
        </w:numPr>
      </w:pPr>
      <w:r>
        <w:rPr>
          <w:rFonts w:ascii="Arial" w:cs="Arial" w:eastAsia="Arial" w:hAnsi="Arial"/>
          <w:b/>
          <w:bCs/>
          <w:sz w:val="22"/>
          <w:szCs w:val="22"/>
        </w:rPr>
        <w:t xml:space="preserve">Short Vol: </w:t>
      </w:r>
      <w:r>
        <w:rPr>
          <w:rFonts w:ascii="Arial" w:cs="Arial" w:eastAsia="Arial" w:hAnsi="Arial"/>
          <w:sz w:val="22"/>
          <w:szCs w:val="22"/>
        </w:rPr>
        <w:t xml:space="preserve">VIX at 16-17 with elevated uncertainty. Short vol positioning appears stretched - unwind risk on tail event.</w:t>
      </w:r>
    </w:p>
    <w:p>
      <w:pPr>
        <w:pStyle w:val="ListParagraph"/>
        <w:numPr>
          <w:ilvl w:val="0"/>
          <w:numId w:val="2"/>
        </w:numPr>
      </w:pPr>
      <w:r>
        <w:rPr>
          <w:rFonts w:ascii="Arial" w:cs="Arial" w:eastAsia="Arial" w:hAnsi="Arial"/>
          <w:b/>
          <w:bCs/>
          <w:sz w:val="22"/>
          <w:szCs w:val="22"/>
        </w:rPr>
        <w:t xml:space="preserve">Long EM Carry: </w:t>
      </w:r>
      <w:r>
        <w:rPr>
          <w:rFonts w:ascii="Arial" w:cs="Arial" w:eastAsia="Arial" w:hAnsi="Arial"/>
          <w:sz w:val="22"/>
          <w:szCs w:val="22"/>
        </w:rPr>
        <w:t xml:space="preserve">LATAM FX carry popular after 17% 2025 returns. Low vol environment encouraging position buildup - vulnerable to vol spike.</w:t>
      </w:r>
    </w:p>
    <w:p>
      <w:pPr>
        <w:pStyle w:val="ListParagraph"/>
        <w:numPr>
          <w:ilvl w:val="0"/>
          <w:numId w:val="2"/>
        </w:numPr>
      </w:pPr>
      <w:r>
        <w:rPr>
          <w:rFonts w:ascii="Arial" w:cs="Arial" w:eastAsia="Arial" w:hAnsi="Arial"/>
          <w:b/>
          <w:bCs/>
          <w:sz w:val="22"/>
          <w:szCs w:val="22"/>
        </w:rPr>
        <w:t xml:space="preserve">Long Gold/Commodities: </w:t>
      </w:r>
      <w:r>
        <w:rPr>
          <w:rFonts w:ascii="Arial" w:cs="Arial" w:eastAsia="Arial" w:hAnsi="Arial"/>
          <w:sz w:val="22"/>
          <w:szCs w:val="22"/>
        </w:rPr>
        <w:t xml:space="preserve">Record positioning in gold. Copper at all-time highs. Sentiment extremely bullish - watch for profit-taking.</w:t>
      </w:r>
    </w:p>
    <w:p>
      <w:r>
        <w:br w:type="page"/>
      </w:r>
    </w:p>
    <w:p>
      <w:pPr>
        <w:pStyle w:val="Heading1"/>
      </w:pPr>
      <w:r>
        <w:t xml:space="preserve">VII. REGULATORY &amp; COMPLIANCE RADAR</w:t>
      </w:r>
    </w:p>
    <w:p>
      <w:pPr>
        <w:pStyle w:val="Heading2"/>
      </w:pPr>
      <w:r>
        <w:t xml:space="preserve">Upcoming Regulatory Developments</w:t>
      </w:r>
    </w:p>
    <w:p>
      <w:pPr>
        <w:pStyle w:val="ListParagraph"/>
        <w:numPr>
          <w:ilvl w:val="0"/>
          <w:numId w:val="2"/>
        </w:numPr>
      </w:pPr>
      <w:r>
        <w:rPr>
          <w:rFonts w:ascii="Arial" w:cs="Arial" w:eastAsia="Arial" w:hAnsi="Arial"/>
          <w:b/>
          <w:bCs/>
          <w:sz w:val="22"/>
          <w:szCs w:val="22"/>
        </w:rPr>
        <w:t xml:space="preserve">Basel III Endgame: </w:t>
      </w:r>
      <w:r>
        <w:rPr>
          <w:rFonts w:ascii="Arial" w:cs="Arial" w:eastAsia="Arial" w:hAnsi="Arial"/>
          <w:sz w:val="22"/>
          <w:szCs w:val="22"/>
        </w:rPr>
        <w:t xml:space="preserve">Final rule implementation continues. RWA impact on trading book exposures under review. Capital planning implications for 2026 stress tests.</w:t>
      </w:r>
    </w:p>
    <w:p>
      <w:pPr>
        <w:pStyle w:val="ListParagraph"/>
        <w:numPr>
          <w:ilvl w:val="0"/>
          <w:numId w:val="2"/>
        </w:numPr>
      </w:pPr>
      <w:r>
        <w:rPr>
          <w:rFonts w:ascii="Arial" w:cs="Arial" w:eastAsia="Arial" w:hAnsi="Arial"/>
          <w:b/>
          <w:bCs/>
          <w:sz w:val="22"/>
          <w:szCs w:val="22"/>
        </w:rPr>
        <w:t xml:space="preserve">SLR Treatment: </w:t>
      </w:r>
      <w:r>
        <w:rPr>
          <w:rFonts w:ascii="Arial" w:cs="Arial" w:eastAsia="Arial" w:hAnsi="Arial"/>
          <w:sz w:val="22"/>
          <w:szCs w:val="22"/>
        </w:rPr>
        <w:t xml:space="preserve">Supplementary Leverage Ratio exemption for Treasuries not renewed. Dealer balance sheet constraints persist - monitor quarter-end pressures.</w:t>
      </w:r>
    </w:p>
    <w:p>
      <w:pPr>
        <w:pStyle w:val="ListParagraph"/>
        <w:numPr>
          <w:ilvl w:val="0"/>
          <w:numId w:val="2"/>
        </w:numPr>
      </w:pPr>
      <w:r>
        <w:rPr>
          <w:rFonts w:ascii="Arial" w:cs="Arial" w:eastAsia="Arial" w:hAnsi="Arial"/>
          <w:b/>
          <w:bCs/>
          <w:sz w:val="22"/>
          <w:szCs w:val="22"/>
        </w:rPr>
        <w:t xml:space="preserve">SEC Treasury Clearing: </w:t>
      </w:r>
      <w:r>
        <w:rPr>
          <w:rFonts w:ascii="Arial" w:cs="Arial" w:eastAsia="Arial" w:hAnsi="Arial"/>
          <w:sz w:val="22"/>
          <w:szCs w:val="22"/>
        </w:rPr>
        <w:t xml:space="preserve">Phased implementation of central clearing mandate for Treasury securities. Operational readiness review ongoing.</w:t>
      </w:r>
    </w:p>
    <w:p>
      <w:pPr>
        <w:pStyle w:val="Heading2"/>
      </w:pPr>
      <w:r>
        <w:t xml:space="preserve">CCAR/Stress Test Implications</w:t>
      </w:r>
    </w:p>
    <w:p>
      <w:r>
        <w:rPr>
          <w:rFonts w:ascii="Arial" w:cs="Arial" w:eastAsia="Arial" w:hAnsi="Arial"/>
          <w:sz w:val="22"/>
          <w:szCs w:val="22"/>
        </w:rPr>
        <w:t xml:space="preserve">Current environment characterized by: elevated rate volatility, tight credit spreads, geopolitical uncertainty. Stress test scenarios should incorporate: 200bps rate shock, 150bps credit spread widening, 25% equity decline, 15% oil price spike. Recommend pre-positioning for adverse scenario to preserve capital flexibility.</w:t>
      </w:r>
    </w:p>
    <w:p>
      <w:pPr>
        <w:pStyle w:val="Heading2"/>
      </w:pPr>
      <w:r>
        <w:t xml:space="preserve">Counterparty Credit Concerns</w:t>
      </w:r>
    </w:p>
    <w:p>
      <w:pPr>
        <w:pStyle w:val="ListParagraph"/>
        <w:numPr>
          <w:ilvl w:val="0"/>
          <w:numId w:val="2"/>
        </w:numPr>
      </w:pPr>
      <w:r>
        <w:rPr>
          <w:rFonts w:ascii="Arial" w:cs="Arial" w:eastAsia="Arial" w:hAnsi="Arial"/>
          <w:sz w:val="22"/>
          <w:szCs w:val="22"/>
        </w:rPr>
        <w:t xml:space="preserve">Japan financial institutions: Monitor for stress from JGB losses and yen volatility. Increase margin requirements if warranted.</w:t>
      </w:r>
    </w:p>
    <w:p>
      <w:pPr>
        <w:pStyle w:val="ListParagraph"/>
        <w:numPr>
          <w:ilvl w:val="0"/>
          <w:numId w:val="2"/>
        </w:numPr>
      </w:pPr>
      <w:r>
        <w:rPr>
          <w:rFonts w:ascii="Arial" w:cs="Arial" w:eastAsia="Arial" w:hAnsi="Arial"/>
          <w:sz w:val="22"/>
          <w:szCs w:val="22"/>
        </w:rPr>
        <w:t xml:space="preserve">Energy sector counterparties: Elevated risk if Iran escalation materializes. Review limits for energy traders and producers.</w:t>
      </w:r>
    </w:p>
    <w:p>
      <w:pPr>
        <w:pStyle w:val="ListParagraph"/>
        <w:numPr>
          <w:ilvl w:val="0"/>
          <w:numId w:val="2"/>
        </w:numPr>
      </w:pPr>
      <w:r>
        <w:rPr>
          <w:rFonts w:ascii="Arial" w:cs="Arial" w:eastAsia="Arial" w:hAnsi="Arial"/>
          <w:sz w:val="22"/>
          <w:szCs w:val="22"/>
        </w:rPr>
        <w:t xml:space="preserve">EM sovereigns: Generally stable, but monitor Turkey, Argentina for idiosyncratic stress.</w:t>
      </w:r>
    </w:p>
    <w:p>
      <w:r>
        <w:br w:type="page"/>
      </w:r>
    </w:p>
    <w:p>
      <w:pPr>
        <w:pStyle w:val="Heading1"/>
      </w:pPr>
      <w:r>
        <w:t xml:space="preserve">VIII. SCENARIO ANALYSIS</w:t>
      </w:r>
    </w:p>
    <w:p>
      <w:pPr>
        <w:pStyle w:val="Heading2"/>
      </w:pPr>
      <w:r>
        <w:t xml:space="preserve">Scenario A: Base Case (60% Probability)</w:t>
      </w:r>
    </w:p>
    <w:p>
      <w:r>
        <w:rPr>
          <w:rFonts w:ascii="Arial" w:cs="Arial" w:eastAsia="Arial" w:hAnsi="Arial"/>
          <w:b/>
          <w:bCs/>
          <w:sz w:val="22"/>
          <w:szCs w:val="22"/>
        </w:rPr>
        <w:t xml:space="preserve">Narrative: </w:t>
      </w:r>
      <w:r>
        <w:rPr>
          <w:rFonts w:ascii="Arial" w:cs="Arial" w:eastAsia="Arial" w:hAnsi="Arial"/>
          <w:sz w:val="22"/>
          <w:szCs w:val="22"/>
        </w:rPr>
        <w:t xml:space="preserve">Fed remains on hold through March with Warsh confirmation proceeding (with delays). Japan election results in Takaichi victory, maintaining fiscal expansion. Inflation stabilizes near 2.5%. Growth moderates to 2.0-2.5% annualized. No major geopolitical escalation.</w:t>
      </w:r>
    </w:p>
    <w:p>
      <w:pPr>
        <w:spacing w:before="100"/>
      </w:pPr>
      <w:r>
        <w:rPr>
          <w:rFonts w:ascii="Arial" w:cs="Arial" w:eastAsia="Arial" w:hAnsi="Arial"/>
          <w:b/>
          <w:bCs/>
          <w:sz w:val="22"/>
          <w:szCs w:val="22"/>
        </w:rPr>
        <w:t xml:space="preserve">Expected P&amp;L Impact:</w:t>
      </w:r>
    </w:p>
    <w:p>
      <w:pPr>
        <w:pStyle w:val="ListParagraph"/>
        <w:numPr>
          <w:ilvl w:val="0"/>
          <w:numId w:val="2"/>
        </w:numPr>
      </w:pPr>
      <w:r>
        <w:rPr>
          <w:rFonts w:ascii="Arial" w:cs="Arial" w:eastAsia="Arial" w:hAnsi="Arial"/>
          <w:sz w:val="22"/>
          <w:szCs w:val="22"/>
        </w:rPr>
        <w:t xml:space="preserve">Rates Desk: Modest positive from carry, curve steepening trades</w:t>
      </w:r>
    </w:p>
    <w:p>
      <w:pPr>
        <w:pStyle w:val="ListParagraph"/>
        <w:numPr>
          <w:ilvl w:val="0"/>
          <w:numId w:val="2"/>
        </w:numPr>
      </w:pPr>
      <w:r>
        <w:rPr>
          <w:rFonts w:ascii="Arial" w:cs="Arial" w:eastAsia="Arial" w:hAnsi="Arial"/>
          <w:sz w:val="22"/>
          <w:szCs w:val="22"/>
        </w:rPr>
        <w:t xml:space="preserve">Credit Desk: Positive from spread carry; limited widening</w:t>
      </w:r>
    </w:p>
    <w:p>
      <w:pPr>
        <w:pStyle w:val="ListParagraph"/>
        <w:numPr>
          <w:ilvl w:val="0"/>
          <w:numId w:val="2"/>
        </w:numPr>
      </w:pPr>
      <w:r>
        <w:rPr>
          <w:rFonts w:ascii="Arial" w:cs="Arial" w:eastAsia="Arial" w:hAnsi="Arial"/>
          <w:sz w:val="22"/>
          <w:szCs w:val="22"/>
        </w:rPr>
        <w:t xml:space="preserve">Equity Desk: Flat to modestly positive; index range-bound</w:t>
      </w:r>
    </w:p>
    <w:p>
      <w:pPr>
        <w:pStyle w:val="ListParagraph"/>
        <w:numPr>
          <w:ilvl w:val="0"/>
          <w:numId w:val="2"/>
        </w:numPr>
      </w:pPr>
      <w:r>
        <w:rPr>
          <w:rFonts w:ascii="Arial" w:cs="Arial" w:eastAsia="Arial" w:hAnsi="Arial"/>
          <w:sz w:val="22"/>
          <w:szCs w:val="22"/>
        </w:rPr>
        <w:t xml:space="preserve">FX Desk: Positive from EM carry; USD weakness benefits</w:t>
      </w:r>
    </w:p>
    <w:p>
      <w:pPr>
        <w:pStyle w:val="ListParagraph"/>
        <w:numPr>
          <w:ilvl w:val="0"/>
          <w:numId w:val="2"/>
        </w:numPr>
      </w:pPr>
      <w:r>
        <w:rPr>
          <w:rFonts w:ascii="Arial" w:cs="Arial" w:eastAsia="Arial" w:hAnsi="Arial"/>
          <w:sz w:val="22"/>
          <w:szCs w:val="22"/>
        </w:rPr>
        <w:t xml:space="preserve">Commodities: Positive from gold/copper longs</w:t>
      </w:r>
    </w:p>
    <w:p>
      <w:pPr>
        <w:spacing w:before="100"/>
      </w:pPr>
      <w:r>
        <w:rPr>
          <w:rFonts w:ascii="Arial" w:cs="Arial" w:eastAsia="Arial" w:hAnsi="Arial"/>
          <w:b/>
          <w:bCs/>
          <w:sz w:val="22"/>
          <w:szCs w:val="22"/>
        </w:rPr>
        <w:t xml:space="preserve">Recommended Positioning: </w:t>
      </w:r>
      <w:r>
        <w:rPr>
          <w:rFonts w:ascii="Arial" w:cs="Arial" w:eastAsia="Arial" w:hAnsi="Arial"/>
          <w:sz w:val="22"/>
          <w:szCs w:val="22"/>
        </w:rPr>
        <w:t xml:space="preserve">Maintain current exposures with enhanced hedging. Slight overweight EM FX carry, gold. Neutral duration with steepener bias. Underweight HY relative to IG.</w:t>
      </w:r>
    </w:p>
    <w:p>
      <w:pPr>
        <w:pStyle w:val="Heading2"/>
        <w:spacing w:before="300"/>
      </w:pPr>
      <w:r>
        <w:t xml:space="preserve">Scenario B: Risk-Off Shock (20% Probability)</w:t>
      </w:r>
    </w:p>
    <w:p>
      <w:r>
        <w:rPr>
          <w:rFonts w:ascii="Arial" w:cs="Arial" w:eastAsia="Arial" w:hAnsi="Arial"/>
          <w:b/>
          <w:bCs/>
          <w:sz w:val="22"/>
          <w:szCs w:val="22"/>
        </w:rPr>
        <w:t xml:space="preserve">Trigger Conditions: </w:t>
      </w:r>
      <w:r>
        <w:rPr>
          <w:rFonts w:ascii="Arial" w:cs="Arial" w:eastAsia="Arial" w:hAnsi="Arial"/>
          <w:sz w:val="22"/>
          <w:szCs w:val="22"/>
        </w:rPr>
        <w:t xml:space="preserve">Iran military strike + Strait of Hormuz disruption; OR Japan fiscal crisis with JGB yield spike above 3%; OR Warsh confirmation fails, creating Fed leadership vacuum.</w:t>
      </w:r>
    </w:p>
    <w:p>
      <w:pPr>
        <w:spacing w:before="100"/>
      </w:pPr>
      <w:r>
        <w:rPr>
          <w:rFonts w:ascii="Arial" w:cs="Arial" w:eastAsia="Arial" w:hAnsi="Arial"/>
          <w:b/>
          <w:bCs/>
          <w:sz w:val="22"/>
          <w:szCs w:val="22"/>
        </w:rPr>
        <w:t xml:space="preserve">Stress P&amp;L Estimates:</w:t>
      </w:r>
    </w:p>
    <w:p>
      <w:pPr>
        <w:pStyle w:val="ListParagraph"/>
        <w:numPr>
          <w:ilvl w:val="0"/>
          <w:numId w:val="2"/>
        </w:numPr>
      </w:pPr>
      <w:r>
        <w:rPr>
          <w:rFonts w:ascii="Arial" w:cs="Arial" w:eastAsia="Arial" w:hAnsi="Arial"/>
          <w:sz w:val="22"/>
          <w:szCs w:val="22"/>
        </w:rPr>
        <w:t xml:space="preserve">Rates: -$50-100M from curve flattening if flight to quality; +$30-50M if fiscal concerns dominate</w:t>
      </w:r>
    </w:p>
    <w:p>
      <w:pPr>
        <w:pStyle w:val="ListParagraph"/>
        <w:numPr>
          <w:ilvl w:val="0"/>
          <w:numId w:val="2"/>
        </w:numPr>
      </w:pPr>
      <w:r>
        <w:rPr>
          <w:rFonts w:ascii="Arial" w:cs="Arial" w:eastAsia="Arial" w:hAnsi="Arial"/>
          <w:sz w:val="22"/>
          <w:szCs w:val="22"/>
        </w:rPr>
        <w:t xml:space="preserve">Credit: -$75-150M from 75-100bps IG widening, 200bps HY widening</w:t>
      </w:r>
    </w:p>
    <w:p>
      <w:pPr>
        <w:pStyle w:val="ListParagraph"/>
        <w:numPr>
          <w:ilvl w:val="0"/>
          <w:numId w:val="2"/>
        </w:numPr>
      </w:pPr>
      <w:r>
        <w:rPr>
          <w:rFonts w:ascii="Arial" w:cs="Arial" w:eastAsia="Arial" w:hAnsi="Arial"/>
          <w:sz w:val="22"/>
          <w:szCs w:val="22"/>
        </w:rPr>
        <w:t xml:space="preserve">Equities: -$100-200M from 10-15% S&amp;P decline</w:t>
      </w:r>
    </w:p>
    <w:p>
      <w:pPr>
        <w:pStyle w:val="ListParagraph"/>
        <w:numPr>
          <w:ilvl w:val="0"/>
          <w:numId w:val="2"/>
        </w:numPr>
      </w:pPr>
      <w:r>
        <w:rPr>
          <w:rFonts w:ascii="Arial" w:cs="Arial" w:eastAsia="Arial" w:hAnsi="Arial"/>
          <w:sz w:val="22"/>
          <w:szCs w:val="22"/>
        </w:rPr>
        <w:t xml:space="preserve">FX: -$40-80M from EM carry unwind</w:t>
      </w:r>
    </w:p>
    <w:p>
      <w:pPr>
        <w:pStyle w:val="ListParagraph"/>
        <w:numPr>
          <w:ilvl w:val="0"/>
          <w:numId w:val="2"/>
        </w:numPr>
      </w:pPr>
      <w:r>
        <w:rPr>
          <w:rFonts w:ascii="Arial" w:cs="Arial" w:eastAsia="Arial" w:hAnsi="Arial"/>
          <w:sz w:val="22"/>
          <w:szCs w:val="22"/>
        </w:rPr>
        <w:t xml:space="preserve">Commodities: +$50-100M from oil/gold spike</w:t>
      </w:r>
    </w:p>
    <w:p>
      <w:pPr>
        <w:spacing w:before="100"/>
      </w:pPr>
      <w:r>
        <w:rPr>
          <w:rFonts w:ascii="Arial" w:cs="Arial" w:eastAsia="Arial" w:hAnsi="Arial"/>
          <w:b/>
          <w:bCs/>
          <w:sz w:val="22"/>
          <w:szCs w:val="22"/>
        </w:rPr>
        <w:t xml:space="preserve">Defensive Playbook: </w:t>
      </w:r>
      <w:r>
        <w:rPr>
          <w:rFonts w:ascii="Arial" w:cs="Arial" w:eastAsia="Arial" w:hAnsi="Arial"/>
          <w:sz w:val="22"/>
          <w:szCs w:val="22"/>
        </w:rPr>
        <w:t xml:space="preserve">Reduce risk by 30-40%. Cut HY exposure. Buy CDX HY protection. Increase UST duration (flight to quality). Add gold/crude calls. Reduce EM FX. Increase VIX longs.</w:t>
      </w:r>
    </w:p>
    <w:p>
      <w:pPr>
        <w:pStyle w:val="Heading2"/>
        <w:spacing w:before="300"/>
      </w:pPr>
      <w:r>
        <w:t xml:space="preserve">Scenario C: Risk-On Rally (15% Probability)</w:t>
      </w:r>
    </w:p>
    <w:p>
      <w:r>
        <w:rPr>
          <w:rFonts w:ascii="Arial" w:cs="Arial" w:eastAsia="Arial" w:hAnsi="Arial"/>
          <w:b/>
          <w:bCs/>
          <w:sz w:val="22"/>
          <w:szCs w:val="22"/>
        </w:rPr>
        <w:t xml:space="preserve">Trigger Conditions: </w:t>
      </w:r>
      <w:r>
        <w:rPr>
          <w:rFonts w:ascii="Arial" w:cs="Arial" w:eastAsia="Arial" w:hAnsi="Arial"/>
          <w:sz w:val="22"/>
          <w:szCs w:val="22"/>
        </w:rPr>
        <w:t xml:space="preserve">Geopolitical de-escalation (Iran deal, Ukraine ceasefire); Warsh confirms dovish pivot; China announces major stimulus; Strong US economic data confirms soft landing.</w:t>
      </w:r>
    </w:p>
    <w:p>
      <w:pPr>
        <w:spacing w:before="100"/>
      </w:pPr>
      <w:r>
        <w:rPr>
          <w:rFonts w:ascii="Arial" w:cs="Arial" w:eastAsia="Arial" w:hAnsi="Arial"/>
          <w:b/>
          <w:bCs/>
          <w:sz w:val="22"/>
          <w:szCs w:val="22"/>
        </w:rPr>
        <w:t xml:space="preserve">Upside Capture Strategy:</w:t>
      </w:r>
    </w:p>
    <w:p>
      <w:pPr>
        <w:pStyle w:val="ListParagraph"/>
        <w:numPr>
          <w:ilvl w:val="0"/>
          <w:numId w:val="2"/>
        </w:numPr>
      </w:pPr>
      <w:r>
        <w:rPr>
          <w:rFonts w:ascii="Arial" w:cs="Arial" w:eastAsia="Arial" w:hAnsi="Arial"/>
          <w:sz w:val="22"/>
          <w:szCs w:val="22"/>
        </w:rPr>
        <w:t xml:space="preserve">Rates: Extend duration on curve flattening; receive 10Y</w:t>
      </w:r>
    </w:p>
    <w:p>
      <w:pPr>
        <w:pStyle w:val="ListParagraph"/>
        <w:numPr>
          <w:ilvl w:val="0"/>
          <w:numId w:val="2"/>
        </w:numPr>
      </w:pPr>
      <w:r>
        <w:rPr>
          <w:rFonts w:ascii="Arial" w:cs="Arial" w:eastAsia="Arial" w:hAnsi="Arial"/>
          <w:sz w:val="22"/>
          <w:szCs w:val="22"/>
        </w:rPr>
        <w:t xml:space="preserve">Credit: Increase HY exposure; overweight BB/B credits</w:t>
      </w:r>
    </w:p>
    <w:p>
      <w:pPr>
        <w:pStyle w:val="ListParagraph"/>
        <w:numPr>
          <w:ilvl w:val="0"/>
          <w:numId w:val="2"/>
        </w:numPr>
      </w:pPr>
      <w:r>
        <w:rPr>
          <w:rFonts w:ascii="Arial" w:cs="Arial" w:eastAsia="Arial" w:hAnsi="Arial"/>
          <w:sz w:val="22"/>
          <w:szCs w:val="22"/>
        </w:rPr>
        <w:t xml:space="preserve">Equities: Add cyclicals, small caps; reduce defensive bias</w:t>
      </w:r>
    </w:p>
    <w:p>
      <w:pPr>
        <w:pStyle w:val="ListParagraph"/>
        <w:numPr>
          <w:ilvl w:val="0"/>
          <w:numId w:val="2"/>
        </w:numPr>
      </w:pPr>
      <w:r>
        <w:rPr>
          <w:rFonts w:ascii="Arial" w:cs="Arial" w:eastAsia="Arial" w:hAnsi="Arial"/>
          <w:sz w:val="22"/>
          <w:szCs w:val="22"/>
        </w:rPr>
        <w:t xml:space="preserve">FX: Increase EM carry; short JPY on intervention unwind</w:t>
      </w:r>
    </w:p>
    <w:p>
      <w:pPr>
        <w:spacing w:before="100"/>
      </w:pPr>
      <w:r>
        <w:rPr>
          <w:rFonts w:ascii="Arial" w:cs="Arial" w:eastAsia="Arial" w:hAnsi="Arial"/>
          <w:b/>
          <w:bCs/>
          <w:sz w:val="22"/>
          <w:szCs w:val="22"/>
        </w:rPr>
        <w:t xml:space="preserve">Expected P&amp;L: </w:t>
      </w:r>
      <w:r>
        <w:rPr>
          <w:rFonts w:ascii="Arial" w:cs="Arial" w:eastAsia="Arial" w:hAnsi="Arial"/>
          <w:sz w:val="22"/>
          <w:szCs w:val="22"/>
        </w:rPr>
        <w:t xml:space="preserve">+$150-250M across trading book</w:t>
      </w:r>
    </w:p>
    <w:p>
      <w:pPr>
        <w:pStyle w:val="Heading2"/>
        <w:spacing w:before="300"/>
      </w:pPr>
      <w:r>
        <w:t xml:space="preserve">Scenario D: Black Swan / Tail Risk (5% Probability)</w:t>
      </w:r>
    </w:p>
    <w:p>
      <w:r>
        <w:rPr>
          <w:rFonts w:ascii="Arial" w:cs="Arial" w:eastAsia="Arial" w:hAnsi="Arial"/>
          <w:b/>
          <w:bCs/>
          <w:sz w:val="22"/>
          <w:szCs w:val="22"/>
        </w:rPr>
        <w:t xml:space="preserve">Potential Catalysts: </w:t>
      </w:r>
      <w:r>
        <w:rPr>
          <w:rFonts w:ascii="Arial" w:cs="Arial" w:eastAsia="Arial" w:hAnsi="Arial"/>
          <w:sz w:val="22"/>
          <w:szCs w:val="22"/>
        </w:rPr>
        <w:t xml:space="preserve">China-Taiwan military confrontation; Major US bank failure; Sovereign debt crisis (Italy, Japan); Cyberattack on financial infrastructure; Fed credibility collapse.</w:t>
      </w:r>
    </w:p>
    <w:p>
      <w:pPr>
        <w:spacing w:before="100"/>
      </w:pPr>
      <w:r>
        <w:rPr>
          <w:rFonts w:ascii="Arial" w:cs="Arial" w:eastAsia="Arial" w:hAnsi="Arial"/>
          <w:b/>
          <w:bCs/>
          <w:sz w:val="22"/>
          <w:szCs w:val="22"/>
        </w:rPr>
        <w:t xml:space="preserve">Circuit Breakers &amp; Escalation:</w:t>
      </w:r>
    </w:p>
    <w:p>
      <w:pPr>
        <w:pStyle w:val="ListParagraph"/>
        <w:numPr>
          <w:ilvl w:val="0"/>
          <w:numId w:val="2"/>
        </w:numPr>
      </w:pPr>
      <w:r>
        <w:rPr>
          <w:rFonts w:ascii="Arial" w:cs="Arial" w:eastAsia="Arial" w:hAnsi="Arial"/>
          <w:sz w:val="22"/>
          <w:szCs w:val="22"/>
        </w:rPr>
        <w:t xml:space="preserve">VIX &gt;40: Reduce gross exposure 50%+; halt new risk-taking</w:t>
      </w:r>
    </w:p>
    <w:p>
      <w:pPr>
        <w:pStyle w:val="ListParagraph"/>
        <w:numPr>
          <w:ilvl w:val="0"/>
          <w:numId w:val="2"/>
        </w:numPr>
      </w:pPr>
      <w:r>
        <w:rPr>
          <w:rFonts w:ascii="Arial" w:cs="Arial" w:eastAsia="Arial" w:hAnsi="Arial"/>
          <w:sz w:val="22"/>
          <w:szCs w:val="22"/>
        </w:rPr>
        <w:t xml:space="preserve">S&amp;P -10% in single session: Activate crisis protocols; convene Risk Committee</w:t>
      </w:r>
    </w:p>
    <w:p>
      <w:pPr>
        <w:pStyle w:val="ListParagraph"/>
        <w:numPr>
          <w:ilvl w:val="0"/>
          <w:numId w:val="2"/>
        </w:numPr>
      </w:pPr>
      <w:r>
        <w:rPr>
          <w:rFonts w:ascii="Arial" w:cs="Arial" w:eastAsia="Arial" w:hAnsi="Arial"/>
          <w:sz w:val="22"/>
          <w:szCs w:val="22"/>
        </w:rPr>
        <w:t xml:space="preserve">Credit spreads &gt;500bps: Halt HY trading; review counterparty limits</w:t>
      </w:r>
    </w:p>
    <w:p>
      <w:pPr>
        <w:pStyle w:val="ListParagraph"/>
        <w:numPr>
          <w:ilvl w:val="0"/>
          <w:numId w:val="2"/>
        </w:numPr>
      </w:pPr>
      <w:r>
        <w:rPr>
          <w:rFonts w:ascii="Arial" w:cs="Arial" w:eastAsia="Arial" w:hAnsi="Arial"/>
          <w:sz w:val="22"/>
          <w:szCs w:val="22"/>
        </w:rPr>
        <w:t xml:space="preserve">Treasury market dysfunction: Engage Fed liaison; assess SRF access</w:t>
      </w:r>
    </w:p>
    <w:p>
      <w:r>
        <w:br w:type="page"/>
      </w:r>
    </w:p>
    <w:p>
      <w:pPr>
        <w:pStyle w:val="Heading1"/>
      </w:pPr>
      <w:r>
        <w:t xml:space="preserve">IX. RECOMMENDED ACTIONS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00"/>
        <w:gridCol w:w="3600"/>
        <w:gridCol w:w="1800"/>
        <w:gridCol w:w="1100"/>
        <w:gridCol w:w="2160"/>
      </w:tblGrid>
      <w:tr>
        <w:tc>
          <w:tcPr>
            <w:tcW w:type="dxa" w:w="700"/>
            <w:tcBorders>
              <w:top w:val="single" w:color="666666" w:sz="1"/>
              <w:left w:val="single" w:color="666666" w:sz="1"/>
              <w:bottom w:val="single" w:color="666666" w:sz="1"/>
              <w:right w:val="single" w:color="666666"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3600"/>
            <w:tcBorders>
              <w:top w:val="single" w:color="666666" w:sz="1"/>
              <w:left w:val="single" w:color="666666" w:sz="1"/>
              <w:bottom w:val="single" w:color="666666" w:sz="1"/>
              <w:right w:val="single" w:color="666666"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1800"/>
            <w:tcBorders>
              <w:top w:val="single" w:color="666666" w:sz="1"/>
              <w:left w:val="single" w:color="666666" w:sz="1"/>
              <w:bottom w:val="single" w:color="666666" w:sz="1"/>
              <w:right w:val="single" w:color="666666"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Owner/Desk</w:t>
            </w:r>
          </w:p>
        </w:tc>
        <w:tc>
          <w:tcPr>
            <w:tcW w:type="dxa" w:w="1100"/>
            <w:tcBorders>
              <w:top w:val="single" w:color="666666" w:sz="1"/>
              <w:left w:val="single" w:color="666666" w:sz="1"/>
              <w:bottom w:val="single" w:color="666666" w:sz="1"/>
              <w:right w:val="single" w:color="666666"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Timeline</w:t>
            </w:r>
          </w:p>
        </w:tc>
        <w:tc>
          <w:tcPr>
            <w:tcW w:type="dxa" w:w="2160"/>
            <w:tcBorders>
              <w:top w:val="single" w:color="666666" w:sz="1"/>
              <w:left w:val="single" w:color="666666" w:sz="1"/>
              <w:bottom w:val="single" w:color="666666" w:sz="1"/>
              <w:right w:val="single" w:color="666666"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70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rFonts w:ascii="Arial" w:cs="Arial" w:eastAsia="Arial" w:hAnsi="Arial"/>
                <w:b/>
                <w:bCs/>
                <w:sz w:val="20"/>
                <w:szCs w:val="20"/>
              </w:rPr>
              <w:t xml:space="preserve">1</w:t>
            </w:r>
          </w:p>
        </w:tc>
        <w:tc>
          <w:tcPr>
            <w:tcW w:type="dxa" w:w="360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rFonts w:ascii="Arial" w:cs="Arial" w:eastAsia="Arial" w:hAnsi="Arial"/>
                <w:b w:val="false"/>
                <w:bCs w:val="false"/>
                <w:sz w:val="20"/>
                <w:szCs w:val="20"/>
              </w:rPr>
              <w:t xml:space="preserve">Reduce JGB and Japan-related exposures by 25%; increase margin requirements for Japan counterparties</w:t>
            </w:r>
          </w:p>
        </w:tc>
        <w:tc>
          <w:tcPr>
            <w:tcW w:type="dxa" w:w="180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rFonts w:ascii="Arial" w:cs="Arial" w:eastAsia="Arial" w:hAnsi="Arial"/>
                <w:b w:val="false"/>
                <w:bCs w:val="false"/>
                <w:sz w:val="20"/>
                <w:szCs w:val="20"/>
              </w:rPr>
              <w:t xml:space="preserve">Rates, Risk Mgmt</w:t>
            </w:r>
          </w:p>
        </w:tc>
        <w:tc>
          <w:tcPr>
            <w:tcW w:type="dxa" w:w="110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rFonts w:ascii="Arial" w:cs="Arial" w:eastAsia="Arial" w:hAnsi="Arial"/>
                <w:b w:val="false"/>
                <w:bCs w:val="false"/>
                <w:sz w:val="20"/>
                <w:szCs w:val="20"/>
              </w:rPr>
              <w:t xml:space="preserve">Immediate</w:t>
            </w:r>
          </w:p>
        </w:tc>
        <w:tc>
          <w:tcPr>
            <w:tcW w:type="dxa" w:w="216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rFonts w:ascii="Arial" w:cs="Arial" w:eastAsia="Arial" w:hAnsi="Arial"/>
                <w:b w:val="false"/>
                <w:bCs w:val="false"/>
                <w:sz w:val="20"/>
                <w:szCs w:val="20"/>
              </w:rPr>
              <w:t xml:space="preserve">JGB yield spike, election risk, intervention uncertainty</w:t>
            </w:r>
          </w:p>
        </w:tc>
      </w:tr>
      <w:tr>
        <w:tc>
          <w:tcPr>
            <w:tcW w:type="dxa" w:w="70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rFonts w:ascii="Arial" w:cs="Arial" w:eastAsia="Arial" w:hAnsi="Arial"/>
                <w:b/>
                <w:bCs/>
                <w:sz w:val="20"/>
                <w:szCs w:val="20"/>
              </w:rPr>
              <w:t xml:space="preserve">2</w:t>
            </w:r>
          </w:p>
        </w:tc>
        <w:tc>
          <w:tcPr>
            <w:tcW w:type="dxa" w:w="360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rFonts w:ascii="Arial" w:cs="Arial" w:eastAsia="Arial" w:hAnsi="Arial"/>
                <w:b w:val="false"/>
                <w:bCs w:val="false"/>
                <w:sz w:val="20"/>
                <w:szCs w:val="20"/>
              </w:rPr>
              <w:t xml:space="preserve">Implement crude oil call spread overlay (WTI $70-85 strikes) for 10% of energy exposure</w:t>
            </w:r>
          </w:p>
        </w:tc>
        <w:tc>
          <w:tcPr>
            <w:tcW w:type="dxa" w:w="180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rFonts w:ascii="Arial" w:cs="Arial" w:eastAsia="Arial" w:hAnsi="Arial"/>
                <w:b w:val="false"/>
                <w:bCs w:val="false"/>
                <w:sz w:val="20"/>
                <w:szCs w:val="20"/>
              </w:rPr>
              <w:t xml:space="preserve">Commodities</w:t>
            </w:r>
          </w:p>
        </w:tc>
        <w:tc>
          <w:tcPr>
            <w:tcW w:type="dxa" w:w="110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rFonts w:ascii="Arial" w:cs="Arial" w:eastAsia="Arial" w:hAnsi="Arial"/>
                <w:b w:val="false"/>
                <w:bCs w:val="false"/>
                <w:sz w:val="20"/>
                <w:szCs w:val="20"/>
              </w:rPr>
              <w:t xml:space="preserve">This week</w:t>
            </w:r>
          </w:p>
        </w:tc>
        <w:tc>
          <w:tcPr>
            <w:tcW w:type="dxa" w:w="216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rFonts w:ascii="Arial" w:cs="Arial" w:eastAsia="Arial" w:hAnsi="Arial"/>
                <w:b w:val="false"/>
                <w:bCs w:val="false"/>
                <w:sz w:val="20"/>
                <w:szCs w:val="20"/>
              </w:rPr>
              <w:t xml:space="preserve">Iran escalation hedge; asymmetric upside capture</w:t>
            </w:r>
          </w:p>
        </w:tc>
      </w:tr>
      <w:tr>
        <w:tc>
          <w:tcPr>
            <w:tcW w:type="dxa" w:w="70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rFonts w:ascii="Arial" w:cs="Arial" w:eastAsia="Arial" w:hAnsi="Arial"/>
                <w:b/>
                <w:bCs/>
                <w:sz w:val="20"/>
                <w:szCs w:val="20"/>
              </w:rPr>
              <w:t xml:space="preserve">3</w:t>
            </w:r>
          </w:p>
        </w:tc>
        <w:tc>
          <w:tcPr>
            <w:tcW w:type="dxa" w:w="360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rFonts w:ascii="Arial" w:cs="Arial" w:eastAsia="Arial" w:hAnsi="Arial"/>
                <w:b w:val="false"/>
                <w:bCs w:val="false"/>
                <w:sz w:val="20"/>
                <w:szCs w:val="20"/>
              </w:rPr>
              <w:t xml:space="preserve">Add 2s10s curve steepeners; target 15bps notional increase</w:t>
            </w:r>
          </w:p>
        </w:tc>
        <w:tc>
          <w:tcPr>
            <w:tcW w:type="dxa" w:w="180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rFonts w:ascii="Arial" w:cs="Arial" w:eastAsia="Arial" w:hAnsi="Arial"/>
                <w:b w:val="false"/>
                <w:bCs w:val="false"/>
                <w:sz w:val="20"/>
                <w:szCs w:val="20"/>
              </w:rPr>
              <w:t xml:space="preserve">Rates</w:t>
            </w:r>
          </w:p>
        </w:tc>
        <w:tc>
          <w:tcPr>
            <w:tcW w:type="dxa" w:w="110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rFonts w:ascii="Arial" w:cs="Arial" w:eastAsia="Arial" w:hAnsi="Arial"/>
                <w:b w:val="false"/>
                <w:bCs w:val="false"/>
                <w:sz w:val="20"/>
                <w:szCs w:val="20"/>
              </w:rPr>
              <w:t xml:space="preserve">This week</w:t>
            </w:r>
          </w:p>
        </w:tc>
        <w:tc>
          <w:tcPr>
            <w:tcW w:type="dxa" w:w="216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rFonts w:ascii="Arial" w:cs="Arial" w:eastAsia="Arial" w:hAnsi="Arial"/>
                <w:b w:val="false"/>
                <w:bCs w:val="false"/>
                <w:sz w:val="20"/>
                <w:szCs w:val="20"/>
              </w:rPr>
              <w:t xml:space="preserve">Fiscal concerns, Fed uncertainty favor steepening</w:t>
            </w:r>
          </w:p>
        </w:tc>
      </w:tr>
      <w:tr>
        <w:tc>
          <w:tcPr>
            <w:tcW w:type="dxa" w:w="70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rFonts w:ascii="Arial" w:cs="Arial" w:eastAsia="Arial" w:hAnsi="Arial"/>
                <w:b/>
                <w:bCs/>
                <w:sz w:val="20"/>
                <w:szCs w:val="20"/>
              </w:rPr>
              <w:t xml:space="preserve">4</w:t>
            </w:r>
          </w:p>
        </w:tc>
        <w:tc>
          <w:tcPr>
            <w:tcW w:type="dxa" w:w="360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rFonts w:ascii="Arial" w:cs="Arial" w:eastAsia="Arial" w:hAnsi="Arial"/>
                <w:b w:val="false"/>
                <w:bCs w:val="false"/>
                <w:sz w:val="20"/>
                <w:szCs w:val="20"/>
              </w:rPr>
              <w:t xml:space="preserve">Increase CDX HY protection to cover 20% of HY book</w:t>
            </w:r>
          </w:p>
        </w:tc>
        <w:tc>
          <w:tcPr>
            <w:tcW w:type="dxa" w:w="180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rFonts w:ascii="Arial" w:cs="Arial" w:eastAsia="Arial" w:hAnsi="Arial"/>
                <w:b w:val="false"/>
                <w:bCs w:val="false"/>
                <w:sz w:val="20"/>
                <w:szCs w:val="20"/>
              </w:rPr>
              <w:t xml:space="preserve">Credit</w:t>
            </w:r>
          </w:p>
        </w:tc>
        <w:tc>
          <w:tcPr>
            <w:tcW w:type="dxa" w:w="110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rFonts w:ascii="Arial" w:cs="Arial" w:eastAsia="Arial" w:hAnsi="Arial"/>
                <w:b w:val="false"/>
                <w:bCs w:val="false"/>
                <w:sz w:val="20"/>
                <w:szCs w:val="20"/>
              </w:rPr>
              <w:t xml:space="preserve">Feb 5</w:t>
            </w:r>
          </w:p>
        </w:tc>
        <w:tc>
          <w:tcPr>
            <w:tcW w:type="dxa" w:w="216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rFonts w:ascii="Arial" w:cs="Arial" w:eastAsia="Arial" w:hAnsi="Arial"/>
                <w:b w:val="false"/>
                <w:bCs w:val="false"/>
                <w:sz w:val="20"/>
                <w:szCs w:val="20"/>
              </w:rPr>
              <w:t xml:space="preserve">Spreads at historic lows; asymmetric risk</w:t>
            </w:r>
          </w:p>
        </w:tc>
      </w:tr>
      <w:tr>
        <w:tc>
          <w:tcPr>
            <w:tcW w:type="dxa" w:w="70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rFonts w:ascii="Arial" w:cs="Arial" w:eastAsia="Arial" w:hAnsi="Arial"/>
                <w:b/>
                <w:bCs/>
                <w:sz w:val="20"/>
                <w:szCs w:val="20"/>
              </w:rPr>
              <w:t xml:space="preserve">5</w:t>
            </w:r>
          </w:p>
        </w:tc>
        <w:tc>
          <w:tcPr>
            <w:tcW w:type="dxa" w:w="360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rFonts w:ascii="Arial" w:cs="Arial" w:eastAsia="Arial" w:hAnsi="Arial"/>
                <w:b w:val="false"/>
                <w:bCs w:val="false"/>
                <w:sz w:val="20"/>
                <w:szCs w:val="20"/>
              </w:rPr>
              <w:t xml:space="preserve">Establish VIX call spread position (18-25 strikes)</w:t>
            </w:r>
          </w:p>
        </w:tc>
        <w:tc>
          <w:tcPr>
            <w:tcW w:type="dxa" w:w="180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rFonts w:ascii="Arial" w:cs="Arial" w:eastAsia="Arial" w:hAnsi="Arial"/>
                <w:b w:val="false"/>
                <w:bCs w:val="false"/>
                <w:sz w:val="20"/>
                <w:szCs w:val="20"/>
              </w:rPr>
              <w:t xml:space="preserve">Equity Derivatives</w:t>
            </w:r>
          </w:p>
        </w:tc>
        <w:tc>
          <w:tcPr>
            <w:tcW w:type="dxa" w:w="110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rFonts w:ascii="Arial" w:cs="Arial" w:eastAsia="Arial" w:hAnsi="Arial"/>
                <w:b w:val="false"/>
                <w:bCs w:val="false"/>
                <w:sz w:val="20"/>
                <w:szCs w:val="20"/>
              </w:rPr>
              <w:t xml:space="preserve">Feb 5</w:t>
            </w:r>
          </w:p>
        </w:tc>
        <w:tc>
          <w:tcPr>
            <w:tcW w:type="dxa" w:w="216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rFonts w:ascii="Arial" w:cs="Arial" w:eastAsia="Arial" w:hAnsi="Arial"/>
                <w:b w:val="false"/>
                <w:bCs w:val="false"/>
                <w:sz w:val="20"/>
                <w:szCs w:val="20"/>
              </w:rPr>
              <w:t xml:space="preserve">Vol underpriced vs. uncertainty; tail hedge</w:t>
            </w:r>
          </w:p>
        </w:tc>
      </w:tr>
      <w:tr>
        <w:tc>
          <w:tcPr>
            <w:tcW w:type="dxa" w:w="70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rFonts w:ascii="Arial" w:cs="Arial" w:eastAsia="Arial" w:hAnsi="Arial"/>
                <w:b/>
                <w:bCs/>
                <w:sz w:val="20"/>
                <w:szCs w:val="20"/>
              </w:rPr>
              <w:t xml:space="preserve">6</w:t>
            </w:r>
          </w:p>
        </w:tc>
        <w:tc>
          <w:tcPr>
            <w:tcW w:type="dxa" w:w="360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rFonts w:ascii="Arial" w:cs="Arial" w:eastAsia="Arial" w:hAnsi="Arial"/>
                <w:b w:val="false"/>
                <w:bCs w:val="false"/>
                <w:sz w:val="20"/>
                <w:szCs w:val="20"/>
              </w:rPr>
              <w:t xml:space="preserve">Monitor Warsh confirmation hearings; prepare rate scenarios for dovish/hawkish pivot</w:t>
            </w:r>
          </w:p>
        </w:tc>
        <w:tc>
          <w:tcPr>
            <w:tcW w:type="dxa" w:w="180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rFonts w:ascii="Arial" w:cs="Arial" w:eastAsia="Arial" w:hAnsi="Arial"/>
                <w:b w:val="false"/>
                <w:bCs w:val="false"/>
                <w:sz w:val="20"/>
                <w:szCs w:val="20"/>
              </w:rPr>
              <w:t xml:space="preserve">Strategy, Rates</w:t>
            </w:r>
          </w:p>
        </w:tc>
        <w:tc>
          <w:tcPr>
            <w:tcW w:type="dxa" w:w="110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rFonts w:ascii="Arial" w:cs="Arial" w:eastAsia="Arial" w:hAnsi="Arial"/>
                <w:b w:val="false"/>
                <w:bCs w:val="false"/>
                <w:sz w:val="20"/>
                <w:szCs w:val="20"/>
              </w:rPr>
              <w:t xml:space="preserve">Ongoing</w:t>
            </w:r>
          </w:p>
        </w:tc>
        <w:tc>
          <w:tcPr>
            <w:tcW w:type="dxa" w:w="216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rFonts w:ascii="Arial" w:cs="Arial" w:eastAsia="Arial" w:hAnsi="Arial"/>
                <w:b w:val="false"/>
                <w:bCs w:val="false"/>
                <w:sz w:val="20"/>
                <w:szCs w:val="20"/>
              </w:rPr>
              <w:t xml:space="preserve">Policy uncertainty requires optionality</w:t>
            </w:r>
          </w:p>
        </w:tc>
      </w:tr>
      <w:tr>
        <w:tc>
          <w:tcPr>
            <w:tcW w:type="dxa" w:w="70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rFonts w:ascii="Arial" w:cs="Arial" w:eastAsia="Arial" w:hAnsi="Arial"/>
                <w:b/>
                <w:bCs/>
                <w:sz w:val="20"/>
                <w:szCs w:val="20"/>
              </w:rPr>
              <w:t xml:space="preserve">7</w:t>
            </w:r>
          </w:p>
        </w:tc>
        <w:tc>
          <w:tcPr>
            <w:tcW w:type="dxa" w:w="360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rFonts w:ascii="Arial" w:cs="Arial" w:eastAsia="Arial" w:hAnsi="Arial"/>
                <w:b w:val="false"/>
                <w:bCs w:val="false"/>
                <w:sz w:val="20"/>
                <w:szCs w:val="20"/>
              </w:rPr>
              <w:t xml:space="preserve">Review EM FX carry sizing; reduce if JPMorgan EM FX vol index rises above 10</w:t>
            </w:r>
          </w:p>
        </w:tc>
        <w:tc>
          <w:tcPr>
            <w:tcW w:type="dxa" w:w="180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rFonts w:ascii="Arial" w:cs="Arial" w:eastAsia="Arial" w:hAnsi="Arial"/>
                <w:b w:val="false"/>
                <w:bCs w:val="false"/>
                <w:sz w:val="20"/>
                <w:szCs w:val="20"/>
              </w:rPr>
              <w:t xml:space="preserve">FX</w:t>
            </w:r>
          </w:p>
        </w:tc>
        <w:tc>
          <w:tcPr>
            <w:tcW w:type="dxa" w:w="110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rFonts w:ascii="Arial" w:cs="Arial" w:eastAsia="Arial" w:hAnsi="Arial"/>
                <w:b w:val="false"/>
                <w:bCs w:val="false"/>
                <w:sz w:val="20"/>
                <w:szCs w:val="20"/>
              </w:rPr>
              <w:t xml:space="preserve">Feb 10</w:t>
            </w:r>
          </w:p>
        </w:tc>
        <w:tc>
          <w:tcPr>
            <w:tcW w:type="dxa" w:w="216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rFonts w:ascii="Arial" w:cs="Arial" w:eastAsia="Arial" w:hAnsi="Arial"/>
                <w:b w:val="false"/>
                <w:bCs w:val="false"/>
                <w:sz w:val="20"/>
                <w:szCs w:val="20"/>
              </w:rPr>
              <w:t xml:space="preserve">Crowded trade; yen intervention could trigger unwind</w:t>
            </w:r>
          </w:p>
        </w:tc>
      </w:tr>
    </w:tbl>
    <w:p>
      <w:r>
        <w:br w:type="page"/>
      </w:r>
    </w:p>
    <w:p>
      <w:pPr>
        <w:pStyle w:val="Heading1"/>
      </w:pPr>
      <w:r>
        <w:t xml:space="preserve">X. KEY CALENDAR (Next 30 Days)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00"/>
        <w:gridCol w:w="4360"/>
        <w:gridCol w:w="2200"/>
        <w:gridCol w:w="1200"/>
      </w:tblGrid>
      <w:tr>
        <w:tc>
          <w:tcPr>
            <w:tcW w:type="dxa" w:w="1600"/>
            <w:tcBorders>
              <w:top w:val="single" w:color="666666" w:sz="1"/>
              <w:left w:val="single" w:color="666666" w:sz="1"/>
              <w:bottom w:val="single" w:color="666666" w:sz="1"/>
              <w:right w:val="single" w:color="666666"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4360"/>
            <w:tcBorders>
              <w:top w:val="single" w:color="666666" w:sz="1"/>
              <w:left w:val="single" w:color="666666" w:sz="1"/>
              <w:bottom w:val="single" w:color="666666" w:sz="1"/>
              <w:right w:val="single" w:color="666666"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Event</w:t>
            </w:r>
          </w:p>
        </w:tc>
        <w:tc>
          <w:tcPr>
            <w:tcW w:type="dxa" w:w="2200"/>
            <w:tcBorders>
              <w:top w:val="single" w:color="666666" w:sz="1"/>
              <w:left w:val="single" w:color="666666" w:sz="1"/>
              <w:bottom w:val="single" w:color="666666" w:sz="1"/>
              <w:right w:val="single" w:color="666666"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Expected Impact</w:t>
            </w:r>
          </w:p>
        </w:tc>
        <w:tc>
          <w:tcPr>
            <w:tcW w:type="dxa" w:w="1200"/>
            <w:tcBorders>
              <w:top w:val="single" w:color="666666" w:sz="1"/>
              <w:left w:val="single" w:color="666666" w:sz="1"/>
              <w:bottom w:val="single" w:color="666666" w:sz="1"/>
              <w:right w:val="single" w:color="666666"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Risk Level</w:t>
            </w:r>
          </w:p>
        </w:tc>
      </w:tr>
      <w:tr>
        <w:tc>
          <w:tcPr>
            <w:tcW w:type="dxa" w:w="160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rFonts w:ascii="Arial" w:cs="Arial" w:eastAsia="Arial" w:hAnsi="Arial"/>
                <w:b w:val="false"/>
                <w:bCs w:val="false"/>
                <w:sz w:val="20"/>
                <w:szCs w:val="20"/>
              </w:rPr>
              <w:t xml:space="preserve">Jan 31</w:t>
            </w:r>
          </w:p>
        </w:tc>
        <w:tc>
          <w:tcPr>
            <w:tcW w:type="dxa" w:w="436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rFonts w:ascii="Arial" w:cs="Arial" w:eastAsia="Arial" w:hAnsi="Arial"/>
                <w:b w:val="false"/>
                <w:bCs w:val="false"/>
                <w:sz w:val="20"/>
                <w:szCs w:val="20"/>
              </w:rPr>
              <w:t xml:space="preserve">Eurozone Q4 GDP Flash Estimate</w:t>
            </w:r>
          </w:p>
        </w:tc>
        <w:tc>
          <w:tcPr>
            <w:tcW w:type="dxa" w:w="220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rFonts w:ascii="Arial" w:cs="Arial" w:eastAsia="Arial" w:hAnsi="Arial"/>
                <w:b w:val="false"/>
                <w:bCs w:val="false"/>
                <w:sz w:val="20"/>
                <w:szCs w:val="20"/>
              </w:rPr>
              <w:t xml:space="preserve">Growth outlook</w:t>
            </w:r>
          </w:p>
        </w:tc>
        <w:tc>
          <w:tcPr>
            <w:tcW w:type="dxa" w:w="120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rFonts w:ascii="Arial" w:cs="Arial" w:eastAsia="Arial" w:hAnsi="Arial"/>
                <w:b w:val="false"/>
                <w:bCs w:val="false"/>
                <w:sz w:val="20"/>
                <w:szCs w:val="20"/>
              </w:rPr>
              <w:t xml:space="preserve">MEDIUM</w:t>
            </w:r>
          </w:p>
        </w:tc>
      </w:tr>
      <w:tr>
        <w:tc>
          <w:tcPr>
            <w:tcW w:type="dxa" w:w="160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rFonts w:ascii="Arial" w:cs="Arial" w:eastAsia="Arial" w:hAnsi="Arial"/>
                <w:b w:val="false"/>
                <w:bCs w:val="false"/>
                <w:sz w:val="20"/>
                <w:szCs w:val="20"/>
              </w:rPr>
              <w:t xml:space="preserve">Feb 3</w:t>
            </w:r>
          </w:p>
        </w:tc>
        <w:tc>
          <w:tcPr>
            <w:tcW w:type="dxa" w:w="436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rFonts w:ascii="Arial" w:cs="Arial" w:eastAsia="Arial" w:hAnsi="Arial"/>
                <w:b w:val="false"/>
                <w:bCs w:val="false"/>
                <w:sz w:val="20"/>
                <w:szCs w:val="20"/>
              </w:rPr>
              <w:t xml:space="preserve">US ISM Manufacturing PMI (January)</w:t>
            </w:r>
          </w:p>
        </w:tc>
        <w:tc>
          <w:tcPr>
            <w:tcW w:type="dxa" w:w="220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rFonts w:ascii="Arial" w:cs="Arial" w:eastAsia="Arial" w:hAnsi="Arial"/>
                <w:b w:val="false"/>
                <w:bCs w:val="false"/>
                <w:sz w:val="20"/>
                <w:szCs w:val="20"/>
              </w:rPr>
              <w:t xml:space="preserve">Activity gauge</w:t>
            </w:r>
          </w:p>
        </w:tc>
        <w:tc>
          <w:tcPr>
            <w:tcW w:type="dxa" w:w="120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rFonts w:ascii="Arial" w:cs="Arial" w:eastAsia="Arial" w:hAnsi="Arial"/>
                <w:b w:val="false"/>
                <w:bCs w:val="false"/>
                <w:sz w:val="20"/>
                <w:szCs w:val="20"/>
              </w:rPr>
              <w:t xml:space="preserve">MEDIUM</w:t>
            </w:r>
          </w:p>
        </w:tc>
      </w:tr>
      <w:tr>
        <w:tc>
          <w:tcPr>
            <w:tcW w:type="dxa" w:w="160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rFonts w:ascii="Arial" w:cs="Arial" w:eastAsia="Arial" w:hAnsi="Arial"/>
                <w:b w:val="false"/>
                <w:bCs w:val="false"/>
                <w:sz w:val="20"/>
                <w:szCs w:val="20"/>
              </w:rPr>
              <w:t xml:space="preserve">Feb 4-5</w:t>
            </w:r>
          </w:p>
        </w:tc>
        <w:tc>
          <w:tcPr>
            <w:tcW w:type="dxa" w:w="436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rFonts w:ascii="Arial" w:cs="Arial" w:eastAsia="Arial" w:hAnsi="Arial"/>
                <w:b w:val="false"/>
                <w:bCs w:val="false"/>
                <w:sz w:val="20"/>
                <w:szCs w:val="20"/>
              </w:rPr>
              <w:t xml:space="preserve">ECB Monetary Policy Meeting &amp; Press Conference</w:t>
            </w:r>
          </w:p>
        </w:tc>
        <w:tc>
          <w:tcPr>
            <w:tcW w:type="dxa" w:w="220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rFonts w:ascii="Arial" w:cs="Arial" w:eastAsia="Arial" w:hAnsi="Arial"/>
                <w:b w:val="false"/>
                <w:bCs w:val="false"/>
                <w:sz w:val="20"/>
                <w:szCs w:val="20"/>
              </w:rPr>
              <w:t xml:space="preserve">Rate guidance, EUR</w:t>
            </w:r>
          </w:p>
        </w:tc>
        <w:tc>
          <w:tcPr>
            <w:tcW w:type="dxa" w:w="120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rFonts w:ascii="Arial" w:cs="Arial" w:eastAsia="Arial" w:hAnsi="Arial"/>
                <w:b w:val="false"/>
                <w:bCs w:val="false"/>
                <w:sz w:val="20"/>
                <w:szCs w:val="20"/>
              </w:rPr>
              <w:t xml:space="preserve">MEDIUM</w:t>
            </w:r>
          </w:p>
        </w:tc>
      </w:tr>
      <w:tr>
        <w:tc>
          <w:tcPr>
            <w:tcW w:type="dxa" w:w="160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rFonts w:ascii="Arial" w:cs="Arial" w:eastAsia="Arial" w:hAnsi="Arial"/>
                <w:b w:val="false"/>
                <w:bCs w:val="false"/>
                <w:sz w:val="20"/>
                <w:szCs w:val="20"/>
              </w:rPr>
              <w:t xml:space="preserve">Feb 6</w:t>
            </w:r>
          </w:p>
        </w:tc>
        <w:tc>
          <w:tcPr>
            <w:tcW w:type="dxa" w:w="436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rFonts w:ascii="Arial" w:cs="Arial" w:eastAsia="Arial" w:hAnsi="Arial"/>
                <w:b w:val="false"/>
                <w:bCs w:val="false"/>
                <w:sz w:val="20"/>
                <w:szCs w:val="20"/>
              </w:rPr>
              <w:t xml:space="preserve">US Nonfarm Payrolls (January) + Benchmark Revision</w:t>
            </w:r>
          </w:p>
        </w:tc>
        <w:tc>
          <w:tcPr>
            <w:tcW w:type="dxa" w:w="220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rFonts w:ascii="Arial" w:cs="Arial" w:eastAsia="Arial" w:hAnsi="Arial"/>
                <w:b w:val="false"/>
                <w:bCs w:val="false"/>
                <w:sz w:val="20"/>
                <w:szCs w:val="20"/>
              </w:rPr>
              <w:t xml:space="preserve">Labor market, Fed policy</w:t>
            </w:r>
          </w:p>
        </w:tc>
        <w:tc>
          <w:tcPr>
            <w:tcW w:type="dxa" w:w="120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rFonts w:ascii="Arial" w:cs="Arial" w:eastAsia="Arial" w:hAnsi="Arial"/>
                <w:b w:val="false"/>
                <w:bCs w:val="false"/>
                <w:sz w:val="20"/>
                <w:szCs w:val="20"/>
              </w:rPr>
              <w:t xml:space="preserve">HIGH</w:t>
            </w:r>
          </w:p>
        </w:tc>
      </w:tr>
      <w:tr>
        <w:tc>
          <w:tcPr>
            <w:tcW w:type="dxa" w:w="160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rFonts w:ascii="Arial" w:cs="Arial" w:eastAsia="Arial" w:hAnsi="Arial"/>
                <w:b/>
                <w:bCs/>
                <w:sz w:val="20"/>
                <w:szCs w:val="20"/>
              </w:rPr>
              <w:t xml:space="preserve">Feb 8</w:t>
            </w:r>
          </w:p>
        </w:tc>
        <w:tc>
          <w:tcPr>
            <w:tcW w:type="dxa" w:w="436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rFonts w:ascii="Arial" w:cs="Arial" w:eastAsia="Arial" w:hAnsi="Arial"/>
                <w:b w:val="false"/>
                <w:bCs w:val="false"/>
                <w:sz w:val="20"/>
                <w:szCs w:val="20"/>
              </w:rPr>
              <w:t xml:space="preserve">JAPAN SNAP ELECTION (House of Representatives)</w:t>
            </w:r>
          </w:p>
        </w:tc>
        <w:tc>
          <w:tcPr>
            <w:tcW w:type="dxa" w:w="220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rFonts w:ascii="Arial" w:cs="Arial" w:eastAsia="Arial" w:hAnsi="Arial"/>
                <w:b w:val="false"/>
                <w:bCs w:val="false"/>
                <w:sz w:val="20"/>
                <w:szCs w:val="20"/>
              </w:rPr>
              <w:t xml:space="preserve">JPY, JGBs, fiscal policy</w:t>
            </w:r>
          </w:p>
        </w:tc>
        <w:tc>
          <w:tcPr>
            <w:tcW w:type="dxa" w:w="120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rFonts w:ascii="Arial" w:cs="Arial" w:eastAsia="Arial" w:hAnsi="Arial"/>
                <w:b w:val="false"/>
                <w:bCs w:val="false"/>
                <w:sz w:val="20"/>
                <w:szCs w:val="20"/>
              </w:rPr>
              <w:t xml:space="preserve">CRITICAL</w:t>
            </w:r>
          </w:p>
        </w:tc>
      </w:tr>
      <w:tr>
        <w:tc>
          <w:tcPr>
            <w:tcW w:type="dxa" w:w="160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rFonts w:ascii="Arial" w:cs="Arial" w:eastAsia="Arial" w:hAnsi="Arial"/>
                <w:b w:val="false"/>
                <w:bCs w:val="false"/>
                <w:sz w:val="20"/>
                <w:szCs w:val="20"/>
              </w:rPr>
              <w:t xml:space="preserve">Feb 11</w:t>
            </w:r>
          </w:p>
        </w:tc>
        <w:tc>
          <w:tcPr>
            <w:tcW w:type="dxa" w:w="436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rFonts w:ascii="Arial" w:cs="Arial" w:eastAsia="Arial" w:hAnsi="Arial"/>
                <w:b w:val="false"/>
                <w:bCs w:val="false"/>
                <w:sz w:val="20"/>
                <w:szCs w:val="20"/>
              </w:rPr>
              <w:t xml:space="preserve">US CPI (January) - Updated Seasonal Factors</w:t>
            </w:r>
          </w:p>
        </w:tc>
        <w:tc>
          <w:tcPr>
            <w:tcW w:type="dxa" w:w="220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rFonts w:ascii="Arial" w:cs="Arial" w:eastAsia="Arial" w:hAnsi="Arial"/>
                <w:b w:val="false"/>
                <w:bCs w:val="false"/>
                <w:sz w:val="20"/>
                <w:szCs w:val="20"/>
              </w:rPr>
              <w:t xml:space="preserve">Inflation, Fed expectations</w:t>
            </w:r>
          </w:p>
        </w:tc>
        <w:tc>
          <w:tcPr>
            <w:tcW w:type="dxa" w:w="120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rFonts w:ascii="Arial" w:cs="Arial" w:eastAsia="Arial" w:hAnsi="Arial"/>
                <w:b w:val="false"/>
                <w:bCs w:val="false"/>
                <w:sz w:val="20"/>
                <w:szCs w:val="20"/>
              </w:rPr>
              <w:t xml:space="preserve">HIGH</w:t>
            </w:r>
          </w:p>
        </w:tc>
      </w:tr>
      <w:tr>
        <w:tc>
          <w:tcPr>
            <w:tcW w:type="dxa" w:w="160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rFonts w:ascii="Arial" w:cs="Arial" w:eastAsia="Arial" w:hAnsi="Arial"/>
                <w:b w:val="false"/>
                <w:bCs w:val="false"/>
                <w:sz w:val="20"/>
                <w:szCs w:val="20"/>
              </w:rPr>
              <w:t xml:space="preserve">Feb 12</w:t>
            </w:r>
          </w:p>
        </w:tc>
        <w:tc>
          <w:tcPr>
            <w:tcW w:type="dxa" w:w="436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rFonts w:ascii="Arial" w:cs="Arial" w:eastAsia="Arial" w:hAnsi="Arial"/>
                <w:b w:val="false"/>
                <w:bCs w:val="false"/>
                <w:sz w:val="20"/>
                <w:szCs w:val="20"/>
              </w:rPr>
              <w:t xml:space="preserve">UK Q4 GDP</w:t>
            </w:r>
          </w:p>
        </w:tc>
        <w:tc>
          <w:tcPr>
            <w:tcW w:type="dxa" w:w="220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rFonts w:ascii="Arial" w:cs="Arial" w:eastAsia="Arial" w:hAnsi="Arial"/>
                <w:b w:val="false"/>
                <w:bCs w:val="false"/>
                <w:sz w:val="20"/>
                <w:szCs w:val="20"/>
              </w:rPr>
              <w:t xml:space="preserve">GBP, UK outlook</w:t>
            </w:r>
          </w:p>
        </w:tc>
        <w:tc>
          <w:tcPr>
            <w:tcW w:type="dxa" w:w="120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rFonts w:ascii="Arial" w:cs="Arial" w:eastAsia="Arial" w:hAnsi="Arial"/>
                <w:b w:val="false"/>
                <w:bCs w:val="false"/>
                <w:sz w:val="20"/>
                <w:szCs w:val="20"/>
              </w:rPr>
              <w:t xml:space="preserve">MEDIUM</w:t>
            </w:r>
          </w:p>
        </w:tc>
      </w:tr>
      <w:tr>
        <w:tc>
          <w:tcPr>
            <w:tcW w:type="dxa" w:w="160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rFonts w:ascii="Arial" w:cs="Arial" w:eastAsia="Arial" w:hAnsi="Arial"/>
                <w:b w:val="false"/>
                <w:bCs w:val="false"/>
                <w:sz w:val="20"/>
                <w:szCs w:val="20"/>
              </w:rPr>
              <w:t xml:space="preserve">Feb 14</w:t>
            </w:r>
          </w:p>
        </w:tc>
        <w:tc>
          <w:tcPr>
            <w:tcW w:type="dxa" w:w="436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rFonts w:ascii="Arial" w:cs="Arial" w:eastAsia="Arial" w:hAnsi="Arial"/>
                <w:b w:val="false"/>
                <w:bCs w:val="false"/>
                <w:sz w:val="20"/>
                <w:szCs w:val="20"/>
              </w:rPr>
              <w:t xml:space="preserve">US Retail Sales (January)</w:t>
            </w:r>
          </w:p>
        </w:tc>
        <w:tc>
          <w:tcPr>
            <w:tcW w:type="dxa" w:w="220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rFonts w:ascii="Arial" w:cs="Arial" w:eastAsia="Arial" w:hAnsi="Arial"/>
                <w:b w:val="false"/>
                <w:bCs w:val="false"/>
                <w:sz w:val="20"/>
                <w:szCs w:val="20"/>
              </w:rPr>
              <w:t xml:space="preserve">Consumer spending</w:t>
            </w:r>
          </w:p>
        </w:tc>
        <w:tc>
          <w:tcPr>
            <w:tcW w:type="dxa" w:w="120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rFonts w:ascii="Arial" w:cs="Arial" w:eastAsia="Arial" w:hAnsi="Arial"/>
                <w:b w:val="false"/>
                <w:bCs w:val="false"/>
                <w:sz w:val="20"/>
                <w:szCs w:val="20"/>
              </w:rPr>
              <w:t xml:space="preserve">MEDIUM</w:t>
            </w:r>
          </w:p>
        </w:tc>
      </w:tr>
      <w:tr>
        <w:tc>
          <w:tcPr>
            <w:tcW w:type="dxa" w:w="160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rFonts w:ascii="Arial" w:cs="Arial" w:eastAsia="Arial" w:hAnsi="Arial"/>
                <w:b w:val="false"/>
                <w:bCs w:val="false"/>
                <w:sz w:val="20"/>
                <w:szCs w:val="20"/>
              </w:rPr>
              <w:t xml:space="preserve">Feb 18</w:t>
            </w:r>
          </w:p>
        </w:tc>
        <w:tc>
          <w:tcPr>
            <w:tcW w:type="dxa" w:w="436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rFonts w:ascii="Arial" w:cs="Arial" w:eastAsia="Arial" w:hAnsi="Arial"/>
                <w:b w:val="false"/>
                <w:bCs w:val="false"/>
                <w:sz w:val="20"/>
                <w:szCs w:val="20"/>
              </w:rPr>
              <w:t xml:space="preserve">US Markets Closed - Presidents Day</w:t>
            </w:r>
          </w:p>
        </w:tc>
        <w:tc>
          <w:tcPr>
            <w:tcW w:type="dxa" w:w="220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rFonts w:ascii="Arial" w:cs="Arial" w:eastAsia="Arial" w:hAnsi="Arial"/>
                <w:b w:val="false"/>
                <w:bCs w:val="false"/>
                <w:sz w:val="20"/>
                <w:szCs w:val="20"/>
              </w:rPr>
              <w:t xml:space="preserve">Liquidity</w:t>
            </w:r>
          </w:p>
        </w:tc>
        <w:tc>
          <w:tcPr>
            <w:tcW w:type="dxa" w:w="120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rFonts w:ascii="Arial" w:cs="Arial" w:eastAsia="Arial" w:hAnsi="Arial"/>
                <w:b w:val="false"/>
                <w:bCs w:val="false"/>
                <w:sz w:val="20"/>
                <w:szCs w:val="20"/>
              </w:rPr>
              <w:t xml:space="preserve">LOW</w:t>
            </w:r>
          </w:p>
        </w:tc>
      </w:tr>
      <w:tr>
        <w:tc>
          <w:tcPr>
            <w:tcW w:type="dxa" w:w="160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rFonts w:ascii="Arial" w:cs="Arial" w:eastAsia="Arial" w:hAnsi="Arial"/>
                <w:b w:val="false"/>
                <w:bCs w:val="false"/>
                <w:sz w:val="20"/>
                <w:szCs w:val="20"/>
              </w:rPr>
              <w:t xml:space="preserve">Feb 20</w:t>
            </w:r>
          </w:p>
        </w:tc>
        <w:tc>
          <w:tcPr>
            <w:tcW w:type="dxa" w:w="436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rFonts w:ascii="Arial" w:cs="Arial" w:eastAsia="Arial" w:hAnsi="Arial"/>
                <w:b w:val="false"/>
                <w:bCs w:val="false"/>
                <w:sz w:val="20"/>
                <w:szCs w:val="20"/>
              </w:rPr>
              <w:t xml:space="preserve">US Q4 GDP (2nd Estimate) + Personal Income/Outlays</w:t>
            </w:r>
          </w:p>
        </w:tc>
        <w:tc>
          <w:tcPr>
            <w:tcW w:type="dxa" w:w="220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rFonts w:ascii="Arial" w:cs="Arial" w:eastAsia="Arial" w:hAnsi="Arial"/>
                <w:b w:val="false"/>
                <w:bCs w:val="false"/>
                <w:sz w:val="20"/>
                <w:szCs w:val="20"/>
              </w:rPr>
              <w:t xml:space="preserve">Growth, PCE inflation</w:t>
            </w:r>
          </w:p>
        </w:tc>
        <w:tc>
          <w:tcPr>
            <w:tcW w:type="dxa" w:w="120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rFonts w:ascii="Arial" w:cs="Arial" w:eastAsia="Arial" w:hAnsi="Arial"/>
                <w:b w:val="false"/>
                <w:bCs w:val="false"/>
                <w:sz w:val="20"/>
                <w:szCs w:val="20"/>
              </w:rPr>
              <w:t xml:space="preserve">HIGH</w:t>
            </w:r>
          </w:p>
        </w:tc>
      </w:tr>
      <w:tr>
        <w:tc>
          <w:tcPr>
            <w:tcW w:type="dxa" w:w="160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rFonts w:ascii="Arial" w:cs="Arial" w:eastAsia="Arial" w:hAnsi="Arial"/>
                <w:b w:val="false"/>
                <w:bCs w:val="false"/>
                <w:sz w:val="20"/>
                <w:szCs w:val="20"/>
              </w:rPr>
              <w:t xml:space="preserve">Feb 25</w:t>
            </w:r>
          </w:p>
        </w:tc>
        <w:tc>
          <w:tcPr>
            <w:tcW w:type="dxa" w:w="436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rFonts w:ascii="Arial" w:cs="Arial" w:eastAsia="Arial" w:hAnsi="Arial"/>
                <w:b w:val="false"/>
                <w:bCs w:val="false"/>
                <w:sz w:val="20"/>
                <w:szCs w:val="20"/>
              </w:rPr>
              <w:t xml:space="preserve">ECB Non-Monetary Policy Meeting</w:t>
            </w:r>
          </w:p>
        </w:tc>
        <w:tc>
          <w:tcPr>
            <w:tcW w:type="dxa" w:w="220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rFonts w:ascii="Arial" w:cs="Arial" w:eastAsia="Arial" w:hAnsi="Arial"/>
                <w:b w:val="false"/>
                <w:bCs w:val="false"/>
                <w:sz w:val="20"/>
                <w:szCs w:val="20"/>
              </w:rPr>
              <w:t xml:space="preserve">Regulatory focus</w:t>
            </w:r>
          </w:p>
        </w:tc>
        <w:tc>
          <w:tcPr>
            <w:tcW w:type="dxa" w:w="120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rFonts w:ascii="Arial" w:cs="Arial" w:eastAsia="Arial" w:hAnsi="Arial"/>
                <w:b w:val="false"/>
                <w:bCs w:val="false"/>
                <w:sz w:val="20"/>
                <w:szCs w:val="20"/>
              </w:rPr>
              <w:t xml:space="preserve">LOW</w:t>
            </w:r>
          </w:p>
        </w:tc>
      </w:tr>
      <w:tr>
        <w:tc>
          <w:tcPr>
            <w:tcW w:type="dxa" w:w="160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rFonts w:ascii="Arial" w:cs="Arial" w:eastAsia="Arial" w:hAnsi="Arial"/>
                <w:b w:val="false"/>
                <w:bCs w:val="false"/>
                <w:sz w:val="20"/>
                <w:szCs w:val="20"/>
              </w:rPr>
              <w:t xml:space="preserve">Feb 27</w:t>
            </w:r>
          </w:p>
        </w:tc>
        <w:tc>
          <w:tcPr>
            <w:tcW w:type="dxa" w:w="436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rFonts w:ascii="Arial" w:cs="Arial" w:eastAsia="Arial" w:hAnsi="Arial"/>
                <w:b w:val="false"/>
                <w:bCs w:val="false"/>
                <w:sz w:val="20"/>
                <w:szCs w:val="20"/>
              </w:rPr>
              <w:t xml:space="preserve">US Core PCE Inflation (January)</w:t>
            </w:r>
          </w:p>
        </w:tc>
        <w:tc>
          <w:tcPr>
            <w:tcW w:type="dxa" w:w="220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rFonts w:ascii="Arial" w:cs="Arial" w:eastAsia="Arial" w:hAnsi="Arial"/>
                <w:b w:val="false"/>
                <w:bCs w:val="false"/>
                <w:sz w:val="20"/>
                <w:szCs w:val="20"/>
              </w:rPr>
              <w:t xml:space="preserve">Fed's preferred metric</w:t>
            </w:r>
          </w:p>
        </w:tc>
        <w:tc>
          <w:tcPr>
            <w:tcW w:type="dxa" w:w="120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rFonts w:ascii="Arial" w:cs="Arial" w:eastAsia="Arial" w:hAnsi="Arial"/>
                <w:b w:val="false"/>
                <w:bCs w:val="false"/>
                <w:sz w:val="20"/>
                <w:szCs w:val="20"/>
              </w:rPr>
              <w:t xml:space="preserve">HIGH</w:t>
            </w:r>
          </w:p>
        </w:tc>
      </w:tr>
      <w:tr>
        <w:tc>
          <w:tcPr>
            <w:tcW w:type="dxa" w:w="160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rFonts w:ascii="Arial" w:cs="Arial" w:eastAsia="Arial" w:hAnsi="Arial"/>
                <w:b w:val="false"/>
                <w:bCs w:val="false"/>
                <w:sz w:val="20"/>
                <w:szCs w:val="20"/>
              </w:rPr>
              <w:t xml:space="preserve">Mar 5</w:t>
            </w:r>
          </w:p>
        </w:tc>
        <w:tc>
          <w:tcPr>
            <w:tcW w:type="dxa" w:w="436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rFonts w:ascii="Arial" w:cs="Arial" w:eastAsia="Arial" w:hAnsi="Arial"/>
                <w:b w:val="false"/>
                <w:bCs w:val="false"/>
                <w:sz w:val="20"/>
                <w:szCs w:val="20"/>
              </w:rPr>
              <w:t xml:space="preserve">US ADP Employment Report (February)</w:t>
            </w:r>
          </w:p>
        </w:tc>
        <w:tc>
          <w:tcPr>
            <w:tcW w:type="dxa" w:w="220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rFonts w:ascii="Arial" w:cs="Arial" w:eastAsia="Arial" w:hAnsi="Arial"/>
                <w:b w:val="false"/>
                <w:bCs w:val="false"/>
                <w:sz w:val="20"/>
                <w:szCs w:val="20"/>
              </w:rPr>
              <w:t xml:space="preserve">Labor market preview</w:t>
            </w:r>
          </w:p>
        </w:tc>
        <w:tc>
          <w:tcPr>
            <w:tcW w:type="dxa" w:w="120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rFonts w:ascii="Arial" w:cs="Arial" w:eastAsia="Arial" w:hAnsi="Arial"/>
                <w:b w:val="false"/>
                <w:bCs w:val="false"/>
                <w:sz w:val="20"/>
                <w:szCs w:val="20"/>
              </w:rPr>
              <w:t xml:space="preserve">MEDIUM</w:t>
            </w:r>
          </w:p>
        </w:tc>
      </w:tr>
      <w:tr>
        <w:tc>
          <w:tcPr>
            <w:tcW w:type="dxa" w:w="160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rFonts w:ascii="Arial" w:cs="Arial" w:eastAsia="Arial" w:hAnsi="Arial"/>
                <w:b w:val="false"/>
                <w:bCs w:val="false"/>
                <w:sz w:val="20"/>
                <w:szCs w:val="20"/>
              </w:rPr>
              <w:t xml:space="preserve">Mar 7</w:t>
            </w:r>
          </w:p>
        </w:tc>
        <w:tc>
          <w:tcPr>
            <w:tcW w:type="dxa" w:w="436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rFonts w:ascii="Arial" w:cs="Arial" w:eastAsia="Arial" w:hAnsi="Arial"/>
                <w:b w:val="false"/>
                <w:bCs w:val="false"/>
                <w:sz w:val="20"/>
                <w:szCs w:val="20"/>
              </w:rPr>
              <w:t xml:space="preserve">US Nonfarm Payrolls (February)</w:t>
            </w:r>
          </w:p>
        </w:tc>
        <w:tc>
          <w:tcPr>
            <w:tcW w:type="dxa" w:w="220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rFonts w:ascii="Arial" w:cs="Arial" w:eastAsia="Arial" w:hAnsi="Arial"/>
                <w:b w:val="false"/>
                <w:bCs w:val="false"/>
                <w:sz w:val="20"/>
                <w:szCs w:val="20"/>
              </w:rPr>
              <w:t xml:space="preserve">Labor market</w:t>
            </w:r>
          </w:p>
        </w:tc>
        <w:tc>
          <w:tcPr>
            <w:tcW w:type="dxa" w:w="120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rFonts w:ascii="Arial" w:cs="Arial" w:eastAsia="Arial" w:hAnsi="Arial"/>
                <w:b w:val="false"/>
                <w:bCs w:val="false"/>
                <w:sz w:val="20"/>
                <w:szCs w:val="20"/>
              </w:rPr>
              <w:t xml:space="preserve">HIGH</w:t>
            </w:r>
          </w:p>
        </w:tc>
      </w:tr>
      <w:tr>
        <w:tc>
          <w:tcPr>
            <w:tcW w:type="dxa" w:w="160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rFonts w:ascii="Arial" w:cs="Arial" w:eastAsia="Arial" w:hAnsi="Arial"/>
                <w:b/>
                <w:bCs/>
                <w:sz w:val="20"/>
                <w:szCs w:val="20"/>
              </w:rPr>
              <w:t xml:space="preserve">Mar 17-18</w:t>
            </w:r>
          </w:p>
        </w:tc>
        <w:tc>
          <w:tcPr>
            <w:tcW w:type="dxa" w:w="436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rFonts w:ascii="Arial" w:cs="Arial" w:eastAsia="Arial" w:hAnsi="Arial"/>
                <w:b w:val="false"/>
                <w:bCs w:val="false"/>
                <w:sz w:val="20"/>
                <w:szCs w:val="20"/>
              </w:rPr>
              <w:t xml:space="preserve">FOMC MEETING (Powell's final?)</w:t>
            </w:r>
          </w:p>
        </w:tc>
        <w:tc>
          <w:tcPr>
            <w:tcW w:type="dxa" w:w="220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rFonts w:ascii="Arial" w:cs="Arial" w:eastAsia="Arial" w:hAnsi="Arial"/>
                <w:b w:val="false"/>
                <w:bCs w:val="false"/>
                <w:sz w:val="20"/>
                <w:szCs w:val="20"/>
              </w:rPr>
              <w:t xml:space="preserve">Rate decision, SEP, dot plot</w:t>
            </w:r>
          </w:p>
        </w:tc>
        <w:tc>
          <w:tcPr>
            <w:tcW w:type="dxa" w:w="120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rFonts w:ascii="Arial" w:cs="Arial" w:eastAsia="Arial" w:hAnsi="Arial"/>
                <w:b w:val="false"/>
                <w:bCs w:val="false"/>
                <w:sz w:val="20"/>
                <w:szCs w:val="20"/>
              </w:rPr>
              <w:t xml:space="preserve">CRITICAL</w:t>
            </w:r>
          </w:p>
        </w:tc>
      </w:tr>
    </w:tbl>
    <w:p>
      <w:pPr>
        <w:spacing w:before="4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CCCCC" w:sz="1"/>
              <w:left w:val="single" w:color="CCCCCC" w:sz="1"/>
              <w:bottom w:val="single" w:color="CCCCCC" w:sz="1"/>
              <w:right w:val="single" w:color="CCCCCC" w:sz="1"/>
            </w:tcBorders>
            <w:shd w:fill="F7F7F7" w:val="clear"/>
            <w:tcMar>
              <w:top w:type="dxa" w:w="100"/>
              <w:left w:type="dxa" w:w="150"/>
              <w:bottom w:type="dxa" w:w="100"/>
              <w:right w:type="dxa" w:w="150"/>
            </w:tcMar>
          </w:tcPr>
          <w:p>
            <w:pPr>
              <w:jc w:val="center"/>
            </w:pPr>
            <w:r>
              <w:rPr>
                <w:rFonts w:ascii="Arial" w:cs="Arial" w:eastAsia="Arial" w:hAnsi="Arial"/>
                <w:b/>
                <w:bCs/>
                <w:color w:val="666666"/>
                <w:sz w:val="18"/>
                <w:szCs w:val="18"/>
              </w:rPr>
              <w:t xml:space="preserve">DISCLAIMER</w:t>
            </w:r>
          </w:p>
          <w:p>
            <w:pPr>
              <w:spacing w:before="60"/>
              <w:jc w:val="center"/>
            </w:pPr>
            <w:r>
              <w:rPr>
                <w:rFonts w:ascii="Arial" w:cs="Arial" w:eastAsia="Arial" w:hAnsi="Arial"/>
                <w:color w:val="666666"/>
                <w:sz w:val="16"/>
                <w:szCs w:val="16"/>
              </w:rPr>
              <w:t xml:space="preserve">This document is for internal use only and contains confidential information. The views expressed are those of the Market Risk Intelligence team and do not constitute investment advice. Past performance is not indicative of future results. All data sourced from public sources including Federal Reserve, ECB, BOJ, PBOC statements; BLS, BEA official releases; Bloomberg, Reuters, CNBC, Yahoo Finance news reports; CFTC positioning data; and trading platform market data as of January 30, 2026.</w:t>
            </w:r>
          </w:p>
        </w:tc>
      </w:tr>
    </w:tbl>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of </w:t>
    </w:r>
    <w:r>
      <w:rPr>
        <w:rFonts w:ascii="Arial" w:cs="Arial" w:eastAsia="Arial" w:hAnsi="Arial"/>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b/>
        <w:bCs/>
        <w:color w:val="666666"/>
        <w:sz w:val="18"/>
        <w:szCs w:val="18"/>
      </w:rPr>
      <w:t xml:space="preserve">MARKET RISK INTELLIGENCE BRIEF</w:t>
    </w:r>
    <w:r>
      <w:rPr>
        <w:rFonts w:ascii="Arial" w:cs="Arial" w:eastAsia="Arial" w:hAnsi="Arial"/>
        <w:color w:val="666666"/>
        <w:sz w:val="18"/>
        <w:szCs w:val="18"/>
      </w:rPr>
      <w:t xml:space="preserve">  |  </w:t>
    </w:r>
    <w:r>
      <w:rPr>
        <w:rFonts w:ascii="Arial" w:cs="Arial" w:eastAsia="Arial" w:hAnsi="Arial"/>
        <w:color w:val="CC0000"/>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365d"/>
      <w:sz w:val="36"/>
      <w:szCs w:val="36"/>
    </w:rPr>
  </w:style>
  <w:style w:type="paragraph" w:styleId="Heading2">
    <w:name w:val="Heading 2"/>
    <w:basedOn w:val="Normal"/>
    <w:next w:val="Normal"/>
    <w:qFormat/>
    <w:pPr>
      <w:spacing w:before="280" w:after="140"/>
      <w:outlineLvl w:val="1"/>
    </w:pPr>
    <w:rPr>
      <w:rFonts w:ascii="Arial" w:cs="Arial" w:eastAsia="Arial" w:hAnsi="Arial"/>
      <w:b/>
      <w:bCs/>
      <w:color w:val="2c5282"/>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2d374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2026-01-30T15:48:55.532Z</dcterms:created>
  <dcterms:modified xsi:type="dcterms:W3CDTF">2026-01-30T15:48:55.532Z</dcterms:modified>
</cp:coreProperties>
</file>

<file path=docProps/custom.xml><?xml version="1.0" encoding="utf-8"?>
<Properties xmlns="http://schemas.openxmlformats.org/officeDocument/2006/custom-properties" xmlns:vt="http://schemas.openxmlformats.org/officeDocument/2006/docPropsVTypes"/>
</file>