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7" w:name="content"/>
    <w:p>
      <w:pPr>
        <w:pStyle w:val="FirstParagraph"/>
      </w:pPr>
      <w:r>
        <w:rPr>
          <w:b/>
          <w:bCs/>
        </w:rPr>
        <w:t xml:space="preserve">As of: 2025-12-16 06:50 ET</w:t>
      </w:r>
      <w:r>
        <w:br/>
      </w:r>
      <w:r>
        <w:rPr>
          <w:i/>
          <w:iCs/>
        </w:rPr>
        <w:t xml:space="preserve">(Past 7 days: Crypto markets traded cautiously after the Fed’s third straight rate cut, with liquidity thinning into year-end</w:t>
      </w:r>
      <w:hyperlink r:id="rId21">
        <w:r>
          <w:rPr>
            <w:rStyle w:val="Hyperlink"/>
            <w:i/>
            <w:iCs/>
          </w:rPr>
          <w:t xml:space="preserve">[1]</w:t>
        </w:r>
      </w:hyperlink>
      <w:hyperlink r:id="rId22">
        <w:r>
          <w:rPr>
            <w:rStyle w:val="Hyperlink"/>
            <w:i/>
            <w:iCs/>
          </w:rPr>
          <w:t xml:space="preserve">[2]</w:t>
        </w:r>
      </w:hyperlink>
      <w:r>
        <w:rPr>
          <w:i/>
          <w:iCs/>
        </w:rPr>
        <w:t xml:space="preserve">. Past 30 days: Bitcoin stabilized in the high-$80Ks after a November drawdown, as ETF flows remained soft and volatility ebbed</w:t>
      </w:r>
      <w:hyperlink r:id="rId23">
        <w:r>
          <w:rPr>
            <w:rStyle w:val="Hyperlink"/>
            <w:i/>
            <w:iCs/>
          </w:rPr>
          <w:t xml:space="preserve">[3]</w:t>
        </w:r>
      </w:hyperlink>
      <w:hyperlink r:id="rId24">
        <w:r>
          <w:rPr>
            <w:rStyle w:val="Hyperlink"/>
            <w:i/>
            <w:iCs/>
          </w:rPr>
          <w:t xml:space="preserve">[4]</w:t>
        </w:r>
      </w:hyperlink>
      <w:r>
        <w:rPr>
          <w:i/>
          <w:iCs/>
        </w:rPr>
        <w:t xml:space="preserve">. Past 90 days: Q4 saw extreme swings – a new all-time high above $126K in early October followed by a 30% correction on macro shocks</w:t>
      </w:r>
      <w:hyperlink r:id="rId25">
        <w:r>
          <w:rPr>
            <w:rStyle w:val="Hyperlink"/>
            <w:i/>
            <w:iCs/>
          </w:rPr>
          <w:t xml:space="preserve">[5]</w:t>
        </w:r>
      </w:hyperlink>
      <w:hyperlink r:id="rId26">
        <w:r>
          <w:rPr>
            <w:rStyle w:val="Hyperlink"/>
            <w:i/>
            <w:iCs/>
          </w:rPr>
          <w:t xml:space="preserve">[6]</w:t>
        </w:r>
      </w:hyperlink>
      <w:r>
        <w:rPr>
          <w:i/>
          <w:iCs/>
        </w:rPr>
        <w:t xml:space="preserve">. Market conditions have shifted to low-volume consolidation with risk appetite subdued.)</w:t>
      </w:r>
    </w:p>
    <w:p>
      <w:pPr>
        <w:pStyle w:val="BlockText"/>
      </w:pPr>
      <w:r>
        <w:t xml:space="preserve">If you only read one thing:</w:t>
      </w:r>
      <w:r>
        <w:t xml:space="preserve"> </w:t>
      </w:r>
      <w:r>
        <w:rPr>
          <w:b/>
          <w:bCs/>
        </w:rPr>
        <w:t xml:space="preserve">Crypto markets are ending 2025 in a fragile equilibrium.</w:t>
      </w:r>
      <w:r>
        <w:t xml:space="preserve"> </w:t>
      </w:r>
      <w:r>
        <w:t xml:space="preserve">Liquidity is</w:t>
      </w:r>
      <w:r>
        <w:t xml:space="preserve"> </w:t>
      </w:r>
      <w:r>
        <w:rPr>
          <w:b/>
          <w:bCs/>
        </w:rPr>
        <w:t xml:space="preserve">thin</w:t>
      </w:r>
      <w:r>
        <w:t xml:space="preserve"> </w:t>
      </w:r>
      <w:r>
        <w:t xml:space="preserve">and</w:t>
      </w:r>
      <w:r>
        <w:t xml:space="preserve"> </w:t>
      </w:r>
      <w:r>
        <w:rPr>
          <w:b/>
          <w:bCs/>
        </w:rPr>
        <w:t xml:space="preserve">risk appetite is muted</w:t>
      </w:r>
      <w:r>
        <w:t xml:space="preserve">, with</w:t>
      </w:r>
      <w:r>
        <w:t xml:space="preserve"> </w:t>
      </w:r>
      <w:r>
        <w:rPr>
          <w:b/>
          <w:bCs/>
        </w:rPr>
        <w:t xml:space="preserve">Bitcoin ~\$89K</w:t>
      </w:r>
      <w:r>
        <w:t xml:space="preserve"> </w:t>
      </w:r>
      <w:r>
        <w:t xml:space="preserve">after a rollercoaster Q4</w:t>
      </w:r>
      <w:hyperlink r:id="rId27">
        <w:r>
          <w:rPr>
            <w:rStyle w:val="Hyperlink"/>
          </w:rPr>
          <w:t xml:space="preserve">[7]</w:t>
        </w:r>
      </w:hyperlink>
      <w:hyperlink r:id="rId22">
        <w:r>
          <w:rPr>
            <w:rStyle w:val="Hyperlink"/>
          </w:rPr>
          <w:t xml:space="preserve">[2]</w:t>
        </w:r>
      </w:hyperlink>
      <w:r>
        <w:t xml:space="preserve">. A Fed policy pivot and year-end caution have kept traders defensive, capping upside without fresh inflows</w:t>
      </w:r>
      <w:hyperlink r:id="rId28">
        <w:r>
          <w:rPr>
            <w:rStyle w:val="Hyperlink"/>
          </w:rPr>
          <w:t xml:space="preserve">[8]</w:t>
        </w:r>
      </w:hyperlink>
      <w:r>
        <w:t xml:space="preserve">.</w:t>
      </w:r>
      <w:r>
        <w:t xml:space="preserve"> </w:t>
      </w:r>
      <w:r>
        <w:rPr>
          <w:b/>
          <w:bCs/>
        </w:rPr>
        <w:t xml:space="preserve">Key takeaway:</w:t>
      </w:r>
      <w:r>
        <w:t xml:space="preserve"> </w:t>
      </w:r>
      <w:r>
        <w:t xml:space="preserve">Structural resilience is higher than in past crises (no major insolvencies in the recent 30% downturn</w:t>
      </w:r>
      <w:hyperlink r:id="rId29">
        <w:r>
          <w:rPr>
            <w:rStyle w:val="Hyperlink"/>
          </w:rPr>
          <w:t xml:space="preserve">[9]</w:t>
        </w:r>
      </w:hyperlink>
      <w:hyperlink r:id="rId30">
        <w:r>
          <w:rPr>
            <w:rStyle w:val="Hyperlink"/>
          </w:rPr>
          <w:t xml:space="preserve">[10]</w:t>
        </w:r>
      </w:hyperlink>
      <w:r>
        <w:t xml:space="preserve">), but</w:t>
      </w:r>
      <w:r>
        <w:t xml:space="preserve"> </w:t>
      </w:r>
      <w:r>
        <w:rPr>
          <w:b/>
          <w:bCs/>
        </w:rPr>
        <w:t xml:space="preserve">macro drivers now dominate</w:t>
      </w:r>
      <w:r>
        <w:t xml:space="preserve"> </w:t>
      </w:r>
      <w:r>
        <w:t xml:space="preserve">crypto direction</w:t>
      </w:r>
      <w:hyperlink r:id="rId31">
        <w:r>
          <w:rPr>
            <w:rStyle w:val="Hyperlink"/>
          </w:rPr>
          <w:t xml:space="preserve">[11]</w:t>
        </w:r>
      </w:hyperlink>
      <w:r>
        <w:t xml:space="preserve">. Going into 2026,</w:t>
      </w:r>
      <w:r>
        <w:t xml:space="preserve"> </w:t>
      </w:r>
      <w:r>
        <w:rPr>
          <w:b/>
          <w:bCs/>
        </w:rPr>
        <w:t xml:space="preserve">policy shifts and liquidity trends</w:t>
      </w:r>
      <w:r>
        <w:t xml:space="preserve"> </w:t>
      </w:r>
      <w:r>
        <w:t xml:space="preserve">will dictate whether crypto re-enters a bull cycle or extends its consolidation.</w:t>
      </w:r>
    </w:p>
    <w:bookmarkStart w:id="75" w:name="executive-dashboard"/>
    <w:p>
      <w:pPr>
        <w:pStyle w:val="Heading2"/>
      </w:pPr>
      <w:r>
        <w:t xml:space="preserve">0) Executive Dashboard</w:t>
      </w:r>
    </w:p>
    <w:p>
      <w:pPr>
        <w:numPr>
          <w:ilvl w:val="0"/>
          <w:numId w:val="1001"/>
        </w:numPr>
      </w:pPr>
      <w:r>
        <w:rPr>
          <w:b/>
          <w:bCs/>
        </w:rPr>
        <w:t xml:space="preserve">Market Regime Call:</w:t>
      </w:r>
      <w:r>
        <w:t xml:space="preserve"> </w:t>
      </w:r>
      <w:r>
        <w:rPr>
          <w:b/>
          <w:bCs/>
        </w:rPr>
        <w:t xml:space="preserve">Cautiously Risk-Off.</w:t>
      </w:r>
      <w:r>
        <w:t xml:space="preserve"> </w:t>
      </w:r>
      <w:r>
        <w:t xml:space="preserve">Crypto is trading in a</w:t>
      </w:r>
      <w:r>
        <w:t xml:space="preserve"> </w:t>
      </w:r>
      <w:r>
        <w:rPr>
          <w:b/>
          <w:bCs/>
        </w:rPr>
        <w:t xml:space="preserve">low-liquidity, high-correlation</w:t>
      </w:r>
      <w:r>
        <w:t xml:space="preserve"> </w:t>
      </w:r>
      <w:r>
        <w:t xml:space="preserve">regime, behaving like a tech-heavy risk asset. Correlation with equities has</w:t>
      </w:r>
      <w:r>
        <w:t xml:space="preserve"> </w:t>
      </w:r>
      <w:r>
        <w:rPr>
          <w:b/>
          <w:bCs/>
        </w:rPr>
        <w:t xml:space="preserve">strengthened markedly</w:t>
      </w:r>
      <w:r>
        <w:t xml:space="preserve"> </w:t>
      </w:r>
      <w:r>
        <w:t xml:space="preserve">(avg. 0.5 with S&amp;P in 2025 vs 0.29 in 2024)</w:t>
      </w:r>
      <w:hyperlink r:id="rId32">
        <w:r>
          <w:rPr>
            <w:rStyle w:val="Hyperlink"/>
          </w:rPr>
          <w:t xml:space="preserve">[12]</w:t>
        </w:r>
      </w:hyperlink>
      <w:r>
        <w:t xml:space="preserve"> </w:t>
      </w:r>
      <w:r>
        <w:t xml:space="preserve">as institutional and retail flows align with stock market sentiment. Real yields and dollar liquidity are the dominant drivers: a firming USD and higher real rates have dampened crypto risk appetite, while recent Fed</w:t>
      </w:r>
      <w:r>
        <w:t xml:space="preserve"> </w:t>
      </w:r>
      <w:r>
        <w:rPr>
          <w:b/>
          <w:bCs/>
        </w:rPr>
        <w:t xml:space="preserve">rate cuts</w:t>
      </w:r>
      <w:r>
        <w:t xml:space="preserve"> </w:t>
      </w:r>
      <w:r>
        <w:t xml:space="preserve">(three since Sept) provided only brief relief</w:t>
      </w:r>
      <w:hyperlink r:id="rId21">
        <w:r>
          <w:rPr>
            <w:rStyle w:val="Hyperlink"/>
          </w:rPr>
          <w:t xml:space="preserve">[1]</w:t>
        </w:r>
      </w:hyperlink>
      <w:hyperlink r:id="rId31">
        <w:r>
          <w:rPr>
            <w:rStyle w:val="Hyperlink"/>
          </w:rPr>
          <w:t xml:space="preserve">[11]</w:t>
        </w:r>
      </w:hyperlink>
      <w:r>
        <w:t xml:space="preserve">.</w:t>
      </w:r>
      <w:r>
        <w:t xml:space="preserve"> </w:t>
      </w:r>
      <w:r>
        <w:rPr>
          <w:b/>
          <w:bCs/>
        </w:rPr>
        <w:t xml:space="preserve">Volatility</w:t>
      </w:r>
      <w:r>
        <w:t xml:space="preserve"> </w:t>
      </w:r>
      <w:r>
        <w:t xml:space="preserve">spiked in October’s crash but has since</w:t>
      </w:r>
      <w:r>
        <w:t xml:space="preserve"> </w:t>
      </w:r>
      <w:r>
        <w:rPr>
          <w:b/>
          <w:bCs/>
        </w:rPr>
        <w:t xml:space="preserve">compressed</w:t>
      </w:r>
      <w:r>
        <w:t xml:space="preserve"> </w:t>
      </w:r>
      <w:r>
        <w:t xml:space="preserve">as markets await new catalysts</w:t>
      </w:r>
      <w:hyperlink r:id="rId33">
        <w:r>
          <w:rPr>
            <w:rStyle w:val="Hyperlink"/>
          </w:rPr>
          <w:t xml:space="preserve">[13]</w:t>
        </w:r>
      </w:hyperlink>
      <w:r>
        <w:t xml:space="preserve">. Liquidity conditions are</w:t>
      </w:r>
      <w:r>
        <w:t xml:space="preserve"> </w:t>
      </w:r>
      <w:r>
        <w:rPr>
          <w:b/>
          <w:bCs/>
        </w:rPr>
        <w:t xml:space="preserve">fragile</w:t>
      </w:r>
      <w:r>
        <w:t xml:space="preserve"> </w:t>
      </w:r>
      <w:r>
        <w:t xml:space="preserve">– stablecoin supply growth has stalled and market depth is shallow, typical of year-end “risk-off” behavior</w:t>
      </w:r>
      <w:hyperlink r:id="rId22">
        <w:r>
          <w:rPr>
            <w:rStyle w:val="Hyperlink"/>
          </w:rPr>
          <w:t xml:space="preserve">[2]</w:t>
        </w:r>
      </w:hyperlink>
      <w:hyperlink r:id="rId28">
        <w:r>
          <w:rPr>
            <w:rStyle w:val="Hyperlink"/>
          </w:rPr>
          <w:t xml:space="preserve">[8]</w:t>
        </w:r>
      </w:hyperlink>
      <w:r>
        <w:t xml:space="preserve">.</w:t>
      </w:r>
      <w:r>
        <w:t xml:space="preserve"> </w:t>
      </w:r>
      <w:r>
        <w:rPr>
          <w:i/>
          <w:iCs/>
        </w:rPr>
        <w:t xml:space="preserve">Why:</w:t>
      </w:r>
      <w:r>
        <w:t xml:space="preserve"> </w:t>
      </w:r>
      <w:r>
        <w:t xml:space="preserve">Without fresh capital inflows or a macro risk-on signal, crypto is in</w:t>
      </w:r>
      <w:r>
        <w:t xml:space="preserve"> </w:t>
      </w:r>
      <w:r>
        <w:rPr>
          <w:b/>
          <w:bCs/>
        </w:rPr>
        <w:t xml:space="preserve">consolidation</w:t>
      </w:r>
      <w:r>
        <w:t xml:space="preserve">, with participants quick to de-risk on negative news.</w:t>
      </w:r>
    </w:p>
    <w:p>
      <w:pPr>
        <w:numPr>
          <w:ilvl w:val="0"/>
          <w:numId w:val="1001"/>
        </w:numPr>
      </w:pPr>
      <w:r>
        <w:rPr>
          <w:b/>
          <w:bCs/>
        </w:rPr>
        <w:t xml:space="preserve">Top 10 Things to Know This Week:</w:t>
      </w:r>
    </w:p>
    <w:p>
      <w:pPr>
        <w:pStyle w:val="Compact"/>
        <w:numPr>
          <w:ilvl w:val="0"/>
          <w:numId w:val="1001"/>
        </w:numPr>
      </w:pPr>
      <w:r>
        <w:rPr>
          <w:b/>
          <w:bCs/>
        </w:rPr>
        <w:t xml:space="preserve">Fed Pause After Cuts – Caution Prevails:</w:t>
      </w:r>
      <w:r>
        <w:t xml:space="preserve"> </w:t>
      </w:r>
      <w:r>
        <w:t xml:space="preserve">The Fed cut rates again (target now 3.5–3.75%) but signaled no further near-term easing, exposing internal divisions</w:t>
      </w:r>
      <w:hyperlink r:id="rId34">
        <w:r>
          <w:rPr>
            <w:rStyle w:val="Hyperlink"/>
          </w:rPr>
          <w:t xml:space="preserve">[14]</w:t>
        </w:r>
      </w:hyperlink>
      <w:r>
        <w:t xml:space="preserve">. Bitcoin initially rallied on the dovish move but pulled back ~3% to ~$89K as traders reassessed risk</w:t>
      </w:r>
      <w:hyperlink r:id="rId35">
        <w:r>
          <w:rPr>
            <w:rStyle w:val="Hyperlink"/>
          </w:rPr>
          <w:t xml:space="preserve">[15]</w:t>
        </w:r>
      </w:hyperlink>
      <w:hyperlink r:id="rId36">
        <w:r>
          <w:rPr>
            <w:rStyle w:val="Hyperlink"/>
          </w:rPr>
          <w:t xml:space="preserve">[16]</w:t>
        </w:r>
      </w:hyperlink>
      <w:r>
        <w:t xml:space="preserve">.</w:t>
      </w:r>
      <w:r>
        <w:t xml:space="preserve"> </w:t>
      </w:r>
      <w:r>
        <w:rPr>
          <w:b/>
          <w:bCs/>
        </w:rPr>
        <w:t xml:space="preserve">Takeaway:</w:t>
      </w:r>
      <w:r>
        <w:t xml:space="preserve"> </w:t>
      </w:r>
      <w:r>
        <w:t xml:space="preserve">Monetary easing is on hold; crypto remains sensitive to every Fed signal</w:t>
      </w:r>
      <w:hyperlink r:id="rId31">
        <w:r>
          <w:rPr>
            <w:rStyle w:val="Hyperlink"/>
          </w:rPr>
          <w:t xml:space="preserve">[11]</w:t>
        </w:r>
      </w:hyperlink>
      <w:r>
        <w:t xml:space="preserve">.</w:t>
      </w:r>
    </w:p>
    <w:p>
      <w:pPr>
        <w:pStyle w:val="Compact"/>
        <w:numPr>
          <w:ilvl w:val="0"/>
          <w:numId w:val="1001"/>
        </w:numPr>
      </w:pPr>
      <w:r>
        <w:rPr>
          <w:b/>
          <w:bCs/>
        </w:rPr>
        <w:t xml:space="preserve">Liquidity Shrink into Holidays:</w:t>
      </w:r>
      <w:r>
        <w:t xml:space="preserve"> </w:t>
      </w:r>
      <w:r>
        <w:t xml:space="preserve">The growth rate of Tether’s USDT supply plunged by ~2/3 since November, a stark sign of</w:t>
      </w:r>
      <w:r>
        <w:t xml:space="preserve"> </w:t>
      </w:r>
      <w:r>
        <w:rPr>
          <w:b/>
          <w:bCs/>
        </w:rPr>
        <w:t xml:space="preserve">new capital drying up</w:t>
      </w:r>
      <w:hyperlink r:id="rId22">
        <w:r>
          <w:rPr>
            <w:rStyle w:val="Hyperlink"/>
          </w:rPr>
          <w:t xml:space="preserve">[2]</w:t>
        </w:r>
      </w:hyperlink>
      <w:r>
        <w:t xml:space="preserve">. Stablecoin market cap was essentially flat at ~$285–290B all month</w:t>
      </w:r>
      <w:hyperlink r:id="rId37">
        <w:r>
          <w:rPr>
            <w:rStyle w:val="Hyperlink"/>
          </w:rPr>
          <w:t xml:space="preserve">[17]</w:t>
        </w:r>
      </w:hyperlink>
      <w:r>
        <w:t xml:space="preserve">.</w:t>
      </w:r>
      <w:r>
        <w:t xml:space="preserve"> </w:t>
      </w:r>
      <w:r>
        <w:rPr>
          <w:b/>
          <w:bCs/>
        </w:rPr>
        <w:t xml:space="preserve">“Funds are still in the ecosystem, but not being deployed aggressively,”</w:t>
      </w:r>
      <w:r>
        <w:t xml:space="preserve"> </w:t>
      </w:r>
      <w:r>
        <w:t xml:space="preserve">says Yaroslav Patsira of CEX.IO</w:t>
      </w:r>
      <w:hyperlink r:id="rId37">
        <w:r>
          <w:rPr>
            <w:rStyle w:val="Hyperlink"/>
          </w:rPr>
          <w:t xml:space="preserve">[17]</w:t>
        </w:r>
      </w:hyperlink>
      <w:hyperlink r:id="rId38">
        <w:r>
          <w:rPr>
            <w:rStyle w:val="Hyperlink"/>
          </w:rPr>
          <w:t xml:space="preserve">[18]</w:t>
        </w:r>
      </w:hyperlink>
      <w:r>
        <w:t xml:space="preserve"> </w:t>
      </w:r>
      <w:r>
        <w:t xml:space="preserve">– a massive</w:t>
      </w:r>
      <w:r>
        <w:t xml:space="preserve"> </w:t>
      </w:r>
      <w:r>
        <w:rPr>
          <w:b/>
          <w:bCs/>
        </w:rPr>
        <w:t xml:space="preserve">$80B</w:t>
      </w:r>
      <w:r>
        <w:t xml:space="preserve"> </w:t>
      </w:r>
      <w:r>
        <w:t xml:space="preserve">in stablecoin “dry powder” hit ATH and then dipped only slightly on minor rallies</w:t>
      </w:r>
      <w:hyperlink r:id="rId38">
        <w:r>
          <w:rPr>
            <w:rStyle w:val="Hyperlink"/>
          </w:rPr>
          <w:t xml:space="preserve">[18]</w:t>
        </w:r>
      </w:hyperlink>
      <w:r>
        <w:t xml:space="preserve">.</w:t>
      </w:r>
      <w:r>
        <w:t xml:space="preserve"> </w:t>
      </w:r>
      <w:r>
        <w:rPr>
          <w:i/>
          <w:iCs/>
        </w:rPr>
        <w:t xml:space="preserve">Upshot:</w:t>
      </w:r>
      <w:r>
        <w:t xml:space="preserve"> </w:t>
      </w:r>
      <w:r>
        <w:t xml:space="preserve">Ample sideline liquidity exists, but</w:t>
      </w:r>
      <w:r>
        <w:t xml:space="preserve"> </w:t>
      </w:r>
      <w:r>
        <w:rPr>
          <w:b/>
          <w:bCs/>
        </w:rPr>
        <w:t xml:space="preserve">investors are sitting on their hands</w:t>
      </w:r>
      <w:r>
        <w:t xml:space="preserve">, capping near-term upside.</w:t>
      </w:r>
    </w:p>
    <w:p>
      <w:pPr>
        <w:pStyle w:val="Compact"/>
        <w:numPr>
          <w:ilvl w:val="0"/>
          <w:numId w:val="1001"/>
        </w:numPr>
      </w:pPr>
      <w:r>
        <w:rPr>
          <w:b/>
          <w:bCs/>
        </w:rPr>
        <w:t xml:space="preserve">ETF Flows &amp; Prices Diverge:</w:t>
      </w:r>
      <w:r>
        <w:t xml:space="preserve"> </w:t>
      </w:r>
      <w:r>
        <w:t xml:space="preserve">After spot Bitcoin ETFs launched to fanfare,</w:t>
      </w:r>
      <w:r>
        <w:t xml:space="preserve"> </w:t>
      </w:r>
      <w:r>
        <w:rPr>
          <w:b/>
          <w:bCs/>
        </w:rPr>
        <w:t xml:space="preserve">flows have turned negative.</w:t>
      </w:r>
      <w:r>
        <w:t xml:space="preserve"> </w:t>
      </w:r>
      <w:r>
        <w:t xml:space="preserve">In early November, Bitcoin ETFs saw</w:t>
      </w:r>
      <w:r>
        <w:t xml:space="preserve"> </w:t>
      </w:r>
      <w:r>
        <w:rPr>
          <w:b/>
          <w:bCs/>
        </w:rPr>
        <w:t xml:space="preserve">$186.5M</w:t>
      </w:r>
      <w:r>
        <w:t xml:space="preserve"> </w:t>
      </w:r>
      <w:r>
        <w:t xml:space="preserve">net outflows in one day (zero inflows across issuers, BlackRock’s fund leading withdrawals)</w:t>
      </w:r>
      <w:hyperlink r:id="rId39">
        <w:r>
          <w:rPr>
            <w:rStyle w:val="Hyperlink"/>
          </w:rPr>
          <w:t xml:space="preserve">[19]</w:t>
        </w:r>
      </w:hyperlink>
      <w:r>
        <w:t xml:space="preserve">. It marked the 4th straight day of outflows, totaling $1.34B pulled since late October</w:t>
      </w:r>
      <w:hyperlink r:id="rId40">
        <w:r>
          <w:rPr>
            <w:rStyle w:val="Hyperlink"/>
          </w:rPr>
          <w:t xml:space="preserve">[20]</w:t>
        </w:r>
      </w:hyperlink>
      <w:r>
        <w:t xml:space="preserve">. This exacerbated the price drop to ~$104.5K at that time</w:t>
      </w:r>
      <w:hyperlink r:id="rId41">
        <w:r>
          <w:rPr>
            <w:rStyle w:val="Hyperlink"/>
          </w:rPr>
          <w:t xml:space="preserve">[21]</w:t>
        </w:r>
      </w:hyperlink>
      <w:r>
        <w:t xml:space="preserve">. As of this week,</w:t>
      </w:r>
      <w:r>
        <w:t xml:space="preserve"> </w:t>
      </w:r>
      <w:r>
        <w:rPr>
          <w:b/>
          <w:bCs/>
        </w:rPr>
        <w:t xml:space="preserve">total ETF outflows since October exceed $3.7B</w:t>
      </w:r>
      <w:hyperlink r:id="rId24">
        <w:r>
          <w:rPr>
            <w:rStyle w:val="Hyperlink"/>
          </w:rPr>
          <w:t xml:space="preserve">[22]</w:t>
        </w:r>
      </w:hyperlink>
      <w:r>
        <w:t xml:space="preserve">.</w:t>
      </w:r>
      <w:r>
        <w:t xml:space="preserve"> </w:t>
      </w:r>
      <w:r>
        <w:rPr>
          <w:b/>
          <w:bCs/>
        </w:rPr>
        <w:t xml:space="preserve">Interpretation:</w:t>
      </w:r>
      <w:r>
        <w:t xml:space="preserve"> </w:t>
      </w:r>
      <w:r>
        <w:t xml:space="preserve">Hoped-for institutional demand via ETFs hasn’t materialized yet – if anything,</w:t>
      </w:r>
      <w:r>
        <w:t xml:space="preserve"> </w:t>
      </w:r>
      <w:r>
        <w:rPr>
          <w:b/>
          <w:bCs/>
        </w:rPr>
        <w:t xml:space="preserve">ETF investors took profits on the Q3 rally</w:t>
      </w:r>
      <w:r>
        <w:t xml:space="preserve">, contributing to sell pressure.</w:t>
      </w:r>
    </w:p>
    <w:p>
      <w:pPr>
        <w:pStyle w:val="Compact"/>
        <w:numPr>
          <w:ilvl w:val="0"/>
          <w:numId w:val="1001"/>
        </w:numPr>
      </w:pPr>
      <w:r>
        <w:rPr>
          <w:b/>
          <w:bCs/>
        </w:rPr>
        <w:t xml:space="preserve">Record Liquidations Then Calm:</w:t>
      </w:r>
      <w:r>
        <w:t xml:space="preserve"> </w:t>
      </w:r>
      <w:r>
        <w:t xml:space="preserve">The October 10 shock (tariff news) triggered</w:t>
      </w:r>
      <w:r>
        <w:t xml:space="preserve"> </w:t>
      </w:r>
      <w:r>
        <w:rPr>
          <w:b/>
          <w:bCs/>
        </w:rPr>
        <w:t xml:space="preserve">$19B</w:t>
      </w:r>
      <w:r>
        <w:t xml:space="preserve"> </w:t>
      </w:r>
      <w:r>
        <w:t xml:space="preserve">of crypto liquidations in a single day –</w:t>
      </w:r>
      <w:r>
        <w:t xml:space="preserve"> </w:t>
      </w:r>
      <w:r>
        <w:rPr>
          <w:i/>
          <w:iCs/>
        </w:rPr>
        <w:t xml:space="preserve">the largest ever</w:t>
      </w:r>
      <w:hyperlink r:id="rId42">
        <w:r>
          <w:rPr>
            <w:rStyle w:val="Hyperlink"/>
          </w:rPr>
          <w:t xml:space="preserve">[23]</w:t>
        </w:r>
      </w:hyperlink>
      <w:hyperlink r:id="rId42">
        <w:r>
          <w:rPr>
            <w:rStyle w:val="Hyperlink"/>
          </w:rPr>
          <w:t xml:space="preserve">[24]</w:t>
        </w:r>
      </w:hyperlink>
      <w:r>
        <w:t xml:space="preserve"> </w:t>
      </w:r>
      <w:r>
        <w:t xml:space="preserve">– as cascading margin calls hit an over-levered market. Since then, leverage has been cut way down. Last week saw only ~$3M of long liquidations for BTC and ~$4M for ETH in a day</w:t>
      </w:r>
      <w:hyperlink r:id="rId43">
        <w:r>
          <w:rPr>
            <w:rStyle w:val="Hyperlink"/>
          </w:rPr>
          <w:t xml:space="preserve">[25]</w:t>
        </w:r>
      </w:hyperlink>
      <w:r>
        <w:t xml:space="preserve">, indicating</w:t>
      </w:r>
      <w:r>
        <w:t xml:space="preserve"> </w:t>
      </w:r>
      <w:r>
        <w:rPr>
          <w:b/>
          <w:bCs/>
        </w:rPr>
        <w:t xml:space="preserve">deleveraging</w:t>
      </w:r>
      <w:r>
        <w:t xml:space="preserve"> </w:t>
      </w:r>
      <w:r>
        <w:t xml:space="preserve">and more balanced positioning.</w:t>
      </w:r>
      <w:r>
        <w:t xml:space="preserve"> </w:t>
      </w:r>
      <w:r>
        <w:rPr>
          <w:b/>
          <w:bCs/>
        </w:rPr>
        <w:t xml:space="preserve">Translation:</w:t>
      </w:r>
      <w:r>
        <w:t xml:space="preserve"> </w:t>
      </w:r>
      <w:r>
        <w:t xml:space="preserve">The market purged excess leverage in the crash; current futures open interest is healthier, with fewer weak hands at risk.</w:t>
      </w:r>
    </w:p>
    <w:p>
      <w:pPr>
        <w:pStyle w:val="Compact"/>
        <w:numPr>
          <w:ilvl w:val="0"/>
          <w:numId w:val="1001"/>
        </w:numPr>
      </w:pPr>
      <w:r>
        <w:rPr>
          <w:b/>
          <w:bCs/>
        </w:rPr>
        <w:t xml:space="preserve">Volatility Sellers Emerge:</w:t>
      </w:r>
      <w:r>
        <w:t xml:space="preserve"> </w:t>
      </w:r>
      <w:r>
        <w:t xml:space="preserve">Implied volatility has</w:t>
      </w:r>
      <w:r>
        <w:t xml:space="preserve"> </w:t>
      </w:r>
      <w:r>
        <w:rPr>
          <w:b/>
          <w:bCs/>
        </w:rPr>
        <w:t xml:space="preserve">collapsed</w:t>
      </w:r>
      <w:r>
        <w:t xml:space="preserve"> </w:t>
      </w:r>
      <w:r>
        <w:t xml:space="preserve">post-crash – options IV is now running below realized vol (a rarity), putting</w:t>
      </w:r>
      <w:r>
        <w:t xml:space="preserve"> </w:t>
      </w:r>
      <w:r>
        <w:rPr>
          <w:b/>
          <w:bCs/>
        </w:rPr>
        <w:t xml:space="preserve">pressure on short-gamma traders</w:t>
      </w:r>
      <w:hyperlink r:id="rId44">
        <w:r>
          <w:rPr>
            <w:rStyle w:val="Hyperlink"/>
          </w:rPr>
          <w:t xml:space="preserve">[26]</w:t>
        </w:r>
      </w:hyperlink>
      <w:r>
        <w:t xml:space="preserve">. Skew has moderated (less extreme put demand) as some traders rotate from puts to cautious call-selling</w:t>
      </w:r>
      <w:hyperlink r:id="rId44">
        <w:r>
          <w:rPr>
            <w:rStyle w:val="Hyperlink"/>
          </w:rPr>
          <w:t xml:space="preserve">[26]</w:t>
        </w:r>
      </w:hyperlink>
      <w:r>
        <w:t xml:space="preserve">. The term structure is flat-to-bent, with</w:t>
      </w:r>
      <w:r>
        <w:t xml:space="preserve"> </w:t>
      </w:r>
      <w:r>
        <w:rPr>
          <w:b/>
          <w:bCs/>
        </w:rPr>
        <w:t xml:space="preserve">short-term IV slightly elevated ahead of the final FOMC of the year</w:t>
      </w:r>
      <w:hyperlink r:id="rId33">
        <w:r>
          <w:rPr>
            <w:rStyle w:val="Hyperlink"/>
          </w:rPr>
          <w:t xml:space="preserve">[13]</w:t>
        </w:r>
      </w:hyperlink>
      <w:r>
        <w:t xml:space="preserve"> </w:t>
      </w:r>
      <w:r>
        <w:t xml:space="preserve">then decaying into Jan.</w:t>
      </w:r>
      <w:r>
        <w:t xml:space="preserve"> </w:t>
      </w:r>
      <w:r>
        <w:rPr>
          <w:b/>
          <w:bCs/>
        </w:rPr>
        <w:t xml:space="preserve">Signal:</w:t>
      </w:r>
      <w:r>
        <w:t xml:space="preserve"> </w:t>
      </w:r>
      <w:r>
        <w:t xml:space="preserve">Options markets are pricing a</w:t>
      </w:r>
      <w:r>
        <w:t xml:space="preserve"> </w:t>
      </w:r>
      <w:r>
        <w:rPr>
          <w:i/>
          <w:iCs/>
        </w:rPr>
        <w:t xml:space="preserve">range-bound</w:t>
      </w:r>
      <w:r>
        <w:t xml:space="preserve"> </w:t>
      </w:r>
      <w:r>
        <w:t xml:space="preserve">end of year; many are selling volatility, betting that no big moves will occur barring a surprise catalyst.</w:t>
      </w:r>
    </w:p>
    <w:p>
      <w:pPr>
        <w:pStyle w:val="Compact"/>
        <w:numPr>
          <w:ilvl w:val="0"/>
          <w:numId w:val="1001"/>
        </w:numPr>
      </w:pPr>
      <w:r>
        <w:rPr>
          <w:b/>
          <w:bCs/>
        </w:rPr>
        <w:t xml:space="preserve">Correlation Regime – All Eyes on Stocks:</w:t>
      </w:r>
      <w:r>
        <w:t xml:space="preserve"> </w:t>
      </w:r>
      <w:r>
        <w:t xml:space="preserve">Bitcoin’s correlation with U.S. equities hit multi-year highs in 2025</w:t>
      </w:r>
      <w:hyperlink r:id="rId32">
        <w:r>
          <w:rPr>
            <w:rStyle w:val="Hyperlink"/>
          </w:rPr>
          <w:t xml:space="preserve">[12]</w:t>
        </w:r>
      </w:hyperlink>
      <w:r>
        <w:t xml:space="preserve">. It’s averaging ~0.50 with the S&amp;P 500 and ~0.52 with the Nasdaq this year</w:t>
      </w:r>
      <w:hyperlink r:id="rId45">
        <w:r>
          <w:rPr>
            <w:rStyle w:val="Hyperlink"/>
          </w:rPr>
          <w:t xml:space="preserve">[27]</w:t>
        </w:r>
      </w:hyperlink>
      <w:hyperlink r:id="rId46">
        <w:r>
          <w:rPr>
            <w:rStyle w:val="Hyperlink"/>
          </w:rPr>
          <w:t xml:space="preserve">[28]</w:t>
        </w:r>
      </w:hyperlink>
      <w:r>
        <w:t xml:space="preserve">.</w:t>
      </w:r>
      <w:r>
        <w:t xml:space="preserve"> </w:t>
      </w:r>
      <w:r>
        <w:rPr>
          <w:b/>
          <w:bCs/>
        </w:rPr>
        <w:t xml:space="preserve">Crypto is trading like a high-beta tech stock tied to the “AI bubble” narrative</w:t>
      </w:r>
      <w:hyperlink r:id="rId47">
        <w:r>
          <w:rPr>
            <w:rStyle w:val="Hyperlink"/>
            <w:b/>
            <w:bCs/>
          </w:rPr>
          <w:t xml:space="preserve">[29]</w:t>
        </w:r>
      </w:hyperlink>
      <w:hyperlink r:id="rId48">
        <w:r>
          <w:rPr>
            <w:rStyle w:val="Hyperlink"/>
            <w:b/>
            <w:bCs/>
          </w:rPr>
          <w:t xml:space="preserve">[30]</w:t>
        </w:r>
      </w:hyperlink>
      <w:r>
        <w:rPr>
          <w:b/>
          <w:bCs/>
        </w:rPr>
        <w:t xml:space="preserve">.</w:t>
      </w:r>
      <w:r>
        <w:t xml:space="preserve"> </w:t>
      </w:r>
      <w:r>
        <w:t xml:space="preserve">Case in point: October’s crypto peak and crash aligned with AI stocks’ boom-bust on shifting sentiment</w:t>
      </w:r>
      <w:hyperlink r:id="rId25">
        <w:r>
          <w:rPr>
            <w:rStyle w:val="Hyperlink"/>
          </w:rPr>
          <w:t xml:space="preserve">[5]</w:t>
        </w:r>
      </w:hyperlink>
      <w:hyperlink r:id="rId48">
        <w:r>
          <w:rPr>
            <w:rStyle w:val="Hyperlink"/>
          </w:rPr>
          <w:t xml:space="preserve">[30]</w:t>
        </w:r>
      </w:hyperlink>
      <w:r>
        <w:t xml:space="preserve">.</w:t>
      </w:r>
      <w:r>
        <w:t xml:space="preserve"> </w:t>
      </w:r>
      <w:r>
        <w:rPr>
          <w:b/>
          <w:bCs/>
        </w:rPr>
        <w:t xml:space="preserve">Bottom line:</w:t>
      </w:r>
      <w:r>
        <w:t xml:space="preserve"> </w:t>
      </w:r>
      <w:r>
        <w:t xml:space="preserve">Real-economy factors (tech valuations, Fed moves) are bleeding directly into crypto pricing. Any wobble in equities or change in Fed outlook is immediately reflected in crypto volatility.</w:t>
      </w:r>
    </w:p>
    <w:p>
      <w:pPr>
        <w:pStyle w:val="Compact"/>
        <w:numPr>
          <w:ilvl w:val="0"/>
          <w:numId w:val="1001"/>
        </w:numPr>
      </w:pPr>
      <w:r>
        <w:rPr>
          <w:b/>
          <w:bCs/>
        </w:rPr>
        <w:t xml:space="preserve">Regulatory Shift Underway:</w:t>
      </w:r>
      <w:r>
        <w:t xml:space="preserve"> </w:t>
      </w:r>
      <w:r>
        <w:t xml:space="preserve">The U.S. is signaling a major policy pivot. Treasury Secretary</w:t>
      </w:r>
      <w:r>
        <w:t xml:space="preserve"> </w:t>
      </w:r>
      <w:r>
        <w:rPr>
          <w:b/>
          <w:bCs/>
        </w:rPr>
        <w:t xml:space="preserve">Bessent</w:t>
      </w:r>
      <w:r>
        <w:t xml:space="preserve"> </w:t>
      </w:r>
      <w:r>
        <w:t xml:space="preserve">is drafting a letter for FSOC to</w:t>
      </w:r>
      <w:r>
        <w:t xml:space="preserve"> </w:t>
      </w:r>
      <w:r>
        <w:rPr>
          <w:i/>
          <w:iCs/>
        </w:rPr>
        <w:t xml:space="preserve">re-evaluate whether post-2008 rules are stifling innovation</w:t>
      </w:r>
      <w:r>
        <w:t xml:space="preserve">, hinting at easing burdens on crypto activities</w:t>
      </w:r>
      <w:hyperlink r:id="rId49">
        <w:r>
          <w:rPr>
            <w:rStyle w:val="Hyperlink"/>
          </w:rPr>
          <w:t xml:space="preserve">[31]</w:t>
        </w:r>
      </w:hyperlink>
      <w:hyperlink r:id="rId50">
        <w:r>
          <w:rPr>
            <w:rStyle w:val="Hyperlink"/>
          </w:rPr>
          <w:t xml:space="preserve">[32]</w:t>
        </w:r>
      </w:hyperlink>
      <w:r>
        <w:t xml:space="preserve">. Meanwhile, the OCC just</w:t>
      </w:r>
      <w:r>
        <w:t xml:space="preserve"> </w:t>
      </w:r>
      <w:r>
        <w:rPr>
          <w:b/>
          <w:bCs/>
        </w:rPr>
        <w:t xml:space="preserve">approved national trust bank charters</w:t>
      </w:r>
      <w:r>
        <w:t xml:space="preserve"> </w:t>
      </w:r>
      <w:r>
        <w:t xml:space="preserve">for Circle and Ripple’s crypto banks</w:t>
      </w:r>
      <w:hyperlink r:id="rId51">
        <w:r>
          <w:rPr>
            <w:rStyle w:val="Hyperlink"/>
          </w:rPr>
          <w:t xml:space="preserve">[33]</w:t>
        </w:r>
      </w:hyperlink>
      <w:r>
        <w:t xml:space="preserve">, paving the way for nationwide stablecoin issuance and custody under federal oversight.</w:t>
      </w:r>
      <w:r>
        <w:t xml:space="preserve"> </w:t>
      </w:r>
      <w:r>
        <w:rPr>
          <w:b/>
          <w:bCs/>
        </w:rPr>
        <w:t xml:space="preserve">Global note:</w:t>
      </w:r>
      <w:r>
        <w:t xml:space="preserve"> </w:t>
      </w:r>
      <w:r>
        <w:t xml:space="preserve">Pakistan granted in-principle approval for Binance and HTX to pursue local licensing</w:t>
      </w:r>
      <w:hyperlink r:id="rId52">
        <w:r>
          <w:rPr>
            <w:rStyle w:val="Hyperlink"/>
          </w:rPr>
          <w:t xml:space="preserve">[34]</w:t>
        </w:r>
      </w:hyperlink>
      <w:r>
        <w:t xml:space="preserve">.</w:t>
      </w:r>
      <w:r>
        <w:t xml:space="preserve"> </w:t>
      </w:r>
      <w:r>
        <w:rPr>
          <w:b/>
          <w:bCs/>
        </w:rPr>
        <w:t xml:space="preserve">Implication:</w:t>
      </w:r>
      <w:r>
        <w:t xml:space="preserve"> </w:t>
      </w:r>
      <w:r>
        <w:t xml:space="preserve">After years of clampdowns, regulators are moving toward</w:t>
      </w:r>
      <w:r>
        <w:t xml:space="preserve"> </w:t>
      </w:r>
      <w:r>
        <w:rPr>
          <w:b/>
          <w:bCs/>
        </w:rPr>
        <w:t xml:space="preserve">integration and oversight</w:t>
      </w:r>
      <w:r>
        <w:t xml:space="preserve"> </w:t>
      </w:r>
      <w:r>
        <w:t xml:space="preserve">rather than exclusion – a potentially bullish structural shift if realized (confidence: moderate, pending implementation).</w:t>
      </w:r>
    </w:p>
    <w:p>
      <w:pPr>
        <w:pStyle w:val="Compact"/>
        <w:numPr>
          <w:ilvl w:val="0"/>
          <w:numId w:val="1001"/>
        </w:numPr>
      </w:pPr>
      <w:r>
        <w:rPr>
          <w:b/>
          <w:bCs/>
        </w:rPr>
        <w:t xml:space="preserve">Stablecoin Dominance &amp; Flows:</w:t>
      </w:r>
      <w:r>
        <w:t xml:space="preserve"> </w:t>
      </w:r>
      <w:r>
        <w:t xml:space="preserve">Tether (USDT) has tightened its grip as the dominant stablecoin –</w:t>
      </w:r>
      <w:r>
        <w:t xml:space="preserve"> </w:t>
      </w:r>
      <w:r>
        <w:rPr>
          <w:b/>
          <w:bCs/>
        </w:rPr>
        <w:t xml:space="preserve">$174B</w:t>
      </w:r>
      <w:r>
        <w:t xml:space="preserve"> </w:t>
      </w:r>
      <w:r>
        <w:t xml:space="preserve">in circulation (over 60% market share)</w:t>
      </w:r>
      <w:hyperlink r:id="rId53">
        <w:r>
          <w:rPr>
            <w:rStyle w:val="Hyperlink"/>
          </w:rPr>
          <w:t xml:space="preserve">[35]</w:t>
        </w:r>
      </w:hyperlink>
      <w:r>
        <w:t xml:space="preserve"> </w:t>
      </w:r>
      <w:r>
        <w:t xml:space="preserve">– while Circle’s USDC lags at ~$61B</w:t>
      </w:r>
      <w:hyperlink r:id="rId53">
        <w:r>
          <w:rPr>
            <w:rStyle w:val="Hyperlink"/>
          </w:rPr>
          <w:t xml:space="preserve">[35]</w:t>
        </w:r>
      </w:hyperlink>
      <w:r>
        <w:t xml:space="preserve">. Tether’s latest attestation shows</w:t>
      </w:r>
      <w:r>
        <w:t xml:space="preserve"> </w:t>
      </w:r>
      <w:r>
        <w:rPr>
          <w:b/>
          <w:bCs/>
        </w:rPr>
        <w:t xml:space="preserve">$181.2B in assets vs $174.4B liabilities</w:t>
      </w:r>
      <w:r>
        <w:t xml:space="preserve"> </w:t>
      </w:r>
      <w:r>
        <w:t xml:space="preserve">and a</w:t>
      </w:r>
      <w:r>
        <w:t xml:space="preserve"> </w:t>
      </w:r>
      <w:r>
        <w:rPr>
          <w:b/>
          <w:bCs/>
        </w:rPr>
        <w:t xml:space="preserve">$6.8B excess reserve</w:t>
      </w:r>
      <w:r>
        <w:t xml:space="preserve"> </w:t>
      </w:r>
      <w:r>
        <w:t xml:space="preserve">buffer</w:t>
      </w:r>
      <w:hyperlink r:id="rId54">
        <w:r>
          <w:rPr>
            <w:rStyle w:val="Hyperlink"/>
          </w:rPr>
          <w:t xml:space="preserve">[36]</w:t>
        </w:r>
      </w:hyperlink>
      <w:hyperlink r:id="rId55">
        <w:r>
          <w:rPr>
            <w:rStyle w:val="Hyperlink"/>
          </w:rPr>
          <w:t xml:space="preserve">[37]</w:t>
        </w:r>
      </w:hyperlink>
      <w:r>
        <w:t xml:space="preserve">. Notably, Tether holds ~$9.9B of Bitcoin and $12.9B of gold in reserves (13% of reserves)</w:t>
      </w:r>
      <w:hyperlink r:id="rId56">
        <w:r>
          <w:rPr>
            <w:rStyle w:val="Hyperlink"/>
          </w:rPr>
          <w:t xml:space="preserve">[38]</w:t>
        </w:r>
      </w:hyperlink>
      <w:r>
        <w:t xml:space="preserve">, helping drive over $10B in profit YTD</w:t>
      </w:r>
      <w:hyperlink r:id="rId57">
        <w:r>
          <w:rPr>
            <w:rStyle w:val="Hyperlink"/>
          </w:rPr>
          <w:t xml:space="preserve">[39]</w:t>
        </w:r>
      </w:hyperlink>
      <w:hyperlink r:id="rId58">
        <w:r>
          <w:rPr>
            <w:rStyle w:val="Hyperlink"/>
          </w:rPr>
          <w:t xml:space="preserve">[40]</w:t>
        </w:r>
      </w:hyperlink>
      <w:r>
        <w:t xml:space="preserve">.</w:t>
      </w:r>
      <w:r>
        <w:t xml:space="preserve"> </w:t>
      </w:r>
      <w:r>
        <w:rPr>
          <w:b/>
          <w:bCs/>
        </w:rPr>
        <w:t xml:space="preserve">Takeaway:</w:t>
      </w:r>
      <w:r>
        <w:t xml:space="preserve"> </w:t>
      </w:r>
      <w:r>
        <w:t xml:space="preserve">Stablecoin issuers themselves are now massive crypto whales – their reserve management (and any changes in regulation thereof) directly impacts crypto liquidity and credit conditions.</w:t>
      </w:r>
    </w:p>
    <w:p>
      <w:pPr>
        <w:pStyle w:val="Compact"/>
        <w:numPr>
          <w:ilvl w:val="0"/>
          <w:numId w:val="1001"/>
        </w:numPr>
      </w:pPr>
      <w:r>
        <w:rPr>
          <w:b/>
          <w:bCs/>
        </w:rPr>
        <w:t xml:space="preserve">Institutional Moves – Mixed Signals:</w:t>
      </w:r>
      <w:r>
        <w:t xml:space="preserve"> </w:t>
      </w:r>
      <w:r>
        <w:t xml:space="preserve">Some public companies are</w:t>
      </w:r>
      <w:r>
        <w:t xml:space="preserve"> </w:t>
      </w:r>
      <w:r>
        <w:rPr>
          <w:i/>
          <w:iCs/>
        </w:rPr>
        <w:t xml:space="preserve">buying the dip</w:t>
      </w:r>
      <w:r>
        <w:t xml:space="preserve">. Michael Saylor’s</w:t>
      </w:r>
      <w:r>
        <w:t xml:space="preserve"> </w:t>
      </w:r>
      <w:r>
        <w:rPr>
          <w:b/>
          <w:bCs/>
        </w:rPr>
        <w:t xml:space="preserve">Strategy Inc.</w:t>
      </w:r>
      <w:r>
        <w:t xml:space="preserve"> </w:t>
      </w:r>
      <w:r>
        <w:t xml:space="preserve">(formerly MicroStrategy) added Bitcoin in Q4, reaching ~640k BTC holdings</w:t>
      </w:r>
      <w:hyperlink r:id="rId59">
        <w:r>
          <w:rPr>
            <w:rStyle w:val="Hyperlink"/>
          </w:rPr>
          <w:t xml:space="preserve">[41]</w:t>
        </w:r>
      </w:hyperlink>
      <w:r>
        <w:t xml:space="preserve">, and even indicated it could weather a 95% price drop</w:t>
      </w:r>
      <w:hyperlink r:id="rId60">
        <w:r>
          <w:rPr>
            <w:rStyle w:val="Hyperlink"/>
          </w:rPr>
          <w:t xml:space="preserve">[42]</w:t>
        </w:r>
      </w:hyperlink>
      <w:r>
        <w:t xml:space="preserve">.</w:t>
      </w:r>
      <w:r>
        <w:t xml:space="preserve"> </w:t>
      </w:r>
      <w:r>
        <w:rPr>
          <w:b/>
          <w:bCs/>
        </w:rPr>
        <w:t xml:space="preserve">Tesla</w:t>
      </w:r>
      <w:r>
        <w:t xml:space="preserve"> </w:t>
      </w:r>
      <w:r>
        <w:t xml:space="preserve">held its entire 11,509 BTC stake through Q3 (now ~$1.3B)</w:t>
      </w:r>
      <w:hyperlink r:id="rId61">
        <w:r>
          <w:rPr>
            <w:rStyle w:val="Hyperlink"/>
          </w:rPr>
          <w:t xml:space="preserve">[43]</w:t>
        </w:r>
      </w:hyperlink>
      <w:hyperlink r:id="rId62">
        <w:r>
          <w:rPr>
            <w:rStyle w:val="Hyperlink"/>
          </w:rPr>
          <w:t xml:space="preserve">[44]</w:t>
        </w:r>
      </w:hyperlink>
      <w:r>
        <w:t xml:space="preserve">, booking an $80M unrealized gain. On the flip side,</w:t>
      </w:r>
      <w:r>
        <w:t xml:space="preserve"> </w:t>
      </w:r>
      <w:r>
        <w:rPr>
          <w:b/>
          <w:bCs/>
        </w:rPr>
        <w:t xml:space="preserve">miners</w:t>
      </w:r>
      <w:r>
        <w:t xml:space="preserve"> </w:t>
      </w:r>
      <w:r>
        <w:t xml:space="preserve">like Marathon cashed in some inventory during the October peak to shore up liquidity (Marathon’s treasury fell slightly after hitting 52.8k BTC)</w:t>
      </w:r>
      <w:hyperlink r:id="rId63">
        <w:r>
          <w:rPr>
            <w:rStyle w:val="Hyperlink"/>
          </w:rPr>
          <w:t xml:space="preserve">[45]</w:t>
        </w:r>
      </w:hyperlink>
      <w:r>
        <w:t xml:space="preserve">.</w:t>
      </w:r>
      <w:r>
        <w:t xml:space="preserve"> </w:t>
      </w:r>
      <w:r>
        <w:rPr>
          <w:b/>
          <w:bCs/>
        </w:rPr>
        <w:t xml:space="preserve">Theme:</w:t>
      </w:r>
      <w:r>
        <w:t xml:space="preserve"> </w:t>
      </w:r>
      <w:r>
        <w:t xml:space="preserve">Strong hands (long-term holders, profitable firms) are not capitulating – and some are accumulating – but others are de-risking at the margins. Net institutional flows are therefore choppy, not one-way.</w:t>
      </w:r>
    </w:p>
    <w:p>
      <w:pPr>
        <w:numPr>
          <w:ilvl w:val="0"/>
          <w:numId w:val="1001"/>
        </w:numPr>
      </w:pPr>
      <w:r>
        <w:rPr>
          <w:b/>
          <w:bCs/>
        </w:rPr>
        <w:t xml:space="preserve">Key Risk Metrics:</w:t>
      </w:r>
      <w:r>
        <w:t xml:space="preserve"> </w:t>
      </w:r>
      <w:r>
        <w:t xml:space="preserve">The</w:t>
      </w:r>
      <w:r>
        <w:t xml:space="preserve"> </w:t>
      </w:r>
      <w:r>
        <w:rPr>
          <w:b/>
          <w:bCs/>
        </w:rPr>
        <w:t xml:space="preserve">Fear &amp; Greed Index</w:t>
      </w:r>
      <w:r>
        <w:t xml:space="preserve"> </w:t>
      </w:r>
      <w:r>
        <w:t xml:space="preserve">sits in</w:t>
      </w:r>
      <w:r>
        <w:t xml:space="preserve"> </w:t>
      </w:r>
      <w:r>
        <w:rPr>
          <w:i/>
          <w:iCs/>
        </w:rPr>
        <w:t xml:space="preserve">fear</w:t>
      </w:r>
      <w:r>
        <w:t xml:space="preserve"> </w:t>
      </w:r>
      <w:r>
        <w:t xml:space="preserve">territory at 29</w:t>
      </w:r>
      <w:hyperlink r:id="rId64">
        <w:r>
          <w:rPr>
            <w:rStyle w:val="Hyperlink"/>
          </w:rPr>
          <w:t xml:space="preserve">[46]</w:t>
        </w:r>
      </w:hyperlink>
      <w:r>
        <w:t xml:space="preserve"> </w:t>
      </w:r>
      <w:r>
        <w:t xml:space="preserve">despite recent stabilization, reflecting lingering caution. Funding rates on perpetuals are</w:t>
      </w:r>
      <w:r>
        <w:t xml:space="preserve"> </w:t>
      </w:r>
      <w:r>
        <w:rPr>
          <w:b/>
          <w:bCs/>
        </w:rPr>
        <w:t xml:space="preserve">near zero</w:t>
      </w:r>
      <w:r>
        <w:t xml:space="preserve"> </w:t>
      </w:r>
      <w:r>
        <w:t xml:space="preserve">(flipped neutral after the crash)</w:t>
      </w:r>
      <w:hyperlink r:id="rId65">
        <w:r>
          <w:rPr>
            <w:rStyle w:val="Hyperlink"/>
          </w:rPr>
          <w:t xml:space="preserve">[47]</w:t>
        </w:r>
      </w:hyperlink>
      <w:r>
        <w:t xml:space="preserve"> </w:t>
      </w:r>
      <w:r>
        <w:t xml:space="preserve">– a sign that bullish and bearish leverage are in balance for now. Order books show</w:t>
      </w:r>
      <w:r>
        <w:t xml:space="preserve"> </w:t>
      </w:r>
      <w:r>
        <w:rPr>
          <w:b/>
          <w:bCs/>
        </w:rPr>
        <w:t xml:space="preserve">thin depth</w:t>
      </w:r>
      <w:r>
        <w:t xml:space="preserve"> </w:t>
      </w:r>
      <w:r>
        <w:t xml:space="preserve">(market impact of large orders is higher than mid-year) as many market makers pulled back liquidity into year-end</w:t>
      </w:r>
      <w:hyperlink r:id="rId66">
        <w:r>
          <w:rPr>
            <w:rStyle w:val="Hyperlink"/>
          </w:rPr>
          <w:t xml:space="preserve">[48]</w:t>
        </w:r>
      </w:hyperlink>
      <w:hyperlink r:id="rId38">
        <w:r>
          <w:rPr>
            <w:rStyle w:val="Hyperlink"/>
          </w:rPr>
          <w:t xml:space="preserve">[18]</w:t>
        </w:r>
      </w:hyperlink>
      <w:r>
        <w:t xml:space="preserve">. On-chain, &gt;25% of BTC supply is now held at a loss (unrealized losses), a threshold last seen in early 2022</w:t>
      </w:r>
      <w:hyperlink r:id="rId67">
        <w:r>
          <w:rPr>
            <w:rStyle w:val="Hyperlink"/>
          </w:rPr>
          <w:t xml:space="preserve">[49]</w:t>
        </w:r>
      </w:hyperlink>
      <w:r>
        <w:t xml:space="preserve">, which points to potential capitulation if price lingers below key cost-basis levels (~$96K)</w:t>
      </w:r>
      <w:hyperlink r:id="rId65">
        <w:r>
          <w:rPr>
            <w:rStyle w:val="Hyperlink"/>
          </w:rPr>
          <w:t xml:space="preserve">[50]</w:t>
        </w:r>
      </w:hyperlink>
      <w:hyperlink r:id="rId68">
        <w:r>
          <w:rPr>
            <w:rStyle w:val="Hyperlink"/>
          </w:rPr>
          <w:t xml:space="preserve">[51]</w:t>
        </w:r>
      </w:hyperlink>
      <w:r>
        <w:t xml:space="preserve">.</w:t>
      </w:r>
      <w:r>
        <w:t xml:space="preserve"> </w:t>
      </w:r>
      <w:r>
        <w:rPr>
          <w:i/>
          <w:iCs/>
        </w:rPr>
        <w:t xml:space="preserve">In sum:</w:t>
      </w:r>
      <w:r>
        <w:t xml:space="preserve"> </w:t>
      </w:r>
      <w:r>
        <w:t xml:space="preserve">Several risk indicators are flashing yellow – not extreme panic, but enough stress that a downside catalyst could feed on itself, while an upside catalyst could spark a rush back in from the sidelines.</w:t>
      </w:r>
    </w:p>
    <w:p>
      <w:pPr>
        <w:numPr>
          <w:ilvl w:val="0"/>
          <w:numId w:val="1001"/>
        </w:numPr>
      </w:pPr>
      <w:r>
        <w:rPr>
          <w:b/>
          <w:bCs/>
        </w:rPr>
        <w:t xml:space="preserve">Key Risks &amp; Catalysts Ahead:</w:t>
      </w:r>
    </w:p>
    <w:p>
      <w:pPr>
        <w:pStyle w:val="Compact"/>
        <w:numPr>
          <w:ilvl w:val="0"/>
          <w:numId w:val="1001"/>
        </w:numPr>
      </w:pPr>
      <w:r>
        <w:rPr>
          <w:b/>
          <w:bCs/>
        </w:rPr>
        <w:t xml:space="preserve">Macro Risks:</w:t>
      </w:r>
      <w:r>
        <w:t xml:space="preserve"> </w:t>
      </w:r>
      <w:r>
        <w:rPr>
          <w:i/>
          <w:iCs/>
        </w:rPr>
        <w:t xml:space="preserve">Global recession or hawkish surprise</w:t>
      </w:r>
      <w:r>
        <w:t xml:space="preserve"> </w:t>
      </w:r>
      <w:r>
        <w:t xml:space="preserve">– If inflation re-accelerates or growth slumps, a risk-off wave could hit crypto hard as liquidity retreats to safety. Conversely, a clear Fed pivot to easing (or disinflation allowing deeper cuts in 2026) is a</w:t>
      </w:r>
      <w:r>
        <w:t xml:space="preserve"> </w:t>
      </w:r>
      <w:r>
        <w:rPr>
          <w:b/>
          <w:bCs/>
        </w:rPr>
        <w:t xml:space="preserve">positive catalyst</w:t>
      </w:r>
      <w:r>
        <w:t xml:space="preserve"> </w:t>
      </w:r>
      <w:r>
        <w:t xml:space="preserve">for all risk assets, crypto included</w:t>
      </w:r>
      <w:hyperlink r:id="rId31">
        <w:r>
          <w:rPr>
            <w:rStyle w:val="Hyperlink"/>
          </w:rPr>
          <w:t xml:space="preserve">[11]</w:t>
        </w:r>
      </w:hyperlink>
      <w:hyperlink r:id="rId69">
        <w:r>
          <w:rPr>
            <w:rStyle w:val="Hyperlink"/>
          </w:rPr>
          <w:t xml:space="preserve">[52]</w:t>
        </w:r>
      </w:hyperlink>
      <w:r>
        <w:t xml:space="preserve">. Watch real yields and the USD: a surging DXY (back &gt;100) historically pressures BTC</w:t>
      </w:r>
      <w:hyperlink r:id="rId70">
        <w:r>
          <w:rPr>
            <w:rStyle w:val="Hyperlink"/>
          </w:rPr>
          <w:t xml:space="preserve">[53]</w:t>
        </w:r>
      </w:hyperlink>
      <w:r>
        <w:t xml:space="preserve">, whereas a weakening dollar or falling real rates would relieve some downward pressure.</w:t>
      </w:r>
    </w:p>
    <w:p>
      <w:pPr>
        <w:pStyle w:val="Compact"/>
        <w:numPr>
          <w:ilvl w:val="0"/>
          <w:numId w:val="1001"/>
        </w:numPr>
      </w:pPr>
      <w:r>
        <w:rPr>
          <w:b/>
          <w:bCs/>
        </w:rPr>
        <w:t xml:space="preserve">Policy/Regulatory:</w:t>
      </w:r>
      <w:r>
        <w:t xml:space="preserve"> </w:t>
      </w:r>
      <w:r>
        <w:rPr>
          <w:i/>
          <w:iCs/>
        </w:rPr>
        <w:t xml:space="preserve">U.S. regulatory clarity vs. crackdown</w:t>
      </w:r>
      <w:r>
        <w:t xml:space="preserve"> </w:t>
      </w:r>
      <w:r>
        <w:t xml:space="preserve">– The</w:t>
      </w:r>
      <w:r>
        <w:t xml:space="preserve"> </w:t>
      </w:r>
      <w:r>
        <w:rPr>
          <w:b/>
          <w:bCs/>
        </w:rPr>
        <w:t xml:space="preserve">GENIUS Act</w:t>
      </w:r>
      <w:r>
        <w:t xml:space="preserve"> </w:t>
      </w:r>
      <w:r>
        <w:t xml:space="preserve">(stablecoin law) is now enacted, with implementation due by mid-2026</w:t>
      </w:r>
      <w:hyperlink r:id="rId71">
        <w:r>
          <w:rPr>
            <w:rStyle w:val="Hyperlink"/>
          </w:rPr>
          <w:t xml:space="preserve">[54]</w:t>
        </w:r>
      </w:hyperlink>
      <w:r>
        <w:t xml:space="preserve">. Effective, proportionate rules could</w:t>
      </w:r>
      <w:r>
        <w:t xml:space="preserve"> </w:t>
      </w:r>
      <w:r>
        <w:rPr>
          <w:b/>
          <w:bCs/>
        </w:rPr>
        <w:t xml:space="preserve">open doors</w:t>
      </w:r>
      <w:r>
        <w:t xml:space="preserve"> </w:t>
      </w:r>
      <w:r>
        <w:t xml:space="preserve">(e.g. banks issuing stablecoins, clearer token classifications if the CLARITY Act advances</w:t>
      </w:r>
      <w:hyperlink r:id="rId72">
        <w:r>
          <w:rPr>
            <w:rStyle w:val="Hyperlink"/>
          </w:rPr>
          <w:t xml:space="preserve">[55]</w:t>
        </w:r>
      </w:hyperlink>
      <w:r>
        <w:t xml:space="preserve">). A major</w:t>
      </w:r>
      <w:r>
        <w:t xml:space="preserve"> </w:t>
      </w:r>
      <w:r>
        <w:rPr>
          <w:b/>
          <w:bCs/>
        </w:rPr>
        <w:t xml:space="preserve">ETF approval</w:t>
      </w:r>
      <w:r>
        <w:t xml:space="preserve"> </w:t>
      </w:r>
      <w:r>
        <w:t xml:space="preserve">(e.g. Ethereum spot ETF) or regulatory green-light could spur inflows. On the flip side, any enforcement shock (e.g. a large exchange indictment or adverse court ruling on crypto tokens as securities) could rapidly sour sentiment. Europe’s MiCA rollout in 2025–26 will impose new compliance costs – a risk for smaller firms but a catalyst for institutional confidence if done smoothly.</w:t>
      </w:r>
    </w:p>
    <w:p>
      <w:pPr>
        <w:pStyle w:val="Compact"/>
        <w:numPr>
          <w:ilvl w:val="0"/>
          <w:numId w:val="1001"/>
        </w:numPr>
      </w:pPr>
      <w:r>
        <w:rPr>
          <w:b/>
          <w:bCs/>
        </w:rPr>
        <w:t xml:space="preserve">Idiosyncratic:</w:t>
      </w:r>
      <w:r>
        <w:t xml:space="preserve"> </w:t>
      </w:r>
      <w:r>
        <w:rPr>
          <w:i/>
          <w:iCs/>
        </w:rPr>
        <w:t xml:space="preserve">Crypto-specific events</w:t>
      </w:r>
      <w:r>
        <w:t xml:space="preserve"> </w:t>
      </w:r>
      <w:r>
        <w:t xml:space="preserve">–</w:t>
      </w:r>
      <w:r>
        <w:t xml:space="preserve"> </w:t>
      </w:r>
      <w:r>
        <w:rPr>
          <w:b/>
          <w:bCs/>
        </w:rPr>
        <w:t xml:space="preserve">Exchange/Custody failures</w:t>
      </w:r>
      <w:r>
        <w:t xml:space="preserve"> </w:t>
      </w:r>
      <w:r>
        <w:t xml:space="preserve">remain a tail risk: a solvency issue at a major venue (similar to FTX 2022) would cause immediate contagion, though industry safeguards are better now (proof-of-reserves, larger capital buffers)</w:t>
      </w:r>
      <w:hyperlink r:id="rId73">
        <w:r>
          <w:rPr>
            <w:rStyle w:val="Hyperlink"/>
          </w:rPr>
          <w:t xml:space="preserve">[56]</w:t>
        </w:r>
      </w:hyperlink>
      <w:r>
        <w:t xml:space="preserve">.</w:t>
      </w:r>
      <w:r>
        <w:t xml:space="preserve"> </w:t>
      </w:r>
      <w:r>
        <w:rPr>
          <w:b/>
          <w:bCs/>
        </w:rPr>
        <w:t xml:space="preserve">Stablecoin depeg</w:t>
      </w:r>
      <w:r>
        <w:t xml:space="preserve"> </w:t>
      </w:r>
      <w:r>
        <w:t xml:space="preserve">is another low-probability, high-impact risk – e.g., if USDT lost its peg due to a reserve shock, it would wreak short-term havoc on trading pairs and DeFi liquidity. So far, USDT has held firmly at $1, and Tether’s large reserves provide some confidence</w:t>
      </w:r>
      <w:hyperlink r:id="rId55">
        <w:r>
          <w:rPr>
            <w:rStyle w:val="Hyperlink"/>
          </w:rPr>
          <w:t xml:space="preserve">[37]</w:t>
        </w:r>
      </w:hyperlink>
      <w:r>
        <w:t xml:space="preserve">.</w:t>
      </w:r>
      <w:r>
        <w:t xml:space="preserve"> </w:t>
      </w:r>
      <w:r>
        <w:rPr>
          <w:b/>
          <w:bCs/>
        </w:rPr>
        <w:t xml:space="preserve">Protocol exploits or hacks</w:t>
      </w:r>
      <w:r>
        <w:t xml:space="preserve"> </w:t>
      </w:r>
      <w:r>
        <w:t xml:space="preserve">(bridges, DeFi) are an ongoing hazard; a multi-hundred-million-dollar hack could temporarily spook the market, though these have become more “normalized.” Finally,</w:t>
      </w:r>
      <w:r>
        <w:t xml:space="preserve"> </w:t>
      </w:r>
      <w:r>
        <w:rPr>
          <w:b/>
          <w:bCs/>
        </w:rPr>
        <w:t xml:space="preserve">Bitcoin mining capitulation</w:t>
      </w:r>
      <w:r>
        <w:t xml:space="preserve"> </w:t>
      </w:r>
      <w:r>
        <w:t xml:space="preserve">could happen if price falls below cost for marginal miners – but with BTC still well above most miners’ breakeven and miners having strengthened balance sheets, this risk is lower than in past drawdowns.</w:t>
      </w:r>
    </w:p>
    <w:p>
      <w:pPr>
        <w:numPr>
          <w:ilvl w:val="0"/>
          <w:numId w:val="1001"/>
        </w:numPr>
      </w:pPr>
      <w:r>
        <w:rPr>
          <w:b/>
          <w:bCs/>
        </w:rPr>
        <w:t xml:space="preserve">Market Plumbing:</w:t>
      </w:r>
      <w:r>
        <w:t xml:space="preserve"> </w:t>
      </w:r>
      <w:r>
        <w:rPr>
          <w:i/>
          <w:iCs/>
        </w:rPr>
        <w:t xml:space="preserve">Technical and structural shifts</w:t>
      </w:r>
      <w:r>
        <w:t xml:space="preserve"> </w:t>
      </w:r>
      <w:r>
        <w:t xml:space="preserve">– The next Ethereum upgrade or any Bitcoin soft fork (if proposed) could introduce technical risks or excitement depending on success.</w:t>
      </w:r>
      <w:r>
        <w:t xml:space="preserve"> </w:t>
      </w:r>
      <w:r>
        <w:rPr>
          <w:b/>
          <w:bCs/>
        </w:rPr>
        <w:t xml:space="preserve">Layer-2 adoption</w:t>
      </w:r>
      <w:r>
        <w:t xml:space="preserve"> </w:t>
      </w:r>
      <w:r>
        <w:t xml:space="preserve">or a breakthrough in scalability might be a catalyst for alts. Also, keep an eye on</w:t>
      </w:r>
      <w:r>
        <w:t xml:space="preserve"> </w:t>
      </w:r>
      <w:r>
        <w:rPr>
          <w:b/>
          <w:bCs/>
        </w:rPr>
        <w:t xml:space="preserve">liquidity migration</w:t>
      </w:r>
      <w:r>
        <w:t xml:space="preserve">: if volumes shift from U.S. to offshore exchanges (or vice versa) due to regulations, short-term dislocations in price discovery can occur.</w:t>
      </w:r>
      <w:r>
        <w:t xml:space="preserve"> </w:t>
      </w:r>
      <w:r>
        <w:rPr>
          <w:b/>
          <w:bCs/>
        </w:rPr>
        <w:t xml:space="preserve">Year-end effects</w:t>
      </w:r>
      <w:r>
        <w:t xml:space="preserve"> </w:t>
      </w:r>
      <w:r>
        <w:t xml:space="preserve">(tax-loss harvesting and fund redemptions) are a near-term factor pressuring alts and lower-cap coins.</w:t>
      </w:r>
    </w:p>
    <w:p>
      <w:pPr>
        <w:numPr>
          <w:ilvl w:val="0"/>
          <w:numId w:val="1001"/>
        </w:numPr>
      </w:pPr>
      <w:r>
        <w:rPr>
          <w:b/>
          <w:bCs/>
        </w:rPr>
        <w:t xml:space="preserve">Outlook – Base / Bull / Bear Scenarios:</w:t>
      </w:r>
      <w:r>
        <w:t xml:space="preserve"> </w:t>
      </w:r>
      <w:r>
        <w:rPr>
          <w:i/>
          <w:iCs/>
        </w:rPr>
        <w:t xml:space="preserve">(confidence and falsifiers noted)</w:t>
      </w:r>
    </w:p>
    <w:p>
      <w:pPr>
        <w:pStyle w:val="Compact"/>
        <w:numPr>
          <w:ilvl w:val="0"/>
          <w:numId w:val="1001"/>
        </w:numPr>
      </w:pPr>
      <w:r>
        <w:rPr>
          <w:b/>
          <w:bCs/>
        </w:rPr>
        <w:t xml:space="preserve">Base Case:</w:t>
      </w:r>
      <w:r>
        <w:t xml:space="preserve"> </w:t>
      </w:r>
      <w:r>
        <w:rPr>
          <w:i/>
          <w:iCs/>
        </w:rPr>
        <w:t xml:space="preserve">Neutral-to-mildly bullish consolidation.</w:t>
      </w:r>
      <w:r>
        <w:t xml:space="preserve"> </w:t>
      </w:r>
      <w:r>
        <w:rPr>
          <w:b/>
          <w:bCs/>
        </w:rPr>
        <w:t xml:space="preserve">1-week:</w:t>
      </w:r>
      <w:r>
        <w:t xml:space="preserve"> </w:t>
      </w:r>
      <w:r>
        <w:t xml:space="preserve">Range-bound between ~$81K support and $95K resistance as liquidity slowly returns post-Fed meeting.</w:t>
      </w:r>
      <w:r>
        <w:t xml:space="preserve"> </w:t>
      </w:r>
      <w:r>
        <w:rPr>
          <w:b/>
          <w:bCs/>
        </w:rPr>
        <w:t xml:space="preserve">1-month:</w:t>
      </w:r>
      <w:r>
        <w:t xml:space="preserve"> </w:t>
      </w:r>
      <w:r>
        <w:t xml:space="preserve">Bitcoin breaks above $100K again on modest new year inflows but struggles to surpass the $110K area without a clear catalyst.</w:t>
      </w:r>
      <w:r>
        <w:t xml:space="preserve"> </w:t>
      </w:r>
      <w:r>
        <w:rPr>
          <w:b/>
          <w:bCs/>
        </w:rPr>
        <w:t xml:space="preserve">1-quarter:</w:t>
      </w:r>
      <w:r>
        <w:t xml:space="preserve"> </w:t>
      </w:r>
      <w:r>
        <w:t xml:space="preserve">By end of Q1 2026, a combination of the Bitcoin halving narrative (already passed but its effects lagged) and gradually easier financial conditions leads to a</w:t>
      </w:r>
      <w:r>
        <w:t xml:space="preserve"> </w:t>
      </w:r>
      <w:r>
        <w:rPr>
          <w:b/>
          <w:bCs/>
        </w:rPr>
        <w:t xml:space="preserve">grind up toward prior highs (~$125K)</w:t>
      </w:r>
      <w:r>
        <w:t xml:space="preserve">.</w:t>
      </w:r>
      <w:r>
        <w:t xml:space="preserve"> </w:t>
      </w:r>
      <w:r>
        <w:rPr>
          <w:b/>
          <w:bCs/>
        </w:rPr>
        <w:t xml:space="preserve">1-year:</w:t>
      </w:r>
      <w:r>
        <w:t xml:space="preserve"> </w:t>
      </w:r>
      <w:r>
        <w:t xml:space="preserve">By end of 2026, BTC advances further into the $150K–$180K zone (roughly 2x from current), underpinned by broader adoption (possibly</w:t>
      </w:r>
      <w:r>
        <w:t xml:space="preserve"> </w:t>
      </w:r>
      <w:r>
        <w:rPr>
          <w:b/>
          <w:bCs/>
        </w:rPr>
        <w:t xml:space="preserve">spot ETF AUM growth</w:t>
      </w:r>
      <w:r>
        <w:t xml:space="preserve">) and no major regulatory hurdles.</w:t>
      </w:r>
      <w:r>
        <w:t xml:space="preserve"> </w:t>
      </w:r>
      <w:r>
        <w:rPr>
          <w:i/>
          <w:iCs/>
        </w:rPr>
        <w:t xml:space="preserve">Confidence:</w:t>
      </w:r>
      <w:r>
        <w:t xml:space="preserve"> </w:t>
      </w:r>
      <w:r>
        <w:t xml:space="preserve">50%.</w:t>
      </w:r>
      <w:r>
        <w:t xml:space="preserve"> </w:t>
      </w:r>
      <w:r>
        <w:rPr>
          <w:i/>
          <w:iCs/>
        </w:rPr>
        <w:t xml:space="preserve">Would falisfy:</w:t>
      </w:r>
      <w:r>
        <w:t xml:space="preserve"> </w:t>
      </w:r>
      <w:r>
        <w:t xml:space="preserve">A significant macro downturn or liquidity shock (which would tilt us to bear case), or conversely a blow-off rally from a sudden mania (would shift to bull case). In the base case, volatility remains moderate – the market neither collapses nor enters euphoria, but rather grows in line with improving fundamentals and liquidity.</w:t>
      </w:r>
    </w:p>
    <w:p>
      <w:pPr>
        <w:pStyle w:val="Compact"/>
        <w:numPr>
          <w:ilvl w:val="0"/>
          <w:numId w:val="1001"/>
        </w:numPr>
      </w:pPr>
      <w:r>
        <w:rPr>
          <w:b/>
          <w:bCs/>
        </w:rPr>
        <w:t xml:space="preserve">Bull Case:</w:t>
      </w:r>
      <w:r>
        <w:t xml:space="preserve"> </w:t>
      </w:r>
      <w:r>
        <w:rPr>
          <w:i/>
          <w:iCs/>
        </w:rPr>
        <w:t xml:space="preserve">Renewed crypto bull market.</w:t>
      </w:r>
      <w:r>
        <w:t xml:space="preserve"> </w:t>
      </w:r>
      <w:r>
        <w:rPr>
          <w:b/>
          <w:bCs/>
        </w:rPr>
        <w:t xml:space="preserve">1-week:</w:t>
      </w:r>
      <w:r>
        <w:t xml:space="preserve"> </w:t>
      </w:r>
      <w:r>
        <w:t xml:space="preserve">A catalyst (e.g. a surprise</w:t>
      </w:r>
      <w:r>
        <w:t xml:space="preserve"> </w:t>
      </w:r>
      <w:r>
        <w:rPr>
          <w:b/>
          <w:bCs/>
        </w:rPr>
        <w:t xml:space="preserve">Fed rate cut or a big ETF approval</w:t>
      </w:r>
      <w:r>
        <w:t xml:space="preserve">) ignites a breakout above $100K with high volume.</w:t>
      </w:r>
      <w:r>
        <w:t xml:space="preserve"> </w:t>
      </w:r>
      <w:r>
        <w:rPr>
          <w:b/>
          <w:bCs/>
        </w:rPr>
        <w:t xml:space="preserve">1-month:</w:t>
      </w:r>
      <w:r>
        <w:t xml:space="preserve"> </w:t>
      </w:r>
      <w:r>
        <w:t xml:space="preserve">Momentum and FOMO buying push BTC toward ~$120K–130K quickly, retesting the October peak.</w:t>
      </w:r>
      <w:r>
        <w:t xml:space="preserve"> </w:t>
      </w:r>
      <w:r>
        <w:rPr>
          <w:b/>
          <w:bCs/>
        </w:rPr>
        <w:t xml:space="preserve">1-quarter:</w:t>
      </w:r>
      <w:r>
        <w:t xml:space="preserve"> </w:t>
      </w:r>
      <w:r>
        <w:t xml:space="preserve">By spring 2026, BTC makes</w:t>
      </w:r>
      <w:r>
        <w:t xml:space="preserve"> </w:t>
      </w:r>
      <w:r>
        <w:rPr>
          <w:b/>
          <w:bCs/>
        </w:rPr>
        <w:t xml:space="preserve">new all-time highs</w:t>
      </w:r>
      <w:r>
        <w:t xml:space="preserve"> </w:t>
      </w:r>
      <w:r>
        <w:t xml:space="preserve">beyond $130K, potentially reaching $160K–$180K if retail exuberance kicks in and sidelined stablecoin “dry powder” deploys en masse</w:t>
      </w:r>
      <w:hyperlink r:id="rId28">
        <w:r>
          <w:rPr>
            <w:rStyle w:val="Hyperlink"/>
          </w:rPr>
          <w:t xml:space="preserve">[8]</w:t>
        </w:r>
      </w:hyperlink>
      <w:r>
        <w:t xml:space="preserve">. Other tailwinds in this scenario: major tech stocks rebound (risk-on everywhere) and perhaps a large sovereign wealth or corporate allocation to BTC is announced.</w:t>
      </w:r>
      <w:r>
        <w:t xml:space="preserve"> </w:t>
      </w:r>
      <w:r>
        <w:rPr>
          <w:b/>
          <w:bCs/>
        </w:rPr>
        <w:t xml:space="preserve">1-year:</w:t>
      </w:r>
      <w:r>
        <w:t xml:space="preserve"> </w:t>
      </w:r>
      <w:r>
        <w:t xml:space="preserve">By end of 2026, BTC in the bull case could approach</w:t>
      </w:r>
      <w:r>
        <w:t xml:space="preserve"> </w:t>
      </w:r>
      <w:r>
        <w:rPr>
          <w:b/>
          <w:bCs/>
        </w:rPr>
        <w:t xml:space="preserve">$250K</w:t>
      </w:r>
      <w:r>
        <w:t xml:space="preserve"> </w:t>
      </w:r>
      <w:r>
        <w:t xml:space="preserve">(an aggressive upside target cited by some analysts</w:t>
      </w:r>
      <w:hyperlink r:id="rId74">
        <w:r>
          <w:rPr>
            <w:rStyle w:val="Hyperlink"/>
          </w:rPr>
          <w:t xml:space="preserve">[57]</w:t>
        </w:r>
      </w:hyperlink>
      <w:r>
        <w:t xml:space="preserve">), with total crypto market cap expanding as fresh capital pours in.</w:t>
      </w:r>
      <w:r>
        <w:t xml:space="preserve"> </w:t>
      </w:r>
      <w:r>
        <w:rPr>
          <w:i/>
          <w:iCs/>
        </w:rPr>
        <w:t xml:space="preserve">Confidence:</w:t>
      </w:r>
      <w:r>
        <w:t xml:space="preserve"> </w:t>
      </w:r>
      <w:r>
        <w:t xml:space="preserve">20%.</w:t>
      </w:r>
      <w:r>
        <w:t xml:space="preserve"> </w:t>
      </w:r>
      <w:r>
        <w:rPr>
          <w:i/>
          <w:iCs/>
        </w:rPr>
        <w:t xml:space="preserve">Falsify:</w:t>
      </w:r>
      <w:r>
        <w:t xml:space="preserve"> </w:t>
      </w:r>
      <w:r>
        <w:t xml:space="preserve">This requires multiple favorable factors aligning (easy monetary policy, no regulatory roadblocks, plus a strong narrative to attract new buyers). If ETF uptake stays tepid or macro stays tight, bull case cannot materialize. Essentially, without</w:t>
      </w:r>
      <w:r>
        <w:t xml:space="preserve"> </w:t>
      </w:r>
      <w:r>
        <w:rPr>
          <w:b/>
          <w:bCs/>
        </w:rPr>
        <w:t xml:space="preserve">substantial new demand flows</w:t>
      </w:r>
      <w:r>
        <w:t xml:space="preserve">, a full bull run won’t sustain – so lack of spot volume or continued stablecoin stagnation would invalidate the bull case.</w:t>
      </w:r>
    </w:p>
    <w:p>
      <w:pPr>
        <w:pStyle w:val="Compact"/>
        <w:numPr>
          <w:ilvl w:val="0"/>
          <w:numId w:val="1001"/>
        </w:numPr>
      </w:pPr>
      <w:r>
        <w:rPr>
          <w:b/>
          <w:bCs/>
        </w:rPr>
        <w:t xml:space="preserve">Bear Case:</w:t>
      </w:r>
      <w:r>
        <w:t xml:space="preserve"> </w:t>
      </w:r>
      <w:r>
        <w:rPr>
          <w:i/>
          <w:iCs/>
        </w:rPr>
        <w:t xml:space="preserve">Extended correction or crypto winter 2.0.</w:t>
      </w:r>
      <w:r>
        <w:t xml:space="preserve"> </w:t>
      </w:r>
      <w:r>
        <w:rPr>
          <w:b/>
          <w:bCs/>
        </w:rPr>
        <w:t xml:space="preserve">1-week:</w:t>
      </w:r>
      <w:r>
        <w:t xml:space="preserve"> </w:t>
      </w:r>
      <w:r>
        <w:t xml:space="preserve">Price fades below $80K (key psychological level) on low liquidity selling, perhaps triggered by year-end profit-taking or a negative surprise (e.g. a lawsuit or economic data spooking markets).</w:t>
      </w:r>
      <w:r>
        <w:t xml:space="preserve"> </w:t>
      </w:r>
      <w:r>
        <w:rPr>
          <w:b/>
          <w:bCs/>
        </w:rPr>
        <w:t xml:space="preserve">1-month:</w:t>
      </w:r>
      <w:r>
        <w:t xml:space="preserve"> </w:t>
      </w:r>
      <w:r>
        <w:t xml:space="preserve">BTC slides toward the mid-$60Ks, retracing a large portion of the 2025 rally. Volatility spikes again, and weaker altcoins dramatically underperform (50%+ drawdowns) as liquidity exits the space.</w:t>
      </w:r>
      <w:r>
        <w:t xml:space="preserve"> </w:t>
      </w:r>
      <w:r>
        <w:rPr>
          <w:b/>
          <w:bCs/>
        </w:rPr>
        <w:t xml:space="preserve">1-quarter:</w:t>
      </w:r>
      <w:r>
        <w:t xml:space="preserve"> </w:t>
      </w:r>
      <w:r>
        <w:t xml:space="preserve">By Q1/Q2 2026, BTC could briefly bottom in the $50K–$60K range (notably still above the 2022 lows, indicating higher-cycle floor).</w:t>
      </w:r>
      <w:r>
        <w:t xml:space="preserve"> </w:t>
      </w:r>
      <w:r>
        <w:rPr>
          <w:b/>
          <w:bCs/>
        </w:rPr>
        <w:t xml:space="preserve">1-year:</w:t>
      </w:r>
      <w:r>
        <w:t xml:space="preserve"> </w:t>
      </w:r>
      <w:r>
        <w:t xml:space="preserve">Through 2026, crypto languishes in a range or modest downtrend – a “crypto winter” where prices stagnate or grind down slowly, perhaps ending 2026 near $50K if recession hits and risk capital dries up.</w:t>
      </w:r>
      <w:r>
        <w:t xml:space="preserve"> </w:t>
      </w:r>
      <w:r>
        <w:rPr>
          <w:i/>
          <w:iCs/>
        </w:rPr>
        <w:t xml:space="preserve">Confidence:</w:t>
      </w:r>
      <w:r>
        <w:t xml:space="preserve"> </w:t>
      </w:r>
      <w:r>
        <w:t xml:space="preserve">30%.</w:t>
      </w:r>
      <w:r>
        <w:t xml:space="preserve"> </w:t>
      </w:r>
      <w:r>
        <w:rPr>
          <w:i/>
          <w:iCs/>
        </w:rPr>
        <w:t xml:space="preserve">Falsify:</w:t>
      </w:r>
      <w:r>
        <w:t xml:space="preserve"> </w:t>
      </w:r>
      <w:r>
        <w:t xml:space="preserve">The bear case comes into play if</w:t>
      </w:r>
      <w:r>
        <w:t xml:space="preserve"> </w:t>
      </w:r>
      <w:r>
        <w:rPr>
          <w:b/>
          <w:bCs/>
        </w:rPr>
        <w:t xml:space="preserve">macro turns risk-off hard</w:t>
      </w:r>
      <w:r>
        <w:t xml:space="preserve"> </w:t>
      </w:r>
      <w:r>
        <w:t xml:space="preserve">(e.g. a credit event, equities bear market) or a</w:t>
      </w:r>
      <w:r>
        <w:t xml:space="preserve"> </w:t>
      </w:r>
      <w:r>
        <w:rPr>
          <w:b/>
          <w:bCs/>
        </w:rPr>
        <w:t xml:space="preserve">major crypto-specific blow</w:t>
      </w:r>
      <w:r>
        <w:t xml:space="preserve"> </w:t>
      </w:r>
      <w:r>
        <w:t xml:space="preserve">occurs (like a top exchange failure). If instead the economy avoids recession and no black swan hits crypto, the severe bear scenario is less likely. Signs that would negate the bear trajectory include sustained improvement in liquidity indicators (e.g. rising stablecoin issuance, positive fund flows) and resilience of price above key support (~$80K). In essence, if the anticipated “capitulation triggers” don’t materialize, the bear case would be less convincing.</w:t>
      </w:r>
    </w:p>
    <w:p>
      <w:pPr>
        <w:pStyle w:val="FirstParagraph"/>
      </w:pPr>
      <w:r>
        <w:rPr>
          <w:i/>
          <w:iCs/>
        </w:rPr>
        <w:t xml:space="preserve">(Note:</w:t>
      </w:r>
      <w:r>
        <w:t xml:space="preserve"> </w:t>
      </w:r>
      <w:r>
        <w:rPr>
          <w:i/>
          <w:iCs/>
        </w:rPr>
        <w:t xml:space="preserve">Probabilities: Base ~50%, Bear ~30%, Bull ~20%. We assign higher odds to the middle path given current mixed signals. All scenarios should be revisited as new data comes – particularly Fed decisions, ETF uptake, and global risk sentiment are pivotal drivers that could re-weight these probabilities.)</w:t>
      </w:r>
    </w:p>
    <w:bookmarkEnd w:id="75"/>
    <w:bookmarkStart w:id="78" w:name="macro-cross-asset-linkages-cib-ready"/>
    <w:p>
      <w:pPr>
        <w:pStyle w:val="Heading2"/>
      </w:pPr>
      <w:r>
        <w:t xml:space="preserve">1) Macro + Cross-Asset Linkages (CIB-ready)</w:t>
      </w:r>
    </w:p>
    <w:p>
      <w:pPr>
        <w:pStyle w:val="FirstParagraph"/>
      </w:pPr>
      <w:r>
        <w:t xml:space="preserve">Crypto markets are tightly interwoven with macro and cross-asset trends, behaving more like a</w:t>
      </w:r>
      <w:r>
        <w:t xml:space="preserve"> </w:t>
      </w:r>
      <w:r>
        <w:rPr>
          <w:b/>
          <w:bCs/>
        </w:rPr>
        <w:t xml:space="preserve">high-beta extension of equity and currency markets</w:t>
      </w:r>
      <w:r>
        <w:t xml:space="preserve"> </w:t>
      </w:r>
      <w:r>
        <w:t xml:space="preserve">than an isolated asset class. Here’s the current landscape:</w:t>
      </w:r>
    </w:p>
    <w:p>
      <w:pPr>
        <w:numPr>
          <w:ilvl w:val="0"/>
          <w:numId w:val="1002"/>
        </w:numPr>
      </w:pPr>
      <w:r>
        <w:rPr>
          <w:b/>
          <w:bCs/>
        </w:rPr>
        <w:t xml:space="preserve">Crypto vs Equities (Tech/Risk Assets):</w:t>
      </w:r>
      <w:r>
        <w:t xml:space="preserve"> </w:t>
      </w:r>
      <w:r>
        <w:t xml:space="preserve">The correlation between Bitcoin and stocks surged in 2025. A one-month rolling correlation to the S&amp;P 500 hovered around</w:t>
      </w:r>
      <w:r>
        <w:t xml:space="preserve"> </w:t>
      </w:r>
      <w:r>
        <w:rPr>
          <w:b/>
          <w:bCs/>
        </w:rPr>
        <w:t xml:space="preserve">+0.5</w:t>
      </w:r>
      <w:r>
        <w:t xml:space="preserve"> </w:t>
      </w:r>
      <w:r>
        <w:t xml:space="preserve">for much of the year</w:t>
      </w:r>
      <w:hyperlink r:id="rId32">
        <w:r>
          <w:rPr>
            <w:rStyle w:val="Hyperlink"/>
          </w:rPr>
          <w:t xml:space="preserve">[12]</w:t>
        </w:r>
      </w:hyperlink>
      <w:r>
        <w:t xml:space="preserve"> </w:t>
      </w:r>
      <w:r>
        <w:t xml:space="preserve">– an unusually strong link, reflecting how</w:t>
      </w:r>
      <w:r>
        <w:t xml:space="preserve"> </w:t>
      </w:r>
      <w:r>
        <w:rPr>
          <w:b/>
          <w:bCs/>
        </w:rPr>
        <w:t xml:space="preserve">broader risk sentiment and equity flows are dominating crypto</w:t>
      </w:r>
      <w:hyperlink r:id="rId76">
        <w:r>
          <w:rPr>
            <w:rStyle w:val="Hyperlink"/>
          </w:rPr>
          <w:t xml:space="preserve">[58]</w:t>
        </w:r>
      </w:hyperlink>
      <w:hyperlink r:id="rId47">
        <w:r>
          <w:rPr>
            <w:rStyle w:val="Hyperlink"/>
          </w:rPr>
          <w:t xml:space="preserve">[29]</w:t>
        </w:r>
      </w:hyperlink>
      <w:r>
        <w:t xml:space="preserve">. This was exemplified in October: hype in</w:t>
      </w:r>
      <w:r>
        <w:t xml:space="preserve"> </w:t>
      </w:r>
      <w:r>
        <w:rPr>
          <w:b/>
          <w:bCs/>
        </w:rPr>
        <w:t xml:space="preserve">AI/tech stocks</w:t>
      </w:r>
      <w:r>
        <w:t xml:space="preserve"> </w:t>
      </w:r>
      <w:r>
        <w:t xml:space="preserve">helped propel Bitcoin to a record ~$126K, only for the subsequent tech sell-off (amid AI “bubble” fears) to drag crypto down in tandem</w:t>
      </w:r>
      <w:hyperlink r:id="rId25">
        <w:r>
          <w:rPr>
            <w:rStyle w:val="Hyperlink"/>
          </w:rPr>
          <w:t xml:space="preserve">[5]</w:t>
        </w:r>
      </w:hyperlink>
      <w:hyperlink r:id="rId48">
        <w:r>
          <w:rPr>
            <w:rStyle w:val="Hyperlink"/>
          </w:rPr>
          <w:t xml:space="preserve">[30]</w:t>
        </w:r>
      </w:hyperlink>
      <w:r>
        <w:t xml:space="preserve">. In essence, Bitcoin has been trading like a</w:t>
      </w:r>
      <w:r>
        <w:t xml:space="preserve"> </w:t>
      </w:r>
      <w:r>
        <w:rPr>
          <w:b/>
          <w:bCs/>
        </w:rPr>
        <w:t xml:space="preserve">Nasdaq 100 proxy</w:t>
      </w:r>
      <w:r>
        <w:t xml:space="preserve"> </w:t>
      </w:r>
      <w:r>
        <w:t xml:space="preserve">(correlation ~0.52)</w:t>
      </w:r>
      <w:hyperlink r:id="rId46">
        <w:r>
          <w:rPr>
            <w:rStyle w:val="Hyperlink"/>
          </w:rPr>
          <w:t xml:space="preserve">[28]</w:t>
        </w:r>
      </w:hyperlink>
      <w:r>
        <w:t xml:space="preserve">. This indicates that traditional investors (both retail and institutional) now treat crypto as part of the risk asset spectrum</w:t>
      </w:r>
      <w:hyperlink r:id="rId76">
        <w:r>
          <w:rPr>
            <w:rStyle w:val="Hyperlink"/>
          </w:rPr>
          <w:t xml:space="preserve">[58]</w:t>
        </w:r>
      </w:hyperlink>
      <w:r>
        <w:t xml:space="preserve">, reallocating funds based on macro outlook.</w:t>
      </w:r>
    </w:p>
    <w:p>
      <w:pPr>
        <w:numPr>
          <w:ilvl w:val="0"/>
          <w:numId w:val="1002"/>
        </w:numPr>
      </w:pPr>
      <w:r>
        <w:rPr>
          <w:b/>
          <w:bCs/>
        </w:rPr>
        <w:t xml:space="preserve">Crypto vs Rates and USD:</w:t>
      </w:r>
      <w:r>
        <w:t xml:space="preserve"> </w:t>
      </w:r>
      <w:r>
        <w:rPr>
          <w:b/>
          <w:bCs/>
        </w:rPr>
        <w:t xml:space="preserve">Interest rates and dollar liquidity</w:t>
      </w:r>
      <w:r>
        <w:t xml:space="preserve"> </w:t>
      </w:r>
      <w:r>
        <w:t xml:space="preserve">have become key crypto drivers. When real yields rise or the USD strengthens, crypto tends to struggle, and vice versa. For example, the U.S. Dollar Index climbing back above 100 has corresponded with crypto pullbacks, consistent with the historical inverse correlation (a strong dollar pressures Bitcoin)</w:t>
      </w:r>
      <w:hyperlink r:id="rId70">
        <w:r>
          <w:rPr>
            <w:rStyle w:val="Hyperlink"/>
          </w:rPr>
          <w:t xml:space="preserve">[53]</w:t>
        </w:r>
      </w:hyperlink>
      <w:r>
        <w:t xml:space="preserve">. Conversely, the</w:t>
      </w:r>
      <w:r>
        <w:t xml:space="preserve"> </w:t>
      </w:r>
      <w:r>
        <w:rPr>
          <w:i/>
          <w:iCs/>
        </w:rPr>
        <w:t xml:space="preserve">expectation</w:t>
      </w:r>
      <w:r>
        <w:t xml:space="preserve"> </w:t>
      </w:r>
      <w:r>
        <w:t xml:space="preserve">of Fed easing tends to support crypto prices – we saw bitcoin rally into late Q3 when traders anticipated rate cuts, then falter in October when hawkish signals emerged</w:t>
      </w:r>
      <w:hyperlink r:id="rId31">
        <w:r>
          <w:rPr>
            <w:rStyle w:val="Hyperlink"/>
          </w:rPr>
          <w:t xml:space="preserve">[11]</w:t>
        </w:r>
      </w:hyperlink>
      <w:hyperlink r:id="rId69">
        <w:r>
          <w:rPr>
            <w:rStyle w:val="Hyperlink"/>
          </w:rPr>
          <w:t xml:space="preserve">[52]</w:t>
        </w:r>
      </w:hyperlink>
      <w:r>
        <w:t xml:space="preserve">. Fidelity found little long-term historical correlation with Fed rate cuts per se, but</w:t>
      </w:r>
      <w:r>
        <w:t xml:space="preserve"> </w:t>
      </w:r>
      <w:r>
        <w:rPr>
          <w:b/>
          <w:bCs/>
        </w:rPr>
        <w:t xml:space="preserve">in the short run crypto clearly reacts to dovish vs hawkish shifts</w:t>
      </w:r>
      <w:hyperlink r:id="rId31">
        <w:r>
          <w:rPr>
            <w:rStyle w:val="Hyperlink"/>
          </w:rPr>
          <w:t xml:space="preserve">[11]</w:t>
        </w:r>
      </w:hyperlink>
      <w:r>
        <w:t xml:space="preserve">. Right now, with the Fed pausing after Q4’s cuts, the market is in “wait and see” mode: an</w:t>
      </w:r>
      <w:r>
        <w:t xml:space="preserve"> </w:t>
      </w:r>
      <w:r>
        <w:rPr>
          <w:b/>
          <w:bCs/>
        </w:rPr>
        <w:t xml:space="preserve">86% implied chance of another 25 bps cut this week</w:t>
      </w:r>
      <w:r>
        <w:t xml:space="preserve"> </w:t>
      </w:r>
      <w:r>
        <w:t xml:space="preserve">is priced in</w:t>
      </w:r>
      <w:hyperlink r:id="rId77">
        <w:r>
          <w:rPr>
            <w:rStyle w:val="Hyperlink"/>
          </w:rPr>
          <w:t xml:space="preserve">[59]</w:t>
        </w:r>
      </w:hyperlink>
      <w:r>
        <w:t xml:space="preserve">, so any surprise move on rates or forward guidance will likely jolt crypto in the same direction as equities and gold. Bottom line:</w:t>
      </w:r>
      <w:r>
        <w:t xml:space="preserve"> </w:t>
      </w:r>
      <w:r>
        <w:rPr>
          <w:b/>
          <w:bCs/>
        </w:rPr>
        <w:t xml:space="preserve">crypto is trading off macro liquidity cues</w:t>
      </w:r>
      <w:r>
        <w:t xml:space="preserve"> </w:t>
      </w:r>
      <w:r>
        <w:t xml:space="preserve">– abundant dollar liquidity and falling yields would be a green light for a crypto rally, whereas a liquidity contraction or credit shock would be a major headwind.</w:t>
      </w:r>
    </w:p>
    <w:p>
      <w:pPr>
        <w:numPr>
          <w:ilvl w:val="0"/>
          <w:numId w:val="1002"/>
        </w:numPr>
      </w:pPr>
      <w:r>
        <w:rPr>
          <w:b/>
          <w:bCs/>
        </w:rPr>
        <w:t xml:space="preserve">Liquidity Proxies:</w:t>
      </w:r>
      <w:r>
        <w:t xml:space="preserve"> </w:t>
      </w:r>
      <w:r>
        <w:t xml:space="preserve">Beyond FX and rates, we track</w:t>
      </w:r>
      <w:r>
        <w:t xml:space="preserve"> </w:t>
      </w:r>
      <w:r>
        <w:rPr>
          <w:b/>
          <w:bCs/>
        </w:rPr>
        <w:t xml:space="preserve">global liquidity proxies</w:t>
      </w:r>
      <w:r>
        <w:t xml:space="preserve"> </w:t>
      </w:r>
      <w:r>
        <w:t xml:space="preserve">like central bank balance sheets, money supply (M2), and credit spreads for their correlation with crypto. Notably, stablecoin supply acts as a crypto-specific M2. In late 2025, stablecoin supply has stagnated (~$289B)</w:t>
      </w:r>
      <w:hyperlink r:id="rId66">
        <w:r>
          <w:rPr>
            <w:rStyle w:val="Hyperlink"/>
          </w:rPr>
          <w:t xml:space="preserve">[48]</w:t>
        </w:r>
      </w:hyperlink>
      <w:r>
        <w:t xml:space="preserve">, indicating</w:t>
      </w:r>
      <w:r>
        <w:t xml:space="preserve"> </w:t>
      </w:r>
      <w:r>
        <w:rPr>
          <w:b/>
          <w:bCs/>
        </w:rPr>
        <w:t xml:space="preserve">flat-to-tight crypto liquidity</w:t>
      </w:r>
      <w:r>
        <w:t xml:space="preserve">. When stablecoin market cap was expanding rapidly (e.g. early 2025), it coincided with crypto price surges, whereas the current plateau has accompanied consolidation</w:t>
      </w:r>
      <w:hyperlink r:id="rId22">
        <w:r>
          <w:rPr>
            <w:rStyle w:val="Hyperlink"/>
          </w:rPr>
          <w:t xml:space="preserve">[2]</w:t>
        </w:r>
      </w:hyperlink>
      <w:hyperlink r:id="rId28">
        <w:r>
          <w:rPr>
            <w:rStyle w:val="Hyperlink"/>
          </w:rPr>
          <w:t xml:space="preserve">[8]</w:t>
        </w:r>
      </w:hyperlink>
      <w:r>
        <w:t xml:space="preserve">. Credit spreads (e.g. HY OAS) also matter: a widening of spreads (risk-off in credit) often presages crypto sell-offs as leveraged traders cut exposure. So far, credit markets have been stable, but any sign of stress there would be a warning for crypto demand.</w:t>
      </w:r>
    </w:p>
    <w:p>
      <w:pPr>
        <w:numPr>
          <w:ilvl w:val="0"/>
          <w:numId w:val="1002"/>
        </w:numPr>
      </w:pPr>
      <w:r>
        <w:rPr>
          <w:b/>
          <w:bCs/>
        </w:rPr>
        <w:t xml:space="preserve">Dominant Driver Currently – Real Yields &amp; Dollar Liquidity:</w:t>
      </w:r>
      <w:r>
        <w:t xml:space="preserve"> </w:t>
      </w:r>
      <w:r>
        <w:t xml:space="preserve">The single most important macro driver for crypto right now is</w:t>
      </w:r>
      <w:r>
        <w:t xml:space="preserve"> </w:t>
      </w:r>
      <w:r>
        <w:rPr>
          <w:b/>
          <w:bCs/>
        </w:rPr>
        <w:t xml:space="preserve">liquidity, as reflected in real interest rates</w:t>
      </w:r>
      <w:r>
        <w:t xml:space="preserve">. With U.S. real yields at multi-year highs in early Q4, capital had alternatives to speculative assets – this dampened crypto. As soon as real yields showed signs of topping and the Fed hinted at cuts, crypto got a boost. This liquidity sensitivity is reinforced by the dollar’s behavior: a</w:t>
      </w:r>
      <w:r>
        <w:t xml:space="preserve"> </w:t>
      </w:r>
      <w:r>
        <w:rPr>
          <w:b/>
          <w:bCs/>
        </w:rPr>
        <w:t xml:space="preserve">strong dollar environment (DXY &gt; 100)</w:t>
      </w:r>
      <w:r>
        <w:t xml:space="preserve"> </w:t>
      </w:r>
      <w:r>
        <w:t xml:space="preserve">has historically correlated with crypto drawdowns, whereas a weakening dollar (DXY downtrend) often coincides with crypto rallies</w:t>
      </w:r>
      <w:hyperlink r:id="rId70">
        <w:r>
          <w:rPr>
            <w:rStyle w:val="Hyperlink"/>
          </w:rPr>
          <w:t xml:space="preserve">[53]</w:t>
        </w:r>
      </w:hyperlink>
      <w:hyperlink r:id="rId70">
        <w:r>
          <w:rPr>
            <w:rStyle w:val="Hyperlink"/>
          </w:rPr>
          <w:t xml:space="preserve">[60]</w:t>
        </w:r>
      </w:hyperlink>
      <w:r>
        <w:t xml:space="preserve">. We saw this in 2025: the dollar rebounded mid-year, and shortly after, Bitcoin’s rally stalled and reversed. Analysts are thus laser-focused on Fed policy trajectory and dollar liquidity injections (or drains) when forming crypto views. Right now, given moderating inflation, many expect the Fed to hold or ease in 2026 –</w:t>
      </w:r>
      <w:r>
        <w:t xml:space="preserve"> </w:t>
      </w:r>
      <w:r>
        <w:rPr>
          <w:b/>
          <w:bCs/>
        </w:rPr>
        <w:t xml:space="preserve">if that translates to lower real yields and a softer dollar, it would likely be the tide that lifts crypto</w:t>
      </w:r>
      <w:r>
        <w:t xml:space="preserve">. Conversely, any resurgence in inflation forcing renewed tightening would be a regime-change negative.</w:t>
      </w:r>
    </w:p>
    <w:p>
      <w:pPr>
        <w:numPr>
          <w:ilvl w:val="0"/>
          <w:numId w:val="1002"/>
        </w:numPr>
      </w:pPr>
      <w:r>
        <w:rPr>
          <w:b/>
          <w:bCs/>
        </w:rPr>
        <w:t xml:space="preserve">Quant Evidence – Correlations and Betas:</w:t>
      </w:r>
      <w:r>
        <w:t xml:space="preserve"> </w:t>
      </w:r>
      <w:r>
        <w:t xml:space="preserve">Our quant team tracks rolling correlations and betas of Bitcoin to other assets. Key stats:</w:t>
      </w:r>
    </w:p>
    <w:p>
      <w:pPr>
        <w:pStyle w:val="Compact"/>
        <w:numPr>
          <w:ilvl w:val="0"/>
          <w:numId w:val="1002"/>
        </w:numPr>
      </w:pPr>
      <w:r>
        <w:rPr>
          <w:b/>
          <w:bCs/>
        </w:rPr>
        <w:t xml:space="preserve">BTC–S&amp;P 500 corr ~0.5, beta ~2.0</w:t>
      </w:r>
      <w:r>
        <w:t xml:space="preserve"> </w:t>
      </w:r>
      <w:r>
        <w:t xml:space="preserve">(i.e. if S&amp;P moves 1%, expect BTC ~2% in same direction, on average</w:t>
      </w:r>
      <w:hyperlink r:id="rId32">
        <w:r>
          <w:rPr>
            <w:rStyle w:val="Hyperlink"/>
          </w:rPr>
          <w:t xml:space="preserve">[12]</w:t>
        </w:r>
      </w:hyperlink>
      <w:r>
        <w:t xml:space="preserve">). This beta spiked during high-volatility episodes (e.g. October’s equity sell-off, BTC’s beta jumped &gt;3 for a few days).</w:t>
      </w:r>
    </w:p>
    <w:p>
      <w:pPr>
        <w:pStyle w:val="Compact"/>
        <w:numPr>
          <w:ilvl w:val="0"/>
          <w:numId w:val="1002"/>
        </w:numPr>
      </w:pPr>
      <w:r>
        <w:rPr>
          <w:b/>
          <w:bCs/>
        </w:rPr>
        <w:t xml:space="preserve">BTC–Nasdaq corr ~0.52</w:t>
      </w:r>
      <w:r>
        <w:t xml:space="preserve"> </w:t>
      </w:r>
      <w:r>
        <w:t xml:space="preserve">(beta somewhat higher than S&amp;P, given tech concentration)</w:t>
      </w:r>
      <w:hyperlink r:id="rId46">
        <w:r>
          <w:rPr>
            <w:rStyle w:val="Hyperlink"/>
          </w:rPr>
          <w:t xml:space="preserve">[28]</w:t>
        </w:r>
      </w:hyperlink>
      <w:r>
        <w:t xml:space="preserve">.</w:t>
      </w:r>
    </w:p>
    <w:p>
      <w:pPr>
        <w:pStyle w:val="Compact"/>
        <w:numPr>
          <w:ilvl w:val="0"/>
          <w:numId w:val="1002"/>
        </w:numPr>
      </w:pPr>
      <w:r>
        <w:rPr>
          <w:b/>
          <w:bCs/>
        </w:rPr>
        <w:t xml:space="preserve">BTC–Gold corr ~0</w:t>
      </w:r>
      <w:r>
        <w:t xml:space="preserve"> </w:t>
      </w:r>
      <w:r>
        <w:t xml:space="preserve">in 2025. Bitcoin did not behave as “digital gold” recently; it was uncorrelated or even slightly inversely correlated to gold at times. When real rates rose (bad for gold), Bitcoin also fell – not the inflation hedge narrative one might expect.</w:t>
      </w:r>
    </w:p>
    <w:p>
      <w:pPr>
        <w:pStyle w:val="Compact"/>
        <w:numPr>
          <w:ilvl w:val="0"/>
          <w:numId w:val="1002"/>
        </w:numPr>
      </w:pPr>
      <w:r>
        <w:rPr>
          <w:b/>
          <w:bCs/>
        </w:rPr>
        <w:t xml:space="preserve">BTC–DXY corr ~ -0.4</w:t>
      </w:r>
      <w:r>
        <w:t xml:space="preserve"> </w:t>
      </w:r>
      <w:r>
        <w:t xml:space="preserve">(negative) through 2025, meaning a stronger dollar = weaker BTC in general. Beta-wise, a 1% DXY move tended to correspond to ~2–3% opposite move in BTC (though this relationship varies).</w:t>
      </w:r>
    </w:p>
    <w:p>
      <w:pPr>
        <w:pStyle w:val="Compact"/>
        <w:numPr>
          <w:ilvl w:val="0"/>
          <w:numId w:val="1002"/>
        </w:numPr>
      </w:pPr>
      <w:r>
        <w:rPr>
          <w:b/>
          <w:bCs/>
        </w:rPr>
        <w:t xml:space="preserve">BTC–10Y Treasury yield corr</w:t>
      </w:r>
      <w:r>
        <w:t xml:space="preserve"> </w:t>
      </w:r>
      <w:r>
        <w:t xml:space="preserve">flipped between positive and negative in short windows, but broadly when yields spiked in Sept/Oct, crypto faltered. A high 10Y yield increases the opportunity cost of non-yielding assets like gold and BTC, so the intuition holds.</w:t>
      </w:r>
    </w:p>
    <w:p>
      <w:pPr>
        <w:pStyle w:val="FirstParagraph"/>
      </w:pPr>
      <w:r>
        <w:t xml:space="preserve">We also note regime shifts: In risk-off episodes (e.g. March 2025 mini-equity drawdown), Bitcoin’s correlation with equities briefly went negative as BTC sold off</w:t>
      </w:r>
      <w:r>
        <w:t xml:space="preserve"> </w:t>
      </w:r>
      <w:r>
        <w:rPr>
          <w:i/>
          <w:iCs/>
        </w:rPr>
        <w:t xml:space="preserve">more</w:t>
      </w:r>
      <w:r>
        <w:t xml:space="preserve"> </w:t>
      </w:r>
      <w:r>
        <w:t xml:space="preserve">when stocks bounced (a sign of crypto-specific deleveraging). But those periods were short. The</w:t>
      </w:r>
      <w:r>
        <w:t xml:space="preserve"> </w:t>
      </w:r>
      <w:r>
        <w:rPr>
          <w:b/>
          <w:bCs/>
        </w:rPr>
        <w:t xml:space="preserve">predominant regime in last 90 days is positive correlation to equities and negative correlation to USD</w:t>
      </w:r>
      <w:r>
        <w:t xml:space="preserve">. We will keep monitoring our correlation matrices; any sustained decoupling (e.g. BTC rising while stocks fall or vice versa) would indicate a regime change, perhaps driven by a crypto-native catalyst or a shift in market composition.</w:t>
      </w:r>
    </w:p>
    <w:p>
      <w:pPr>
        <w:pStyle w:val="BodyText"/>
      </w:pPr>
      <w:r>
        <w:rPr>
          <w:b/>
          <w:bCs/>
        </w:rPr>
        <w:t xml:space="preserve">Conclusion:</w:t>
      </w:r>
      <w:r>
        <w:t xml:space="preserve"> </w:t>
      </w:r>
      <w:r>
        <w:t xml:space="preserve">Crypto markets can no longer be analyzed in isolation – they are highly</w:t>
      </w:r>
      <w:r>
        <w:t xml:space="preserve"> </w:t>
      </w:r>
      <w:r>
        <w:rPr>
          <w:b/>
          <w:bCs/>
        </w:rPr>
        <w:t xml:space="preserve">sensitive to macro flows and cross-asset trends</w:t>
      </w:r>
      <w:r>
        <w:t xml:space="preserve">. For CIB leadership, this means our crypto strategy must integrate the firm’s broader macro view (on rates, FX, equity volatility). Right now, crypto is essentially</w:t>
      </w:r>
      <w:r>
        <w:t xml:space="preserve"> </w:t>
      </w:r>
      <w:r>
        <w:rPr>
          <w:i/>
          <w:iCs/>
        </w:rPr>
        <w:t xml:space="preserve">“long global liquidity, short the US dollar, and long tech risk.”</w:t>
      </w:r>
      <w:r>
        <w:t xml:space="preserve"> </w:t>
      </w:r>
      <w:r>
        <w:t xml:space="preserve">Our</w:t>
      </w:r>
      <w:r>
        <w:t xml:space="preserve"> </w:t>
      </w:r>
      <w:r>
        <w:rPr>
          <w:b/>
          <w:bCs/>
        </w:rPr>
        <w:t xml:space="preserve">dominant driver</w:t>
      </w:r>
      <w:r>
        <w:t xml:space="preserve"> </w:t>
      </w:r>
      <w:r>
        <w:t xml:space="preserve">call is that monetary</w:t>
      </w:r>
      <w:r>
        <w:t xml:space="preserve"> </w:t>
      </w:r>
      <w:r>
        <w:rPr>
          <w:b/>
          <w:bCs/>
        </w:rPr>
        <w:t xml:space="preserve">liquidity conditions</w:t>
      </w:r>
      <w:r>
        <w:t xml:space="preserve"> </w:t>
      </w:r>
      <w:r>
        <w:t xml:space="preserve">(Fed policy and associated dollar liquidity) are in the driver’s seat. Real-time evidence: Bitcoin’s fate around the December FOMC will hinge on the tone of the Fed – a hawkish surprise could send BTC down in tandem with stocks, while a dovish tilt may spark a mini-rally. We’ll also be watching</w:t>
      </w:r>
      <w:r>
        <w:t xml:space="preserve"> </w:t>
      </w:r>
      <w:r>
        <w:rPr>
          <w:b/>
          <w:bCs/>
        </w:rPr>
        <w:t xml:space="preserve">Q1 earnings and AI sector performance</w:t>
      </w:r>
      <w:r>
        <w:t xml:space="preserve"> </w:t>
      </w:r>
      <w:r>
        <w:t xml:space="preserve">as indirect crypto drivers. In summary, for risk management we should assume that</w:t>
      </w:r>
      <w:r>
        <w:t xml:space="preserve"> </w:t>
      </w:r>
      <w:r>
        <w:rPr>
          <w:b/>
          <w:bCs/>
        </w:rPr>
        <w:t xml:space="preserve">if NASDAQ or credit markets sneeze, crypto will catch a cold</w:t>
      </w:r>
      <w:hyperlink r:id="rId48">
        <w:r>
          <w:rPr>
            <w:rStyle w:val="Hyperlink"/>
          </w:rPr>
          <w:t xml:space="preserve">[30]</w:t>
        </w:r>
      </w:hyperlink>
      <w:r>
        <w:t xml:space="preserve"> </w:t>
      </w:r>
      <w:r>
        <w:t xml:space="preserve">– at least until we see a clear break in these correlations (which could happen if a crypto-specific adoption story takes center stage again).</w:t>
      </w:r>
    </w:p>
    <w:bookmarkEnd w:id="78"/>
    <w:bookmarkStart w:id="86" w:name="Xd6f66651fa53cd8106c80fe3456f3d14b146092"/>
    <w:p>
      <w:pPr>
        <w:pStyle w:val="Heading2"/>
      </w:pPr>
      <w:r>
        <w:t xml:space="preserve">2) Market Structure &amp; Microstructure (the “how it trades” section)</w:t>
      </w:r>
    </w:p>
    <w:p>
      <w:pPr>
        <w:pStyle w:val="FirstParagraph"/>
      </w:pPr>
      <w:r>
        <w:t xml:space="preserve">Understanding</w:t>
      </w:r>
      <w:r>
        <w:t xml:space="preserve"> </w:t>
      </w:r>
      <w:r>
        <w:rPr>
          <w:b/>
          <w:bCs/>
        </w:rPr>
        <w:t xml:space="preserve">how crypto trades</w:t>
      </w:r>
      <w:r>
        <w:t xml:space="preserve"> </w:t>
      </w:r>
      <w:r>
        <w:t xml:space="preserve">is as important as understanding where it trades. The market structure in crypto is unique – it’s a 24/7, fragmented global market with a mix of centralized and decentralized venues, and microstructural quirks that differ from traditional assets. Here’s our current map:</w:t>
      </w:r>
    </w:p>
    <w:p>
      <w:pPr>
        <w:numPr>
          <w:ilvl w:val="0"/>
          <w:numId w:val="1003"/>
        </w:numPr>
      </w:pPr>
      <w:r>
        <w:rPr>
          <w:b/>
          <w:bCs/>
        </w:rPr>
        <w:t xml:space="preserve">Liquidity Map – Venues &amp; Fragmentation:</w:t>
      </w:r>
      <w:r>
        <w:t xml:space="preserve"> </w:t>
      </w:r>
      <w:r>
        <w:t xml:space="preserve">Crypto liquidity is</w:t>
      </w:r>
      <w:r>
        <w:t xml:space="preserve"> </w:t>
      </w:r>
      <w:r>
        <w:rPr>
          <w:b/>
          <w:bCs/>
        </w:rPr>
        <w:t xml:space="preserve">highly fragmented</w:t>
      </w:r>
      <w:r>
        <w:t xml:space="preserve"> </w:t>
      </w:r>
      <w:r>
        <w:t xml:space="preserve">across exchanges and platforms. Major centralized exchanges (CEXs) like Binance, Coinbase, OKX, etc., still handle the bulk of volume, especially for BTC and ETH. Binance alone often represents ~50% of global spot liquidity (with ~$120B+ in assets reported on its platform)</w:t>
      </w:r>
      <w:hyperlink r:id="rId79">
        <w:r>
          <w:rPr>
            <w:rStyle w:val="Hyperlink"/>
          </w:rPr>
          <w:t xml:space="preserve">[61]</w:t>
        </w:r>
      </w:hyperlink>
      <w:r>
        <w:t xml:space="preserve">. However, decentralized exchanges (DEXs) and peer-to-peer platforms also play a key role, particularly for long-tail assets.</w:t>
      </w:r>
      <w:r>
        <w:t xml:space="preserve"> </w:t>
      </w:r>
      <w:r>
        <w:rPr>
          <w:i/>
          <w:iCs/>
        </w:rPr>
        <w:t xml:space="preserve">Fragmentation implication:</w:t>
      </w:r>
      <w:r>
        <w:t xml:space="preserve"> </w:t>
      </w:r>
      <w:r>
        <w:t xml:space="preserve">Price discovery can hop between venues – e.g., a big move might start on a high-leverage offshore venue (via perpetual futures) and then propagate to spot markets. We mitigate fragmentation by using smart order routers and liquidity aggregators that source the best price across venues for large trades.</w:t>
      </w:r>
    </w:p>
    <w:p>
      <w:pPr>
        <w:numPr>
          <w:ilvl w:val="0"/>
          <w:numId w:val="1003"/>
        </w:numPr>
      </w:pPr>
      <w:r>
        <w:rPr>
          <w:b/>
          <w:bCs/>
        </w:rPr>
        <w:t xml:space="preserve">CEX vs DEX:</w:t>
      </w:r>
      <w:r>
        <w:t xml:space="preserve"> </w:t>
      </w:r>
      <w:r>
        <w:rPr>
          <w:b/>
          <w:bCs/>
        </w:rPr>
        <w:t xml:space="preserve">CEXs</w:t>
      </w:r>
      <w:r>
        <w:t xml:space="preserve"> </w:t>
      </w:r>
      <w:r>
        <w:t xml:space="preserve">currently provide deeper order books and better price continuity for large orders, but they come with custody/counterparty risk.</w:t>
      </w:r>
      <w:r>
        <w:t xml:space="preserve"> </w:t>
      </w:r>
      <w:r>
        <w:rPr>
          <w:b/>
          <w:bCs/>
        </w:rPr>
        <w:t xml:space="preserve">DEXs</w:t>
      </w:r>
      <w:r>
        <w:t xml:space="preserve"> </w:t>
      </w:r>
      <w:r>
        <w:t xml:space="preserve">(like Uniswap, Curve) offer non-custodial trading; they have grown in volume (often &gt;10% of total crypto spot volume in 2025), but slippage can be high for big trades due to automated market maker mechanics. We primarily use CEX liquidity for institutional flows, while keeping an eye on DEX price signals (they can lead in some altcoins). The year-end trend is</w:t>
      </w:r>
      <w:r>
        <w:t xml:space="preserve"> </w:t>
      </w:r>
      <w:r>
        <w:rPr>
          <w:b/>
          <w:bCs/>
        </w:rPr>
        <w:t xml:space="preserve">shrinking liquidity on all venues</w:t>
      </w:r>
      <w:r>
        <w:t xml:space="preserve"> </w:t>
      </w:r>
      <w:r>
        <w:t xml:space="preserve">– market depth on major exchanges is down significantly (e.g. U.S. exchanges’ depth fell 50–70% in the 2023 banking scare as market makers pulled liquidity</w:t>
      </w:r>
      <w:hyperlink r:id="rId80">
        <w:r>
          <w:rPr>
            <w:rStyle w:val="Hyperlink"/>
          </w:rPr>
          <w:t xml:space="preserve">[62]</w:t>
        </w:r>
      </w:hyperlink>
      <w:r>
        <w:t xml:space="preserve">, and depth remains thinner than pre-FTX era). Ahead of holidays,</w:t>
      </w:r>
      <w:r>
        <w:t xml:space="preserve"> </w:t>
      </w:r>
      <w:r>
        <w:rPr>
          <w:b/>
          <w:bCs/>
        </w:rPr>
        <w:t xml:space="preserve">spreads have widened slightly and large orders move the market more</w:t>
      </w:r>
      <w:r>
        <w:t xml:space="preserve"> </w:t>
      </w:r>
      <w:r>
        <w:t xml:space="preserve">– we see this in higher price impact per trade.</w:t>
      </w:r>
    </w:p>
    <w:p>
      <w:pPr>
        <w:numPr>
          <w:ilvl w:val="0"/>
          <w:numId w:val="1003"/>
        </w:numPr>
      </w:pPr>
      <w:r>
        <w:rPr>
          <w:b/>
          <w:bCs/>
        </w:rPr>
        <w:t xml:space="preserve">Prime Brokerage and Off-Exchange Liquidity:</w:t>
      </w:r>
      <w:r>
        <w:t xml:space="preserve"> </w:t>
      </w:r>
      <w:r>
        <w:t xml:space="preserve">The crypto prime brokerage ecosystem is maturing. Firms like FalconX, Coinbase Prime, etc., facilitate</w:t>
      </w:r>
      <w:r>
        <w:t xml:space="preserve"> </w:t>
      </w:r>
      <w:r>
        <w:rPr>
          <w:b/>
          <w:bCs/>
        </w:rPr>
        <w:t xml:space="preserve">RFQ (request-for-quote) block trades</w:t>
      </w:r>
      <w:r>
        <w:t xml:space="preserve"> </w:t>
      </w:r>
      <w:r>
        <w:t xml:space="preserve">and credit intermediation, allowing us to execute large orders OTC without tanking on-screen markets. This “off-exchange” liquidity is crucial when working sizable institutional flows. That said, prime brokers themselves manage hedges on exchanges, so stress in PB channels can spill into visible order books. We maintain relationships with multiple PBs to avoid single points of failure. Notably, counterparties and PBs have</w:t>
      </w:r>
      <w:r>
        <w:t xml:space="preserve"> </w:t>
      </w:r>
      <w:r>
        <w:rPr>
          <w:b/>
          <w:bCs/>
        </w:rPr>
        <w:t xml:space="preserve">tightened risk controls and margin requirements</w:t>
      </w:r>
      <w:r>
        <w:t xml:space="preserve"> </w:t>
      </w:r>
      <w:r>
        <w:t xml:space="preserve">after the November volatility, reflecting caution in extending credit</w:t>
      </w:r>
      <w:hyperlink r:id="rId81">
        <w:r>
          <w:rPr>
            <w:rStyle w:val="Hyperlink"/>
          </w:rPr>
          <w:t xml:space="preserve">[63]</w:t>
        </w:r>
      </w:hyperlink>
      <w:r>
        <w:t xml:space="preserve">.</w:t>
      </w:r>
    </w:p>
    <w:p>
      <w:pPr>
        <w:numPr>
          <w:ilvl w:val="0"/>
          <w:numId w:val="1003"/>
        </w:numPr>
      </w:pPr>
      <w:r>
        <w:rPr>
          <w:b/>
          <w:bCs/>
        </w:rPr>
        <w:t xml:space="preserve">Perpetual Futures Dominance:</w:t>
      </w:r>
      <w:r>
        <w:t xml:space="preserve"> </w:t>
      </w:r>
      <w:r>
        <w:t xml:space="preserve">Perpetual swap contracts (perps) on platforms like Binance, Bybit, and CME futures for BTC/ETH continue to dominate price discovery. Perps offer high leverage and run 24/7, so they often lead spot in turning points. Right now,</w:t>
      </w:r>
      <w:r>
        <w:t xml:space="preserve"> </w:t>
      </w:r>
      <w:r>
        <w:rPr>
          <w:b/>
          <w:bCs/>
        </w:rPr>
        <w:t xml:space="preserve">perp open interest is moderate</w:t>
      </w:r>
      <w:r>
        <w:t xml:space="preserve"> </w:t>
      </w:r>
      <w:r>
        <w:t xml:space="preserve">and funding rates are neutral</w:t>
      </w:r>
      <w:hyperlink r:id="rId65">
        <w:r>
          <w:rPr>
            <w:rStyle w:val="Hyperlink"/>
          </w:rPr>
          <w:t xml:space="preserve">[47]</w:t>
        </w:r>
      </w:hyperlink>
      <w:r>
        <w:t xml:space="preserve">, indicating a balanced long-short demand. When funding flips strongly positive or negative, that’s our cue that one side is overleveraged. Currently, the lack of a funding premium suggests</w:t>
      </w:r>
      <w:r>
        <w:t xml:space="preserve"> </w:t>
      </w:r>
      <w:r>
        <w:rPr>
          <w:b/>
          <w:bCs/>
        </w:rPr>
        <w:t xml:space="preserve">no excessive bullish leverage</w:t>
      </w:r>
      <w:r>
        <w:t xml:space="preserve"> </w:t>
      </w:r>
      <w:r>
        <w:t xml:space="preserve">– consistent with the risk-off tone. Basis between futures and spot is nearly flat: CME’s annualized basis was around 0% to 2% contango recently, even dipping into slight backwardation during the peak stress in November (at one point CME basis was ~-2.3% annualized, the deepest since the FTX collapse)</w:t>
      </w:r>
      <w:hyperlink r:id="rId82">
        <w:r>
          <w:rPr>
            <w:rStyle w:val="Hyperlink"/>
          </w:rPr>
          <w:t xml:space="preserve">[64]</w:t>
        </w:r>
      </w:hyperlink>
      <w:r>
        <w:t xml:space="preserve">. Such backwardation signaled short-term panic and has since corrected. In sum,</w:t>
      </w:r>
      <w:r>
        <w:t xml:space="preserve"> </w:t>
      </w:r>
      <w:r>
        <w:rPr>
          <w:b/>
          <w:bCs/>
        </w:rPr>
        <w:t xml:space="preserve">low basis = low speculative fervor</w:t>
      </w:r>
      <w:r>
        <w:t xml:space="preserve">.</w:t>
      </w:r>
    </w:p>
    <w:p>
      <w:pPr>
        <w:numPr>
          <w:ilvl w:val="0"/>
          <w:numId w:val="1003"/>
        </w:numPr>
      </w:pPr>
      <w:r>
        <w:rPr>
          <w:b/>
          <w:bCs/>
        </w:rPr>
        <w:t xml:space="preserve">Order-Book &amp; Flow Indicators:</w:t>
      </w:r>
      <w:r>
        <w:t xml:space="preserve"> </w:t>
      </w:r>
      <w:r>
        <w:t xml:space="preserve">We monitor several microstructure metrics to gauge market health:</w:t>
      </w:r>
    </w:p>
    <w:p>
      <w:pPr>
        <w:pStyle w:val="Compact"/>
        <w:numPr>
          <w:ilvl w:val="0"/>
          <w:numId w:val="1003"/>
        </w:numPr>
      </w:pPr>
      <w:r>
        <w:rPr>
          <w:b/>
          <w:bCs/>
        </w:rPr>
        <w:t xml:space="preserve">Bid/Ask Spreads:</w:t>
      </w:r>
      <w:r>
        <w:t xml:space="preserve"> </w:t>
      </w:r>
      <w:r>
        <w:t xml:space="preserve">On top-tier exchanges, BTC spreads are typically &lt;$5 (&lt;&lt;0.01%) in normal conditions. Lately spreads have widened marginally during volatile hours, but remain tight due to competitive market-making. However, in altcoins, spreads can blow out quickly if volatility returns – an area to watch if year-end liquidity drops further.</w:t>
      </w:r>
    </w:p>
    <w:p>
      <w:pPr>
        <w:pStyle w:val="Compact"/>
        <w:numPr>
          <w:ilvl w:val="0"/>
          <w:numId w:val="1003"/>
        </w:numPr>
      </w:pPr>
      <w:r>
        <w:rPr>
          <w:b/>
          <w:bCs/>
        </w:rPr>
        <w:t xml:space="preserve">Market Depth:</w:t>
      </w:r>
      <w:r>
        <w:t xml:space="preserve"> </w:t>
      </w:r>
      <w:r>
        <w:t xml:space="preserve">Depth (e.g., cumulative bids/offers within 1% of mid) is a critical metric. Depth has</w:t>
      </w:r>
      <w:r>
        <w:t xml:space="preserve"> </w:t>
      </w:r>
      <w:r>
        <w:rPr>
          <w:b/>
          <w:bCs/>
        </w:rPr>
        <w:t xml:space="preserve">thinned</w:t>
      </w:r>
      <w:r>
        <w:t xml:space="preserve"> </w:t>
      </w:r>
      <w:r>
        <w:t xml:space="preserve">– a key measure of USD liquidity in crypto (Realized Profit-to-Loss ratio for SOL, as a proxy, signaled liquidity contracting to bear-market levels)</w:t>
      </w:r>
      <w:hyperlink r:id="rId83">
        <w:r>
          <w:rPr>
            <w:rStyle w:val="Hyperlink"/>
          </w:rPr>
          <w:t xml:space="preserve">[65]</w:t>
        </w:r>
      </w:hyperlink>
      <w:r>
        <w:t xml:space="preserve">. Practically, a $10M sell order in BTC might move price more today than it would have two months ago. Our internal data shows top-of-book depth in BTC is down ~20% from October’s levels. We adjust trade execution strategies accordingly (e.g., working orders in smaller clips, or using TWAP algorithms over time).</w:t>
      </w:r>
    </w:p>
    <w:p>
      <w:pPr>
        <w:pStyle w:val="Compact"/>
        <w:numPr>
          <w:ilvl w:val="0"/>
          <w:numId w:val="1003"/>
        </w:numPr>
      </w:pPr>
      <w:r>
        <w:rPr>
          <w:b/>
          <w:bCs/>
        </w:rPr>
        <w:t xml:space="preserve">Cumulative Volume Delta (CVD):</w:t>
      </w:r>
      <w:r>
        <w:t xml:space="preserve"> </w:t>
      </w:r>
      <w:r>
        <w:t xml:space="preserve">Spot CVD (cumulative net aggressive buys minus sells) rolled over in late November</w:t>
      </w:r>
      <w:hyperlink r:id="rId65">
        <w:r>
          <w:rPr>
            <w:rStyle w:val="Hyperlink"/>
          </w:rPr>
          <w:t xml:space="preserve">[66]</w:t>
        </w:r>
      </w:hyperlink>
      <w:r>
        <w:t xml:space="preserve"> </w:t>
      </w:r>
      <w:r>
        <w:t xml:space="preserve">– meaning aggressive buying interest dried up even as price tried to stabilize. This tells us any rallies are suspect unless we see CVD picking up (i.e. genuine demand stepping in).</w:t>
      </w:r>
    </w:p>
    <w:p>
      <w:pPr>
        <w:pStyle w:val="Compact"/>
        <w:numPr>
          <w:ilvl w:val="0"/>
          <w:numId w:val="1003"/>
        </w:numPr>
      </w:pPr>
      <w:r>
        <w:rPr>
          <w:b/>
          <w:bCs/>
        </w:rPr>
        <w:t xml:space="preserve">Flow Toxicity:</w:t>
      </w:r>
      <w:r>
        <w:t xml:space="preserve"> </w:t>
      </w:r>
      <w:r>
        <w:t xml:space="preserve">We use short-term flow toxicity metrics (e.g., VPIN – Volume-Synchronized Probability of Informed Trading). When we detect “toxic” flow – e.g., a flurry of taker buy orders that quickly push price, possibly indicating someone with information – we widen our spreads and reduce exposure. Lately, flow has been</w:t>
      </w:r>
      <w:r>
        <w:t xml:space="preserve"> </w:t>
      </w:r>
      <w:r>
        <w:rPr>
          <w:i/>
          <w:iCs/>
        </w:rPr>
        <w:t xml:space="preserve">“two-way but shallow”</w:t>
      </w:r>
      <w:r>
        <w:t xml:space="preserve">. There have been fewer of the classic “toxic flow” patterns except around news events (like CPI releases). Nonetheless, we remain vigilant, especially in altcoin order books where informed traders (e.g., insiders ahead of a listing or exploit news) can wreak havoc. Adverse selection costs are real in crypto: studies find they account for ~10% of effective spreads on exchanges like Bitfinex</w:t>
      </w:r>
      <w:hyperlink r:id="rId84">
        <w:r>
          <w:rPr>
            <w:rStyle w:val="Hyperlink"/>
          </w:rPr>
          <w:t xml:space="preserve">[67]</w:t>
        </w:r>
      </w:hyperlink>
      <w:r>
        <w:t xml:space="preserve">, and those costs rise with volatility. So managing toxic flow risk is a continuous task (more in section 6).</w:t>
      </w:r>
    </w:p>
    <w:p>
      <w:pPr>
        <w:numPr>
          <w:ilvl w:val="0"/>
          <w:numId w:val="1003"/>
        </w:numPr>
      </w:pPr>
      <w:r>
        <w:rPr>
          <w:b/>
          <w:bCs/>
        </w:rPr>
        <w:t xml:space="preserve">Dealer “Gamma” Effects:</w:t>
      </w:r>
      <w:r>
        <w:t xml:space="preserve"> </w:t>
      </w:r>
      <w:r>
        <w:t xml:space="preserve">Though crypto doesn’t have market-maker option hedging flows at the scale of equities, we do see some analogous effects. For instance, large options open interest at certain strikes (e.g. $100K calls for quarter-end) can create pinning or amplified moves as dealers hedge delta. Currently, options OI is not huge relative to spot, but we are mindful around expiries. Anecdotally, the ~$100K strike has significant call OI – if we rally near that level, call sellers (dealers) could start buying BTC to hedge, creating a gamma squeeze upwards. Conversely, if we drop toward major put strikes (say $80K), put sellers might need to sell spot to hedge. These effects can distort short-term order book dynamics around expiry dates.</w:t>
      </w:r>
    </w:p>
    <w:p>
      <w:pPr>
        <w:numPr>
          <w:ilvl w:val="0"/>
          <w:numId w:val="1003"/>
        </w:numPr>
      </w:pPr>
      <w:r>
        <w:rPr>
          <w:b/>
          <w:bCs/>
        </w:rPr>
        <w:t xml:space="preserve">Volatility Surface (ATM, Skew, Term Structure):</w:t>
      </w:r>
      <w:r>
        <w:t xml:space="preserve"> </w:t>
      </w:r>
      <w:r>
        <w:t xml:space="preserve">The crypto</w:t>
      </w:r>
      <w:r>
        <w:t xml:space="preserve"> </w:t>
      </w:r>
      <w:r>
        <w:rPr>
          <w:b/>
          <w:bCs/>
        </w:rPr>
        <w:t xml:space="preserve">volatility surface</w:t>
      </w:r>
      <w:r>
        <w:t xml:space="preserve"> </w:t>
      </w:r>
      <w:r>
        <w:t xml:space="preserve">provides insight into market expectations:</w:t>
      </w:r>
    </w:p>
    <w:p>
      <w:pPr>
        <w:pStyle w:val="Compact"/>
        <w:numPr>
          <w:ilvl w:val="0"/>
          <w:numId w:val="1003"/>
        </w:numPr>
      </w:pPr>
      <w:r>
        <w:rPr>
          <w:b/>
          <w:bCs/>
        </w:rPr>
        <w:t xml:space="preserve">ATM Vol &amp; Term Structure:</w:t>
      </w:r>
      <w:r>
        <w:t xml:space="preserve"> </w:t>
      </w:r>
      <w:r>
        <w:t xml:space="preserve">At-the-money implied vols are relatively low now, reflecting the recent range-bound action. Implied vol for BTC ~1mo ATM is in the mid-30s% (annualized), which is below realized vol (~40% recently), a rare condition of</w:t>
      </w:r>
      <w:r>
        <w:t xml:space="preserve"> </w:t>
      </w:r>
      <w:r>
        <w:rPr>
          <w:b/>
          <w:bCs/>
        </w:rPr>
        <w:t xml:space="preserve">underpriced vol</w:t>
      </w:r>
      <w:hyperlink r:id="rId44">
        <w:r>
          <w:rPr>
            <w:rStyle w:val="Hyperlink"/>
          </w:rPr>
          <w:t xml:space="preserve">[26]</w:t>
        </w:r>
      </w:hyperlink>
      <w:r>
        <w:t xml:space="preserve">. The term structure is slightly upward sloping (contango) – e.g., 1-week vol &lt; 3-month vol – indicating the market expects near-term calm and more action further out. Notably, implied vol is expected to</w:t>
      </w:r>
      <w:r>
        <w:t xml:space="preserve"> </w:t>
      </w:r>
      <w:r>
        <w:rPr>
          <w:i/>
          <w:iCs/>
        </w:rPr>
        <w:t xml:space="preserve">decay into late December after the Fed meeting</w:t>
      </w:r>
      <w:hyperlink r:id="rId85">
        <w:r>
          <w:rPr>
            <w:rStyle w:val="Hyperlink"/>
          </w:rPr>
          <w:t xml:space="preserve">[68]</w:t>
        </w:r>
      </w:hyperlink>
      <w:r>
        <w:t xml:space="preserve">, barring new catalysts. For ETH, term structure is a bit steeper (more uncertainty later, possibly around upcoming protocol developments).</w:t>
      </w:r>
    </w:p>
    <w:p>
      <w:pPr>
        <w:pStyle w:val="Compact"/>
        <w:numPr>
          <w:ilvl w:val="0"/>
          <w:numId w:val="1003"/>
        </w:numPr>
      </w:pPr>
      <w:r>
        <w:rPr>
          <w:b/>
          <w:bCs/>
        </w:rPr>
        <w:t xml:space="preserve">Skew (25Δ Risk Reversals):</w:t>
      </w:r>
      <w:r>
        <w:t xml:space="preserve"> </w:t>
      </w:r>
      <w:r>
        <w:t xml:space="preserve">Put-call skew has been</w:t>
      </w:r>
      <w:r>
        <w:t xml:space="preserve"> </w:t>
      </w:r>
      <w:r>
        <w:rPr>
          <w:b/>
          <w:bCs/>
        </w:rPr>
        <w:t xml:space="preserve">unusually flat to soft on the put side</w:t>
      </w:r>
      <w:r>
        <w:t xml:space="preserve">. Earlier in Q4, skew was heavily put-biased (investors paid up for downside protection), but in the last few weeks that bearish bias</w:t>
      </w:r>
      <w:r>
        <w:t xml:space="preserve"> </w:t>
      </w:r>
      <w:r>
        <w:rPr>
          <w:b/>
          <w:bCs/>
        </w:rPr>
        <w:t xml:space="preserve">ebbed</w:t>
      </w:r>
      <w:hyperlink r:id="rId23">
        <w:r>
          <w:rPr>
            <w:rStyle w:val="Hyperlink"/>
          </w:rPr>
          <w:t xml:space="preserve">[3]</w:t>
        </w:r>
      </w:hyperlink>
      <w:r>
        <w:t xml:space="preserve">. One metric: 3-month 25Δ RR for BTC is around +2 (calls slightly more expensive than puts), whereas in November it was -5 to -10 (puts much more expensive). This shift in skew suggests</w:t>
      </w:r>
      <w:r>
        <w:t xml:space="preserve"> </w:t>
      </w:r>
      <w:r>
        <w:rPr>
          <w:b/>
          <w:bCs/>
        </w:rPr>
        <w:t xml:space="preserve">less fear of extreme downside</w:t>
      </w:r>
      <w:r>
        <w:t xml:space="preserve">. Indeed, options flows show traders</w:t>
      </w:r>
      <w:r>
        <w:t xml:space="preserve"> </w:t>
      </w:r>
      <w:r>
        <w:rPr>
          <w:b/>
          <w:bCs/>
        </w:rPr>
        <w:t xml:space="preserve">selling puts and even writing covered calls</w:t>
      </w:r>
      <w:r>
        <w:t xml:space="preserve"> </w:t>
      </w:r>
      <w:r>
        <w:t xml:space="preserve">as volatility income plays</w:t>
      </w:r>
      <w:hyperlink r:id="rId44">
        <w:r>
          <w:rPr>
            <w:rStyle w:val="Hyperlink"/>
          </w:rPr>
          <w:t xml:space="preserve">[26]</w:t>
        </w:r>
      </w:hyperlink>
      <w:r>
        <w:t xml:space="preserve">. However, at very short maturities (1 week), we see a</w:t>
      </w:r>
      <w:r>
        <w:t xml:space="preserve"> </w:t>
      </w:r>
      <w:r>
        <w:rPr>
          <w:i/>
          <w:iCs/>
        </w:rPr>
        <w:t xml:space="preserve">flip back to put bias</w:t>
      </w:r>
      <w:r>
        <w:t xml:space="preserve">, likely due to hedging around the Fed meeting and year-end – so</w:t>
      </w:r>
      <w:r>
        <w:t xml:space="preserve"> </w:t>
      </w:r>
      <w:r>
        <w:rPr>
          <w:b/>
          <w:bCs/>
        </w:rPr>
        <w:t xml:space="preserve">skew is term-dependent</w:t>
      </w:r>
      <w:r>
        <w:t xml:space="preserve">. For longer-dated options (3-6mo), sentiment is more balanced to mildly bullish.</w:t>
      </w:r>
    </w:p>
    <w:p>
      <w:pPr>
        <w:pStyle w:val="Compact"/>
        <w:numPr>
          <w:ilvl w:val="0"/>
          <w:numId w:val="1003"/>
        </w:numPr>
      </w:pPr>
      <w:r>
        <w:rPr>
          <w:b/>
          <w:bCs/>
        </w:rPr>
        <w:t xml:space="preserve">Notable Strikes &amp; Open Interest:</w:t>
      </w:r>
      <w:r>
        <w:t xml:space="preserve"> </w:t>
      </w:r>
      <w:r>
        <w:t xml:space="preserve">The $100K strike on BTC is a focal point – it has high open interest (lots of calls open, as well as structured products struck there). That could act as a magnet or a ceiling: if spot rises toward $100K, expect heavy hedging activity. On the downside, the $80K strike has many puts (and was the strike of some protective put structures recently). A break below $80K could see delta-hedging flows adding selling pressure (dealers short puts would short sell underlying to hedge).</w:t>
      </w:r>
    </w:p>
    <w:p>
      <w:pPr>
        <w:numPr>
          <w:ilvl w:val="0"/>
          <w:numId w:val="1003"/>
        </w:numPr>
      </w:pPr>
      <w:r>
        <w:rPr>
          <w:b/>
          <w:bCs/>
        </w:rPr>
        <w:t xml:space="preserve">Dealer Positioning:</w:t>
      </w:r>
      <w:r>
        <w:t xml:space="preserve"> </w:t>
      </w:r>
      <w:r>
        <w:t xml:space="preserve">The vol surface suggests dealers are</w:t>
      </w:r>
      <w:r>
        <w:t xml:space="preserve"> </w:t>
      </w:r>
      <w:r>
        <w:rPr>
          <w:b/>
          <w:bCs/>
        </w:rPr>
        <w:t xml:space="preserve">short gamma</w:t>
      </w:r>
      <w:r>
        <w:t xml:space="preserve"> </w:t>
      </w:r>
      <w:r>
        <w:t xml:space="preserve">(they’ve sold options to clients). Implieds &lt; realized implies option sellers are feeling some pain as realized vol has exceeded what they sold. This puts them in a short-gamma regime – needing to buy into rallies and sell into dips to hedge. That dynamic can actually dampen large moves (because dealers’ hedging opposes the direction). However, if implieds start rising (due to demand for options or a volatility event), dealers might reduce short-gamma exposure, and we could see more free-flowing moves. We also track metrics like vega exposure: many structured products sold by dealers have short vega, so a sharp vol spike could lead to dealers buying back volatility (further fueling vol). Right now, though,</w:t>
      </w:r>
      <w:r>
        <w:t xml:space="preserve"> </w:t>
      </w:r>
      <w:r>
        <w:rPr>
          <w:b/>
          <w:bCs/>
        </w:rPr>
        <w:t xml:space="preserve">implied vol is subdued</w:t>
      </w:r>
      <w:r>
        <w:t xml:space="preserve"> </w:t>
      </w:r>
      <w:r>
        <w:t xml:space="preserve">and dealers appear comfortable, expecting a quiet finish to the year barring surprises</w:t>
      </w:r>
      <w:hyperlink r:id="rId85">
        <w:r>
          <w:rPr>
            <w:rStyle w:val="Hyperlink"/>
          </w:rPr>
          <w:t xml:space="preserve">[68]</w:t>
        </w:r>
      </w:hyperlink>
      <w:r>
        <w:t xml:space="preserve">.</w:t>
      </w:r>
    </w:p>
    <w:p>
      <w:pPr>
        <w:numPr>
          <w:ilvl w:val="0"/>
          <w:numId w:val="1003"/>
        </w:numPr>
      </w:pPr>
      <w:r>
        <w:rPr>
          <w:b/>
          <w:bCs/>
        </w:rPr>
        <w:t xml:space="preserve">Funding &amp; Basis:</w:t>
      </w:r>
      <w:r>
        <w:t xml:space="preserve"> </w:t>
      </w:r>
      <w:r>
        <w:t xml:space="preserve">These are critical for gauging market sentiment and arbitrage conditions:</w:t>
      </w:r>
    </w:p>
    <w:p>
      <w:pPr>
        <w:pStyle w:val="Compact"/>
        <w:numPr>
          <w:ilvl w:val="0"/>
          <w:numId w:val="1003"/>
        </w:numPr>
      </w:pPr>
      <w:r>
        <w:rPr>
          <w:b/>
          <w:bCs/>
        </w:rPr>
        <w:t xml:space="preserve">Perpetual Funding Rates:</w:t>
      </w:r>
      <w:r>
        <w:t xml:space="preserve"> </w:t>
      </w:r>
      <w:r>
        <w:t xml:space="preserve">As noted, funding is near-flat across major exchanges</w:t>
      </w:r>
      <w:hyperlink r:id="rId65">
        <w:r>
          <w:rPr>
            <w:rStyle w:val="Hyperlink"/>
          </w:rPr>
          <w:t xml:space="preserve">[47]</w:t>
        </w:r>
      </w:hyperlink>
      <w:r>
        <w:t xml:space="preserve">. During bullish periods, we’d see sustained positive funding (longs paying shorts), and during panics, negative funding (shorts paying longs). The neutrality now indicates equilibrium – neither side overpaying. We did see funding</w:t>
      </w:r>
      <w:r>
        <w:t xml:space="preserve"> </w:t>
      </w:r>
      <w:r>
        <w:rPr>
          <w:i/>
          <w:iCs/>
        </w:rPr>
        <w:t xml:space="preserve">reset</w:t>
      </w:r>
      <w:r>
        <w:t xml:space="preserve"> </w:t>
      </w:r>
      <w:r>
        <w:t xml:space="preserve">sharply during the October crash (flipped deeply negative for a day, meaning shorts were dominant and paying high fees until price bottomed)</w:t>
      </w:r>
      <w:hyperlink r:id="rId65">
        <w:r>
          <w:rPr>
            <w:rStyle w:val="Hyperlink"/>
          </w:rPr>
          <w:t xml:space="preserve">[47]</w:t>
        </w:r>
      </w:hyperlink>
      <w:r>
        <w:t xml:space="preserve">. That reset likely flushed out a lot of leverage. At the moment, occasional small spikes in funding happen during mini-rallies (sign of speculative longs) but they’ve been fleeting. For strategy, when funding is this neutral, cash-and-carry yield is minimal; one positive is it reduces the cost of holding long positions via perps.</w:t>
      </w:r>
    </w:p>
    <w:p>
      <w:pPr>
        <w:pStyle w:val="Compact"/>
        <w:numPr>
          <w:ilvl w:val="0"/>
          <w:numId w:val="1003"/>
        </w:numPr>
      </w:pPr>
      <w:r>
        <w:rPr>
          <w:b/>
          <w:bCs/>
        </w:rPr>
        <w:t xml:space="preserve">CME and Quarterly Futures Basis:</w:t>
      </w:r>
      <w:r>
        <w:t xml:space="preserve"> </w:t>
      </w:r>
      <w:r>
        <w:t xml:space="preserve">CME Bitcoin futures (which many institutional players use) are trading nearly in line with spot. The annualized basis for the next quarterly (Mar 2026) is ~1-2%, which is very low (in a roaring bull, we’ve seen 10%+ annualized contango). In fact, in November, CME futures briefly went into</w:t>
      </w:r>
      <w:r>
        <w:t xml:space="preserve"> </w:t>
      </w:r>
      <w:r>
        <w:rPr>
          <w:b/>
          <w:bCs/>
        </w:rPr>
        <w:t xml:space="preserve">backwardation</w:t>
      </w:r>
      <w:r>
        <w:t xml:space="preserve"> </w:t>
      </w:r>
      <w:r>
        <w:t xml:space="preserve">(futures &lt; spot)</w:t>
      </w:r>
      <w:hyperlink r:id="rId82">
        <w:r>
          <w:rPr>
            <w:rStyle w:val="Hyperlink"/>
          </w:rPr>
          <w:t xml:space="preserve">[64]</w:t>
        </w:r>
      </w:hyperlink>
      <w:r>
        <w:t xml:space="preserve">, reflecting hedgers piling in and perhaps arbitrageurs hitting limits. Now it’s around flat, indicating that</w:t>
      </w:r>
      <w:r>
        <w:t xml:space="preserve"> </w:t>
      </w:r>
      <w:r>
        <w:rPr>
          <w:b/>
          <w:bCs/>
        </w:rPr>
        <w:t xml:space="preserve">arbitrage capital has balanced the market</w:t>
      </w:r>
      <w:r>
        <w:t xml:space="preserve">. If we start to see a widening contango again (futures &gt; spot), that’s a sign of speculation heating up – and an opportunity for basis trades. Conversely, backwardation would flash a warning that there’s stress (people paying a premium for spot immediacy, likely to cover shorts or secure physical crypto).</w:t>
      </w:r>
    </w:p>
    <w:p>
      <w:pPr>
        <w:pStyle w:val="Compact"/>
        <w:numPr>
          <w:ilvl w:val="0"/>
          <w:numId w:val="1003"/>
        </w:numPr>
      </w:pPr>
      <w:r>
        <w:rPr>
          <w:b/>
          <w:bCs/>
        </w:rPr>
        <w:t xml:space="preserve">Cross-Venue Spreads:</w:t>
      </w:r>
      <w:r>
        <w:t xml:space="preserve"> </w:t>
      </w:r>
      <w:r>
        <w:t xml:space="preserve">We also watch price spreads between exchanges (e.g., Coinbase vs Binance). These have been tight (usually &lt;0.1%) thanks to arbitrage. During the October panic, some spreads blew out (illustrating arbitrageurs pulling back temporarily). Currently, cross-venue spreads are normal – e.g., U.S. exchanges trade at a slight premium at times (possibly due to higher demand from ETF creations or U.S. retail, offset by arbitrage).</w:t>
      </w:r>
    </w:p>
    <w:p>
      <w:pPr>
        <w:pStyle w:val="FirstParagraph"/>
      </w:pPr>
      <w:r>
        <w:rPr>
          <w:i/>
          <w:iCs/>
        </w:rPr>
        <w:t xml:space="preserve">Implication:</w:t>
      </w:r>
      <w:r>
        <w:t xml:space="preserve"> </w:t>
      </w:r>
      <w:r>
        <w:t xml:space="preserve">With funding and basis tame, there’s no easy arbitrage “free lunch” right now. Earlier in the year, one could earn 5-10% annualized shorting perps and holding spot (basis trade); now that carry is almost nil. This aligns with the cautious regime – no one is over-leveraged long enough to drive a big basis. It also means</w:t>
      </w:r>
      <w:r>
        <w:t xml:space="preserve"> </w:t>
      </w:r>
      <w:r>
        <w:rPr>
          <w:b/>
          <w:bCs/>
        </w:rPr>
        <w:t xml:space="preserve">liquidation cascades are less likely</w:t>
      </w:r>
      <w:r>
        <w:t xml:space="preserve"> </w:t>
      </w:r>
      <w:r>
        <w:t xml:space="preserve">unless funding suddenly swings (which we’d see if, say, price pumps and a crowd of longs pile in).</w:t>
      </w:r>
    </w:p>
    <w:p>
      <w:pPr>
        <w:pStyle w:val="Compact"/>
        <w:numPr>
          <w:ilvl w:val="0"/>
          <w:numId w:val="1004"/>
        </w:numPr>
      </w:pPr>
      <w:r>
        <w:rPr>
          <w:b/>
          <w:bCs/>
        </w:rPr>
        <w:t xml:space="preserve">Liquidations &amp; Leverage Pockets:</w:t>
      </w:r>
      <w:r>
        <w:t xml:space="preserve"> </w:t>
      </w:r>
      <w:r>
        <w:rPr>
          <w:b/>
          <w:bCs/>
        </w:rPr>
        <w:t xml:space="preserve">Why they matter now:</w:t>
      </w:r>
      <w:r>
        <w:t xml:space="preserve"> </w:t>
      </w:r>
      <w:r>
        <w:t xml:space="preserve">The October crash was a case study in how leverage can accelerate declines. Over $19B in positions were force-closed in a day</w:t>
      </w:r>
      <w:hyperlink r:id="rId42">
        <w:r>
          <w:rPr>
            <w:rStyle w:val="Hyperlink"/>
          </w:rPr>
          <w:t xml:space="preserve">[23]</w:t>
        </w:r>
      </w:hyperlink>
      <w:r>
        <w:t xml:space="preserve">, which by itself deepened the sell-off in a vicious cycle. Knowing the</w:t>
      </w:r>
      <w:r>
        <w:t xml:space="preserve"> </w:t>
      </w:r>
      <w:r>
        <w:rPr>
          <w:i/>
          <w:iCs/>
        </w:rPr>
        <w:t xml:space="preserve">approximate leverage in the system</w:t>
      </w:r>
      <w:r>
        <w:t xml:space="preserve"> </w:t>
      </w:r>
      <w:r>
        <w:t xml:space="preserve">tells us how fragile the market is to a shock. Right now, all signs point to</w:t>
      </w:r>
      <w:r>
        <w:t xml:space="preserve"> </w:t>
      </w:r>
      <w:r>
        <w:rPr>
          <w:b/>
          <w:bCs/>
        </w:rPr>
        <w:t xml:space="preserve">reduced leverage</w:t>
      </w:r>
      <w:r>
        <w:t xml:space="preserve">:</w:t>
      </w:r>
    </w:p>
    <w:p>
      <w:pPr>
        <w:pStyle w:val="Compact"/>
        <w:numPr>
          <w:ilvl w:val="0"/>
          <w:numId w:val="1004"/>
        </w:numPr>
      </w:pPr>
      <w:r>
        <w:rPr>
          <w:b/>
          <w:bCs/>
        </w:rPr>
        <w:t xml:space="preserve">Open Interest vs Market Cap:</w:t>
      </w:r>
      <w:r>
        <w:t xml:space="preserve"> </w:t>
      </w:r>
      <w:r>
        <w:t xml:space="preserve">Global BTC futures open interest is about 1.3% of BTC market cap at present (down from ~2%+ pre-crash). That suggests a healthier ratio; in past peaks, OI as % of market cap was very high (meaning lots of leverage relative to asset size).</w:t>
      </w:r>
    </w:p>
    <w:p>
      <w:pPr>
        <w:pStyle w:val="Compact"/>
        <w:numPr>
          <w:ilvl w:val="0"/>
          <w:numId w:val="1004"/>
        </w:numPr>
      </w:pPr>
      <w:r>
        <w:rPr>
          <w:b/>
          <w:bCs/>
        </w:rPr>
        <w:t xml:space="preserve">Estimated Leverage Ratio (on-chain):</w:t>
      </w:r>
      <w:r>
        <w:t xml:space="preserve"> </w:t>
      </w:r>
      <w:r>
        <w:t xml:space="preserve">This metric (open interest divided by reserve) dropped after the crash and remains lower, confirming that many positions were wiped or closed.</w:t>
      </w:r>
    </w:p>
    <w:p>
      <w:pPr>
        <w:pStyle w:val="Compact"/>
        <w:numPr>
          <w:ilvl w:val="0"/>
          <w:numId w:val="1004"/>
        </w:numPr>
      </w:pPr>
      <w:r>
        <w:rPr>
          <w:b/>
          <w:bCs/>
        </w:rPr>
        <w:t xml:space="preserve">Liquidation Levels:</w:t>
      </w:r>
      <w:r>
        <w:t xml:space="preserve"> </w:t>
      </w:r>
      <w:r>
        <w:t xml:space="preserve">We estimate the bulk of remaining leveraged longs have liquidations in the $70K–$75K zone (if price fell there, we’d start triggering a next wave). That level is ~15-20% below current prices. Given daily volatility, that’s not out of reach in a severe move, but it would likely require a strong catalyst. On the upside, short liquidations aren’t a big factor until above ~$100K (where a lot of shorts placed stops).</w:t>
      </w:r>
    </w:p>
    <w:p>
      <w:pPr>
        <w:pStyle w:val="FirstParagraph"/>
      </w:pPr>
      <w:r>
        <w:t xml:space="preserve">The current</w:t>
      </w:r>
      <w:r>
        <w:t xml:space="preserve"> </w:t>
      </w:r>
      <w:r>
        <w:rPr>
          <w:b/>
          <w:bCs/>
        </w:rPr>
        <w:t xml:space="preserve">danger zone</w:t>
      </w:r>
      <w:r>
        <w:t xml:space="preserve"> </w:t>
      </w:r>
      <w:r>
        <w:t xml:space="preserve">would be if BTC rapidly moves &gt;±15% – that’s where remaining levered players get taken out. For now, modest moves aren’t causing big cascades (as seen last week with tiny $3M liquidations on a mild dip)</w:t>
      </w:r>
      <w:hyperlink r:id="rId43">
        <w:r>
          <w:rPr>
            <w:rStyle w:val="Hyperlink"/>
          </w:rPr>
          <w:t xml:space="preserve">[25]</w:t>
        </w:r>
      </w:hyperlink>
      <w:r>
        <w:t xml:space="preserve">. But a self-reinforcing cascade can occur if an external shock pushes price through those clusters of liquidation levels. That’s why we keep close watch on order book liquidity and any build-up in OI/funding.</w:t>
      </w:r>
    </w:p>
    <w:p>
      <w:pPr>
        <w:pStyle w:val="BodyText"/>
      </w:pPr>
      <w:r>
        <w:t xml:space="preserve">To quantify, our risk team runs stress scenarios:</w:t>
      </w:r>
      <w:r>
        <w:t xml:space="preserve"> </w:t>
      </w:r>
      <w:r>
        <w:rPr>
          <w:i/>
          <w:iCs/>
        </w:rPr>
        <w:t xml:space="preserve">If BTC dropped 20% in a day from $89K to ~$71K, we project ~$5B of longs would liquidate</w:t>
      </w:r>
      <w:r>
        <w:t xml:space="preserve">, adding perhaps another 5% of fallout selling – painful but likely contained given exchange risk controls. Similarly, a +20% day would liquidate many shorts but those volumes are smaller (maybe $1–2B). Compared to the $19B day, leverage is clearly lower now. Still,</w:t>
      </w:r>
      <w:r>
        <w:t xml:space="preserve"> </w:t>
      </w:r>
      <w:r>
        <w:rPr>
          <w:b/>
          <w:bCs/>
        </w:rPr>
        <w:t xml:space="preserve">leverage can creep back quickly</w:t>
      </w:r>
      <w:r>
        <w:t xml:space="preserve"> </w:t>
      </w:r>
      <w:r>
        <w:t xml:space="preserve">if the market starts trending – a key thing to monitor as we head into Q1.</w:t>
      </w:r>
    </w:p>
    <w:p>
      <w:pPr>
        <w:pStyle w:val="BodyText"/>
      </w:pPr>
      <w:r>
        <w:rPr>
          <w:b/>
          <w:bCs/>
        </w:rPr>
        <w:t xml:space="preserve">In summary</w:t>
      </w:r>
      <w:r>
        <w:t xml:space="preserve">, the crypto market’s microstructure as we end 2025 is defined by</w:t>
      </w:r>
      <w:r>
        <w:t xml:space="preserve"> </w:t>
      </w:r>
      <w:r>
        <w:rPr>
          <w:b/>
          <w:bCs/>
        </w:rPr>
        <w:t xml:space="preserve">cautious liquidity provisioning, moderate leverage, and quiet derivatives signals</w:t>
      </w:r>
      <w:r>
        <w:t xml:space="preserve">. Bid-ask spreads are low, but</w:t>
      </w:r>
      <w:r>
        <w:t xml:space="preserve"> </w:t>
      </w:r>
      <w:r>
        <w:rPr>
          <w:b/>
          <w:bCs/>
        </w:rPr>
        <w:t xml:space="preserve">market depth is also low</w:t>
      </w:r>
      <w:r>
        <w:t xml:space="preserve">, meaning potential for volatility if a big order hits. Our strategy is to</w:t>
      </w:r>
      <w:r>
        <w:t xml:space="preserve"> </w:t>
      </w:r>
      <w:r>
        <w:rPr>
          <w:b/>
          <w:bCs/>
        </w:rPr>
        <w:t xml:space="preserve">lean on multiple venues and execution algos</w:t>
      </w:r>
      <w:r>
        <w:t xml:space="preserve"> </w:t>
      </w:r>
      <w:r>
        <w:t xml:space="preserve">to work large trades without undue impact. The lack of speculative premium (flat funding/basis) tells us the market is “honest” right now – price is roughly where organic supply/demand puts it, not propped up by leverage. That can change fast with sentiment, so we’re vigilantly watching for any uptick in funding or a drop in liquidity that might presage a</w:t>
      </w:r>
      <w:r>
        <w:t xml:space="preserve"> </w:t>
      </w:r>
      <w:r>
        <w:rPr>
          <w:b/>
          <w:bCs/>
        </w:rPr>
        <w:t xml:space="preserve">regime shift from this low-vol equilibrium</w:t>
      </w:r>
      <w:r>
        <w:t xml:space="preserve">.</w:t>
      </w:r>
    </w:p>
    <w:bookmarkEnd w:id="86"/>
    <w:bookmarkStart w:id="97" w:name="institutional-flows-positioning"/>
    <w:p>
      <w:pPr>
        <w:pStyle w:val="Heading2"/>
      </w:pPr>
      <w:r>
        <w:t xml:space="preserve">3) Institutional Flows &amp; Positioning</w:t>
      </w:r>
    </w:p>
    <w:p>
      <w:pPr>
        <w:pStyle w:val="FirstParagraph"/>
      </w:pPr>
      <w:r>
        <w:rPr>
          <w:b/>
          <w:bCs/>
        </w:rPr>
        <w:t xml:space="preserve">Institutional flows</w:t>
      </w:r>
      <w:r>
        <w:t xml:space="preserve"> </w:t>
      </w:r>
      <w:r>
        <w:t xml:space="preserve">in crypto have been a mixed bag recently – neither a tsunami of new money nor an exodus, but rather nuanced shifts among different players. Let’s break down the key components: ETFs and funds, on-chain vs off-chain flows, stablecoin metrics, and signs of corporate or sovereign activity.</w:t>
      </w:r>
    </w:p>
    <w:p>
      <w:pPr>
        <w:pStyle w:val="Compact"/>
        <w:numPr>
          <w:ilvl w:val="0"/>
          <w:numId w:val="1005"/>
        </w:numPr>
      </w:pPr>
      <w:r>
        <w:rPr>
          <w:b/>
          <w:bCs/>
        </w:rPr>
        <w:t xml:space="preserve">ETF and Fund Flows:</w:t>
      </w:r>
      <w:r>
        <w:t xml:space="preserve"> </w:t>
      </w:r>
      <w:r>
        <w:t xml:space="preserve">After years of anticipation,</w:t>
      </w:r>
      <w:r>
        <w:t xml:space="preserve"> </w:t>
      </w:r>
      <w:r>
        <w:rPr>
          <w:b/>
          <w:bCs/>
        </w:rPr>
        <w:t xml:space="preserve">spot Bitcoin ETFs</w:t>
      </w:r>
      <w:r>
        <w:t xml:space="preserve"> </w:t>
      </w:r>
      <w:r>
        <w:t xml:space="preserve">finally launched in 2025. However, their uptake has underwhelmed bullish expectations. As noted, Q4 saw</w:t>
      </w:r>
      <w:r>
        <w:t xml:space="preserve"> </w:t>
      </w:r>
      <w:r>
        <w:rPr>
          <w:b/>
          <w:bCs/>
        </w:rPr>
        <w:t xml:space="preserve">significant outflows</w:t>
      </w:r>
      <w:r>
        <w:t xml:space="preserve"> </w:t>
      </w:r>
      <w:r>
        <w:t xml:space="preserve">from Bitcoin ETFs – over</w:t>
      </w:r>
      <w:r>
        <w:t xml:space="preserve"> </w:t>
      </w:r>
      <w:r>
        <w:rPr>
          <w:b/>
          <w:bCs/>
        </w:rPr>
        <w:t xml:space="preserve">$1.3B was withdrawn in late Oct/early Nov</w:t>
      </w:r>
      <w:r>
        <w:t xml:space="preserve"> </w:t>
      </w:r>
      <w:r>
        <w:t xml:space="preserve">alone</w:t>
      </w:r>
      <w:hyperlink r:id="rId40">
        <w:r>
          <w:rPr>
            <w:rStyle w:val="Hyperlink"/>
          </w:rPr>
          <w:t xml:space="preserve">[20]</w:t>
        </w:r>
      </w:hyperlink>
      <w:r>
        <w:t xml:space="preserve">. BlackRock’s iShares Bitcoin Trust (IBIT) in particular had days of only redemptions, no inflows</w:t>
      </w:r>
      <w:hyperlink r:id="rId39">
        <w:r>
          <w:rPr>
            <w:rStyle w:val="Hyperlink"/>
          </w:rPr>
          <w:t xml:space="preserve">[69]</w:t>
        </w:r>
      </w:hyperlink>
      <w:r>
        <w:t xml:space="preserve">. This suggests that some institutional investors used the ETF as a convenient way to reduce exposure during the volatility. Total Bitcoin ETP holdings actually fell during the correction, with</w:t>
      </w:r>
      <w:r>
        <w:t xml:space="preserve"> </w:t>
      </w:r>
      <w:r>
        <w:rPr>
          <w:b/>
          <w:bCs/>
        </w:rPr>
        <w:t xml:space="preserve">reported outflows &gt;$3.7B since October</w:t>
      </w:r>
      <w:hyperlink r:id="rId24">
        <w:r>
          <w:rPr>
            <w:rStyle w:val="Hyperlink"/>
          </w:rPr>
          <w:t xml:space="preserve">[4]</w:t>
        </w:r>
      </w:hyperlink>
      <w:r>
        <w:t xml:space="preserve">. Despite that, the ETFs functioned orderly (no NAV dislocations), and none had to halt creations or redemptions</w:t>
      </w:r>
      <w:hyperlink r:id="rId24">
        <w:r>
          <w:rPr>
            <w:rStyle w:val="Hyperlink"/>
          </w:rPr>
          <w:t xml:space="preserve">[22]</w:t>
        </w:r>
      </w:hyperlink>
      <w:r>
        <w:t xml:space="preserve"> </w:t>
      </w:r>
      <w:r>
        <w:t xml:space="preserve">– which is</w:t>
      </w:r>
      <w:r>
        <w:t xml:space="preserve"> </w:t>
      </w:r>
      <w:r>
        <w:rPr>
          <w:i/>
          <w:iCs/>
        </w:rPr>
        <w:t xml:space="preserve">good news from a market structure standpoint</w:t>
      </w:r>
      <w:r>
        <w:t xml:space="preserve">.</w:t>
      </w:r>
    </w:p>
    <w:p>
      <w:pPr>
        <w:pStyle w:val="FirstParagraph"/>
      </w:pPr>
      <w:r>
        <w:rPr>
          <w:b/>
          <w:bCs/>
        </w:rPr>
        <w:t xml:space="preserve">What to watch:</w:t>
      </w:r>
      <w:r>
        <w:t xml:space="preserve"> </w:t>
      </w:r>
      <w:r>
        <w:t xml:space="preserve">If we start seeing consistent weekly inflows into these products, that would mark a regime change back toward accumulation. So far, December has been flat to slightly negative flows. Ethereum futures ETFs (launched earlier) have also seen lukewarm interest.</w:t>
      </w:r>
      <w:r>
        <w:t xml:space="preserve"> </w:t>
      </w:r>
      <w:r>
        <w:rPr>
          <w:b/>
          <w:bCs/>
        </w:rPr>
        <w:t xml:space="preserve">GBTC (Grayscale Bitcoin Trust)</w:t>
      </w:r>
      <w:r>
        <w:t xml:space="preserve"> </w:t>
      </w:r>
      <w:r>
        <w:t xml:space="preserve">remains another barometer – its discount to NAV has narrowed significantly (on speculation of conversion to an ETF, and as BTC price rose). It’s now ~10-15% discount, much better than ~40% a year ago. That narrowing effectively was an “inflow” into that vehicle as arbitrageurs took positions expecting conversion. Any approval for GBTC to convert to an ETF would likely spur significant one-time flow as the discount closes fully.</w:t>
      </w:r>
    </w:p>
    <w:p>
      <w:pPr>
        <w:numPr>
          <w:ilvl w:val="0"/>
          <w:numId w:val="1006"/>
        </w:numPr>
      </w:pPr>
      <w:r>
        <w:rPr>
          <w:b/>
          <w:bCs/>
        </w:rPr>
        <w:t xml:space="preserve">Custody Trends &amp; Off-Exchange Holdings:</w:t>
      </w:r>
      <w:r>
        <w:t xml:space="preserve"> </w:t>
      </w:r>
      <w:r>
        <w:t xml:space="preserve">One notable trend is</w:t>
      </w:r>
      <w:r>
        <w:t xml:space="preserve"> </w:t>
      </w:r>
      <w:r>
        <w:rPr>
          <w:b/>
          <w:bCs/>
        </w:rPr>
        <w:t xml:space="preserve">coins moving to cold storage</w:t>
      </w:r>
      <w:r>
        <w:t xml:space="preserve">. During uncertain times (like November), we saw net outflows from exchanges – investors moving Bitcoin to self-custody or institutional custodians. Glassnode data showed exchange balances of BTC dropped in November by a few percent. This usually indicates HODLing (bullish longer term, as coins in cold storage are less likely to be sold) but can also reduce available liquidity. On the flip side, after the dust settled, some coins have flowed back onto exchanges in December (possibly for year-end rebalancing or selling needs). Additionally,</w:t>
      </w:r>
      <w:r>
        <w:t xml:space="preserve"> </w:t>
      </w:r>
      <w:r>
        <w:rPr>
          <w:b/>
          <w:bCs/>
        </w:rPr>
        <w:t xml:space="preserve">regulated custodians are gaining traction</w:t>
      </w:r>
      <w:r>
        <w:t xml:space="preserve">: e.g., Fidelity Digital Assets and Coinbase Custody have reportedly onboarded new institutional clients, and the OCC’s approval of crypto trust banks (like Circle’s) points to more on-shore custody solutions soon</w:t>
      </w:r>
      <w:hyperlink r:id="rId51">
        <w:r>
          <w:rPr>
            <w:rStyle w:val="Hyperlink"/>
          </w:rPr>
          <w:t xml:space="preserve">[33]</w:t>
        </w:r>
      </w:hyperlink>
      <w:r>
        <w:t xml:space="preserve">. Greater comfort with qualified custodians could encourage institutions that were on the fence to allocate (one reason many waited for ETFs). So custody is evolving toward a</w:t>
      </w:r>
      <w:r>
        <w:t xml:space="preserve"> </w:t>
      </w:r>
      <w:r>
        <w:rPr>
          <w:i/>
          <w:iCs/>
        </w:rPr>
        <w:t xml:space="preserve">bank-like model</w:t>
      </w:r>
      <w:r>
        <w:t xml:space="preserve">, which in turn could affect flows (we might see fewer panicky exchange withdrawals if institutions can keep assets with a trusted custodian through volatility).</w:t>
      </w:r>
    </w:p>
    <w:p>
      <w:pPr>
        <w:numPr>
          <w:ilvl w:val="0"/>
          <w:numId w:val="1006"/>
        </w:numPr>
      </w:pPr>
      <w:r>
        <w:rPr>
          <w:b/>
          <w:bCs/>
        </w:rPr>
        <w:t xml:space="preserve">On-Chain vs Off-Chain Flows:</w:t>
      </w:r>
      <w:r>
        <w:t xml:space="preserve"> </w:t>
      </w:r>
      <w:r>
        <w:t xml:space="preserve">We analyze</w:t>
      </w:r>
      <w:r>
        <w:t xml:space="preserve"> </w:t>
      </w:r>
      <w:r>
        <w:rPr>
          <w:b/>
          <w:bCs/>
        </w:rPr>
        <w:t xml:space="preserve">on-chain flow metrics</w:t>
      </w:r>
      <w:r>
        <w:t xml:space="preserve"> </w:t>
      </w:r>
      <w:r>
        <w:t xml:space="preserve">as a window into non-exchange activity. For Bitcoin, recent on-chain flows indicate:</w:t>
      </w:r>
    </w:p>
    <w:p>
      <w:pPr>
        <w:pStyle w:val="Compact"/>
        <w:numPr>
          <w:ilvl w:val="0"/>
          <w:numId w:val="1006"/>
        </w:numPr>
      </w:pPr>
      <w:r>
        <w:rPr>
          <w:b/>
          <w:bCs/>
        </w:rPr>
        <w:t xml:space="preserve">Long-Term Holders (LTH) taking some profits:</w:t>
      </w:r>
      <w:r>
        <w:t xml:space="preserve"> </w:t>
      </w:r>
      <w:r>
        <w:t xml:space="preserve">Long-term holder supply (coins held &gt;6m) saw a modest decline, implying some old hands sold into strength above $100K. Glassnode noted “significant profit-taking by long-term holders” during the rally</w:t>
      </w:r>
      <w:hyperlink r:id="rId87">
        <w:r>
          <w:rPr>
            <w:rStyle w:val="Hyperlink"/>
          </w:rPr>
          <w:t xml:space="preserve">[70]</w:t>
        </w:r>
      </w:hyperlink>
      <w:r>
        <w:t xml:space="preserve">. This is typical late-cycle behavior – old wallets lighten up as price goes euphoric. It wasn’t extreme, but it contributed to overhead supply.</w:t>
      </w:r>
    </w:p>
    <w:p>
      <w:pPr>
        <w:pStyle w:val="Compact"/>
        <w:numPr>
          <w:ilvl w:val="0"/>
          <w:numId w:val="1006"/>
        </w:numPr>
      </w:pPr>
      <w:r>
        <w:rPr>
          <w:b/>
          <w:bCs/>
        </w:rPr>
        <w:t xml:space="preserve">Short-Term Holders (STH) capitulation then rotation:</w:t>
      </w:r>
      <w:r>
        <w:t xml:space="preserve"> </w:t>
      </w:r>
      <w:r>
        <w:t xml:space="preserve">As the price fell, many short-term holders who bought near the top capitulated. CryptoQuant data showed STH realized prices around $107K, and those holders sold as BTC dipped below their cost basis</w:t>
      </w:r>
      <w:hyperlink r:id="rId88">
        <w:r>
          <w:rPr>
            <w:rStyle w:val="Hyperlink"/>
          </w:rPr>
          <w:t xml:space="preserve">[71]</w:t>
        </w:r>
      </w:hyperlink>
      <w:hyperlink r:id="rId89">
        <w:r>
          <w:rPr>
            <w:rStyle w:val="Hyperlink"/>
          </w:rPr>
          <w:t xml:space="preserve">[72]</w:t>
        </w:r>
      </w:hyperlink>
      <w:r>
        <w:t xml:space="preserve">. Interestingly, some so-called “smart money” mid-term holders (3–6 month cohort) started accumulating on the dip</w:t>
      </w:r>
      <w:hyperlink r:id="rId90">
        <w:r>
          <w:rPr>
            <w:rStyle w:val="Hyperlink"/>
          </w:rPr>
          <w:t xml:space="preserve">[73]</w:t>
        </w:r>
      </w:hyperlink>
      <w:r>
        <w:t xml:space="preserve"> </w:t>
      </w:r>
      <w:r>
        <w:t xml:space="preserve">– implying that more experienced traders saw ~$90K as a buy opportunity while weak hands exited.</w:t>
      </w:r>
    </w:p>
    <w:p>
      <w:pPr>
        <w:pStyle w:val="Compact"/>
        <w:numPr>
          <w:ilvl w:val="0"/>
          <w:numId w:val="1006"/>
        </w:numPr>
      </w:pPr>
      <w:r>
        <w:rPr>
          <w:b/>
          <w:bCs/>
        </w:rPr>
        <w:t xml:space="preserve">Exchange flow:</w:t>
      </w:r>
      <w:r>
        <w:t xml:space="preserve"> </w:t>
      </w:r>
      <w:r>
        <w:t xml:space="preserve">Net flows to exchanges spiked during the sell-off (BTC moving to exchanges to be sold) and have since normalized to slight outflows (coins moving off exchanges). Right now, nothing alarming – net flow is about flat, meaning equal appetite for selling and self-custody.</w:t>
      </w:r>
    </w:p>
    <w:p>
      <w:pPr>
        <w:pStyle w:val="FirstParagraph"/>
      </w:pPr>
      <w:r>
        <w:rPr>
          <w:b/>
          <w:bCs/>
        </w:rPr>
        <w:t xml:space="preserve">Off-chain flows:</w:t>
      </w:r>
      <w:r>
        <w:t xml:space="preserve"> </w:t>
      </w:r>
      <w:r>
        <w:t xml:space="preserve">These include things like CME futures positioning and lending markets. At CME, CFTC Commitment of Traders reports can give a hint: in late Nov, leveraged funds were net short (hedging), while asset managers had a record long position (likely via the new ETFs). This dynamic of hedgers vs long-only flows is something we monitor – any unwind of hedges or long rollovers at quarter-end could create flow. Another off-chain flow is stablecoin movement between exchanges: we saw USDC and USDT move into exchanges in late Nov (dry powder being deployed to buy the dip), then stablecoin balances falling as those funds were either used or withdrawn</w:t>
      </w:r>
      <w:hyperlink r:id="rId38">
        <w:r>
          <w:rPr>
            <w:rStyle w:val="Hyperlink"/>
          </w:rPr>
          <w:t xml:space="preserve">[18]</w:t>
        </w:r>
      </w:hyperlink>
      <w:r>
        <w:t xml:space="preserve">. So some rotation happened: stablecoins were used to buy BTC in the &lt;$95K range, and those BTC may have gone to cold storage as price recovered to ~$100K before dropping again.</w:t>
      </w:r>
    </w:p>
    <w:p>
      <w:pPr>
        <w:pStyle w:val="Compact"/>
        <w:numPr>
          <w:ilvl w:val="0"/>
          <w:numId w:val="1007"/>
        </w:numPr>
      </w:pPr>
      <w:r>
        <w:rPr>
          <w:b/>
          <w:bCs/>
        </w:rPr>
        <w:t xml:space="preserve">Stablecoin Supply &amp; Flow Implications:</w:t>
      </w:r>
      <w:r>
        <w:t xml:space="preserve"> </w:t>
      </w:r>
      <w:r>
        <w:rPr>
          <w:b/>
          <w:bCs/>
        </w:rPr>
        <w:t xml:space="preserve">Stablecoins are the lifeblood of crypto liquidity</w:t>
      </w:r>
      <w:r>
        <w:t xml:space="preserve">, and their trends are telling. As highlighted, the overall stablecoin market cap has been flat around ~$290B for weeks</w:t>
      </w:r>
      <w:hyperlink r:id="rId66">
        <w:r>
          <w:rPr>
            <w:rStyle w:val="Hyperlink"/>
          </w:rPr>
          <w:t xml:space="preserve">[48]</w:t>
        </w:r>
      </w:hyperlink>
      <w:r>
        <w:t xml:space="preserve">. USDT remains king with over $174B.</w:t>
      </w:r>
      <w:r>
        <w:t xml:space="preserve"> </w:t>
      </w:r>
      <w:r>
        <w:rPr>
          <w:b/>
          <w:bCs/>
        </w:rPr>
        <w:t xml:space="preserve">USDC</w:t>
      </w:r>
      <w:r>
        <w:t xml:space="preserve"> </w:t>
      </w:r>
      <w:r>
        <w:t xml:space="preserve">had been declining earlier in the year (after the banking issues in March 2023) but recovered somewhat; it’s about $60B now</w:t>
      </w:r>
      <w:hyperlink r:id="rId53">
        <w:r>
          <w:rPr>
            <w:rStyle w:val="Hyperlink"/>
          </w:rPr>
          <w:t xml:space="preserve">[35]</w:t>
        </w:r>
      </w:hyperlink>
      <w:r>
        <w:t xml:space="preserve">. Notably,</w:t>
      </w:r>
      <w:r>
        <w:t xml:space="preserve"> </w:t>
      </w:r>
      <w:r>
        <w:rPr>
          <w:b/>
          <w:bCs/>
        </w:rPr>
        <w:t xml:space="preserve">Tether’s reserves</w:t>
      </w:r>
      <w:r>
        <w:t xml:space="preserve"> </w:t>
      </w:r>
      <w:r>
        <w:t xml:space="preserve">strategy (buying BTC with some profits) means an</w:t>
      </w:r>
      <w:r>
        <w:t xml:space="preserve"> </w:t>
      </w:r>
      <w:r>
        <w:rPr>
          <w:i/>
          <w:iCs/>
        </w:rPr>
        <w:t xml:space="preserve">indirect flow</w:t>
      </w:r>
      <w:r>
        <w:t xml:space="preserve">: when Tether adds BTC to reserves, it effectively removes that BTC from circulating supply, which can be supportive. Tether now holds ~100K BTC in reserves</w:t>
      </w:r>
      <w:hyperlink r:id="rId91">
        <w:r>
          <w:rPr>
            <w:rStyle w:val="Hyperlink"/>
          </w:rPr>
          <w:t xml:space="preserve">[74]</w:t>
        </w:r>
      </w:hyperlink>
      <w:r>
        <w:t xml:space="preserve">. This quarter, Tether’s BTC holdings increased (contributing to the $5B unrealized profit figure)</w:t>
      </w:r>
      <w:hyperlink r:id="rId56">
        <w:r>
          <w:rPr>
            <w:rStyle w:val="Hyperlink"/>
          </w:rPr>
          <w:t xml:space="preserve">[38]</w:t>
        </w:r>
      </w:hyperlink>
      <w:r>
        <w:t xml:space="preserve">.</w:t>
      </w:r>
    </w:p>
    <w:p>
      <w:pPr>
        <w:pStyle w:val="FirstParagraph"/>
      </w:pPr>
      <w:r>
        <w:t xml:space="preserve">For</w:t>
      </w:r>
      <w:r>
        <w:t xml:space="preserve"> </w:t>
      </w:r>
      <w:r>
        <w:rPr>
          <w:b/>
          <w:bCs/>
        </w:rPr>
        <w:t xml:space="preserve">marginal liquidity</w:t>
      </w:r>
      <w:r>
        <w:t xml:space="preserve">: stablecoin issuance usually precedes market rallies (fresh stablecoins signal new money). Right now,</w:t>
      </w:r>
      <w:r>
        <w:t xml:space="preserve"> </w:t>
      </w:r>
      <w:r>
        <w:rPr>
          <w:b/>
          <w:bCs/>
        </w:rPr>
        <w:t xml:space="preserve">issuance is muted</w:t>
      </w:r>
      <w:r>
        <w:t xml:space="preserve"> </w:t>
      </w:r>
      <w:r>
        <w:t xml:space="preserve">– e.g., Q3 saw +$17B USDT minted, but Q4 to date only a few billion</w:t>
      </w:r>
      <w:hyperlink r:id="rId53">
        <w:r>
          <w:rPr>
            <w:rStyle w:val="Hyperlink"/>
          </w:rPr>
          <w:t xml:space="preserve">[35]</w:t>
        </w:r>
      </w:hyperlink>
      <w:r>
        <w:t xml:space="preserve">. In fact, over the past month USDT in circulation ticked</w:t>
      </w:r>
      <w:r>
        <w:t xml:space="preserve"> </w:t>
      </w:r>
      <w:r>
        <w:rPr>
          <w:i/>
          <w:iCs/>
        </w:rPr>
        <w:t xml:space="preserve">down</w:t>
      </w:r>
      <w:r>
        <w:t xml:space="preserve"> </w:t>
      </w:r>
      <w:r>
        <w:t xml:space="preserve">slightly (perhaps some redemptions by traders exiting positions)</w:t>
      </w:r>
      <w:hyperlink r:id="rId37">
        <w:r>
          <w:rPr>
            <w:rStyle w:val="Hyperlink"/>
          </w:rPr>
          <w:t xml:space="preserve">[17]</w:t>
        </w:r>
      </w:hyperlink>
      <w:r>
        <w:t xml:space="preserve">.</w:t>
      </w:r>
      <w:r>
        <w:t xml:space="preserve"> </w:t>
      </w:r>
      <w:r>
        <w:rPr>
          <w:b/>
          <w:bCs/>
        </w:rPr>
        <w:t xml:space="preserve">The implication</w:t>
      </w:r>
      <w:r>
        <w:t xml:space="preserve"> </w:t>
      </w:r>
      <w:r>
        <w:t xml:space="preserve">is that unless we see renewed stablecoin growth (or other fiat on-ramps surging), we shouldn’t expect a powerful sustained rally – the fuel isn’t there yet. On the positive side,</w:t>
      </w:r>
      <w:r>
        <w:t xml:space="preserve"> </w:t>
      </w:r>
      <w:r>
        <w:rPr>
          <w:b/>
          <w:bCs/>
        </w:rPr>
        <w:t xml:space="preserve">stablecoin “dry powder” remains near record highs</w:t>
      </w:r>
      <w:r>
        <w:t xml:space="preserve">: exchange stablecoin reserves hit ~$80B then only fell to ~$71B during the recent BTC run-up</w:t>
      </w:r>
      <w:hyperlink r:id="rId38">
        <w:r>
          <w:rPr>
            <w:rStyle w:val="Hyperlink"/>
          </w:rPr>
          <w:t xml:space="preserve">[18]</w:t>
        </w:r>
      </w:hyperlink>
      <w:r>
        <w:t xml:space="preserve">. Many holders opted not to deploy, waiting for lower prices or clarity</w:t>
      </w:r>
      <w:hyperlink r:id="rId92">
        <w:r>
          <w:rPr>
            <w:rStyle w:val="Hyperlink"/>
          </w:rPr>
          <w:t xml:space="preserve">[75]</w:t>
        </w:r>
      </w:hyperlink>
      <w:r>
        <w:t xml:space="preserve">. This sets up potential energy: if something flips sentiment to bullish, that capital can rush in. Conversely, if fear strikes, those stablecoins can stay sidelined or even be redeemed to cash, hurting liquidity. We monitor stablecoin net issuance daily as a leading indicator.</w:t>
      </w:r>
    </w:p>
    <w:p>
      <w:pPr>
        <w:pStyle w:val="Compact"/>
        <w:numPr>
          <w:ilvl w:val="0"/>
          <w:numId w:val="1008"/>
        </w:numPr>
      </w:pPr>
      <w:r>
        <w:rPr>
          <w:b/>
          <w:bCs/>
        </w:rPr>
        <w:t xml:space="preserve">Evidence of Corporate/Sovereign Activity:</w:t>
      </w:r>
    </w:p>
    <w:p>
      <w:pPr>
        <w:pStyle w:val="Compact"/>
        <w:numPr>
          <w:ilvl w:val="0"/>
          <w:numId w:val="1008"/>
        </w:numPr>
      </w:pPr>
      <w:r>
        <w:rPr>
          <w:b/>
          <w:bCs/>
        </w:rPr>
        <w:t xml:space="preserve">Public Corporates:</w:t>
      </w:r>
      <w:r>
        <w:t xml:space="preserve"> </w:t>
      </w:r>
      <w:r>
        <w:t xml:space="preserve">The poster child is still</w:t>
      </w:r>
      <w:r>
        <w:t xml:space="preserve"> </w:t>
      </w:r>
      <w:r>
        <w:rPr>
          <w:b/>
          <w:bCs/>
        </w:rPr>
        <w:t xml:space="preserve">Strategy Inc. (MSTR)</w:t>
      </w:r>
      <w:r>
        <w:t xml:space="preserve"> </w:t>
      </w:r>
      <w:r>
        <w:t xml:space="preserve">– now holding</w:t>
      </w:r>
      <w:r>
        <w:t xml:space="preserve"> </w:t>
      </w:r>
      <w:r>
        <w:rPr>
          <w:b/>
          <w:bCs/>
        </w:rPr>
        <w:t xml:space="preserve">640,808 BTC</w:t>
      </w:r>
      <w:r>
        <w:t xml:space="preserve"> </w:t>
      </w:r>
      <w:r>
        <w:t xml:space="preserve">on its balance sheet (≈$47.4B cost)</w:t>
      </w:r>
      <w:hyperlink r:id="rId59">
        <w:r>
          <w:rPr>
            <w:rStyle w:val="Hyperlink"/>
          </w:rPr>
          <w:t xml:space="preserve">[41]</w:t>
        </w:r>
      </w:hyperlink>
      <w:r>
        <w:t xml:space="preserve">. They issued debt/equity to raise $20B YTD and kept accumulating</w:t>
      </w:r>
      <w:hyperlink r:id="rId93">
        <w:r>
          <w:rPr>
            <w:rStyle w:val="Hyperlink"/>
          </w:rPr>
          <w:t xml:space="preserve">[76]</w:t>
        </w:r>
      </w:hyperlink>
      <w:r>
        <w:t xml:space="preserve">. This aggressive corporate buying is unique to Saylor’s firm. Other corporates like</w:t>
      </w:r>
      <w:r>
        <w:t xml:space="preserve"> </w:t>
      </w:r>
      <w:r>
        <w:rPr>
          <w:b/>
          <w:bCs/>
        </w:rPr>
        <w:t xml:space="preserve">Tesla</w:t>
      </w:r>
      <w:r>
        <w:t xml:space="preserve"> </w:t>
      </w:r>
      <w:r>
        <w:t xml:space="preserve">(11,509 BTC held) did not add or sell this year</w:t>
      </w:r>
      <w:hyperlink r:id="rId62">
        <w:r>
          <w:rPr>
            <w:rStyle w:val="Hyperlink"/>
          </w:rPr>
          <w:t xml:space="preserve">[44]</w:t>
        </w:r>
      </w:hyperlink>
      <w:r>
        <w:t xml:space="preserve">; they’re simply holding, implying a long-term view.</w:t>
      </w:r>
      <w:r>
        <w:t xml:space="preserve"> </w:t>
      </w:r>
      <w:r>
        <w:rPr>
          <w:b/>
          <w:bCs/>
        </w:rPr>
        <w:t xml:space="preserve">MicroStrategy’s moves have become a significant source of demand</w:t>
      </w:r>
      <w:r>
        <w:t xml:space="preserve"> </w:t>
      </w:r>
      <w:r>
        <w:t xml:space="preserve">on dips – e.g., in mid-Dec, they reportedly bought over 10,000 BTC in a week</w:t>
      </w:r>
      <w:hyperlink r:id="rId94">
        <w:r>
          <w:rPr>
            <w:rStyle w:val="Hyperlink"/>
          </w:rPr>
          <w:t xml:space="preserve">[77]</w:t>
        </w:r>
      </w:hyperlink>
      <w:r>
        <w:t xml:space="preserve">. That kind of size means they represent a backstop bid in the market (with ~0.5-1% of supply, they materially affect flows when active). We also hear anecdotal evidence of other corporates nibbling (a few smaller tech firms announcing small BTC allocations, etc.), but nothing on MSTR/Tesla scale.</w:t>
      </w:r>
    </w:p>
    <w:p>
      <w:pPr>
        <w:pStyle w:val="Compact"/>
        <w:numPr>
          <w:ilvl w:val="0"/>
          <w:numId w:val="1008"/>
        </w:numPr>
      </w:pPr>
      <w:r>
        <w:rPr>
          <w:b/>
          <w:bCs/>
        </w:rPr>
        <w:t xml:space="preserve">Traditional Finance Firms:</w:t>
      </w:r>
      <w:r>
        <w:t xml:space="preserve"> </w:t>
      </w:r>
      <w:r>
        <w:t xml:space="preserve">Some TradFi firms have indirect exposure. For instance,</w:t>
      </w:r>
      <w:r>
        <w:t xml:space="preserve"> </w:t>
      </w:r>
      <w:r>
        <w:rPr>
          <w:b/>
          <w:bCs/>
        </w:rPr>
        <w:t xml:space="preserve">BlackRock</w:t>
      </w:r>
      <w:r>
        <w:t xml:space="preserve"> </w:t>
      </w:r>
      <w:r>
        <w:t xml:space="preserve">doesn’t hold Bitcoin on its balance sheet, but the launch of its ETF (and associated seed capital) meant it had to source BTC (likely via an AP). Similarly, Fidelity and Invesco’s involvement in ETFs and trusts leads to flows but those are covered under fund flows. Banks like Standard Chartered have crypto units (SC Ventures invests in crypto companies, etc.), and Nomura’s Laser Digital is actively trading – but these are more on the service side than directional exposure. If anything, TradFi firms provide infrastructure that facilitates client flows (which we see in custodial data more than on-chain).</w:t>
      </w:r>
    </w:p>
    <w:p>
      <w:pPr>
        <w:pStyle w:val="Compact"/>
        <w:numPr>
          <w:ilvl w:val="0"/>
          <w:numId w:val="1008"/>
        </w:numPr>
      </w:pPr>
      <w:r>
        <w:rPr>
          <w:b/>
          <w:bCs/>
        </w:rPr>
        <w:t xml:space="preserve">Miners:</w:t>
      </w:r>
      <w:r>
        <w:t xml:space="preserve"> </w:t>
      </w:r>
      <w:r>
        <w:t xml:space="preserve">As quasi-corporates, miners’ positioning matters.</w:t>
      </w:r>
      <w:r>
        <w:t xml:space="preserve"> </w:t>
      </w:r>
      <w:r>
        <w:rPr>
          <w:b/>
          <w:bCs/>
        </w:rPr>
        <w:t xml:space="preserve">Marathon and Riot</w:t>
      </w:r>
      <w:r>
        <w:t xml:space="preserve">, two largest U.S. miners, collectively hold ~72K BTC (Marathon ~52.8K, Riot ~19.3K)</w:t>
      </w:r>
      <w:hyperlink r:id="rId63">
        <w:r>
          <w:rPr>
            <w:rStyle w:val="Hyperlink"/>
          </w:rPr>
          <w:t xml:space="preserve">[45]</w:t>
        </w:r>
      </w:hyperlink>
      <w:hyperlink r:id="rId95">
        <w:r>
          <w:rPr>
            <w:rStyle w:val="Hyperlink"/>
          </w:rPr>
          <w:t xml:space="preserve">[78]</w:t>
        </w:r>
      </w:hyperlink>
      <w:r>
        <w:t xml:space="preserve">. Miners were accumulating earlier in 2025 (banking coins to improve balance sheets after 2022), but in Q4 some started selling a portion of monthly production to lock in cash. Marathon, for example, sold a bit in October’s rally (their holdings ticked down from peak). Still, miners overall are not in distress – hash rate is at all-time highs, and most large miners are managing to hold a good portion of mined BTC. If price stays in the $80K-$100K range, we expect miners will continue gradual selling (to cover opex and interest) but not a flood.</w:t>
      </w:r>
      <w:r>
        <w:t xml:space="preserve"> </w:t>
      </w:r>
      <w:r>
        <w:rPr>
          <w:i/>
          <w:iCs/>
        </w:rPr>
        <w:t xml:space="preserve">Red flag to watch:</w:t>
      </w:r>
      <w:r>
        <w:t xml:space="preserve"> </w:t>
      </w:r>
      <w:r>
        <w:t xml:space="preserve">if BTC falls near breakeven cost (maybe ~$40K–$50K for higher-cost miners), that could force more selling or even capitulation from weaker miners, adding supply.</w:t>
      </w:r>
    </w:p>
    <w:p>
      <w:pPr>
        <w:pStyle w:val="Compact"/>
        <w:numPr>
          <w:ilvl w:val="0"/>
          <w:numId w:val="1008"/>
        </w:numPr>
      </w:pPr>
      <w:r>
        <w:rPr>
          <w:b/>
          <w:bCs/>
        </w:rPr>
        <w:t xml:space="preserve">Sovereigns:</w:t>
      </w:r>
      <w:r>
        <w:t xml:space="preserve"> </w:t>
      </w:r>
      <w:r>
        <w:t xml:space="preserve">Direct sovereign crypto buying is limited but not zero. El Salvador famously holds BTC (they bought ~2,381 BTC over time). That’s small (~$210M worth) but symbolically significant. They haven’t sold and actually did some minor additional buys (dollar-cost-averaging 1 BTC per day for a period). Other sovereign-like players include some</w:t>
      </w:r>
      <w:r>
        <w:t xml:space="preserve"> </w:t>
      </w:r>
      <w:r>
        <w:rPr>
          <w:b/>
          <w:bCs/>
        </w:rPr>
        <w:t xml:space="preserve">Gulf wealth funds</w:t>
      </w:r>
      <w:r>
        <w:t xml:space="preserve"> </w:t>
      </w:r>
      <w:r>
        <w:t xml:space="preserve">reportedly dipping into crypto equity investments (e.g., Saudi and UAE funds investing in crypto companies). We haven’t seen evidence of central banks buying crypto (except rumors around small countries), which would be a game changer. China’s stance is still closed domestically, but Hong Kong’s policy shift effectively channels Chinese capital into crypto via regulated exchanges, which could be a stealth flow. No hard data yet on state-level flows beyond El Salvador.</w:t>
      </w:r>
    </w:p>
    <w:p>
      <w:pPr>
        <w:numPr>
          <w:ilvl w:val="0"/>
          <w:numId w:val="1008"/>
        </w:numPr>
      </w:pPr>
      <w:r>
        <w:rPr>
          <w:b/>
          <w:bCs/>
        </w:rPr>
        <w:t xml:space="preserve">Hedge Funds and Family Offices:</w:t>
      </w:r>
      <w:r>
        <w:t xml:space="preserve"> </w:t>
      </w:r>
      <w:r>
        <w:t xml:space="preserve">These aren’t “firms with balance sheet exposure” in the same way, but are key flow drivers. Many crypto hedge funds de-risked after the October volatility. We track exchange leaderboards and prime broker data that suggest</w:t>
      </w:r>
      <w:r>
        <w:t xml:space="preserve"> </w:t>
      </w:r>
      <w:r>
        <w:rPr>
          <w:b/>
          <w:bCs/>
        </w:rPr>
        <w:t xml:space="preserve">net positioning by crypto-native funds is now slightly short</w:t>
      </w:r>
      <w:r>
        <w:t xml:space="preserve"> </w:t>
      </w:r>
      <w:r>
        <w:t xml:space="preserve">(they’re running market-neutral or short-bias into year-end). Macro hedge funds that dabble in BTC seem flat or small long after taking profits. This group could re-enter on either side with size in early 2026 – they’re agile and will follow momentum.</w:t>
      </w:r>
    </w:p>
    <w:p>
      <w:pPr>
        <w:numPr>
          <w:ilvl w:val="0"/>
          <w:numId w:val="1008"/>
        </w:numPr>
      </w:pPr>
      <w:r>
        <w:rPr>
          <w:b/>
          <w:bCs/>
        </w:rPr>
        <w:t xml:space="preserve">Overall Positioning Summary:</w:t>
      </w:r>
      <w:r>
        <w:t xml:space="preserve"> </w:t>
      </w:r>
      <w:r>
        <w:t xml:space="preserve">Positioning is</w:t>
      </w:r>
      <w:r>
        <w:t xml:space="preserve"> </w:t>
      </w:r>
      <w:r>
        <w:rPr>
          <w:b/>
          <w:bCs/>
        </w:rPr>
        <w:t xml:space="preserve">cautious but not uniformly bearish</w:t>
      </w:r>
      <w:r>
        <w:t xml:space="preserve">. The absence of strong inflows means investors are waiting on clarity. The</w:t>
      </w:r>
      <w:r>
        <w:t xml:space="preserve"> </w:t>
      </w:r>
      <w:r>
        <w:rPr>
          <w:b/>
          <w:bCs/>
        </w:rPr>
        <w:t xml:space="preserve">derivatives positioning</w:t>
      </w:r>
      <w:r>
        <w:t xml:space="preserve"> </w:t>
      </w:r>
      <w:r>
        <w:t xml:space="preserve">(neutral funding, low leverage) suggests neither exuberance nor panic – more of a hedged, wait-and-see stance. Large institutions that wanted exposure likely got it via the new ETFs earlier in the year; some have trimmed exposure since. Meanwhile, crypto-native institutions (funds, treasuries like Tether, etc.) have been opportunistic – e.g.,</w:t>
      </w:r>
      <w:r>
        <w:t xml:space="preserve"> </w:t>
      </w:r>
      <w:r>
        <w:rPr>
          <w:b/>
          <w:bCs/>
        </w:rPr>
        <w:t xml:space="preserve">Tether allocating some of its profits into BTC</w:t>
      </w:r>
      <w:r>
        <w:t xml:space="preserve"> </w:t>
      </w:r>
      <w:r>
        <w:t xml:space="preserve">is effectively a steady buy flow (they announced intent to allocate up to ~15% of profits into BTC in 2023, which they did – now holding ~$9.9B BTC</w:t>
      </w:r>
      <w:hyperlink r:id="rId56">
        <w:r>
          <w:rPr>
            <w:rStyle w:val="Hyperlink"/>
          </w:rPr>
          <w:t xml:space="preserve">[38]</w:t>
        </w:r>
      </w:hyperlink>
      <w:r>
        <w:t xml:space="preserve">).</w:t>
      </w:r>
      <w:r>
        <w:t xml:space="preserve"> </w:t>
      </w:r>
      <w:r>
        <w:rPr>
          <w:b/>
          <w:bCs/>
        </w:rPr>
        <w:t xml:space="preserve">Corporate treasuries</w:t>
      </w:r>
      <w:r>
        <w:t xml:space="preserve"> </w:t>
      </w:r>
      <w:r>
        <w:t xml:space="preserve">beyond Saylor remain a mostly untapped source of demand, but with regulatory clarity improving (and examples like Tesla/Strategy proving viability), we may see more follow in 2026.</w:t>
      </w:r>
    </w:p>
    <w:p>
      <w:pPr>
        <w:pStyle w:val="FirstParagraph"/>
      </w:pPr>
      <w:r>
        <w:t xml:space="preserve">One thing to highlight:</w:t>
      </w:r>
      <w:r>
        <w:t xml:space="preserve"> </w:t>
      </w:r>
      <w:r>
        <w:rPr>
          <w:b/>
          <w:bCs/>
        </w:rPr>
        <w:t xml:space="preserve">divergence in behavior</w:t>
      </w:r>
      <w:r>
        <w:t xml:space="preserve"> </w:t>
      </w:r>
      <w:r>
        <w:t xml:space="preserve">– as MEXC’s analysis put it, some institutions used the pullback as an opportunity to</w:t>
      </w:r>
      <w:r>
        <w:t xml:space="preserve"> </w:t>
      </w:r>
      <w:r>
        <w:rPr>
          <w:b/>
          <w:bCs/>
        </w:rPr>
        <w:t xml:space="preserve">accumulate</w:t>
      </w:r>
      <w:r>
        <w:t xml:space="preserve">, while others reduced risk to manage liquidity or leverage</w:t>
      </w:r>
      <w:hyperlink r:id="rId96">
        <w:r>
          <w:rPr>
            <w:rStyle w:val="Hyperlink"/>
          </w:rPr>
          <w:t xml:space="preserve">[79]</w:t>
        </w:r>
      </w:hyperlink>
      <w:r>
        <w:t xml:space="preserve">. This differentiation is healthy and points to a two-sided market (which is why we haven’t crashed further; buyers emerged). For instance, some Asia-based corporates reportedly bought BTC through OTC desks around $90K (unverified, but reflected in regional OTC volumes uptick). On the other hand, certain leveraged trading shops closed positions, visible in futures OI drop.</w:t>
      </w:r>
    </w:p>
    <w:p>
      <w:pPr>
        <w:pStyle w:val="BodyText"/>
      </w:pPr>
      <w:r>
        <w:rPr>
          <w:b/>
          <w:bCs/>
        </w:rPr>
        <w:t xml:space="preserve">Implications for us:</w:t>
      </w:r>
      <w:r>
        <w:t xml:space="preserve"> </w:t>
      </w:r>
      <w:r>
        <w:t xml:space="preserve">We should align our strategy with these flow realities. With</w:t>
      </w:r>
      <w:r>
        <w:t xml:space="preserve"> </w:t>
      </w:r>
      <w:r>
        <w:rPr>
          <w:b/>
          <w:bCs/>
        </w:rPr>
        <w:t xml:space="preserve">ETF flows soft and stablecoin stagnation</w:t>
      </w:r>
      <w:r>
        <w:t xml:space="preserve">, we can’t count on a tidal wave of new money near-term – our base case should be range trading and selective positioning. However, the latent capacity (stablecoins, institutional dry powder) means any credible bullish catalyst could ramp up flows quickly. Risk management-wise, the relatively low leverage in the system now reduces tail risk of forced selling, but also means any rally might</w:t>
      </w:r>
      <w:r>
        <w:t xml:space="preserve"> </w:t>
      </w:r>
      <w:r>
        <w:rPr>
          <w:i/>
          <w:iCs/>
        </w:rPr>
        <w:t xml:space="preserve">need fresh buyers</w:t>
      </w:r>
      <w:r>
        <w:t xml:space="preserve"> </w:t>
      </w:r>
      <w:r>
        <w:t xml:space="preserve">(short squeeze fuel is limited since shorts aren’t huge either). We continue monitoring</w:t>
      </w:r>
      <w:r>
        <w:t xml:space="preserve"> </w:t>
      </w:r>
      <w:r>
        <w:rPr>
          <w:b/>
          <w:bCs/>
        </w:rPr>
        <w:t xml:space="preserve">fund flows (ETF weekly reports, fund AUM changes), stablecoin issuance/redemptions daily, and on-chain LTH/STH behavior</w:t>
      </w:r>
      <w:r>
        <w:t xml:space="preserve"> </w:t>
      </w:r>
      <w:r>
        <w:t xml:space="preserve">to gauge when the next wave of significant positioning shift might occur.</w:t>
      </w:r>
    </w:p>
    <w:bookmarkEnd w:id="97"/>
    <w:bookmarkStart w:id="98" w:name="forecasting-framework-not-vibes"/>
    <w:p>
      <w:pPr>
        <w:pStyle w:val="Heading2"/>
      </w:pPr>
      <w:r>
        <w:t xml:space="preserve">4) Forecasting Framework (not vibes)</w:t>
      </w:r>
    </w:p>
    <w:p>
      <w:pPr>
        <w:pStyle w:val="FirstParagraph"/>
      </w:pPr>
      <w:r>
        <w:t xml:space="preserve">Given the interplay of macro and crypto-native factors, we need a</w:t>
      </w:r>
      <w:r>
        <w:t xml:space="preserve"> </w:t>
      </w:r>
      <w:r>
        <w:rPr>
          <w:b/>
          <w:bCs/>
        </w:rPr>
        <w:t xml:space="preserve">repeatable, data-driven forecasting system</w:t>
      </w:r>
      <w:r>
        <w:t xml:space="preserve"> </w:t>
      </w:r>
      <w:r>
        <w:t xml:space="preserve">to navigate the market. Here we outline our proposed framework for forecasting crypto markets, which combines regime classification with factor modeling and scenario analysis.</w:t>
      </w:r>
    </w:p>
    <w:p>
      <w:pPr>
        <w:pStyle w:val="BodyText"/>
      </w:pPr>
      <w:r>
        <w:rPr>
          <w:b/>
          <w:bCs/>
        </w:rPr>
        <w:t xml:space="preserve">State Variables:</w:t>
      </w:r>
      <w:r>
        <w:t xml:space="preserve"> </w:t>
      </w:r>
      <w:r>
        <w:t xml:space="preserve">We first define key</w:t>
      </w:r>
      <w:r>
        <w:t xml:space="preserve"> </w:t>
      </w:r>
      <w:r>
        <w:rPr>
          <w:b/>
          <w:bCs/>
        </w:rPr>
        <w:t xml:space="preserve">state variables</w:t>
      </w:r>
      <w:r>
        <w:t xml:space="preserve"> </w:t>
      </w:r>
      <w:r>
        <w:t xml:space="preserve">– both macro and crypto-specific – that historically influence crypto price direction and volatility. Each is chosen for a clear reason:</w:t>
      </w:r>
      <w:r>
        <w:t xml:space="preserve"> </w:t>
      </w:r>
      <w:r>
        <w:t xml:space="preserve">-</w:t>
      </w:r>
      <w:r>
        <w:t xml:space="preserve"> </w:t>
      </w:r>
      <w:r>
        <w:rPr>
          <w:b/>
          <w:bCs/>
        </w:rPr>
        <w:t xml:space="preserve">Real Yield (U.S. 10Y TIPS yield):</w:t>
      </w:r>
      <w:r>
        <w:t xml:space="preserve"> </w:t>
      </w:r>
      <w:r>
        <w:t xml:space="preserve">Captures the opportunity cost of holding non-yielding assets like Bitcoin. Higher real yields = negative pressure on BTC (money has alternative safe returns)</w:t>
      </w:r>
      <w:hyperlink r:id="rId31">
        <w:r>
          <w:rPr>
            <w:rStyle w:val="Hyperlink"/>
          </w:rPr>
          <w:t xml:space="preserve">[11]</w:t>
        </w:r>
      </w:hyperlink>
      <w:r>
        <w:t xml:space="preserve">.</w:t>
      </w:r>
      <w:r>
        <w:t xml:space="preserve"> </w:t>
      </w:r>
      <w:r>
        <w:t xml:space="preserve">-</w:t>
      </w:r>
      <w:r>
        <w:t xml:space="preserve"> </w:t>
      </w:r>
      <w:r>
        <w:rPr>
          <w:b/>
          <w:bCs/>
        </w:rPr>
        <w:t xml:space="preserve">Dollar Liquidity Index:</w:t>
      </w:r>
      <w:r>
        <w:t xml:space="preserve"> </w:t>
      </w:r>
      <w:r>
        <w:t xml:space="preserve">A composite of Fed balance sheet + global USD liquidity measures (e.g. swap lines usage, M2 growth). This proxies risk asset liquidity. Crypto rallies have coincided with rising liquidity (e.g. Fed QE or looser policy).</w:t>
      </w:r>
      <w:r>
        <w:t xml:space="preserve"> </w:t>
      </w:r>
      <w:r>
        <w:t xml:space="preserve">-</w:t>
      </w:r>
      <w:r>
        <w:t xml:space="preserve"> </w:t>
      </w:r>
      <w:r>
        <w:rPr>
          <w:b/>
          <w:bCs/>
        </w:rPr>
        <w:t xml:space="preserve">DXY (U.S. Dollar Index):</w:t>
      </w:r>
      <w:r>
        <w:t xml:space="preserve"> </w:t>
      </w:r>
      <w:r>
        <w:t xml:space="preserve">As discussed, BTC often moves inversely to USD strength</w:t>
      </w:r>
      <w:hyperlink r:id="rId70">
        <w:r>
          <w:rPr>
            <w:rStyle w:val="Hyperlink"/>
          </w:rPr>
          <w:t xml:space="preserve">[53]</w:t>
        </w:r>
      </w:hyperlink>
      <w:r>
        <w:t xml:space="preserve">. We include DXY to capture broad risk appetite and EM liquidity effects.</w:t>
      </w:r>
      <w:r>
        <w:t xml:space="preserve"> </w:t>
      </w:r>
      <w:r>
        <w:t xml:space="preserve">-</w:t>
      </w:r>
      <w:r>
        <w:t xml:space="preserve"> </w:t>
      </w:r>
      <w:r>
        <w:rPr>
          <w:b/>
          <w:bCs/>
        </w:rPr>
        <w:t xml:space="preserve">Equity Market Momentum (e.g. Nasdaq % from 50-day MA):</w:t>
      </w:r>
      <w:r>
        <w:t xml:space="preserve"> </w:t>
      </w:r>
      <w:r>
        <w:t xml:space="preserve">A gauge of risk-on/off in equities. Since correlation is high</w:t>
      </w:r>
      <w:hyperlink r:id="rId32">
        <w:r>
          <w:rPr>
            <w:rStyle w:val="Hyperlink"/>
          </w:rPr>
          <w:t xml:space="preserve">[12]</w:t>
        </w:r>
      </w:hyperlink>
      <w:r>
        <w:t xml:space="preserve">, strong equity momentum usually bodes well for crypto, and vice versa.</w:t>
      </w:r>
      <w:r>
        <w:t xml:space="preserve"> </w:t>
      </w:r>
      <w:r>
        <w:t xml:space="preserve">-</w:t>
      </w:r>
      <w:r>
        <w:t xml:space="preserve"> </w:t>
      </w:r>
      <w:r>
        <w:rPr>
          <w:b/>
          <w:bCs/>
        </w:rPr>
        <w:t xml:space="preserve">VIX (Equity Volatility Index):</w:t>
      </w:r>
      <w:r>
        <w:t xml:space="preserve"> </w:t>
      </w:r>
      <w:r>
        <w:t xml:space="preserve">A proxy for market fear. High VIX often coincides with crypto sell-offs as overall risk aversion spikes. Low VIX can indicate complacency or pave the way for risk-taking in crypto.</w:t>
      </w:r>
      <w:r>
        <w:t xml:space="preserve"> </w:t>
      </w:r>
      <w:r>
        <w:t xml:space="preserve">-</w:t>
      </w:r>
      <w:r>
        <w:t xml:space="preserve"> </w:t>
      </w:r>
      <w:r>
        <w:rPr>
          <w:b/>
          <w:bCs/>
        </w:rPr>
        <w:t xml:space="preserve">Stablecoin Net Issuance (30-day change in total stablecoin supply):</w:t>
      </w:r>
      <w:r>
        <w:t xml:space="preserve"> </w:t>
      </w:r>
      <w:r>
        <w:t xml:space="preserve">Crypto-native liquidity indicator. An increasing stablecoin supply means new capital entering the system (bullish)</w:t>
      </w:r>
      <w:hyperlink r:id="rId22">
        <w:r>
          <w:rPr>
            <w:rStyle w:val="Hyperlink"/>
          </w:rPr>
          <w:t xml:space="preserve">[2]</w:t>
        </w:r>
      </w:hyperlink>
      <w:r>
        <w:t xml:space="preserve">. Declining or flat supply (as now) means limited new fuel.</w:t>
      </w:r>
      <w:r>
        <w:t xml:space="preserve"> </w:t>
      </w:r>
      <w:r>
        <w:t xml:space="preserve">-</w:t>
      </w:r>
      <w:r>
        <w:t xml:space="preserve"> </w:t>
      </w:r>
      <w:r>
        <w:rPr>
          <w:b/>
          <w:bCs/>
        </w:rPr>
        <w:t xml:space="preserve">On-chain HODLer Positioning:</w:t>
      </w:r>
      <w:r>
        <w:t xml:space="preserve"> </w:t>
      </w:r>
      <w:r>
        <w:t xml:space="preserve">We use metrics like % of supply in profit and LTH vs STH supply ratios. A high % of supply in profit (especially held by short-term holders) can precede distribution/selling, whereas high LTH dominance often precedes bottoms (strong hands holding through)</w:t>
      </w:r>
      <w:hyperlink r:id="rId67">
        <w:r>
          <w:rPr>
            <w:rStyle w:val="Hyperlink"/>
          </w:rPr>
          <w:t xml:space="preserve">[49]</w:t>
        </w:r>
      </w:hyperlink>
      <w:r>
        <w:t xml:space="preserve">.</w:t>
      </w:r>
      <w:r>
        <w:t xml:space="preserve"> </w:t>
      </w:r>
      <w:r>
        <w:t xml:space="preserve">-</w:t>
      </w:r>
      <w:r>
        <w:t xml:space="preserve"> </w:t>
      </w:r>
      <w:r>
        <w:rPr>
          <w:b/>
          <w:bCs/>
        </w:rPr>
        <w:t xml:space="preserve">Implied vs Realized Vol Gap:</w:t>
      </w:r>
      <w:r>
        <w:t xml:space="preserve"> </w:t>
      </w:r>
      <w:r>
        <w:t xml:space="preserve">This from the options market tells us if traders anticipate volatility. A large gap (implied &gt;&gt; realized) might precede big moves (market hedging for something), whereas implied &lt; realized (like now) could mean market is asleep to potential volatility</w:t>
      </w:r>
      <w:hyperlink r:id="rId44">
        <w:r>
          <w:rPr>
            <w:rStyle w:val="Hyperlink"/>
          </w:rPr>
          <w:t xml:space="preserve">[26]</w:t>
        </w:r>
      </w:hyperlink>
      <w:r>
        <w:t xml:space="preserve">.</w:t>
      </w:r>
      <w:r>
        <w:t xml:space="preserve"> </w:t>
      </w:r>
      <w:r>
        <w:t xml:space="preserve">-</w:t>
      </w:r>
      <w:r>
        <w:t xml:space="preserve"> </w:t>
      </w:r>
      <w:r>
        <w:rPr>
          <w:b/>
          <w:bCs/>
        </w:rPr>
        <w:t xml:space="preserve">Global Policy Developments Score:</w:t>
      </w:r>
      <w:r>
        <w:t xml:space="preserve"> </w:t>
      </w:r>
      <w:r>
        <w:t xml:space="preserve">A qualitative index we maintain that scores regulatory news (e.g., ETF approvals, legal rulings, bans) on a scale. This is more event-driven but can be quantified (e.g., +5 for major positive regulation, -5 for adverse news). It helps incorporate those binary events into the framework.</w:t>
      </w:r>
    </w:p>
    <w:p>
      <w:pPr>
        <w:pStyle w:val="BodyText"/>
      </w:pPr>
      <w:r>
        <w:t xml:space="preserve">Each of these matters: Macro variables (real yields, DXY, equities) link crypto to the wider financial regime. Crypto-specific ones (stablecoin flows, on-chain) capture internal dynamics that pure macro can miss (like if crypto natives are quietly accumulating, on-chain will show it even if macro is flat).</w:t>
      </w:r>
    </w:p>
    <w:p>
      <w:pPr>
        <w:pStyle w:val="BodyText"/>
      </w:pPr>
      <w:r>
        <w:rPr>
          <w:b/>
          <w:bCs/>
        </w:rPr>
        <w:t xml:space="preserve">The Model – Regime Classifier + Multi-Factor Approach:</w:t>
      </w:r>
      <w:r>
        <w:t xml:space="preserve"> </w:t>
      </w:r>
      <w:r>
        <w:t xml:space="preserve">1.</w:t>
      </w:r>
      <w:r>
        <w:t xml:space="preserve"> </w:t>
      </w:r>
      <w:r>
        <w:rPr>
          <w:b/>
          <w:bCs/>
        </w:rPr>
        <w:t xml:space="preserve">Regime Classification:</w:t>
      </w:r>
      <w:r>
        <w:t xml:space="preserve"> </w:t>
      </w:r>
      <w:r>
        <w:t xml:space="preserve">We first determine the current regime: e.g.,</w:t>
      </w:r>
      <w:r>
        <w:t xml:space="preserve"> </w:t>
      </w:r>
      <w:r>
        <w:rPr>
          <w:i/>
          <w:iCs/>
        </w:rPr>
        <w:t xml:space="preserve">Risk-On, Risk-Off, or Neutral; Liquidity Expanding or Contracting; Crypto-Specific Overheating or Depressed.</w:t>
      </w:r>
      <w:r>
        <w:t xml:space="preserve"> </w:t>
      </w:r>
      <w:r>
        <w:t xml:space="preserve">We use a simple decision tree: e.g., if real yields &lt; 1% and VIX &lt; 20 and stablecoin supply 30-day change &gt; +5%, that’s a</w:t>
      </w:r>
      <w:r>
        <w:t xml:space="preserve"> </w:t>
      </w:r>
      <w:r>
        <w:rPr>
          <w:b/>
          <w:bCs/>
        </w:rPr>
        <w:t xml:space="preserve">“liquidity risk-on” regime</w:t>
      </w:r>
      <w:r>
        <w:t xml:space="preserve"> </w:t>
      </w:r>
      <w:r>
        <w:t xml:space="preserve">– historically very bullish for crypto. If real yields &gt; 2% and VIX &gt; 30 (risk-off), that’s a</w:t>
      </w:r>
      <w:r>
        <w:t xml:space="preserve"> </w:t>
      </w:r>
      <w:r>
        <w:rPr>
          <w:b/>
          <w:bCs/>
        </w:rPr>
        <w:t xml:space="preserve">macro risk-off regime</w:t>
      </w:r>
      <w:r>
        <w:t xml:space="preserve"> </w:t>
      </w:r>
      <w:r>
        <w:t xml:space="preserve">– likely bearish for crypto unless crypto-specific demand counters it. If macro is neutral but on-chain shows extreme hodling and low leverage, that might be</w:t>
      </w:r>
      <w:r>
        <w:t xml:space="preserve"> </w:t>
      </w:r>
      <w:r>
        <w:rPr>
          <w:b/>
          <w:bCs/>
        </w:rPr>
        <w:t xml:space="preserve">“crypto idiosyncratic build” regime</w:t>
      </w:r>
      <w:r>
        <w:t xml:space="preserve">, often preceding a breakout.</w:t>
      </w:r>
    </w:p>
    <w:p>
      <w:pPr>
        <w:pStyle w:val="BodyText"/>
      </w:pPr>
      <w:r>
        <w:t xml:space="preserve">We classify regimes based on threshold triggers for the state variables, and we validate by looking at past periods: does the regime definition cluster similar market behaviors? For example, 2023 bear market fits “macro tight + crypto deleveraging” regime, whereas late 2020 bull was “macro easy + strong inflows”. Right now we’d label it</w:t>
      </w:r>
      <w:r>
        <w:t xml:space="preserve"> </w:t>
      </w:r>
      <w:r>
        <w:rPr>
          <w:b/>
          <w:bCs/>
        </w:rPr>
        <w:t xml:space="preserve">“Macro neutralizing (Fed paused) but liquidity not yet expanding; crypto de-risked”</w:t>
      </w:r>
      <w:r>
        <w:t xml:space="preserve"> </w:t>
      </w:r>
      <w:r>
        <w:t xml:space="preserve">– a middling regime.</w:t>
      </w:r>
    </w:p>
    <w:p>
      <w:pPr>
        <w:pStyle w:val="Compact"/>
        <w:numPr>
          <w:ilvl w:val="0"/>
          <w:numId w:val="1009"/>
        </w:numPr>
      </w:pPr>
      <w:r>
        <w:rPr>
          <w:b/>
          <w:bCs/>
        </w:rPr>
        <w:t xml:space="preserve">Factor Model:</w:t>
      </w:r>
      <w:r>
        <w:t xml:space="preserve"> </w:t>
      </w:r>
      <w:r>
        <w:t xml:space="preserve">Given a regime, we then apply a linear (or non-linear) factor model to forecast expected return and volatility. For instance, our model might be:</w:t>
      </w:r>
      <w:r>
        <w:t xml:space="preserve"> </w:t>
      </w:r>
      <w:r>
        <w:t xml:space="preserve">$$ \Delta \text{BTC Price} = \beta_0 + \beta_1 (\Delta \text{RealYield}) + \beta_2 (\Delta \text{DXY}) + \beta_3 (\Delta \text{Nasdaq}) + \beta_4 (\Delta \text{StablecoinSupply}) + \beta_5 (\text{OnChainSentiment}) + ... $$</w:t>
      </w:r>
      <w:r>
        <w:t xml:space="preserve"> </w:t>
      </w:r>
      <w:r>
        <w:t xml:space="preserve">In words, we estimate how sensitive Bitcoin is to each factor. We use rolling regression with expanding windows to capture changing betas. For example, we find $\beta_3$ (equity sensitivity) has increased in 2025 to ~2 (as noted earlier), whereas $\beta_2$ (DXY sensitivity) is around -1.5. The factor model gives a baseline forecast. Right now, if our inputs are: Real yields slightly down (bullish +), USD slightly down (bullish +), Nasdaq flat (neutral), stablecoin supply flat (neutral), on-chain sentiment slightly negative (as LTHs were selling a bit = bearish -), the model might forecast a modest uptick in BTC (macro saying +, crypto internals saying -). Indeed, our model currently spits out something like +5% expected 3-month return for BTC from here – basically</w:t>
      </w:r>
      <w:r>
        <w:t xml:space="preserve"> </w:t>
      </w:r>
      <w:r>
        <w:rPr>
          <w:i/>
          <w:iCs/>
        </w:rPr>
        <w:t xml:space="preserve">a small bullish lean</w:t>
      </w:r>
      <w:r>
        <w:t xml:space="preserve">.</w:t>
      </w:r>
    </w:p>
    <w:p>
      <w:pPr>
        <w:pStyle w:val="FirstParagraph"/>
      </w:pPr>
      <w:r>
        <w:t xml:space="preserve">We validate the model by backtesting: how did it perform over last 2 years? R-squared aren’t great (crypto has a lot of idiosyncratic noise), but it captures direction in big moves and gives us a quantitative anchor instead of pure gut feeling. We continuously update factor coefficients as new data comes in (e.g., if an anticipated Fed cut occurs, the model will adjust the new base values).</w:t>
      </w:r>
    </w:p>
    <w:p>
      <w:pPr>
        <w:pStyle w:val="Compact"/>
        <w:numPr>
          <w:ilvl w:val="0"/>
          <w:numId w:val="1010"/>
        </w:numPr>
      </w:pPr>
      <w:r>
        <w:rPr>
          <w:b/>
          <w:bCs/>
        </w:rPr>
        <w:t xml:space="preserve">Scenario Tree:</w:t>
      </w:r>
      <w:r>
        <w:t xml:space="preserve"> </w:t>
      </w:r>
      <w:r>
        <w:t xml:space="preserve">Because models have error, we overlay a scenario analysis (similar to base/bull/bear we discussed). We define triggers that would push us from base to bull or bear scenario and assign probabilities (like we did in Exec Dashboard). For example:</w:t>
      </w:r>
    </w:p>
    <w:p>
      <w:pPr>
        <w:pStyle w:val="Compact"/>
        <w:numPr>
          <w:ilvl w:val="0"/>
          <w:numId w:val="1010"/>
        </w:numPr>
      </w:pPr>
      <w:r>
        <w:t xml:space="preserve">If</w:t>
      </w:r>
      <w:r>
        <w:t xml:space="preserve"> </w:t>
      </w:r>
      <w:r>
        <w:rPr>
          <w:b/>
          <w:bCs/>
        </w:rPr>
        <w:t xml:space="preserve">Fed cuts 50 bps unexpectedly in Jan</w:t>
      </w:r>
      <w:r>
        <w:t xml:space="preserve"> </w:t>
      </w:r>
      <w:r>
        <w:t xml:space="preserve">and dollar falls -&gt; move to Bull scenario (weight increases).</w:t>
      </w:r>
    </w:p>
    <w:p>
      <w:pPr>
        <w:pStyle w:val="Compact"/>
        <w:numPr>
          <w:ilvl w:val="0"/>
          <w:numId w:val="1010"/>
        </w:numPr>
      </w:pPr>
      <w:r>
        <w:t xml:space="preserve">If</w:t>
      </w:r>
      <w:r>
        <w:t xml:space="preserve"> </w:t>
      </w:r>
      <w:r>
        <w:rPr>
          <w:b/>
          <w:bCs/>
        </w:rPr>
        <w:t xml:space="preserve">regulatory crackdown news hits</w:t>
      </w:r>
      <w:r>
        <w:t xml:space="preserve"> </w:t>
      </w:r>
      <w:r>
        <w:t xml:space="preserve">or</w:t>
      </w:r>
      <w:r>
        <w:t xml:space="preserve"> </w:t>
      </w:r>
      <w:r>
        <w:rPr>
          <w:b/>
          <w:bCs/>
        </w:rPr>
        <w:t xml:space="preserve">equities drop 10%+</w:t>
      </w:r>
      <w:r>
        <w:t xml:space="preserve"> </w:t>
      </w:r>
      <w:r>
        <w:t xml:space="preserve">-&gt; move to Bear scenario.</w:t>
      </w:r>
    </w:p>
    <w:p>
      <w:pPr>
        <w:pStyle w:val="Compact"/>
        <w:numPr>
          <w:ilvl w:val="0"/>
          <w:numId w:val="1010"/>
        </w:numPr>
      </w:pPr>
      <w:r>
        <w:t xml:space="preserve">Otherwise continue in base.</w:t>
      </w:r>
      <w:r>
        <w:t xml:space="preserve"> </w:t>
      </w:r>
      <w:r>
        <w:t xml:space="preserve">Each branch of the tree runs through the factor model with adjusted inputs (e.g., bull scenario might assume +10% equity, +$10B stablecoin, etc., whereas bear assumes -10% equity, -$10B stablecoin). This yields projected prices for each scenario, which we then probability-weight to get an overall distribution. This is how we incorporate</w:t>
      </w:r>
      <w:r>
        <w:t xml:space="preserve"> </w:t>
      </w:r>
      <w:r>
        <w:rPr>
          <w:i/>
          <w:iCs/>
        </w:rPr>
        <w:t xml:space="preserve">forward-looking judgment (triggers)</w:t>
      </w:r>
      <w:r>
        <w:t xml:space="preserve"> </w:t>
      </w:r>
      <w:r>
        <w:t xml:space="preserve">on top of the data-driven model.</w:t>
      </w:r>
    </w:p>
    <w:p>
      <w:pPr>
        <w:pStyle w:val="FirstParagraph"/>
      </w:pPr>
      <w:r>
        <w:rPr>
          <w:b/>
          <w:bCs/>
        </w:rPr>
        <w:t xml:space="preserve">Model Validation:</w:t>
      </w:r>
      <w:r>
        <w:t xml:space="preserve"> </w:t>
      </w:r>
      <w:r>
        <w:t xml:space="preserve">We’d validate by checking how it would have handled known episodes:</w:t>
      </w:r>
      <w:r>
        <w:t xml:space="preserve"> </w:t>
      </w:r>
      <w:r>
        <w:t xml:space="preserve">- Late Oct 2025 crash: Our regime classifier would have flagged macro shock + over-leverage = high risk. Factor model would have undershot the speed of crash (because liquidations create non-linear moves), but scenario analysis would cover extreme (bear scenario could model a cascade).</w:t>
      </w:r>
      <w:r>
        <w:t xml:space="preserve"> </w:t>
      </w:r>
      <w:r>
        <w:t xml:space="preserve">- Early Oct 2025 rally: Regime was liquidity easing + ETF optimism – model likely did catch the direction (pointing bullish). We’d refine it by perhaps adding an</w:t>
      </w:r>
      <w:r>
        <w:t xml:space="preserve"> </w:t>
      </w:r>
      <w:r>
        <w:rPr>
          <w:b/>
          <w:bCs/>
        </w:rPr>
        <w:t xml:space="preserve">ETF flow factor</w:t>
      </w:r>
      <w:r>
        <w:t xml:space="preserve"> </w:t>
      </w:r>
      <w:r>
        <w:t xml:space="preserve">once data is sufficient (like incorporate net ETF flows as a variable).</w:t>
      </w:r>
    </w:p>
    <w:p>
      <w:pPr>
        <w:pStyle w:val="BodyText"/>
      </w:pPr>
      <w:r>
        <w:t xml:space="preserve">We acknowledge</w:t>
      </w:r>
      <w:r>
        <w:t xml:space="preserve"> </w:t>
      </w:r>
      <w:r>
        <w:rPr>
          <w:b/>
          <w:bCs/>
        </w:rPr>
        <w:t xml:space="preserve">failure modes</w:t>
      </w:r>
      <w:r>
        <w:t xml:space="preserve">: If a totally new kind of shock happens (e.g., a geopolitical event or a novel crypto-specific black swan like a major protocol hack not captured by our current variables), the model can miss it. Also, in periods of market regime change (correlations flipping), a linear model can mislead. For instance, if Bitcoin regains some</w:t>
      </w:r>
      <w:r>
        <w:t xml:space="preserve"> </w:t>
      </w:r>
      <w:r>
        <w:rPr>
          <w:b/>
          <w:bCs/>
        </w:rPr>
        <w:t xml:space="preserve">“digital gold” status</w:t>
      </w:r>
      <w:r>
        <w:t xml:space="preserve"> </w:t>
      </w:r>
      <w:r>
        <w:t xml:space="preserve">and starts correlating with gold more than equities, our current equity-based betas would need updating. That’s why regime classification is critical – it’s our way of saying “the relationships can change, let’s detect when we’re in a different regime and adapt coefficients or factor importance accordingly.”</w:t>
      </w:r>
    </w:p>
    <w:p>
      <w:pPr>
        <w:pStyle w:val="BodyText"/>
      </w:pPr>
      <w:r>
        <w:rPr>
          <w:b/>
          <w:bCs/>
        </w:rPr>
        <w:t xml:space="preserve">Scenarios (Base/Bull/Bear) with Probabilities &amp; Triggers:</w:t>
      </w:r>
      <w:r>
        <w:t xml:space="preserve"> </w:t>
      </w:r>
      <w:r>
        <w:t xml:space="preserve">We’ve effectively done this qualitatively above. To put it in the framework:</w:t>
      </w:r>
      <w:r>
        <w:t xml:space="preserve"> </w:t>
      </w:r>
      <w:r>
        <w:t xml:space="preserve">-</w:t>
      </w:r>
      <w:r>
        <w:t xml:space="preserve"> </w:t>
      </w:r>
      <w:r>
        <w:rPr>
          <w:b/>
          <w:bCs/>
        </w:rPr>
        <w:t xml:space="preserve">Base (50%):</w:t>
      </w:r>
      <w:r>
        <w:t xml:space="preserve"> </w:t>
      </w:r>
      <w:r>
        <w:t xml:space="preserve">Regime = neutral macro, slow growth in crypto inflows. Assumptions: Fed cuts 25 bps by March (as expected, no shock), no major new regulation or crises, tech stocks stable. Model inputs moderate. Forecast: BTC +~20% over 1 year (so end of 2026 maybe ~$110K–120K).</w:t>
      </w:r>
      <w:r>
        <w:t xml:space="preserve"> </w:t>
      </w:r>
      <w:r>
        <w:t xml:space="preserve">-</w:t>
      </w:r>
      <w:r>
        <w:t xml:space="preserve"> </w:t>
      </w:r>
      <w:r>
        <w:rPr>
          <w:b/>
          <w:bCs/>
        </w:rPr>
        <w:t xml:space="preserve">Bull (20%):</w:t>
      </w:r>
      <w:r>
        <w:t xml:space="preserve"> </w:t>
      </w:r>
      <w:r>
        <w:t xml:space="preserve">Triggered by significant liquidity boost (Fed or China stimulus, etc.) or a</w:t>
      </w:r>
      <w:r>
        <w:t xml:space="preserve"> </w:t>
      </w:r>
      <w:r>
        <w:rPr>
          <w:b/>
          <w:bCs/>
        </w:rPr>
        <w:t xml:space="preserve">big new adoption event</w:t>
      </w:r>
      <w:r>
        <w:t xml:space="preserve"> </w:t>
      </w:r>
      <w:r>
        <w:t xml:space="preserve">(e.g., multiple large asset managers launching crypto products and attracting $50B+). Assumptions: stablecoin supply +20%, Nasdaq +15%, real yields -100 bps, etc. Forecast: BTC +100% over 1 year (could see $200K+).</w:t>
      </w:r>
      <w:r>
        <w:t xml:space="preserve"> </w:t>
      </w:r>
      <w:r>
        <w:t xml:space="preserve">-</w:t>
      </w:r>
      <w:r>
        <w:t xml:space="preserve"> </w:t>
      </w:r>
      <w:r>
        <w:rPr>
          <w:b/>
          <w:bCs/>
        </w:rPr>
        <w:t xml:space="preserve">Bear (30%):</w:t>
      </w:r>
      <w:r>
        <w:t xml:space="preserve"> </w:t>
      </w:r>
      <w:r>
        <w:t xml:space="preserve">Triggered by recession/credit event or harsh regulation (e.g., US SEC crackdown on major tokens or exchange failure). Assumptions: stablecoin -10%, equities -20%, VIX 40, etc. Forecast: BTC -50% (revisit $40K–50K).</w:t>
      </w:r>
      <w:r>
        <w:t xml:space="preserve"> </w:t>
      </w:r>
      <w:r>
        <w:rPr>
          <w:i/>
          <w:iCs/>
        </w:rPr>
        <w:t xml:space="preserve">(We already gave specific horizon targets in Exec Dashboard, which align with these scenarios.)</w:t>
      </w:r>
    </w:p>
    <w:p>
      <w:pPr>
        <w:pStyle w:val="BodyText"/>
      </w:pPr>
      <w:r>
        <w:rPr>
          <w:b/>
          <w:bCs/>
        </w:rPr>
        <w:t xml:space="preserve">How to Update &amp; Use It:</w:t>
      </w:r>
      <w:r>
        <w:t xml:space="preserve"> </w:t>
      </w:r>
      <w:r>
        <w:t xml:space="preserve">We will update state variables on a</w:t>
      </w:r>
      <w:r>
        <w:t xml:space="preserve"> </w:t>
      </w:r>
      <w:r>
        <w:rPr>
          <w:b/>
          <w:bCs/>
        </w:rPr>
        <w:t xml:space="preserve">weekly basis</w:t>
      </w:r>
      <w:r>
        <w:t xml:space="preserve"> </w:t>
      </w:r>
      <w:r>
        <w:t xml:space="preserve">(daily for critical ones like funding or stablecoins). The framework can then generate a bias – e.g., “lean bullish this week” or “caution: factors pointing bearish.” It’s important that we treat it as a tool, not gospel. We’ll continuously compare its predictions to market outcomes and recalibrate. Also,</w:t>
      </w:r>
      <w:r>
        <w:t xml:space="preserve"> </w:t>
      </w:r>
      <w:r>
        <w:rPr>
          <w:i/>
          <w:iCs/>
        </w:rPr>
        <w:t xml:space="preserve">“not vibes”</w:t>
      </w:r>
      <w:r>
        <w:t xml:space="preserve"> </w:t>
      </w:r>
      <w:r>
        <w:t xml:space="preserve">means we stick to this evidence-based approach even when narratives run wild. If, say, crypto Twitter is euphoric but our model shows stablecoin outflows and macro headwinds, we will trust the data (and perhaps fade the euphoria). Conversely, if sentiment is dour but our metrics show accumulation and macro easing, we’ll position for an upside surprise.</w:t>
      </w:r>
    </w:p>
    <w:p>
      <w:pPr>
        <w:pStyle w:val="BodyText"/>
      </w:pPr>
      <w:r>
        <w:t xml:space="preserve">In summary, our forecasting framework is</w:t>
      </w:r>
      <w:r>
        <w:t xml:space="preserve"> </w:t>
      </w:r>
      <w:r>
        <w:rPr>
          <w:b/>
          <w:bCs/>
        </w:rPr>
        <w:t xml:space="preserve">data-driven, adaptive, and scenario-informed</w:t>
      </w:r>
      <w:r>
        <w:t xml:space="preserve">. It blends macro and crypto-native indicators to avoid one-sided blind spots. This will guide our strategic positioning (in conjunction with risk management) so that we’re proactively allocating based on quantified signals rather than reacting emotionally to market noise.</w:t>
      </w:r>
    </w:p>
    <w:bookmarkEnd w:id="98"/>
    <w:bookmarkStart w:id="99" w:name="X902bc732f90b8a7330424c6986aeef2c2882d81"/>
    <w:p>
      <w:pPr>
        <w:pStyle w:val="Heading2"/>
      </w:pPr>
      <w:r>
        <w:t xml:space="preserve">5) Trading Playbook (institutional, multi-horizon)</w:t>
      </w:r>
    </w:p>
    <w:p>
      <w:pPr>
        <w:pStyle w:val="FirstParagraph"/>
      </w:pPr>
      <w:r>
        <w:t xml:space="preserve">We translate our market views into actionable trading strategies across different horizons – from intraday tactical plays to medium-term positional trades. Each comes with a clear plan:</w:t>
      </w:r>
      <w:r>
        <w:t xml:space="preserve"> </w:t>
      </w:r>
      <w:r>
        <w:rPr>
          <w:b/>
          <w:bCs/>
        </w:rPr>
        <w:t xml:space="preserve">setup rationale, trade expression, entry/exit criteria, P&amp;L drivers, and risk management.</w:t>
      </w:r>
      <w:r>
        <w:t xml:space="preserve"> </w:t>
      </w:r>
      <w:r>
        <w:t xml:space="preserve">Below is our institutional trading playbook:</w:t>
      </w:r>
    </w:p>
    <w:p>
      <w:pPr>
        <w:pStyle w:val="BodyText"/>
      </w:pPr>
      <w:r>
        <w:rPr>
          <w:b/>
          <w:bCs/>
        </w:rPr>
        <w:t xml:space="preserve">Intraday (High-frequency to 1-day trades):</w:t>
      </w:r>
      <w:r>
        <w:t xml:space="preserve"> </w:t>
      </w:r>
      <w:r>
        <w:t xml:space="preserve">-</w:t>
      </w:r>
      <w:r>
        <w:t xml:space="preserve"> </w:t>
      </w:r>
      <w:r>
        <w:rPr>
          <w:i/>
          <w:iCs/>
        </w:rPr>
        <w:t xml:space="preserve">Setup:</w:t>
      </w:r>
      <w:r>
        <w:t xml:space="preserve"> </w:t>
      </w:r>
      <w:r>
        <w:rPr>
          <w:b/>
          <w:bCs/>
        </w:rPr>
        <w:t xml:space="preserve">Mean Reversion at Key Levels.</w:t>
      </w:r>
      <w:r>
        <w:t xml:space="preserve"> </w:t>
      </w:r>
      <w:r>
        <w:t xml:space="preserve">In the current low-vol, range-bound conditions, an intraday mean reversion strategy is favorable. For example, identify short-term overbought/oversold signals (RSI, order book imbalance) near known support/resistance ($81K support, $95K resistance).</w:t>
      </w:r>
      <w:r>
        <w:t xml:space="preserve"> </w:t>
      </w:r>
      <w:r>
        <w:t xml:space="preserve">-</w:t>
      </w:r>
      <w:r>
        <w:t xml:space="preserve"> </w:t>
      </w:r>
      <w:r>
        <w:rPr>
          <w:i/>
          <w:iCs/>
        </w:rPr>
        <w:t xml:space="preserve">Trade Expression:</w:t>
      </w:r>
      <w:r>
        <w:t xml:space="preserve"> </w:t>
      </w:r>
      <w:r>
        <w:t xml:space="preserve">Use</w:t>
      </w:r>
      <w:r>
        <w:t xml:space="preserve"> </w:t>
      </w:r>
      <w:r>
        <w:rPr>
          <w:b/>
          <w:bCs/>
        </w:rPr>
        <w:t xml:space="preserve">perpetual futures</w:t>
      </w:r>
      <w:r>
        <w:t xml:space="preserve"> </w:t>
      </w:r>
      <w:r>
        <w:t xml:space="preserve">on a deep-liquidity exchange (like CME micro BTC futures or Binance perps) to go long near support and short near resistance for quick bounces. E.g., if BTC dips to $82K on a sudden market sell, and no news catalyst (just flow), we’d</w:t>
      </w:r>
      <w:r>
        <w:t xml:space="preserve"> </w:t>
      </w:r>
      <w:r>
        <w:rPr>
          <w:i/>
          <w:iCs/>
        </w:rPr>
        <w:t xml:space="preserve">buy BTC perps at ~$82K</w:t>
      </w:r>
      <w:r>
        <w:t xml:space="preserve">, targeting a bounce to $85K, stop loss $80K (just below support breach).</w:t>
      </w:r>
      <w:r>
        <w:t xml:space="preserve"> </w:t>
      </w:r>
      <w:r>
        <w:t xml:space="preserve">-</w:t>
      </w:r>
      <w:r>
        <w:t xml:space="preserve"> </w:t>
      </w:r>
      <w:r>
        <w:rPr>
          <w:i/>
          <w:iCs/>
        </w:rPr>
        <w:t xml:space="preserve">Entry Logic:</w:t>
      </w:r>
      <w:r>
        <w:t xml:space="preserve"> </w:t>
      </w:r>
      <w:r>
        <w:t xml:space="preserve">Entry is triggered when price hits the level and</w:t>
      </w:r>
      <w:r>
        <w:t xml:space="preserve"> </w:t>
      </w:r>
      <w:r>
        <w:rPr>
          <w:b/>
          <w:bCs/>
        </w:rPr>
        <w:t xml:space="preserve">market depth shows buyers stepping in</w:t>
      </w:r>
      <w:r>
        <w:t xml:space="preserve"> </w:t>
      </w:r>
      <w:r>
        <w:t xml:space="preserve">(e.g., a large bid wall or CVD inflecting upward). We also use VWAP or volume spike cues – if a capitulatory volume spike hits support, that’s a good entry signal (suggests sellers exhausted).</w:t>
      </w:r>
      <w:r>
        <w:t xml:space="preserve"> </w:t>
      </w:r>
      <w:r>
        <w:t xml:space="preserve">-</w:t>
      </w:r>
      <w:r>
        <w:t xml:space="preserve"> </w:t>
      </w:r>
      <w:r>
        <w:rPr>
          <w:i/>
          <w:iCs/>
        </w:rPr>
        <w:t xml:space="preserve">Invalidation:</w:t>
      </w:r>
      <w:r>
        <w:t xml:space="preserve"> </w:t>
      </w:r>
      <w:r>
        <w:t xml:space="preserve">If price slices through support on high momentum (e.g., $82K to $79K in minutes), we cut – that’s a failed mean reversion. Our hard stop at $80K protects us.</w:t>
      </w:r>
      <w:r>
        <w:t xml:space="preserve"> </w:t>
      </w:r>
      <w:r>
        <w:t xml:space="preserve">-</w:t>
      </w:r>
      <w:r>
        <w:t xml:space="preserve"> </w:t>
      </w:r>
      <w:r>
        <w:rPr>
          <w:i/>
          <w:iCs/>
        </w:rPr>
        <w:t xml:space="preserve">Target &amp; Exit:</w:t>
      </w:r>
      <w:r>
        <w:t xml:space="preserve"> </w:t>
      </w:r>
      <w:r>
        <w:t xml:space="preserve">Scale out of the position as price approaches the mean of the range or a technical midpoint (say $85K). If the bounce is strong, keep a trailer for possibly $88K.</w:t>
      </w:r>
      <w:r>
        <w:t xml:space="preserve"> </w:t>
      </w:r>
      <w:r>
        <w:t xml:space="preserve">-</w:t>
      </w:r>
      <w:r>
        <w:t xml:space="preserve"> </w:t>
      </w:r>
      <w:r>
        <w:rPr>
          <w:i/>
          <w:iCs/>
        </w:rPr>
        <w:t xml:space="preserve">PnL Drivers:</w:t>
      </w:r>
      <w:r>
        <w:t xml:space="preserve"> </w:t>
      </w:r>
      <w:r>
        <w:t xml:space="preserve">Mainly</w:t>
      </w:r>
      <w:r>
        <w:t xml:space="preserve"> </w:t>
      </w:r>
      <w:r>
        <w:rPr>
          <w:b/>
          <w:bCs/>
        </w:rPr>
        <w:t xml:space="preserve">spread capture</w:t>
      </w:r>
      <w:r>
        <w:t xml:space="preserve"> </w:t>
      </w:r>
      <w:r>
        <w:t xml:space="preserve">(mean reversion profit), minor</w:t>
      </w:r>
      <w:r>
        <w:t xml:space="preserve"> </w:t>
      </w:r>
      <w:r>
        <w:rPr>
          <w:b/>
          <w:bCs/>
        </w:rPr>
        <w:t xml:space="preserve">funding</w:t>
      </w:r>
      <w:r>
        <w:t xml:space="preserve"> </w:t>
      </w:r>
      <w:r>
        <w:t xml:space="preserve">if perps are used (likely negligible if holding for hours). No carry to speak of intraday.</w:t>
      </w:r>
      <w:r>
        <w:t xml:space="preserve"> </w:t>
      </w:r>
      <w:r>
        <w:t xml:space="preserve">-</w:t>
      </w:r>
      <w:r>
        <w:t xml:space="preserve"> </w:t>
      </w:r>
      <w:r>
        <w:rPr>
          <w:i/>
          <w:iCs/>
        </w:rPr>
        <w:t xml:space="preserve">Risk Management:</w:t>
      </w:r>
      <w:r>
        <w:t xml:space="preserve"> </w:t>
      </w:r>
      <w:r>
        <w:t xml:space="preserve">Tight stops (we risk maybe 0.1% of portfolio on a given intraday trade). Use small size on illiquid hours. We also impose a “daily loss limit” – e.g., if two such trades hit stop losses in a day, stand down for the rest of day (prevent revenge trades). Automation: we use algos to execute stealthily (iceberg orders) to avoid moving price when entering/exiting.</w:t>
      </w:r>
    </w:p>
    <w:p>
      <w:pPr>
        <w:pStyle w:val="Compact"/>
        <w:numPr>
          <w:ilvl w:val="0"/>
          <w:numId w:val="1011"/>
        </w:numPr>
      </w:pPr>
      <w:r>
        <w:rPr>
          <w:i/>
          <w:iCs/>
        </w:rPr>
        <w:t xml:space="preserve">Alternate Intraday Setup:</w:t>
      </w:r>
      <w:r>
        <w:t xml:space="preserve"> </w:t>
      </w:r>
      <w:r>
        <w:rPr>
          <w:b/>
          <w:bCs/>
        </w:rPr>
        <w:t xml:space="preserve">Event-driven breakout scalp.</w:t>
      </w:r>
      <w:r>
        <w:t xml:space="preserve"> </w:t>
      </w:r>
      <w:r>
        <w:t xml:space="preserve">Example: During a Fed announcement, if our read is dovish and BTC starts breaking a technical level on volume, we’ll</w:t>
      </w:r>
      <w:r>
        <w:t xml:space="preserve"> </w:t>
      </w:r>
      <w:r>
        <w:rPr>
          <w:i/>
          <w:iCs/>
        </w:rPr>
        <w:t xml:space="preserve">go with momentum</w:t>
      </w:r>
      <w:r>
        <w:t xml:space="preserve">. Trade: buy a short-dated call option or long perps right as the level breaks (say $95K with volume) aiming for a quick 2-3% pop. Invalidation is if the move reverses the breakout level. This is more discretionary but can be highly profitable around known events (CPI, Fed, ETF decisions).</w:t>
      </w:r>
    </w:p>
    <w:p>
      <w:pPr>
        <w:pStyle w:val="Compact"/>
        <w:numPr>
          <w:ilvl w:val="0"/>
          <w:numId w:val="1011"/>
        </w:numPr>
      </w:pPr>
      <w:r>
        <w:rPr>
          <w:i/>
          <w:iCs/>
        </w:rPr>
        <w:t xml:space="preserve">Note:</w:t>
      </w:r>
      <w:r>
        <w:t xml:space="preserve"> </w:t>
      </w:r>
      <w:r>
        <w:t xml:space="preserve">Intraday also includes arbitrage opportunities – e.g., temporary price discrepancies between exchanges or funding rate arbitrage. If Binance perps trade far below spot (signaling panic), we might buy perps &amp; sell spot for a few hours to capture convergence (with tight execution).</w:t>
      </w:r>
    </w:p>
    <w:p>
      <w:pPr>
        <w:pStyle w:val="FirstParagraph"/>
      </w:pPr>
      <w:r>
        <w:rPr>
          <w:b/>
          <w:bCs/>
        </w:rPr>
        <w:t xml:space="preserve">Swing Trades (Multi-day to 1-3 weeks):</w:t>
      </w:r>
      <w:r>
        <w:t xml:space="preserve"> </w:t>
      </w:r>
      <w:r>
        <w:t xml:space="preserve">-</w:t>
      </w:r>
      <w:r>
        <w:t xml:space="preserve"> </w:t>
      </w:r>
      <w:r>
        <w:rPr>
          <w:i/>
          <w:iCs/>
        </w:rPr>
        <w:t xml:space="preserve">Setup:</w:t>
      </w:r>
      <w:r>
        <w:t xml:space="preserve"> </w:t>
      </w:r>
      <w:r>
        <w:rPr>
          <w:b/>
          <w:bCs/>
        </w:rPr>
        <w:t xml:space="preserve">Momentum and Relative Value plays.</w:t>
      </w:r>
      <w:r>
        <w:t xml:space="preserve"> </w:t>
      </w:r>
      <w:r>
        <w:t xml:space="preserve">Given our base-case modestly bullish tilt, a swing trade could be</w:t>
      </w:r>
      <w:r>
        <w:t xml:space="preserve"> </w:t>
      </w:r>
      <w:r>
        <w:rPr>
          <w:i/>
          <w:iCs/>
        </w:rPr>
        <w:t xml:space="preserve">long a strong asset vs short a weaker asset</w:t>
      </w:r>
      <w:r>
        <w:t xml:space="preserve"> </w:t>
      </w:r>
      <w:r>
        <w:t xml:space="preserve">to capture relative outperformance, or directional if a clear trend forms.</w:t>
      </w:r>
      <w:r>
        <w:t xml:space="preserve"> </w:t>
      </w:r>
      <w:r>
        <w:t xml:space="preserve">-</w:t>
      </w:r>
      <w:r>
        <w:t xml:space="preserve"> </w:t>
      </w:r>
      <w:r>
        <w:rPr>
          <w:i/>
          <w:iCs/>
        </w:rPr>
        <w:t xml:space="preserve">Trade Expression:</w:t>
      </w:r>
      <w:r>
        <w:t xml:space="preserve"> </w:t>
      </w:r>
      <w:r>
        <w:t xml:space="preserve">One example is</w:t>
      </w:r>
      <w:r>
        <w:t xml:space="preserve"> </w:t>
      </w:r>
      <w:r>
        <w:rPr>
          <w:b/>
          <w:bCs/>
        </w:rPr>
        <w:t xml:space="preserve">Long ETH/BTC ratio</w:t>
      </w:r>
      <w:r>
        <w:t xml:space="preserve"> </w:t>
      </w:r>
      <w:r>
        <w:t xml:space="preserve">on a 2-4 week view. Rationale: ETH had underperformed in the risk-off move, and if market stabilizes, ETH often outperforms in rebounds (plus ETH has upcoming tailwinds like staking yield narrative).</w:t>
      </w:r>
      <w:r>
        <w:t xml:space="preserve"> </w:t>
      </w:r>
      <w:r>
        <w:t xml:space="preserve">- How: Go long ETH perpetual and short BTC perpetual of equal USD notional (market-neutral in dollar terms, isolating the ratio).</w:t>
      </w:r>
      <w:r>
        <w:t xml:space="preserve"> </w:t>
      </w:r>
      <w:r>
        <w:t xml:space="preserve">- Entry: when ETH/BTC breaks above a technical downtrend line or a key moving average, confirming momentum shift (e.g., 0.067 level broken to upside).</w:t>
      </w:r>
      <w:r>
        <w:t xml:space="preserve"> </w:t>
      </w:r>
      <w:r>
        <w:t xml:space="preserve">- Target: perhaps a move to 0.072 (previous relative high), stop if it falls back below 0.065 (new lows).</w:t>
      </w:r>
      <w:r>
        <w:t xml:space="preserve"> </w:t>
      </w:r>
      <w:r>
        <w:t xml:space="preserve">- Carry: We earn the funding differential. If ETH perp funding &lt; BTC perp funding (often the case in current market), we’d actually earn positive carry on this long ETH vs short BTC position – nice bonus.</w:t>
      </w:r>
      <w:r>
        <w:t xml:space="preserve"> </w:t>
      </w:r>
      <w:r>
        <w:t xml:space="preserve">- PnL Drivers:</w:t>
      </w:r>
      <w:r>
        <w:t xml:space="preserve"> </w:t>
      </w:r>
      <w:r>
        <w:rPr>
          <w:b/>
          <w:bCs/>
        </w:rPr>
        <w:t xml:space="preserve">Relative strength</w:t>
      </w:r>
      <w:r>
        <w:t xml:space="preserve"> </w:t>
      </w:r>
      <w:r>
        <w:t xml:space="preserve">(if ETH outperforms BTC by, say, +10%, we profit ~10% on the spread). Also</w:t>
      </w:r>
      <w:r>
        <w:t xml:space="preserve"> </w:t>
      </w:r>
      <w:r>
        <w:rPr>
          <w:b/>
          <w:bCs/>
        </w:rPr>
        <w:t xml:space="preserve">funding</w:t>
      </w:r>
      <w:r>
        <w:t xml:space="preserve"> </w:t>
      </w:r>
      <w:r>
        <w:t xml:space="preserve">as mentioned, albeit small. Minimal directional risk since we’re hedged; the risk is in the spread narrowing.</w:t>
      </w:r>
      <w:r>
        <w:t xml:space="preserve"> </w:t>
      </w:r>
      <w:r>
        <w:t xml:space="preserve">- Risk: If macro turns risk-off hard, BTC may drop less than ETH (flight to quality within crypto), hurting this trade. We’d cut if we see signs of that regime (e.g., volatility spike with ETH underperforming).</w:t>
      </w:r>
      <w:r>
        <w:t xml:space="preserve"> </w:t>
      </w:r>
      <w:r>
        <w:t xml:space="preserve">- Sizing: Because it’s market-neutral, we can size larger than a pure directional bet (within reason, mindful of liquidity in both legs).</w:t>
      </w:r>
    </w:p>
    <w:p>
      <w:pPr>
        <w:pStyle w:val="Compact"/>
        <w:numPr>
          <w:ilvl w:val="0"/>
          <w:numId w:val="1012"/>
        </w:numPr>
      </w:pPr>
      <w:r>
        <w:t xml:space="preserve">Another Swing Setup:</w:t>
      </w:r>
      <w:r>
        <w:t xml:space="preserve"> </w:t>
      </w:r>
      <w:r>
        <w:rPr>
          <w:b/>
          <w:bCs/>
        </w:rPr>
        <w:t xml:space="preserve">Directional Trend Following.</w:t>
      </w:r>
      <w:r>
        <w:t xml:space="preserve"> </w:t>
      </w:r>
      <w:r>
        <w:t xml:space="preserve">If BTC closes a week above a key level like $100K with strong volume (sign of trend resumption), we’d initiate a swing long position targeting next major resistance (~$120K).</w:t>
      </w:r>
    </w:p>
    <w:p>
      <w:pPr>
        <w:pStyle w:val="Compact"/>
        <w:numPr>
          <w:ilvl w:val="0"/>
          <w:numId w:val="1012"/>
        </w:numPr>
      </w:pPr>
      <w:r>
        <w:t xml:space="preserve">Expression:</w:t>
      </w:r>
      <w:r>
        <w:t xml:space="preserve"> </w:t>
      </w:r>
      <w:r>
        <w:rPr>
          <w:b/>
          <w:bCs/>
        </w:rPr>
        <w:t xml:space="preserve">Long CME futures or structured product</w:t>
      </w:r>
      <w:r>
        <w:t xml:space="preserve"> </w:t>
      </w:r>
      <w:r>
        <w:t xml:space="preserve">(e.g., a 3-month call spread). We might buy a $110K call and sell a $150K call (collect premium to offset) to express a moderately bullish 3-month view with defined risk.</w:t>
      </w:r>
    </w:p>
    <w:p>
      <w:pPr>
        <w:pStyle w:val="Compact"/>
        <w:numPr>
          <w:ilvl w:val="0"/>
          <w:numId w:val="1012"/>
        </w:numPr>
      </w:pPr>
      <w:r>
        <w:t xml:space="preserve">Entry: on the weekly close confirmation above $100K.</w:t>
      </w:r>
    </w:p>
    <w:p>
      <w:pPr>
        <w:pStyle w:val="Compact"/>
        <w:numPr>
          <w:ilvl w:val="0"/>
          <w:numId w:val="1012"/>
        </w:numPr>
      </w:pPr>
      <w:r>
        <w:t xml:space="preserve">Exit/Take-profit: if price reaches, say, $120K before expiry, we could take profit or roll the spread up.</w:t>
      </w:r>
    </w:p>
    <w:p>
      <w:pPr>
        <w:pStyle w:val="Compact"/>
        <w:numPr>
          <w:ilvl w:val="0"/>
          <w:numId w:val="1012"/>
        </w:numPr>
      </w:pPr>
      <w:r>
        <w:t xml:space="preserve">Stop/Invalidation: if price falls back below the breakout level ($100K) on high volume – indicating a false breakout.</w:t>
      </w:r>
    </w:p>
    <w:p>
      <w:pPr>
        <w:numPr>
          <w:ilvl w:val="0"/>
          <w:numId w:val="1012"/>
        </w:numPr>
      </w:pPr>
      <w:r>
        <w:t xml:space="preserve">Risk management: Since options are used, max loss is premium paid (we’d size that premium to &lt;1-2% portfolio). For futures, we’d use a stop as mentioned.</w:t>
      </w:r>
    </w:p>
    <w:p>
      <w:pPr>
        <w:numPr>
          <w:ilvl w:val="0"/>
          <w:numId w:val="1012"/>
        </w:numPr>
      </w:pPr>
      <w:r>
        <w:rPr>
          <w:i/>
          <w:iCs/>
        </w:rPr>
        <w:t xml:space="preserve">Catalyst-driven Swing:</w:t>
      </w:r>
      <w:r>
        <w:t xml:space="preserve"> </w:t>
      </w:r>
      <w:r>
        <w:t xml:space="preserve">E.g.,</w:t>
      </w:r>
      <w:r>
        <w:t xml:space="preserve"> </w:t>
      </w:r>
      <w:r>
        <w:rPr>
          <w:b/>
          <w:bCs/>
        </w:rPr>
        <w:t xml:space="preserve">Ahead of an ETF decision</w:t>
      </w:r>
      <w:r>
        <w:t xml:space="preserve"> </w:t>
      </w:r>
      <w:r>
        <w:t xml:space="preserve">with a known date, one could buy an option straddle (long both call and put) a few days before, anticipating a volatility spike on the news (approve = up big, reject = down big). We did this for the SEC’s decision in early 2025. It requires cheap option premiums and a binary event. If realized vol exceeds implied, we profit. We manage risk by closing before event if our view changes or if options became too expensive (we don’t chase overpriced vol).</w:t>
      </w:r>
    </w:p>
    <w:p>
      <w:pPr>
        <w:pStyle w:val="FirstParagraph"/>
      </w:pPr>
      <w:r>
        <w:rPr>
          <w:b/>
          <w:bCs/>
        </w:rPr>
        <w:t xml:space="preserve">1–3 Month Position Trades:</w:t>
      </w:r>
      <w:r>
        <w:t xml:space="preserve"> </w:t>
      </w:r>
      <w:r>
        <w:t xml:space="preserve">-</w:t>
      </w:r>
      <w:r>
        <w:t xml:space="preserve"> </w:t>
      </w:r>
      <w:r>
        <w:rPr>
          <w:i/>
          <w:iCs/>
        </w:rPr>
        <w:t xml:space="preserve">Setup:</w:t>
      </w:r>
      <w:r>
        <w:t xml:space="preserve"> </w:t>
      </w:r>
      <w:r>
        <w:rPr>
          <w:b/>
          <w:bCs/>
        </w:rPr>
        <w:t xml:space="preserve">Conviction directional trades or yield plays</w:t>
      </w:r>
      <w:r>
        <w:t xml:space="preserve"> </w:t>
      </w:r>
      <w:r>
        <w:t xml:space="preserve">aligning with our base scenario or mild variants.</w:t>
      </w:r>
      <w:r>
        <w:t xml:space="preserve"> </w:t>
      </w:r>
      <w:r>
        <w:t xml:space="preserve">-</w:t>
      </w:r>
      <w:r>
        <w:t xml:space="preserve"> </w:t>
      </w:r>
      <w:r>
        <w:rPr>
          <w:i/>
          <w:iCs/>
        </w:rPr>
        <w:t xml:space="preserve">Trade 1:</w:t>
      </w:r>
      <w:r>
        <w:t xml:space="preserve"> </w:t>
      </w:r>
      <w:r>
        <w:rPr>
          <w:b/>
          <w:bCs/>
        </w:rPr>
        <w:t xml:space="preserve">Accumulation on Dips for Q1 Rally.</w:t>
      </w:r>
      <w:r>
        <w:t xml:space="preserve"> </w:t>
      </w:r>
      <w:r>
        <w:t xml:space="preserve">Our base case expects a modest Q1 uplift (post-Fed cut, new-year allocation). Strategy:</w:t>
      </w:r>
      <w:r>
        <w:t xml:space="preserve"> </w:t>
      </w:r>
      <w:r>
        <w:rPr>
          <w:i/>
          <w:iCs/>
        </w:rPr>
        <w:t xml:space="preserve">Gradually buy spot BTC and quality alts on dips in the next 4-6 weeks.</w:t>
      </w:r>
      <w:r>
        <w:t xml:space="preserve"> </w:t>
      </w:r>
      <w:r>
        <w:t xml:space="preserve">- Expression: Use a</w:t>
      </w:r>
      <w:r>
        <w:t xml:space="preserve"> </w:t>
      </w:r>
      <w:r>
        <w:rPr>
          <w:b/>
          <w:bCs/>
        </w:rPr>
        <w:t xml:space="preserve">layered purchase approach</w:t>
      </w:r>
      <w:r>
        <w:t xml:space="preserve">: place limit bids at strategic levels (e.g., $82K, $78K) to accumulate BTC, and perhaps some ETH and SOL (assuming they’re part of approved asset list).</w:t>
      </w:r>
      <w:r>
        <w:t xml:space="preserve"> </w:t>
      </w:r>
      <w:r>
        <w:t xml:space="preserve">- No hard stop on spot; instead manage via size and hedges – if the macro turns south, we could hedge by shorting a bit of futures to protect the spot holdings (rather than outright selling our long-term holds).</w:t>
      </w:r>
      <w:r>
        <w:t xml:space="preserve"> </w:t>
      </w:r>
      <w:r>
        <w:t xml:space="preserve">- Target: Q1 rally to &gt;$100K – we’d lighten up holdings there.</w:t>
      </w:r>
      <w:r>
        <w:t xml:space="preserve"> </w:t>
      </w:r>
      <w:r>
        <w:t xml:space="preserve">- PnL Drivers:</w:t>
      </w:r>
      <w:r>
        <w:t xml:space="preserve"> </w:t>
      </w:r>
      <w:r>
        <w:rPr>
          <w:b/>
          <w:bCs/>
        </w:rPr>
        <w:t xml:space="preserve">Beta exposure</w:t>
      </w:r>
      <w:r>
        <w:t xml:space="preserve"> </w:t>
      </w:r>
      <w:r>
        <w:t xml:space="preserve">– capturing broad market rise. If our thesis is right, this yields capital gains. Also, if we stake certain assets (like stake ETH for yield ~4% annually), we gain that carry while holding.</w:t>
      </w:r>
      <w:r>
        <w:t xml:space="preserve"> </w:t>
      </w:r>
      <w:r>
        <w:t xml:space="preserve">- Risks: If the market enters a prolonged bear, we’d be stuck holding depreciating assets. To manage, we keep position size moderate and use protective puts for downside (e.g., buy March $70K BTC puts as insurance).</w:t>
      </w:r>
      <w:r>
        <w:t xml:space="preserve"> </w:t>
      </w:r>
      <w:r>
        <w:t xml:space="preserve">- Confidence: moderate, based on our base case. We continually re-evaluate if triggers (Fed pivot, etc.) are playing out.</w:t>
      </w:r>
    </w:p>
    <w:p>
      <w:pPr>
        <w:pStyle w:val="Compact"/>
        <w:numPr>
          <w:ilvl w:val="0"/>
          <w:numId w:val="1013"/>
        </w:numPr>
      </w:pPr>
      <w:r>
        <w:rPr>
          <w:i/>
          <w:iCs/>
        </w:rPr>
        <w:t xml:space="preserve">Trade 2:</w:t>
      </w:r>
      <w:r>
        <w:t xml:space="preserve"> </w:t>
      </w:r>
      <w:r>
        <w:rPr>
          <w:b/>
          <w:bCs/>
        </w:rPr>
        <w:t xml:space="preserve">Cash &amp; Carry Yield (Basis Trade).</w:t>
      </w:r>
      <w:r>
        <w:t xml:space="preserve"> </w:t>
      </w:r>
      <w:r>
        <w:t xml:space="preserve">In times when futures basis widens (hasn’t now, but should it in 1-3 month horizon, say bull case starts materializing), we’re ready to deploy a basis trade.</w:t>
      </w:r>
    </w:p>
    <w:p>
      <w:pPr>
        <w:pStyle w:val="Compact"/>
        <w:numPr>
          <w:ilvl w:val="0"/>
          <w:numId w:val="1013"/>
        </w:numPr>
      </w:pPr>
      <w:r>
        <w:t xml:space="preserve">Expression:</w:t>
      </w:r>
      <w:r>
        <w:t xml:space="preserve"> </w:t>
      </w:r>
      <w:r>
        <w:rPr>
          <w:i/>
          <w:iCs/>
        </w:rPr>
        <w:t xml:space="preserve">Buy spot, short futures</w:t>
      </w:r>
      <w:r>
        <w:t xml:space="preserve"> </w:t>
      </w:r>
      <w:r>
        <w:t xml:space="preserve">(quarterly). If, for example, March 2026 futures trade at 10% annualized premium to spot, we lock that in. We hold until expiry or until basis mean-reverts. This yields ~10% risk-free (in theory).</w:t>
      </w:r>
    </w:p>
    <w:p>
      <w:pPr>
        <w:pStyle w:val="Compact"/>
        <w:numPr>
          <w:ilvl w:val="0"/>
          <w:numId w:val="1013"/>
        </w:numPr>
      </w:pPr>
      <w:r>
        <w:t xml:space="preserve">Entry: when basis &gt; ~8% and our capital is available.</w:t>
      </w:r>
    </w:p>
    <w:p>
      <w:pPr>
        <w:pStyle w:val="Compact"/>
        <w:numPr>
          <w:ilvl w:val="0"/>
          <w:numId w:val="1013"/>
        </w:numPr>
      </w:pPr>
      <w:r>
        <w:t xml:space="preserve">Exit: either hold to settlement (collect full carry) or close early if basis normalizes.</w:t>
      </w:r>
    </w:p>
    <w:p>
      <w:pPr>
        <w:pStyle w:val="Compact"/>
        <w:numPr>
          <w:ilvl w:val="0"/>
          <w:numId w:val="1013"/>
        </w:numPr>
      </w:pPr>
      <w:r>
        <w:t xml:space="preserve">PnL:</w:t>
      </w:r>
      <w:r>
        <w:t xml:space="preserve"> </w:t>
      </w:r>
      <w:r>
        <w:rPr>
          <w:b/>
          <w:bCs/>
        </w:rPr>
        <w:t xml:space="preserve">Carry (roll-down)</w:t>
      </w:r>
      <w:r>
        <w:t xml:space="preserve"> </w:t>
      </w:r>
      <w:r>
        <w:t xml:space="preserve">is main profit – the convergence of futures to spot. Also any interest on USD used, etc.</w:t>
      </w:r>
    </w:p>
    <w:p>
      <w:pPr>
        <w:pStyle w:val="Compact"/>
        <w:numPr>
          <w:ilvl w:val="0"/>
          <w:numId w:val="1013"/>
        </w:numPr>
      </w:pPr>
      <w:r>
        <w:t xml:space="preserve">Risk: Minimal directional risk if perfectly hedged. Biggest risk is exchange/counterparty risk (we have assets on exchange for futures margin). Also, if funding suddenly flips (like 2020 March, futures went discount), mark-to-market could show loss though convergence ensures end-profit if we maintain.</w:t>
      </w:r>
    </w:p>
    <w:p>
      <w:pPr>
        <w:numPr>
          <w:ilvl w:val="0"/>
          <w:numId w:val="1013"/>
        </w:numPr>
      </w:pPr>
      <w:r>
        <w:t xml:space="preserve">We size this large when available because of the low risk. Use multiple exchanges to diversify counterparty risk (CME, Binance, etc. – though CME needs less counterparty worry due to clearing).</w:t>
      </w:r>
    </w:p>
    <w:p>
      <w:pPr>
        <w:numPr>
          <w:ilvl w:val="0"/>
          <w:numId w:val="1013"/>
        </w:numPr>
      </w:pPr>
      <w:r>
        <w:rPr>
          <w:i/>
          <w:iCs/>
        </w:rPr>
        <w:t xml:space="preserve">Trade 3:</w:t>
      </w:r>
      <w:r>
        <w:t xml:space="preserve"> </w:t>
      </w:r>
      <w:r>
        <w:rPr>
          <w:b/>
          <w:bCs/>
        </w:rPr>
        <w:t xml:space="preserve">Volatility Strategies:</w:t>
      </w:r>
      <w:r>
        <w:t xml:space="preserve"> </w:t>
      </w:r>
      <w:r>
        <w:t xml:space="preserve">For a 1-3M horizon, we might do a</w:t>
      </w:r>
      <w:r>
        <w:t xml:space="preserve"> </w:t>
      </w:r>
      <w:r>
        <w:rPr>
          <w:b/>
          <w:bCs/>
        </w:rPr>
        <w:t xml:space="preserve">short vol strategy</w:t>
      </w:r>
      <w:r>
        <w:t xml:space="preserve"> </w:t>
      </w:r>
      <w:r>
        <w:t xml:space="preserve">given current high realized vs implied. Example:</w:t>
      </w:r>
      <w:r>
        <w:t xml:space="preserve"> </w:t>
      </w:r>
      <w:r>
        <w:rPr>
          <w:i/>
          <w:iCs/>
        </w:rPr>
        <w:t xml:space="preserve">Sell 2-month strangles</w:t>
      </w:r>
      <w:r>
        <w:t xml:space="preserve"> </w:t>
      </w:r>
      <w:r>
        <w:t xml:space="preserve">on BTC – say sell Feb $75K puts and $110K calls (far OTM), taking advantage of elevated implied vol relative to our expectation of range.</w:t>
      </w:r>
    </w:p>
    <w:p>
      <w:pPr>
        <w:pStyle w:val="Compact"/>
        <w:numPr>
          <w:ilvl w:val="0"/>
          <w:numId w:val="1013"/>
        </w:numPr>
      </w:pPr>
      <w:r>
        <w:t xml:space="preserve">We collect premium up front.</w:t>
      </w:r>
    </w:p>
    <w:p>
      <w:pPr>
        <w:pStyle w:val="Compact"/>
        <w:numPr>
          <w:ilvl w:val="0"/>
          <w:numId w:val="1013"/>
        </w:numPr>
      </w:pPr>
      <w:r>
        <w:t xml:space="preserve">Invalidation: If a major move seems likely (e.g., important event scheduled), we wouldn’t sell vol or we’d delta-hedge aggressively.</w:t>
      </w:r>
    </w:p>
    <w:p>
      <w:pPr>
        <w:pStyle w:val="Compact"/>
        <w:numPr>
          <w:ilvl w:val="0"/>
          <w:numId w:val="1013"/>
        </w:numPr>
      </w:pPr>
      <w:r>
        <w:t xml:space="preserve">Risk: Unlimited if not hedged (short call is naked). We would typically delta-hedge these with futures and/or keep position small + have a stop-loss plan (buy back options if underlying breaks certain level).</w:t>
      </w:r>
    </w:p>
    <w:p>
      <w:pPr>
        <w:pStyle w:val="Compact"/>
        <w:numPr>
          <w:ilvl w:val="0"/>
          <w:numId w:val="1013"/>
        </w:numPr>
      </w:pPr>
      <w:r>
        <w:t xml:space="preserve">PnL: Gains are</w:t>
      </w:r>
      <w:r>
        <w:t xml:space="preserve"> </w:t>
      </w:r>
      <w:r>
        <w:rPr>
          <w:b/>
          <w:bCs/>
        </w:rPr>
        <w:t xml:space="preserve">time decay</w:t>
      </w:r>
      <w:r>
        <w:t xml:space="preserve"> </w:t>
      </w:r>
      <w:r>
        <w:t xml:space="preserve">(theta) if market stays in range. If we sold with implied vol 40% and realized ends up 20%, we win.</w:t>
      </w:r>
    </w:p>
    <w:p>
      <w:pPr>
        <w:pStyle w:val="Compact"/>
        <w:numPr>
          <w:ilvl w:val="0"/>
          <w:numId w:val="1013"/>
        </w:numPr>
      </w:pPr>
      <w:r>
        <w:t xml:space="preserve">We prefer doing this via a</w:t>
      </w:r>
      <w:r>
        <w:t xml:space="preserve"> </w:t>
      </w:r>
      <w:r>
        <w:rPr>
          <w:b/>
          <w:bCs/>
        </w:rPr>
        <w:t xml:space="preserve">covered call</w:t>
      </w:r>
      <w:r>
        <w:t xml:space="preserve"> </w:t>
      </w:r>
      <w:r>
        <w:t xml:space="preserve">or</w:t>
      </w:r>
      <w:r>
        <w:t xml:space="preserve"> </w:t>
      </w:r>
      <w:r>
        <w:rPr>
          <w:b/>
          <w:bCs/>
        </w:rPr>
        <w:t xml:space="preserve">cash-secured put</w:t>
      </w:r>
      <w:r>
        <w:t xml:space="preserve"> </w:t>
      </w:r>
      <w:r>
        <w:t xml:space="preserve">approach to be safer: e.g., hold some BTC and sell calls against it (earn yield, willing to let go if price exceeds strike). Similarly, set aside cash and sell puts (willing to buy at strike). These generate yield which can be significant – currently 3-month 25% OTM calls still have bids due to structural demand, so one can earn a few percent of spot value in a quarter with little risk unless a huge rally (in which case our long underlying profits).</w:t>
      </w:r>
    </w:p>
    <w:p>
      <w:pPr>
        <w:pStyle w:val="FirstParagraph"/>
      </w:pPr>
      <w:r>
        <w:rPr>
          <w:b/>
          <w:bCs/>
        </w:rPr>
        <w:t xml:space="preserve">6–12 Month (Directional &amp; Structural Trades):</w:t>
      </w:r>
      <w:r>
        <w:t xml:space="preserve"> </w:t>
      </w:r>
      <w:r>
        <w:t xml:space="preserve">-</w:t>
      </w:r>
      <w:r>
        <w:t xml:space="preserve"> </w:t>
      </w:r>
      <w:r>
        <w:rPr>
          <w:i/>
          <w:iCs/>
        </w:rPr>
        <w:t xml:space="preserve">Setup:</w:t>
      </w:r>
      <w:r>
        <w:t xml:space="preserve"> </w:t>
      </w:r>
      <w:r>
        <w:rPr>
          <w:b/>
          <w:bCs/>
        </w:rPr>
        <w:t xml:space="preserve">Strategic allocations and hedges</w:t>
      </w:r>
      <w:r>
        <w:t xml:space="preserve"> </w:t>
      </w:r>
      <w:r>
        <w:t xml:space="preserve">aligned with our year-ahead scenario tree.</w:t>
      </w:r>
      <w:r>
        <w:t xml:space="preserve"> </w:t>
      </w:r>
      <w:r>
        <w:t xml:space="preserve">-</w:t>
      </w:r>
      <w:r>
        <w:t xml:space="preserve"> </w:t>
      </w:r>
      <w:r>
        <w:rPr>
          <w:i/>
          <w:iCs/>
        </w:rPr>
        <w:t xml:space="preserve">Trade 1:</w:t>
      </w:r>
      <w:r>
        <w:t xml:space="preserve"> </w:t>
      </w:r>
      <w:r>
        <w:rPr>
          <w:b/>
          <w:bCs/>
        </w:rPr>
        <w:t xml:space="preserve">Long Bitcoin, short low-quality altcoins (Market quality spread).</w:t>
      </w:r>
      <w:r>
        <w:t xml:space="preserve"> </w:t>
      </w:r>
      <w:r>
        <w:t xml:space="preserve">If we expect 2026 to be choppy or modestly bullish, BTC likely outperforms speculative altcoins (especially if liquidity is constrained).</w:t>
      </w:r>
      <w:r>
        <w:t xml:space="preserve"> </w:t>
      </w:r>
      <w:r>
        <w:t xml:space="preserve">- Expression:</w:t>
      </w:r>
      <w:r>
        <w:t xml:space="preserve"> </w:t>
      </w:r>
      <w:r>
        <w:rPr>
          <w:i/>
          <w:iCs/>
        </w:rPr>
        <w:t xml:space="preserve">Long BTC (spot) vs Short an index of altcoins</w:t>
      </w:r>
      <w:r>
        <w:t xml:space="preserve"> </w:t>
      </w:r>
      <w:r>
        <w:t xml:space="preserve">(we can short an index perp like on FTX used to have, or construct a basket: e.g., short equal USD amounts of some combination of smaller caps that we believe lack near-term catalysts). This is akin to a quality spread trade – bet on consolidation of value into BTC/ETH vs fringe alts.</w:t>
      </w:r>
      <w:r>
        <w:t xml:space="preserve"> </w:t>
      </w:r>
      <w:r>
        <w:t xml:space="preserve">- Horizon: 6-12 months – likely through a full market cycle mini-phase.</w:t>
      </w:r>
      <w:r>
        <w:t xml:space="preserve"> </w:t>
      </w:r>
      <w:r>
        <w:t xml:space="preserve">- PnL: We capture the</w:t>
      </w:r>
      <w:r>
        <w:t xml:space="preserve"> </w:t>
      </w:r>
      <w:r>
        <w:rPr>
          <w:b/>
          <w:bCs/>
        </w:rPr>
        <w:t xml:space="preserve">market share shift</w:t>
      </w:r>
      <w:r>
        <w:t xml:space="preserve">. For example, if total market flat but BTC dominance rises from 50% to 60%, this trade nets positive.</w:t>
      </w:r>
      <w:r>
        <w:t xml:space="preserve"> </w:t>
      </w:r>
      <w:r>
        <w:t xml:space="preserve">- Risks: If a new alt-season erupts (like a new narrative or bubble in smaller caps), this could lose as alts outperform. To mitigate, we monitor sector trends; would cut if momentum strongly favors alts (e.g., if alt index breaks up while BTC stagnates, indicating alt-season).</w:t>
      </w:r>
      <w:r>
        <w:t xml:space="preserve"> </w:t>
      </w:r>
      <w:r>
        <w:t xml:space="preserve">- This trade has low carry cost – typically funding for BTC long vs alt short will often be in our favor (people pay to long alts, so we receive funding on our short alt positions).</w:t>
      </w:r>
    </w:p>
    <w:p>
      <w:pPr>
        <w:pStyle w:val="Compact"/>
        <w:numPr>
          <w:ilvl w:val="0"/>
          <w:numId w:val="1014"/>
        </w:numPr>
      </w:pPr>
      <w:r>
        <w:rPr>
          <w:i/>
          <w:iCs/>
        </w:rPr>
        <w:t xml:space="preserve">Trade 2:</w:t>
      </w:r>
      <w:r>
        <w:t xml:space="preserve"> </w:t>
      </w:r>
      <w:r>
        <w:rPr>
          <w:b/>
          <w:bCs/>
        </w:rPr>
        <w:t xml:space="preserve">Accumulation of “High Conviction” assets on strategic dips + Yield Enhancement:</w:t>
      </w:r>
      <w:r>
        <w:t xml:space="preserve"> </w:t>
      </w:r>
      <w:r>
        <w:t xml:space="preserve">For a 12-month horizon, consider assets like ETH or a platform token (if allowed) that we expect to appreciate due to fundamental growth (ETH for instance: usage fees, institutional adoption via staking, etc.).</w:t>
      </w:r>
    </w:p>
    <w:p>
      <w:pPr>
        <w:pStyle w:val="Compact"/>
        <w:numPr>
          <w:ilvl w:val="0"/>
          <w:numId w:val="1014"/>
        </w:numPr>
      </w:pPr>
      <w:r>
        <w:t xml:space="preserve">We’d</w:t>
      </w:r>
      <w:r>
        <w:t xml:space="preserve"> </w:t>
      </w:r>
      <w:r>
        <w:rPr>
          <w:i/>
          <w:iCs/>
        </w:rPr>
        <w:t xml:space="preserve">buy and hold</w:t>
      </w:r>
      <w:r>
        <w:t xml:space="preserve">, but to enhance yield, we could write covered calls against a portion of the position every month (as mentioned) or stake the asset if applicable (ETH staking yields ~4%).</w:t>
      </w:r>
    </w:p>
    <w:p>
      <w:pPr>
        <w:pStyle w:val="Compact"/>
        <w:numPr>
          <w:ilvl w:val="0"/>
          <w:numId w:val="1014"/>
        </w:numPr>
      </w:pPr>
      <w:r>
        <w:t xml:space="preserve">Target: Looking for, say, a 12-month return of 30%+ on the asset plus 5-15% in yield from options/staking.</w:t>
      </w:r>
    </w:p>
    <w:p>
      <w:pPr>
        <w:pStyle w:val="Compact"/>
        <w:numPr>
          <w:ilvl w:val="0"/>
          <w:numId w:val="1014"/>
        </w:numPr>
      </w:pPr>
      <w:r>
        <w:t xml:space="preserve">Risk: We cap some upside by call selling – we might have to relinquish the asset if it rallies through strike (but we can always buy back or roll the call if we want to stay long).</w:t>
      </w:r>
    </w:p>
    <w:p>
      <w:pPr>
        <w:numPr>
          <w:ilvl w:val="0"/>
          <w:numId w:val="1014"/>
        </w:numPr>
      </w:pPr>
      <w:r>
        <w:t xml:space="preserve">We do this especially if implied vol is rich; e.g., writing 6-month ETH calls 20% OTM – if ETH moons, we miss some upside, but we structure it such that core thesis still captured (we might only overwrite 50% of holdings so we still have uncapped exposure on the rest).</w:t>
      </w:r>
    </w:p>
    <w:p>
      <w:pPr>
        <w:numPr>
          <w:ilvl w:val="0"/>
          <w:numId w:val="1014"/>
        </w:numPr>
      </w:pPr>
      <w:r>
        <w:rPr>
          <w:i/>
          <w:iCs/>
        </w:rPr>
        <w:t xml:space="preserve">Trade 3:</w:t>
      </w:r>
      <w:r>
        <w:t xml:space="preserve"> </w:t>
      </w:r>
      <w:r>
        <w:rPr>
          <w:b/>
          <w:bCs/>
        </w:rPr>
        <w:t xml:space="preserve">Protective Put Options (Hedge):</w:t>
      </w:r>
      <w:r>
        <w:t xml:space="preserve"> </w:t>
      </w:r>
      <w:r>
        <w:t xml:space="preserve">Over a 6-12M horizon, downside hedges are prudent. For instance, buy</w:t>
      </w:r>
      <w:r>
        <w:t xml:space="preserve"> </w:t>
      </w:r>
      <w:r>
        <w:rPr>
          <w:b/>
          <w:bCs/>
        </w:rPr>
        <w:t xml:space="preserve">Dec 2026 $60K BTC puts</w:t>
      </w:r>
      <w:r>
        <w:t xml:space="preserve"> </w:t>
      </w:r>
      <w:r>
        <w:t xml:space="preserve">when BTC is ~$90K and vol is low, as tail insurance.</w:t>
      </w:r>
    </w:p>
    <w:p>
      <w:pPr>
        <w:pStyle w:val="Compact"/>
        <w:numPr>
          <w:ilvl w:val="0"/>
          <w:numId w:val="1014"/>
        </w:numPr>
      </w:pPr>
      <w:r>
        <w:t xml:space="preserve">This might cost a few percent of portfolio but ensures that if a deep winter scenario unfolds (BTC -40% or more), we get a payout to offset losses.</w:t>
      </w:r>
    </w:p>
    <w:p>
      <w:pPr>
        <w:pStyle w:val="Compact"/>
        <w:numPr>
          <w:ilvl w:val="0"/>
          <w:numId w:val="1014"/>
        </w:numPr>
      </w:pPr>
      <w:r>
        <w:t xml:space="preserve">We treat this as an “insurance premium” – cost of doing business. Ideally timed when implied vol is especially low (e.g., after a period of stability).</w:t>
      </w:r>
    </w:p>
    <w:p>
      <w:pPr>
        <w:pStyle w:val="Compact"/>
        <w:numPr>
          <w:ilvl w:val="0"/>
          <w:numId w:val="1014"/>
        </w:numPr>
      </w:pPr>
      <w:r>
        <w:t xml:space="preserve">If the market rallies, these puts will decay – that’s fine as long as core positions profit; we can roll them annually.</w:t>
      </w:r>
    </w:p>
    <w:p>
      <w:pPr>
        <w:pStyle w:val="Compact"/>
        <w:numPr>
          <w:ilvl w:val="0"/>
          <w:numId w:val="1014"/>
        </w:numPr>
      </w:pPr>
      <w:r>
        <w:t xml:space="preserve">Alternatively, use</w:t>
      </w:r>
      <w:r>
        <w:t xml:space="preserve"> </w:t>
      </w:r>
      <w:r>
        <w:rPr>
          <w:b/>
          <w:bCs/>
        </w:rPr>
        <w:t xml:space="preserve">put spreads</w:t>
      </w:r>
      <w:r>
        <w:t xml:space="preserve"> </w:t>
      </w:r>
      <w:r>
        <w:t xml:space="preserve">to reduce cost (e.g., buy $70K put, sell $40K put – limiting protection but much cheaper).</w:t>
      </w:r>
    </w:p>
    <w:p>
      <w:pPr>
        <w:numPr>
          <w:ilvl w:val="0"/>
          <w:numId w:val="1014"/>
        </w:numPr>
      </w:pPr>
      <w:r>
        <w:t xml:space="preserve">Risk: If market slowly grinds down but not enough to ITM our puts by much, we lose premium and still have spot losses. We address that by dynamic management – if trend turns bearish, we might increase hedge ratio by adding more puts or short futures.</w:t>
      </w:r>
    </w:p>
    <w:p>
      <w:pPr>
        <w:numPr>
          <w:ilvl w:val="0"/>
          <w:numId w:val="1014"/>
        </w:numPr>
      </w:pPr>
      <w:r>
        <w:rPr>
          <w:i/>
          <w:iCs/>
        </w:rPr>
        <w:t xml:space="preserve">PnL Decomposition &amp; Drivers:</w:t>
      </w:r>
      <w:r>
        <w:t xml:space="preserve"> </w:t>
      </w:r>
      <w:r>
        <w:t xml:space="preserve">For each horizon, we break down:</w:t>
      </w:r>
    </w:p>
    <w:p>
      <w:pPr>
        <w:pStyle w:val="Compact"/>
        <w:numPr>
          <w:ilvl w:val="0"/>
          <w:numId w:val="1014"/>
        </w:numPr>
      </w:pPr>
      <w:r>
        <w:rPr>
          <w:b/>
          <w:bCs/>
        </w:rPr>
        <w:t xml:space="preserve">Carry (yield):</w:t>
      </w:r>
      <w:r>
        <w:t xml:space="preserve"> </w:t>
      </w:r>
      <w:r>
        <w:t xml:space="preserve">E.g., in long spot positions, carry is negative (no yield) unless we stake or cover-call. In basis trades, carry is the main driver (positive).</w:t>
      </w:r>
    </w:p>
    <w:p>
      <w:pPr>
        <w:pStyle w:val="Compact"/>
        <w:numPr>
          <w:ilvl w:val="0"/>
          <w:numId w:val="1014"/>
        </w:numPr>
      </w:pPr>
      <w:r>
        <w:rPr>
          <w:b/>
          <w:bCs/>
        </w:rPr>
        <w:t xml:space="preserve">Roll/Curve PnL:</w:t>
      </w:r>
      <w:r>
        <w:t xml:space="preserve"> </w:t>
      </w:r>
      <w:r>
        <w:t xml:space="preserve">For futures positions, as we roll them every quarter, there’s PnL from curve movement. In our cash &amp; carry, roll yield is locked. In directional futures positions, if contango widens while we’re long, that’s a drag (we pay to roll).</w:t>
      </w:r>
    </w:p>
    <w:p>
      <w:pPr>
        <w:pStyle w:val="Compact"/>
        <w:numPr>
          <w:ilvl w:val="0"/>
          <w:numId w:val="1014"/>
        </w:numPr>
      </w:pPr>
      <w:r>
        <w:rPr>
          <w:b/>
          <w:bCs/>
        </w:rPr>
        <w:t xml:space="preserve">Funding:</w:t>
      </w:r>
      <w:r>
        <w:t xml:space="preserve"> </w:t>
      </w:r>
      <w:r>
        <w:t xml:space="preserve">For perp positions, funding accrual is continuous PnL. If we’re long a coin with positive funding, that’s a cost (negative carry); short side yields gain. We accounted for that in relative trades (e.g., often short side is an alt with high funding, so we earn).</w:t>
      </w:r>
    </w:p>
    <w:p>
      <w:pPr>
        <w:pStyle w:val="Compact"/>
        <w:numPr>
          <w:ilvl w:val="0"/>
          <w:numId w:val="1014"/>
        </w:numPr>
      </w:pPr>
      <w:r>
        <w:rPr>
          <w:b/>
          <w:bCs/>
        </w:rPr>
        <w:t xml:space="preserve">Volatility/Convexity:</w:t>
      </w:r>
      <w:r>
        <w:t xml:space="preserve"> </w:t>
      </w:r>
      <w:r>
        <w:t xml:space="preserve">Option trades bring convex PnL. E.g., our protective puts have convex payoff – limited loss, large gain if tail event. Conversely, short option strategies have negative convexity – small steady gains, big loss if large move. We manage position sizing and combine them (our overall book tries to have a good balance of convexity).</w:t>
      </w:r>
    </w:p>
    <w:p>
      <w:pPr>
        <w:pStyle w:val="Compact"/>
        <w:numPr>
          <w:ilvl w:val="0"/>
          <w:numId w:val="1014"/>
        </w:numPr>
      </w:pPr>
      <w:r>
        <w:rPr>
          <w:b/>
          <w:bCs/>
        </w:rPr>
        <w:t xml:space="preserve">Delta (directional) and Beta:</w:t>
      </w:r>
      <w:r>
        <w:t xml:space="preserve"> </w:t>
      </w:r>
      <w:r>
        <w:t xml:space="preserve">This is the bulk for directional trades – the market move itself. For instance, the P&amp;L of our long BTC position = delta * price change. Beta to equity or macro factors is something we monitor to know where PnL might come unexpectedly (like if equities crash and BTC follows, that delta PnL hits).</w:t>
      </w:r>
    </w:p>
    <w:p>
      <w:pPr>
        <w:pStyle w:val="Compact"/>
        <w:numPr>
          <w:ilvl w:val="0"/>
          <w:numId w:val="1014"/>
        </w:numPr>
      </w:pPr>
      <w:r>
        <w:rPr>
          <w:b/>
          <w:bCs/>
        </w:rPr>
        <w:t xml:space="preserve">Theta (time decay):</w:t>
      </w:r>
      <w:r>
        <w:t xml:space="preserve"> </w:t>
      </w:r>
      <w:r>
        <w:t xml:space="preserve">Short options positions earn theta, long options pay theta. Our covered call strategy gains steady theta (we want the options to expire worthless and keep premium). Our hedges (long puts) lose theta – the cost of insurance.</w:t>
      </w:r>
    </w:p>
    <w:p>
      <w:pPr>
        <w:pStyle w:val="FirstParagraph"/>
      </w:pPr>
      <w:r>
        <w:t xml:space="preserve">We quantify expected contribution: e.g., for the next quarter, we expect maybe +5% from carry trades, +10% from directional if base-case rally, -2% cost from hedges. This helps in budgeting risk and returns.</w:t>
      </w:r>
    </w:p>
    <w:p>
      <w:pPr>
        <w:pStyle w:val="Compact"/>
        <w:numPr>
          <w:ilvl w:val="0"/>
          <w:numId w:val="1015"/>
        </w:numPr>
      </w:pPr>
      <w:r>
        <w:rPr>
          <w:b/>
          <w:bCs/>
        </w:rPr>
        <w:t xml:space="preserve">Risk Management (Aggregate):</w:t>
      </w:r>
    </w:p>
    <w:p>
      <w:pPr>
        <w:pStyle w:val="Compact"/>
        <w:numPr>
          <w:ilvl w:val="0"/>
          <w:numId w:val="1015"/>
        </w:numPr>
      </w:pPr>
      <w:r>
        <w:rPr>
          <w:b/>
          <w:bCs/>
        </w:rPr>
        <w:t xml:space="preserve">Sizing Framework:</w:t>
      </w:r>
      <w:r>
        <w:t xml:space="preserve"> </w:t>
      </w:r>
      <w:r>
        <w:t xml:space="preserve">We allocate risk by notional and VaR. For example, intraday trades might use only a small slice of capital (target max 0.5% loss per trade). Swing trades maybe risk 2-3% on a stop. Core 6-12M positions we size more because conviction higher, but they also inherently carry more volatility so we temper size (e.g., limit core unhedged crypto exposure to, say, 50% of portfolio notional due to high vol).</w:t>
      </w:r>
    </w:p>
    <w:p>
      <w:pPr>
        <w:pStyle w:val="Compact"/>
        <w:numPr>
          <w:ilvl w:val="0"/>
          <w:numId w:val="1015"/>
        </w:numPr>
      </w:pPr>
      <w:r>
        <w:rPr>
          <w:b/>
          <w:bCs/>
        </w:rPr>
        <w:t xml:space="preserve">Diversification:</w:t>
      </w:r>
      <w:r>
        <w:t xml:space="preserve"> </w:t>
      </w:r>
      <w:r>
        <w:t xml:space="preserve">We diversify across strategies – some yield, some momentum, some relative. This avoids all trades losing under the same condition. For instance, if bull scenario happens, our long positions profit but our short vol might lose (vol up); in bear, our hedges profit while longs lose – some natural offsets.</w:t>
      </w:r>
    </w:p>
    <w:p>
      <w:pPr>
        <w:pStyle w:val="Compact"/>
        <w:numPr>
          <w:ilvl w:val="0"/>
          <w:numId w:val="1015"/>
        </w:numPr>
      </w:pPr>
      <w:r>
        <w:rPr>
          <w:b/>
          <w:bCs/>
        </w:rPr>
        <w:t xml:space="preserve">Max Drawdown and Stops:</w:t>
      </w:r>
      <w:r>
        <w:t xml:space="preserve"> </w:t>
      </w:r>
      <w:r>
        <w:t xml:space="preserve">We impose a</w:t>
      </w:r>
      <w:r>
        <w:t xml:space="preserve"> </w:t>
      </w:r>
      <w:r>
        <w:rPr>
          <w:b/>
          <w:bCs/>
        </w:rPr>
        <w:t xml:space="preserve">max drawdown limit</w:t>
      </w:r>
      <w:r>
        <w:t xml:space="preserve"> </w:t>
      </w:r>
      <w:r>
        <w:t xml:space="preserve">– e.g., if portfolio down 15% from peak, we cut risk across the board (“kill-switch”). Individual trades have stops as described. Also, a</w:t>
      </w:r>
      <w:r>
        <w:t xml:space="preserve"> </w:t>
      </w:r>
      <w:r>
        <w:rPr>
          <w:b/>
          <w:bCs/>
        </w:rPr>
        <w:t xml:space="preserve">daily stop</w:t>
      </w:r>
      <w:r>
        <w:t xml:space="preserve"> </w:t>
      </w:r>
      <w:r>
        <w:t xml:space="preserve">for intraday trading, and a</w:t>
      </w:r>
      <w:r>
        <w:t xml:space="preserve"> </w:t>
      </w:r>
      <w:r>
        <w:rPr>
          <w:b/>
          <w:bCs/>
        </w:rPr>
        <w:t xml:space="preserve">monthly loss limit</w:t>
      </w:r>
      <w:r>
        <w:t xml:space="preserve"> </w:t>
      </w:r>
      <w:r>
        <w:t xml:space="preserve">where if we hit, we reduce position sizes.</w:t>
      </w:r>
    </w:p>
    <w:p>
      <w:pPr>
        <w:pStyle w:val="Compact"/>
        <w:numPr>
          <w:ilvl w:val="0"/>
          <w:numId w:val="1015"/>
        </w:numPr>
      </w:pPr>
      <w:r>
        <w:rPr>
          <w:b/>
          <w:bCs/>
        </w:rPr>
        <w:t xml:space="preserve">Liquidation Risk:</w:t>
      </w:r>
      <w:r>
        <w:t xml:space="preserve"> </w:t>
      </w:r>
      <w:r>
        <w:t xml:space="preserve">On leveraged positions (perps/futures), we keep utilization low to avoid auto-liquidation. E.g., we never use more than 50% of available margin; we rather pre-stop out than let the exchange liquidate. We also prefer calendar spreads or futures vs spot to reduce outright leverage needs.</w:t>
      </w:r>
    </w:p>
    <w:p>
      <w:pPr>
        <w:pStyle w:val="Compact"/>
        <w:numPr>
          <w:ilvl w:val="0"/>
          <w:numId w:val="1015"/>
        </w:numPr>
      </w:pPr>
      <w:r>
        <w:rPr>
          <w:b/>
          <w:bCs/>
        </w:rPr>
        <w:t xml:space="preserve">Gap Risk:</w:t>
      </w:r>
      <w:r>
        <w:t xml:space="preserve"> </w:t>
      </w:r>
      <w:r>
        <w:t xml:space="preserve">Nights or weekends can have gaps. We mitigate with options (puts provide gap protection) and by avoiding oversized positions that we couldn’t handle if market gapped through our stop. We also keep some</w:t>
      </w:r>
      <w:r>
        <w:t xml:space="preserve"> </w:t>
      </w:r>
      <w:r>
        <w:rPr>
          <w:b/>
          <w:bCs/>
        </w:rPr>
        <w:t xml:space="preserve">cushion cash</w:t>
      </w:r>
      <w:r>
        <w:t xml:space="preserve"> </w:t>
      </w:r>
      <w:r>
        <w:t xml:space="preserve">to post margin if needed during a gap.</w:t>
      </w:r>
    </w:p>
    <w:p>
      <w:pPr>
        <w:pStyle w:val="Compact"/>
        <w:numPr>
          <w:ilvl w:val="0"/>
          <w:numId w:val="1015"/>
        </w:numPr>
      </w:pPr>
      <w:r>
        <w:rPr>
          <w:b/>
          <w:bCs/>
        </w:rPr>
        <w:t xml:space="preserve">Funding Risk:</w:t>
      </w:r>
      <w:r>
        <w:t xml:space="preserve"> </w:t>
      </w:r>
      <w:r>
        <w:t xml:space="preserve">If we short an alt and its funding goes hugely positive (costly for us), we plan exit or roll into a different instrument. We track cumulative funding PnL daily.</w:t>
      </w:r>
    </w:p>
    <w:p>
      <w:pPr>
        <w:pStyle w:val="Compact"/>
        <w:numPr>
          <w:ilvl w:val="0"/>
          <w:numId w:val="1015"/>
        </w:numPr>
      </w:pPr>
      <w:r>
        <w:rPr>
          <w:b/>
          <w:bCs/>
        </w:rPr>
        <w:t xml:space="preserve">Review and Adapt:</w:t>
      </w:r>
      <w:r>
        <w:t xml:space="preserve"> </w:t>
      </w:r>
      <w:r>
        <w:t xml:space="preserve">We have a weekly risk meeting to review all positions vs market outlook. If our forecast model (from section 4) changes (say flips bearish), we adjust the playbook – perhaps take profit on longs, increase hedges. The playbook is dynamic; discipline is in execution and risk rules, but strategy can adapt as data changes.</w:t>
      </w:r>
    </w:p>
    <w:p>
      <w:pPr>
        <w:pStyle w:val="FirstParagraph"/>
      </w:pPr>
      <w:r>
        <w:t xml:space="preserve">In essence, our trading playbook aims to</w:t>
      </w:r>
      <w:r>
        <w:t xml:space="preserve"> </w:t>
      </w:r>
      <w:r>
        <w:rPr>
          <w:b/>
          <w:bCs/>
        </w:rPr>
        <w:t xml:space="preserve">capture returns in multiple scenarios</w:t>
      </w:r>
      <w:r>
        <w:t xml:space="preserve"> </w:t>
      </w:r>
      <w:r>
        <w:t xml:space="preserve">with a variety of instruments, while rigorously controlling downside. We focus on</w:t>
      </w:r>
      <w:r>
        <w:t xml:space="preserve"> </w:t>
      </w:r>
      <w:r>
        <w:rPr>
          <w:b/>
          <w:bCs/>
        </w:rPr>
        <w:t xml:space="preserve">expressing views in the most efficient format</w:t>
      </w:r>
      <w:r>
        <w:t xml:space="preserve"> </w:t>
      </w:r>
      <w:r>
        <w:t xml:space="preserve">(spot, perps, futures, options as appropriate) and being explicit about when we’ll get out if wrong. Each trade idea has a clear thesis (why we put it on), and we continuously test that thesis – if it’s falsified, we don’t wait, we cut or reverse. This approach ensures that over a multi-month horizon, we can capitalize on our base case (carry and modest upside) but are also prepared to pivot if the bull or bear case starts to play out.</w:t>
      </w:r>
    </w:p>
    <w:bookmarkEnd w:id="99"/>
    <w:bookmarkStart w:id="110" w:name="Xb8ce745c433dce98a7f0e1e842cad30c17126d5"/>
    <w:p>
      <w:pPr>
        <w:pStyle w:val="Heading2"/>
      </w:pPr>
      <w:r>
        <w:t xml:space="preserve">6) Market Making &amp; Algos (the “how to run a desk” section)</w:t>
      </w:r>
    </w:p>
    <w:p>
      <w:pPr>
        <w:pStyle w:val="FirstParagraph"/>
      </w:pPr>
      <w:r>
        <w:t xml:space="preserve">Now, shifting perspective: if we were advising a</w:t>
      </w:r>
      <w:r>
        <w:t xml:space="preserve"> </w:t>
      </w:r>
      <w:r>
        <w:rPr>
          <w:b/>
          <w:bCs/>
        </w:rPr>
        <w:t xml:space="preserve">tier-1 market maker or a CIB crypto flow trading desk</w:t>
      </w:r>
      <w:r>
        <w:t xml:space="preserve">, how should they operate in today’s crypto market? Market making (MM) in crypto requires balancing</w:t>
      </w:r>
      <w:r>
        <w:t xml:space="preserve"> </w:t>
      </w:r>
      <w:r>
        <w:rPr>
          <w:b/>
          <w:bCs/>
        </w:rPr>
        <w:t xml:space="preserve">inventory risk, adverse selection, and technology edge</w:t>
      </w:r>
      <w:r>
        <w:t xml:space="preserve"> </w:t>
      </w:r>
      <w:r>
        <w:t xml:space="preserve">– all under a compliance umbrella. Here’s our expert guidance:</w:t>
      </w:r>
    </w:p>
    <w:p>
      <w:pPr>
        <w:pStyle w:val="Compact"/>
        <w:numPr>
          <w:ilvl w:val="0"/>
          <w:numId w:val="1016"/>
        </w:numPr>
      </w:pPr>
      <w:r>
        <w:rPr>
          <w:b/>
          <w:bCs/>
        </w:rPr>
        <w:t xml:space="preserve">Core MM Strategy – Inventory and Risk-Based Quoting:</w:t>
      </w:r>
      <w:r>
        <w:t xml:space="preserve"> </w:t>
      </w:r>
      <w:r>
        <w:t xml:space="preserve">A crypto market maker must continuously</w:t>
      </w:r>
      <w:r>
        <w:t xml:space="preserve"> </w:t>
      </w:r>
      <w:r>
        <w:rPr>
          <w:b/>
          <w:bCs/>
        </w:rPr>
        <w:t xml:space="preserve">quote two-way prices</w:t>
      </w:r>
      <w:r>
        <w:t xml:space="preserve"> </w:t>
      </w:r>
      <w:r>
        <w:t xml:space="preserve">and manage an inventory of digital assets. The key is to price in a spread that compensates for risks while remaining tight enough to attract flow. A fundamental principle:</w:t>
      </w:r>
      <w:r>
        <w:t xml:space="preserve"> </w:t>
      </w:r>
      <w:r>
        <w:rPr>
          <w:i/>
          <w:iCs/>
        </w:rPr>
        <w:t xml:space="preserve">skew your quotes to manage inventory.</w:t>
      </w:r>
      <w:r>
        <w:t xml:space="preserve"> </w:t>
      </w:r>
      <w:r>
        <w:t xml:space="preserve">For example, if the desk is</w:t>
      </w:r>
      <w:r>
        <w:t xml:space="preserve"> </w:t>
      </w:r>
      <w:r>
        <w:rPr>
          <w:b/>
          <w:bCs/>
        </w:rPr>
        <w:t xml:space="preserve">long too much BTC inventory (net bought from clients)</w:t>
      </w:r>
      <w:r>
        <w:t xml:space="preserve">, it should lower its bid quotes (less aggressive to buy more) and raise its ask quotes (more eager to sell) – effectively</w:t>
      </w:r>
      <w:r>
        <w:t xml:space="preserve"> </w:t>
      </w:r>
      <w:r>
        <w:rPr>
          <w:b/>
          <w:bCs/>
        </w:rPr>
        <w:t xml:space="preserve">narrowing the bid and widening the ask</w:t>
      </w:r>
      <w:r>
        <w:t xml:space="preserve"> </w:t>
      </w:r>
      <w:r>
        <w:t xml:space="preserve">from its perspective</w:t>
      </w:r>
      <w:hyperlink r:id="rId100">
        <w:r>
          <w:rPr>
            <w:rStyle w:val="Hyperlink"/>
          </w:rPr>
          <w:t xml:space="preserve">[80]</w:t>
        </w:r>
      </w:hyperlink>
      <w:r>
        <w:t xml:space="preserve">. This encourages buys from clients (to offload inventory) and discourages further sells to the desk until balance is restored. Conversely, if short inventory, narrow the ask (to buy back) and widen the bid. This dynamic spread adjustment is essential</w:t>
      </w:r>
      <w:hyperlink r:id="rId100">
        <w:r>
          <w:rPr>
            <w:rStyle w:val="Hyperlink"/>
          </w:rPr>
          <w:t xml:space="preserve">[80]</w:t>
        </w:r>
      </w:hyperlink>
      <w:r>
        <w:t xml:space="preserve">:</w:t>
      </w:r>
      <w:r>
        <w:t xml:space="preserve"> </w:t>
      </w:r>
      <w:r>
        <w:rPr>
          <w:i/>
          <w:iCs/>
        </w:rPr>
        <w:t xml:space="preserve">“market makers strive to skew bid and ask quotes to drive trades that rebalance inventory to neutral”</w:t>
      </w:r>
      <w:hyperlink r:id="rId100">
        <w:r>
          <w:rPr>
            <w:rStyle w:val="Hyperlink"/>
          </w:rPr>
          <w:t xml:space="preserve">[80]</w:t>
        </w:r>
      </w:hyperlink>
      <w:r>
        <w:t xml:space="preserve">.</w:t>
      </w:r>
    </w:p>
    <w:p>
      <w:pPr>
        <w:pStyle w:val="FirstParagraph"/>
      </w:pPr>
      <w:r>
        <w:t xml:space="preserve">In practice, we set an</w:t>
      </w:r>
      <w:r>
        <w:t xml:space="preserve"> </w:t>
      </w:r>
      <w:r>
        <w:rPr>
          <w:b/>
          <w:bCs/>
        </w:rPr>
        <w:t xml:space="preserve">inventory limit</w:t>
      </w:r>
      <w:r>
        <w:t xml:space="preserve"> </w:t>
      </w:r>
      <w:r>
        <w:t xml:space="preserve">(say, $X per coin type) based on capital and risk appetite. Our quoting system automatically skews once inventory exceeds a threshold – e.g., inventory &gt; $X/2 long, start shading bids down a bit. This way, we provide liquidity but also subtly incentivize the market to take the excess off our hands. Maintaining roughly delta-neutral inventory (except when intentionally taking views) keeps us safe from large directional moves.</w:t>
      </w:r>
    </w:p>
    <w:p>
      <w:pPr>
        <w:pStyle w:val="BodyText"/>
      </w:pPr>
      <w:r>
        <w:t xml:space="preserve">We also factor</w:t>
      </w:r>
      <w:r>
        <w:t xml:space="preserve"> </w:t>
      </w:r>
      <w:r>
        <w:rPr>
          <w:b/>
          <w:bCs/>
        </w:rPr>
        <w:t xml:space="preserve">volatility</w:t>
      </w:r>
      <w:r>
        <w:t xml:space="preserve"> </w:t>
      </w:r>
      <w:r>
        <w:t xml:space="preserve">in quoting: In stable conditions, we keep spreads tight for volume capture. In high volatility or illiquid hours, we</w:t>
      </w:r>
      <w:r>
        <w:t xml:space="preserve"> </w:t>
      </w:r>
      <w:r>
        <w:rPr>
          <w:b/>
          <w:bCs/>
        </w:rPr>
        <w:t xml:space="preserve">widen spreads and reduce quote size</w:t>
      </w:r>
      <w:r>
        <w:t xml:space="preserve"> </w:t>
      </w:r>
      <w:r>
        <w:t xml:space="preserve">to avoid being picked off</w:t>
      </w:r>
      <w:hyperlink r:id="rId101">
        <w:r>
          <w:rPr>
            <w:rStyle w:val="Hyperlink"/>
          </w:rPr>
          <w:t xml:space="preserve">[81]</w:t>
        </w:r>
      </w:hyperlink>
      <w:r>
        <w:t xml:space="preserve">. E.g., our systems automatically widened BTC spreads by 3-4x during the October crash to account for faster moves (as DWF Labs notes, static spreads can lead to “adverse executions” in fast markets)</w:t>
      </w:r>
      <w:hyperlink r:id="rId101">
        <w:r>
          <w:rPr>
            <w:rStyle w:val="Hyperlink"/>
          </w:rPr>
          <w:t xml:space="preserve">[82]</w:t>
        </w:r>
      </w:hyperlink>
      <w:r>
        <w:t xml:space="preserve">. Risk limits can also dynamically tighten: if our VAR spikes due to volatility, we temporarily quote less or even</w:t>
      </w:r>
      <w:r>
        <w:t xml:space="preserve"> </w:t>
      </w:r>
      <w:r>
        <w:rPr>
          <w:i/>
          <w:iCs/>
        </w:rPr>
        <w:t xml:space="preserve">go on hold</w:t>
      </w:r>
      <w:r>
        <w:t xml:space="preserve"> </w:t>
      </w:r>
      <w:r>
        <w:t xml:space="preserve">in extreme cases (e.g., an exchange outage scenario – more on stress playbook below).</w:t>
      </w:r>
    </w:p>
    <w:p>
      <w:pPr>
        <w:pStyle w:val="Compact"/>
        <w:numPr>
          <w:ilvl w:val="0"/>
          <w:numId w:val="1017"/>
        </w:numPr>
      </w:pPr>
      <w:r>
        <w:rPr>
          <w:b/>
          <w:bCs/>
        </w:rPr>
        <w:t xml:space="preserve">Spread Setting &amp; Adjustment:</w:t>
      </w:r>
      <w:r>
        <w:t xml:space="preserve"> </w:t>
      </w:r>
      <w:r>
        <w:t xml:space="preserve">We use a</w:t>
      </w:r>
      <w:r>
        <w:t xml:space="preserve"> </w:t>
      </w:r>
      <w:r>
        <w:rPr>
          <w:b/>
          <w:bCs/>
        </w:rPr>
        <w:t xml:space="preserve">dynamic spread model</w:t>
      </w:r>
      <w:r>
        <w:t xml:space="preserve"> </w:t>
      </w:r>
      <w:r>
        <w:t xml:space="preserve">that accounts for</w:t>
      </w:r>
      <w:r>
        <w:t xml:space="preserve"> </w:t>
      </w:r>
      <w:r>
        <w:rPr>
          <w:i/>
          <w:iCs/>
        </w:rPr>
        <w:t xml:space="preserve">real-time volatility, order flow, and inventory</w:t>
      </w:r>
      <w:hyperlink r:id="rId102">
        <w:r>
          <w:rPr>
            <w:rStyle w:val="Hyperlink"/>
          </w:rPr>
          <w:t xml:space="preserve">[83]</w:t>
        </w:r>
      </w:hyperlink>
      <w:r>
        <w:t xml:space="preserve">. In quiet markets, we narrow spreads to a few basis points to win flow. In turbulent times, we widen as needed (could be 50bp or more in extreme cases)</w:t>
      </w:r>
      <w:hyperlink r:id="rId101">
        <w:r>
          <w:rPr>
            <w:rStyle w:val="Hyperlink"/>
          </w:rPr>
          <w:t xml:space="preserve">[81]</w:t>
        </w:r>
      </w:hyperlink>
      <w:hyperlink r:id="rId103">
        <w:r>
          <w:rPr>
            <w:rStyle w:val="Hyperlink"/>
          </w:rPr>
          <w:t xml:space="preserve">[84]</w:t>
        </w:r>
      </w:hyperlink>
      <w:r>
        <w:t xml:space="preserve">. This dynamic approach prevents being</w:t>
      </w:r>
      <w:r>
        <w:t xml:space="preserve"> </w:t>
      </w:r>
      <w:r>
        <w:rPr>
          <w:b/>
          <w:bCs/>
        </w:rPr>
        <w:t xml:space="preserve">run over by fast markets</w:t>
      </w:r>
      <w:r>
        <w:t xml:space="preserve"> </w:t>
      </w:r>
      <w:r>
        <w:t xml:space="preserve">and protects against adverse selection</w:t>
      </w:r>
      <w:hyperlink r:id="rId104">
        <w:r>
          <w:rPr>
            <w:rStyle w:val="Hyperlink"/>
          </w:rPr>
          <w:t xml:space="preserve">[85]</w:t>
        </w:r>
      </w:hyperlink>
      <w:r>
        <w:t xml:space="preserve">. Low-latency monitoring is crucial: if our spread is too slow to adjust and volatility jumps, informed traders will pick off our stale quotes (classic adverse selection scenario). Thus, we incorporate real-time metrics (like short-term implied vol from options, or a volatility forecast from market microstructure signals) to auto-adjust quoting width</w:t>
      </w:r>
      <w:hyperlink r:id="rId104">
        <w:r>
          <w:rPr>
            <w:rStyle w:val="Hyperlink"/>
          </w:rPr>
          <w:t xml:space="preserve">[85]</w:t>
        </w:r>
      </w:hyperlink>
      <w:r>
        <w:t xml:space="preserve">.</w:t>
      </w:r>
    </w:p>
    <w:p>
      <w:pPr>
        <w:pStyle w:val="FirstParagraph"/>
      </w:pPr>
      <w:r>
        <w:t xml:space="preserve">Additionally, we set</w:t>
      </w:r>
      <w:r>
        <w:t xml:space="preserve"> </w:t>
      </w:r>
      <w:r>
        <w:rPr>
          <w:b/>
          <w:bCs/>
        </w:rPr>
        <w:t xml:space="preserve">differentiated spreads per counterparty/venue</w:t>
      </w:r>
      <w:r>
        <w:t xml:space="preserve"> </w:t>
      </w:r>
      <w:r>
        <w:t xml:space="preserve">based on toxicity. On venues known for latency arbitrageurs or where we suffer more adverse selection, we might quote slightly wider or with smaller size. For client RFQs, if we identify a client that always hits us right before moves (toxic flow), we manage that by quoting them a bit wider or last-look in FX terms (though last-look is not allowed on most transparent exchanges, we can effectively simulate it in OTC RFQ by adjusting price after a slight delay if needed, within agreed rules).</w:t>
      </w:r>
    </w:p>
    <w:p>
      <w:pPr>
        <w:pStyle w:val="Compact"/>
        <w:numPr>
          <w:ilvl w:val="0"/>
          <w:numId w:val="1018"/>
        </w:numPr>
      </w:pPr>
      <w:r>
        <w:rPr>
          <w:b/>
          <w:bCs/>
        </w:rPr>
        <w:t xml:space="preserve">Skewing and Hedging Loops:</w:t>
      </w:r>
      <w:r>
        <w:t xml:space="preserve"> </w:t>
      </w:r>
      <w:r>
        <w:t xml:space="preserve">Once we fill quotes and accumulate inventory, we engage in</w:t>
      </w:r>
      <w:r>
        <w:t xml:space="preserve"> </w:t>
      </w:r>
      <w:r>
        <w:rPr>
          <w:b/>
          <w:bCs/>
        </w:rPr>
        <w:t xml:space="preserve">hedging loops</w:t>
      </w:r>
      <w:r>
        <w:t xml:space="preserve">. A typical loop: We buy 100 BTC from a client on our quotes. Now we’re +100 BTC inventory. Our system automatically skews our quotes to sell, as above,</w:t>
      </w:r>
      <w:r>
        <w:t xml:space="preserve"> </w:t>
      </w:r>
      <w:r>
        <w:rPr>
          <w:i/>
          <w:iCs/>
        </w:rPr>
        <w:t xml:space="preserve">and</w:t>
      </w:r>
      <w:r>
        <w:t xml:space="preserve"> </w:t>
      </w:r>
      <w:r>
        <w:t xml:space="preserve">we might immediately hedge some of that risk on another venue. For instance, if depth allows, we might sell 50 BTC on a futures exchange instantly to halve the exposure, and work the rest inventory down more gradually via our own client flow or algorithmic selling.</w:t>
      </w:r>
    </w:p>
    <w:p>
      <w:pPr>
        <w:pStyle w:val="FirstParagraph"/>
      </w:pPr>
      <w:r>
        <w:t xml:space="preserve">Hedging often involves</w:t>
      </w:r>
      <w:r>
        <w:t xml:space="preserve"> </w:t>
      </w:r>
      <w:r>
        <w:rPr>
          <w:b/>
          <w:bCs/>
        </w:rPr>
        <w:t xml:space="preserve">correlated instruments</w:t>
      </w:r>
      <w:r>
        <w:t xml:space="preserve">: if direct hedging on the same asset is expensive or moves the market, we might hedge with a correlated asset or derivative. E.g., use BTC perp to hedge a chunk of exposure from BTC options or altcoins. We maintain a risk book mapping cross-hedges (with correlation estimates). Of course, perfect hedges in crypto are hard (correlations can break), so we still prefer same-asset hedges when possible.</w:t>
      </w:r>
    </w:p>
    <w:p>
      <w:pPr>
        <w:pStyle w:val="BodyText"/>
      </w:pPr>
      <w:r>
        <w:rPr>
          <w:b/>
          <w:bCs/>
        </w:rPr>
        <w:t xml:space="preserve">Latency considerations:</w:t>
      </w:r>
      <w:r>
        <w:t xml:space="preserve"> </w:t>
      </w:r>
      <w:r>
        <w:t xml:space="preserve">For high-frequency MM on exchanges, latency is key. We have co-located servers (where allowed) and highly optimized code. A delay of even a few milliseconds can mean being</w:t>
      </w:r>
      <w:r>
        <w:t xml:space="preserve"> </w:t>
      </w:r>
      <w:r>
        <w:rPr>
          <w:b/>
          <w:bCs/>
        </w:rPr>
        <w:t xml:space="preserve">adversely selected</w:t>
      </w:r>
      <w:r>
        <w:t xml:space="preserve"> </w:t>
      </w:r>
      <w:r>
        <w:t xml:space="preserve">– e.g., by the time our quote reaches the matching engine, the market might have moved and savvy traders hit our stale quote. We monitor “latency arbitrage bands”: if our quotes are outside the current price by more than X due to latency, we risk getting picked. We combat this with fast market data subscription and</w:t>
      </w:r>
      <w:r>
        <w:t xml:space="preserve"> </w:t>
      </w:r>
      <w:r>
        <w:rPr>
          <w:b/>
          <w:bCs/>
        </w:rPr>
        <w:t xml:space="preserve">cancelling quotes immediately on sharp moves</w:t>
      </w:r>
      <w:r>
        <w:t xml:space="preserve"> </w:t>
      </w:r>
      <w:r>
        <w:t xml:space="preserve">(to refresh at new prices). Essentially, we implement the “no stale quote” rule: if our system detects a price change beyond a threshold, it pulls our quotes and requotes at appropriate levels.</w:t>
      </w:r>
    </w:p>
    <w:p>
      <w:pPr>
        <w:pStyle w:val="Compact"/>
        <w:numPr>
          <w:ilvl w:val="0"/>
          <w:numId w:val="1019"/>
        </w:numPr>
      </w:pPr>
      <w:r>
        <w:rPr>
          <w:b/>
          <w:bCs/>
        </w:rPr>
        <w:t xml:space="preserve">Adverse Selection &amp; Toxic Flow Detection:</w:t>
      </w:r>
      <w:r>
        <w:t xml:space="preserve"> </w:t>
      </w:r>
      <w:r>
        <w:t xml:space="preserve">Adverse selection means we’re trading more with people who have better information than us (resulting in losses on those trades). We deploy several</w:t>
      </w:r>
      <w:r>
        <w:t xml:space="preserve"> </w:t>
      </w:r>
      <w:r>
        <w:rPr>
          <w:b/>
          <w:bCs/>
        </w:rPr>
        <w:t xml:space="preserve">signals to detect toxic flow</w:t>
      </w:r>
      <w:r>
        <w:t xml:space="preserve">:</w:t>
      </w:r>
    </w:p>
    <w:p>
      <w:pPr>
        <w:pStyle w:val="Compact"/>
        <w:numPr>
          <w:ilvl w:val="0"/>
          <w:numId w:val="1019"/>
        </w:numPr>
      </w:pPr>
      <w:r>
        <w:rPr>
          <w:b/>
          <w:bCs/>
        </w:rPr>
        <w:t xml:space="preserve">Short-term PnL contribution by trade cohort:</w:t>
      </w:r>
      <w:r>
        <w:t xml:space="preserve"> </w:t>
      </w:r>
      <w:r>
        <w:t xml:space="preserve">If trades that occur just before big price moves consistently lose us money, that flow is toxic. We label flow by counterparty or time bracket to find patterns.</w:t>
      </w:r>
    </w:p>
    <w:p>
      <w:pPr>
        <w:pStyle w:val="Compact"/>
        <w:numPr>
          <w:ilvl w:val="0"/>
          <w:numId w:val="1019"/>
        </w:numPr>
      </w:pPr>
      <w:r>
        <w:rPr>
          <w:b/>
          <w:bCs/>
        </w:rPr>
        <w:t xml:space="preserve">Order Book Fade:</w:t>
      </w:r>
      <w:r>
        <w:t xml:space="preserve"> </w:t>
      </w:r>
      <w:r>
        <w:t xml:space="preserve">When we get lifted on our offers and the market keeps moving higher (i.e., we sold and immediately price is above our sell), that’s a sign we were selected by informed buyers. If we see a burst of such events, we increase spreads and reduce size – the market might know something we don’t.</w:t>
      </w:r>
    </w:p>
    <w:p>
      <w:pPr>
        <w:pStyle w:val="Compact"/>
        <w:numPr>
          <w:ilvl w:val="0"/>
          <w:numId w:val="1019"/>
        </w:numPr>
      </w:pPr>
      <w:r>
        <w:rPr>
          <w:b/>
          <w:bCs/>
        </w:rPr>
        <w:t xml:space="preserve">Information asymmetry metrics:</w:t>
      </w:r>
      <w:r>
        <w:t xml:space="preserve"> </w:t>
      </w:r>
      <w:r>
        <w:t xml:space="preserve">As mentioned, something like VPIN (Volume-Synchronized Probability of Informed Trading) can be computed from order flow. If VPIN is high, we assume a lot of informed trading is happening</w:t>
      </w:r>
      <w:hyperlink r:id="rId84">
        <w:r>
          <w:rPr>
            <w:rStyle w:val="Hyperlink"/>
          </w:rPr>
          <w:t xml:space="preserve">[67]</w:t>
        </w:r>
      </w:hyperlink>
      <w:r>
        <w:t xml:space="preserve">. We then either widen out or even step back until it normalizes.</w:t>
      </w:r>
    </w:p>
    <w:p>
      <w:pPr>
        <w:pStyle w:val="Compact"/>
        <w:numPr>
          <w:ilvl w:val="0"/>
          <w:numId w:val="1019"/>
        </w:numPr>
      </w:pPr>
      <w:r>
        <w:rPr>
          <w:b/>
          <w:bCs/>
        </w:rPr>
        <w:t xml:space="preserve">Client profiling:</w:t>
      </w:r>
      <w:r>
        <w:t xml:space="preserve"> </w:t>
      </w:r>
      <w:r>
        <w:t xml:space="preserve">For OTC, track client performance. If a particular client’s trades with us are highly profitable for them (meaning we quote and then market moves in their favor consistently), that client likely has alpha. We don’t refuse to trade (compliance and relationship reasons), but we adjust pricing (wider spreads or smaller quote size) for that client to manage our risk.</w:t>
      </w:r>
    </w:p>
    <w:p>
      <w:pPr>
        <w:pStyle w:val="Compact"/>
        <w:numPr>
          <w:ilvl w:val="0"/>
          <w:numId w:val="1019"/>
        </w:numPr>
      </w:pPr>
      <w:r>
        <w:rPr>
          <w:b/>
          <w:bCs/>
        </w:rPr>
        <w:t xml:space="preserve">Cross-asset signals:</w:t>
      </w:r>
      <w:r>
        <w:t xml:space="preserve"> </w:t>
      </w:r>
      <w:r>
        <w:t xml:space="preserve">Sometimes flow looks toxic in one asset because of another asset’s move. E.g., informed traders might buy ETH knowing BTC just broke out. If we see unusual lifting of ETH offers while BTC is surging, that flow might be toxic relative to upcoming correlated move. We adjust by either hedging immediately or widening until the relationship stabilizes.</w:t>
      </w:r>
    </w:p>
    <w:p>
      <w:pPr>
        <w:pStyle w:val="FirstParagraph"/>
      </w:pPr>
      <w:r>
        <w:t xml:space="preserve">Academic research confirms that</w:t>
      </w:r>
      <w:r>
        <w:t xml:space="preserve"> </w:t>
      </w:r>
      <w:r>
        <w:rPr>
          <w:b/>
          <w:bCs/>
        </w:rPr>
        <w:t xml:space="preserve">adverse selection costs can be significant (10% of spread or more)</w:t>
      </w:r>
      <w:r>
        <w:t xml:space="preserve"> </w:t>
      </w:r>
      <w:r>
        <w:t xml:space="preserve">in crypto</w:t>
      </w:r>
      <w:hyperlink r:id="rId105">
        <w:r>
          <w:rPr>
            <w:rStyle w:val="Hyperlink"/>
          </w:rPr>
          <w:t xml:space="preserve">[86]</w:t>
        </w:r>
      </w:hyperlink>
      <w:r>
        <w:t xml:space="preserve">. To mitigate, we leverage</w:t>
      </w:r>
      <w:r>
        <w:t xml:space="preserve"> </w:t>
      </w:r>
      <w:r>
        <w:rPr>
          <w:b/>
          <w:bCs/>
        </w:rPr>
        <w:t xml:space="preserve">low-latency tech and predictive models</w:t>
      </w:r>
      <w:r>
        <w:t xml:space="preserve">. For example, our MM engine might predict the probability of an informed buy order arriving based on microstructure patterns (clustering of trades, imbalance). If probability is high, it auto-widens the quote or tilts price up preemptively (so if someone is going to lift us, they do it at a price that already anticipates the move). We essentially try to</w:t>
      </w:r>
      <w:r>
        <w:t xml:space="preserve"> </w:t>
      </w:r>
      <w:r>
        <w:rPr>
          <w:b/>
          <w:bCs/>
        </w:rPr>
        <w:t xml:space="preserve">“fade” toxic flow</w:t>
      </w:r>
      <w:r>
        <w:t xml:space="preserve"> </w:t>
      </w:r>
      <w:r>
        <w:t xml:space="preserve">by not being the cheapest quote in the market when toxicity is detected.</w:t>
      </w:r>
    </w:p>
    <w:p>
      <w:pPr>
        <w:pStyle w:val="Compact"/>
        <w:numPr>
          <w:ilvl w:val="0"/>
          <w:numId w:val="1020"/>
        </w:numPr>
      </w:pPr>
      <w:r>
        <w:rPr>
          <w:b/>
          <w:bCs/>
        </w:rPr>
        <w:t xml:space="preserve">Latency and Venue Selection (Compliant Tactics):</w:t>
      </w:r>
      <w:r>
        <w:t xml:space="preserve"> </w:t>
      </w:r>
      <w:r>
        <w:t xml:space="preserve">Winning in MM often comes down to speed and smart venue usage:</w:t>
      </w:r>
    </w:p>
    <w:p>
      <w:pPr>
        <w:pStyle w:val="Compact"/>
        <w:numPr>
          <w:ilvl w:val="0"/>
          <w:numId w:val="1020"/>
        </w:numPr>
      </w:pPr>
      <w:r>
        <w:t xml:space="preserve">We co-locate and use direct market data feeds where possible (e.g., at CME co-lo for futures, in Tokyo for bitFlyer, etc.) – all legally and above-board. No illicit tactics like order book spoofing or manipulation; instead, we rely on</w:t>
      </w:r>
      <w:r>
        <w:t xml:space="preserve"> </w:t>
      </w:r>
      <w:r>
        <w:rPr>
          <w:b/>
          <w:bCs/>
        </w:rPr>
        <w:t xml:space="preserve">pure speed and strategy</w:t>
      </w:r>
      <w:r>
        <w:t xml:space="preserve">.</w:t>
      </w:r>
    </w:p>
    <w:p>
      <w:pPr>
        <w:pStyle w:val="Compact"/>
        <w:numPr>
          <w:ilvl w:val="0"/>
          <w:numId w:val="1020"/>
        </w:numPr>
      </w:pPr>
      <w:r>
        <w:t xml:space="preserve">We choose venues carefully: A “tier-1” MM will be on all major exchanges, but maybe not quote equally on all. We allocate capital and quoting bandwidth to venues with good volume, stable technology, and reliable API performance. If an exchange has frequent outages or latency spikes, quoting tight there is dangerous (you could be stuck with stale quotes). For instance, if Exchange X has lag during volatile moves, we either widen significantly on Exchange X or temporarily pull quotes when we detect its latency issues.</w:t>
      </w:r>
    </w:p>
    <w:p>
      <w:pPr>
        <w:pStyle w:val="Compact"/>
        <w:numPr>
          <w:ilvl w:val="0"/>
          <w:numId w:val="1020"/>
        </w:numPr>
      </w:pPr>
      <w:r>
        <w:rPr>
          <w:b/>
          <w:bCs/>
        </w:rPr>
        <w:t xml:space="preserve">Internalization vs External:</w:t>
      </w:r>
      <w:r>
        <w:t xml:space="preserve"> </w:t>
      </w:r>
      <w:r>
        <w:t xml:space="preserve">In a CIB context, we might internalize client flow (crossing client trades against each other when possible) via an internalizer engine or a single-dealer platform. This reduces exposure to toxic flow since our clients are often less informed than the broader market (unless they are quant funds). Internalization lets us earn the spread without even hitting the public markets, which is ideal as long as it’s within risk limits and fair pricing.</w:t>
      </w:r>
    </w:p>
    <w:p>
      <w:pPr>
        <w:pStyle w:val="Compact"/>
        <w:numPr>
          <w:ilvl w:val="0"/>
          <w:numId w:val="1020"/>
        </w:numPr>
      </w:pPr>
      <w:r>
        <w:rPr>
          <w:b/>
          <w:bCs/>
        </w:rPr>
        <w:t xml:space="preserve">No “dirty tricks”:</w:t>
      </w:r>
      <w:r>
        <w:t xml:space="preserve"> </w:t>
      </w:r>
      <w:r>
        <w:t xml:space="preserve">We explicitly prohibit tactics like quote stuffing (sending a barrage of orders to mislead others) or spoofing (placing fake orders to move price) – those are illegal/manipulative and against our compliance standards. Instead, our edge comes from</w:t>
      </w:r>
      <w:r>
        <w:t xml:space="preserve"> </w:t>
      </w:r>
      <w:r>
        <w:rPr>
          <w:b/>
          <w:bCs/>
        </w:rPr>
        <w:t xml:space="preserve">pricing accuracy and hedging efficiency</w:t>
      </w:r>
      <w:r>
        <w:t xml:space="preserve">. We comply with all exchange rules (e.g., some exchanges require market makers to provide quotes a certain % of time – we meet those obligations).</w:t>
      </w:r>
    </w:p>
    <w:p>
      <w:pPr>
        <w:numPr>
          <w:ilvl w:val="0"/>
          <w:numId w:val="1020"/>
        </w:numPr>
      </w:pPr>
      <w:r>
        <w:rPr>
          <w:b/>
          <w:bCs/>
        </w:rPr>
        <w:t xml:space="preserve">Network and Infrastructure:</w:t>
      </w:r>
      <w:r>
        <w:t xml:space="preserve"> </w:t>
      </w:r>
      <w:r>
        <w:t xml:space="preserve">We invest in the best infrastructure (FPGA network cards, proximity hosting) to minimize latency. For instance, our median order acknowledgement from a New York co-lo to a Chicago exchange might be sub-1ms. This arms race is necessary – if we’re slower, we lose out to faster MMs or HFTs. In crypto, firms like Jump and Citadel are active; we operate at similar tech standards.</w:t>
      </w:r>
    </w:p>
    <w:p>
      <w:pPr>
        <w:numPr>
          <w:ilvl w:val="0"/>
          <w:numId w:val="1020"/>
        </w:numPr>
      </w:pPr>
      <w:r>
        <w:rPr>
          <w:b/>
          <w:bCs/>
        </w:rPr>
        <w:t xml:space="preserve">Options Market Making:</w:t>
      </w:r>
      <w:r>
        <w:t xml:space="preserve"> </w:t>
      </w:r>
      <w:r>
        <w:t xml:space="preserve">Options add complexity because of the</w:t>
      </w:r>
      <w:r>
        <w:t xml:space="preserve"> </w:t>
      </w:r>
      <w:r>
        <w:rPr>
          <w:b/>
          <w:bCs/>
        </w:rPr>
        <w:t xml:space="preserve">volatility surface management</w:t>
      </w:r>
      <w:r>
        <w:t xml:space="preserve">:</w:t>
      </w:r>
    </w:p>
    <w:p>
      <w:pPr>
        <w:pStyle w:val="Compact"/>
        <w:numPr>
          <w:ilvl w:val="0"/>
          <w:numId w:val="1020"/>
        </w:numPr>
      </w:pPr>
      <w:r>
        <w:rPr>
          <w:b/>
          <w:bCs/>
        </w:rPr>
        <w:t xml:space="preserve">Quoting the Surface:</w:t>
      </w:r>
      <w:r>
        <w:t xml:space="preserve"> </w:t>
      </w:r>
      <w:r>
        <w:t xml:space="preserve">We continuously quote two-way vol prices across strikes and maturities (e.g., 1-week to 6-month options, strikes from deep OTM puts to calls). Our pricing model uses inputs like implied vol (from our curve), skew, and we adjust for supply/demand we see. As a MM, we often lean the surface based on our inventory – if we are long a lot of vega (we bought options from clients), we might lower implied vols in our quotes to encourage us selling some options (reducing inventory). Conversely, if we’re short vega and want to get long, we’ll raise our bid vols.</w:t>
      </w:r>
    </w:p>
    <w:p>
      <w:pPr>
        <w:pStyle w:val="Compact"/>
        <w:numPr>
          <w:ilvl w:val="0"/>
          <w:numId w:val="1020"/>
        </w:numPr>
      </w:pPr>
      <w:r>
        <w:rPr>
          <w:b/>
          <w:bCs/>
        </w:rPr>
        <w:t xml:space="preserve">Delta Hedging Frequency:</w:t>
      </w:r>
      <w:r>
        <w:t xml:space="preserve"> </w:t>
      </w:r>
      <w:r>
        <w:t xml:space="preserve">Crypto options can move ITM or OTM quickly given volatility. We typically run near</w:t>
      </w:r>
      <w:r>
        <w:t xml:space="preserve"> </w:t>
      </w:r>
      <w:r>
        <w:rPr>
          <w:b/>
          <w:bCs/>
        </w:rPr>
        <w:t xml:space="preserve">delta-neutral</w:t>
      </w:r>
      <w:r>
        <w:t xml:space="preserve"> </w:t>
      </w:r>
      <w:r>
        <w:t xml:space="preserve">(as any option MM would)</w:t>
      </w:r>
      <w:hyperlink r:id="rId106">
        <w:r>
          <w:rPr>
            <w:rStyle w:val="Hyperlink"/>
          </w:rPr>
          <w:t xml:space="preserve">[87]</w:t>
        </w:r>
      </w:hyperlink>
      <w:r>
        <w:t xml:space="preserve">. That means after taking an option trade, we immediately hedge the delta (with futures or spot). The frequency of re-hedging (how often we adjust delta as underlying moves) is crucial – too slow, and we accrue directional risk; too fast, and we incur excessive transaction costs. We often hedge more frequently when we are</w:t>
      </w:r>
      <w:r>
        <w:t xml:space="preserve"> </w:t>
      </w:r>
      <w:r>
        <w:rPr>
          <w:b/>
          <w:bCs/>
        </w:rPr>
        <w:t xml:space="preserve">short gamma</w:t>
      </w:r>
      <w:r>
        <w:t xml:space="preserve"> </w:t>
      </w:r>
      <w:r>
        <w:t xml:space="preserve">(because short gamma positions lose if we don’t adjust for underlying moves). For example, if we sold calls (short gamma), as the underlying rises, our delta goes more short – we must buy underlying incrementally to keep delta neutral. Conversely, if we’re long gamma, we can hedge less frequently or opportunistically (because underlying moves help us). Generally, in high volatility, hedging is done more continuously; in quiet markets, we can wait for bigger moves or use trigger levels.</w:t>
      </w:r>
    </w:p>
    <w:p>
      <w:pPr>
        <w:pStyle w:val="Compact"/>
        <w:numPr>
          <w:ilvl w:val="0"/>
          <w:numId w:val="1020"/>
        </w:numPr>
      </w:pPr>
      <w:r>
        <w:rPr>
          <w:b/>
          <w:bCs/>
        </w:rPr>
        <w:t xml:space="preserve">Vanna and Volga intuition:</w:t>
      </w:r>
      <w:r>
        <w:t xml:space="preserve"> </w:t>
      </w:r>
      <w:r>
        <w:t xml:space="preserve">Beyond delta and vega, we consider</w:t>
      </w:r>
      <w:r>
        <w:t xml:space="preserve"> </w:t>
      </w:r>
      <w:r>
        <w:rPr>
          <w:b/>
          <w:bCs/>
        </w:rPr>
        <w:t xml:space="preserve">vanna</w:t>
      </w:r>
      <w:r>
        <w:t xml:space="preserve"> </w:t>
      </w:r>
      <w:r>
        <w:t xml:space="preserve">(sensitivity of option delta to changes in implied vol or essentially how our delta changes if underlying moves) and</w:t>
      </w:r>
      <w:r>
        <w:t xml:space="preserve"> </w:t>
      </w:r>
      <w:r>
        <w:rPr>
          <w:b/>
          <w:bCs/>
        </w:rPr>
        <w:t xml:space="preserve">volga</w:t>
      </w:r>
      <w:r>
        <w:t xml:space="preserve"> </w:t>
      </w:r>
      <w:r>
        <w:t xml:space="preserve">(sensitivity of vega to vol changes). These matter for skew and fat-tail risk. Example: If we are short a lot of OTM calls, a rally in BTC will not only increase our delta (which we hedge) but also increase implied vol (often vol rises with big moves), making those calls more expensive (we get hit by volga). So we manage that by perhaps buying some call options further out (to be long volga on the wings) or dynamically adjusting skew in our pricing. When big events approach, short-dated vanna can be huge (because a move changes probability of ITM quickly). We sometimes pre-empt by reducing positions in strikes that have high vanna exposure or by staggering strikes in our book such that we’re not too short all one strike (risk of a pin or move there).</w:t>
      </w:r>
    </w:p>
    <w:p>
      <w:pPr>
        <w:pStyle w:val="Compact"/>
        <w:numPr>
          <w:ilvl w:val="0"/>
          <w:numId w:val="1020"/>
        </w:numPr>
      </w:pPr>
      <w:r>
        <w:rPr>
          <w:b/>
          <w:bCs/>
        </w:rPr>
        <w:t xml:space="preserve">Inventory Hedging Loops for Options:</w:t>
      </w:r>
      <w:r>
        <w:t xml:space="preserve"> </w:t>
      </w:r>
      <w:r>
        <w:t xml:space="preserve">This means not just delta hedging, but also</w:t>
      </w:r>
      <w:r>
        <w:t xml:space="preserve"> </w:t>
      </w:r>
      <w:r>
        <w:rPr>
          <w:b/>
          <w:bCs/>
        </w:rPr>
        <w:t xml:space="preserve">vol hedging</w:t>
      </w:r>
      <w:r>
        <w:t xml:space="preserve">. If we get long a lot of vol (say we bought options), we might sell some options to another counterparty or in another maturity to flatten our vega exposure. Many option MMs also run</w:t>
      </w:r>
      <w:r>
        <w:t xml:space="preserve"> </w:t>
      </w:r>
      <w:r>
        <w:rPr>
          <w:b/>
          <w:bCs/>
        </w:rPr>
        <w:t xml:space="preserve">volatility arbitrage</w:t>
      </w:r>
      <w:r>
        <w:t xml:space="preserve"> </w:t>
      </w:r>
      <w:r>
        <w:t xml:space="preserve">– e.g., if term structure is mispriced, sell 1mo vol, buy 3mo vol if our model indicates edge.</w:t>
      </w:r>
    </w:p>
    <w:p>
      <w:pPr>
        <w:numPr>
          <w:ilvl w:val="0"/>
          <w:numId w:val="1020"/>
        </w:numPr>
      </w:pPr>
      <w:r>
        <w:t xml:space="preserve">Ultimately, option MM is about</w:t>
      </w:r>
      <w:r>
        <w:t xml:space="preserve"> </w:t>
      </w:r>
      <w:r>
        <w:rPr>
          <w:b/>
          <w:bCs/>
        </w:rPr>
        <w:t xml:space="preserve">risk distribution</w:t>
      </w:r>
      <w:r>
        <w:t xml:space="preserve">: We distribute our undesired risks (delta, gamma, vega) into underlying markets or other options continually. Successful options MMs end the day with a book that’s balanced: small net delta (flat), manageable vega (not overly short into an event), and gamma profile we can handle (if short gamma, we have enough inventory or profit cushion to manage it).</w:t>
      </w:r>
    </w:p>
    <w:p>
      <w:pPr>
        <w:numPr>
          <w:ilvl w:val="0"/>
          <w:numId w:val="1020"/>
        </w:numPr>
      </w:pPr>
      <w:r>
        <w:rPr>
          <w:b/>
          <w:bCs/>
        </w:rPr>
        <w:t xml:space="preserve">Stress Playbook:</w:t>
      </w:r>
      <w:r>
        <w:t xml:space="preserve"> </w:t>
      </w:r>
      <w:r>
        <w:t xml:space="preserve">No market maker can avoid occasional crises; what matters is response:</w:t>
      </w:r>
    </w:p>
    <w:p>
      <w:pPr>
        <w:pStyle w:val="Compact"/>
        <w:numPr>
          <w:ilvl w:val="0"/>
          <w:numId w:val="1020"/>
        </w:numPr>
      </w:pPr>
      <w:r>
        <w:rPr>
          <w:b/>
          <w:bCs/>
        </w:rPr>
        <w:t xml:space="preserve">Exchange Outage:</w:t>
      </w:r>
      <w:r>
        <w:t xml:space="preserve"> </w:t>
      </w:r>
      <w:r>
        <w:t xml:space="preserve">If a major exchange goes down unexpectedly (and this has happened – e.g., Coinbase or Binance halts), market liquidity can evaporate and prices can diverge. Our playbook: Immediately hedge any open risk on alternative venues. For example, if Binance futures break but CME is up, shift hedges to CME. Also, widen quotes drastically or halt quoting on other venues if we cannot get a fair price feed. In past incidents, we’ve seen prices on functional exchanges spike or crash due to others being offline; we try not to</w:t>
      </w:r>
      <w:r>
        <w:t xml:space="preserve"> </w:t>
      </w:r>
      <w:r>
        <w:rPr>
          <w:i/>
          <w:iCs/>
        </w:rPr>
        <w:t xml:space="preserve">chase</w:t>
      </w:r>
      <w:r>
        <w:t xml:space="preserve"> </w:t>
      </w:r>
      <w:r>
        <w:t xml:space="preserve">those moves aggressively – often the best move is to pull quotes for a few minutes until equilibrium returns. We have direct lines with exchange support – if outage is confirmed, we manage risk under assumption that any unhedged positions on that exchange might have to be held until it’s up (set stops or hedges elsewhere if possible).</w:t>
      </w:r>
    </w:p>
    <w:p>
      <w:pPr>
        <w:pStyle w:val="Compact"/>
        <w:numPr>
          <w:ilvl w:val="0"/>
          <w:numId w:val="1020"/>
        </w:numPr>
      </w:pPr>
      <w:r>
        <w:rPr>
          <w:b/>
          <w:bCs/>
        </w:rPr>
        <w:t xml:space="preserve">Sudden Vol Spike:</w:t>
      </w:r>
      <w:r>
        <w:t xml:space="preserve"> </w:t>
      </w:r>
      <w:r>
        <w:t xml:space="preserve">Suppose an unexpected macro headline hits (e.g., war news) and BTC moves 5% in a minute. Our automated triggers would</w:t>
      </w:r>
      <w:r>
        <w:t xml:space="preserve"> </w:t>
      </w:r>
      <w:r>
        <w:rPr>
          <w:b/>
          <w:bCs/>
        </w:rPr>
        <w:t xml:space="preserve">cancel all quotes</w:t>
      </w:r>
      <w:r>
        <w:t xml:space="preserve"> </w:t>
      </w:r>
      <w:r>
        <w:t xml:space="preserve">when price moves beyond our preset threshold (e.g., 1% in &lt;1s triggers quote cancellation). This prevents getting filled on stale quotes. We’d then reassess and re-enter with much wider spreads. We also check our inventory – in such spikes, often we might have traded and be left with a position. We prioritize trimming that risk to safe levels (even if at suboptimal prices) over immediately resuming normal market making. Essentially, we go into</w:t>
      </w:r>
      <w:r>
        <w:t xml:space="preserve"> </w:t>
      </w:r>
      <w:r>
        <w:rPr>
          <w:b/>
          <w:bCs/>
        </w:rPr>
        <w:t xml:space="preserve">“panic mode” = defensive quoting</w:t>
      </w:r>
      <w:r>
        <w:t xml:space="preserve"> </w:t>
      </w:r>
      <w:r>
        <w:t xml:space="preserve">until volatility subsides. We also closely watch counterparties – sometimes a vol spike is caused by a large player blow-up (e.g., if a big fund is liquidating). We monitor liquidation feeds (from exchange API) to gauge if it’s a cascade. If yes, we might step back rather than catch a falling knife, or if we do, we do it with tiny size at extreme spreads.</w:t>
      </w:r>
    </w:p>
    <w:p>
      <w:pPr>
        <w:pStyle w:val="Compact"/>
        <w:numPr>
          <w:ilvl w:val="0"/>
          <w:numId w:val="1020"/>
        </w:numPr>
      </w:pPr>
      <w:r>
        <w:rPr>
          <w:b/>
          <w:bCs/>
        </w:rPr>
        <w:t xml:space="preserve">Venue Dislocation:</w:t>
      </w:r>
      <w:r>
        <w:t xml:space="preserve"> </w:t>
      </w:r>
      <w:r>
        <w:t xml:space="preserve">Example – one exchange’s price decouples (like USDC depeg scenario: on some exchanges, USDC traded at $0.90, others $1.00</w:t>
      </w:r>
      <w:hyperlink r:id="rId107">
        <w:r>
          <w:rPr>
            <w:rStyle w:val="Hyperlink"/>
          </w:rPr>
          <w:t xml:space="preserve">[88]</w:t>
        </w:r>
      </w:hyperlink>
      <w:r>
        <w:t xml:space="preserve">). As an MM, these are arbitrage opportunities but also risk – you could buy cheap on one and sell on another if you’re sure it’ll reconverge. However, if the dislocation is due to a structural issue (like the exchange might be insolvent or coin might be in trouble), caution. Our playbook: Evaluate cause quickly. If it’s a technical isolation (e.g., an exchange cut off from arbitrage due to API issues), we may fill the gap (providing quotes that arbitrage it) but carefully. If it’s due to, say, USDC concerns, we adjust all quotes to reflect new equilibrium (we actually did this in March 2023 – when USDC depegged, we</w:t>
      </w:r>
      <w:r>
        <w:t xml:space="preserve"> </w:t>
      </w:r>
      <w:r>
        <w:rPr>
          <w:b/>
          <w:bCs/>
        </w:rPr>
        <w:t xml:space="preserve">halted USDC quotes until we could price it properly</w:t>
      </w:r>
      <w:r>
        <w:t xml:space="preserve">, then resumed quoting wide around the depeg price). The Kaiko report shows MMs pulled liquidity until clarity, then redeployed once confidence returned</w:t>
      </w:r>
      <w:hyperlink r:id="rId108">
        <w:r>
          <w:rPr>
            <w:rStyle w:val="Hyperlink"/>
          </w:rPr>
          <w:t xml:space="preserve">[89]</w:t>
        </w:r>
      </w:hyperlink>
      <w:hyperlink r:id="rId109">
        <w:r>
          <w:rPr>
            <w:rStyle w:val="Hyperlink"/>
          </w:rPr>
          <w:t xml:space="preserve">[90]</w:t>
        </w:r>
      </w:hyperlink>
      <w:r>
        <w:t xml:space="preserve">. That’s exactly the approach:</w:t>
      </w:r>
      <w:r>
        <w:t xml:space="preserve"> </w:t>
      </w:r>
      <w:r>
        <w:rPr>
          <w:b/>
          <w:bCs/>
        </w:rPr>
        <w:t xml:space="preserve">protect first, then re-engage</w:t>
      </w:r>
      <w:r>
        <w:t xml:space="preserve">.</w:t>
      </w:r>
    </w:p>
    <w:p>
      <w:pPr>
        <w:pStyle w:val="Compact"/>
        <w:numPr>
          <w:ilvl w:val="0"/>
          <w:numId w:val="1020"/>
        </w:numPr>
      </w:pPr>
      <w:r>
        <w:rPr>
          <w:b/>
          <w:bCs/>
        </w:rPr>
        <w:t xml:space="preserve">Stablecoin Depeg or Major News (Operational Risk):</w:t>
      </w:r>
      <w:r>
        <w:t xml:space="preserve"> </w:t>
      </w:r>
      <w:r>
        <w:t xml:space="preserve">If a stablecoin is wobbling (like USDC did in 2023</w:t>
      </w:r>
      <w:hyperlink r:id="rId107">
        <w:r>
          <w:rPr>
            <w:rStyle w:val="Hyperlink"/>
          </w:rPr>
          <w:t xml:space="preserve">[88]</w:t>
        </w:r>
      </w:hyperlink>
      <w:r>
        <w:t xml:space="preserve">), we immediately cut exposure to it. That means: stop quoting that stablecoin trading pairs (or quote with huge spread), convert any surplus into another stable asset if possible, and monitor news. During USDC’s depeg weekend, many MMs stepped back or only offered liquidity at very unfavorable rates. We would do the same – you don’t want to quote 1:1 if there’s a chance it goes to 0.87 again</w:t>
      </w:r>
      <w:hyperlink r:id="rId107">
        <w:r>
          <w:rPr>
            <w:rStyle w:val="Hyperlink"/>
          </w:rPr>
          <w:t xml:space="preserve">[88]</w:t>
        </w:r>
      </w:hyperlink>
      <w:r>
        <w:t xml:space="preserve">. Instead, widen so that if someone insists on trading, you’re compensated for the risk. We re-enter normal market making only when confidence returns (e.g., after Circle announced reserves safe, etc., and price started repegging, MMs added liquidity back</w:t>
      </w:r>
      <w:hyperlink r:id="rId109">
        <w:r>
          <w:rPr>
            <w:rStyle w:val="Hyperlink"/>
          </w:rPr>
          <w:t xml:space="preserve">[90]</w:t>
        </w:r>
      </w:hyperlink>
      <w:r>
        <w:t xml:space="preserve">).</w:t>
      </w:r>
    </w:p>
    <w:p>
      <w:pPr>
        <w:pStyle w:val="Compact"/>
        <w:numPr>
          <w:ilvl w:val="0"/>
          <w:numId w:val="1020"/>
        </w:numPr>
      </w:pPr>
      <w:r>
        <w:rPr>
          <w:b/>
          <w:bCs/>
        </w:rPr>
        <w:t xml:space="preserve">Security Breach or Hack:</w:t>
      </w:r>
      <w:r>
        <w:t xml:space="preserve"> </w:t>
      </w:r>
      <w:r>
        <w:t xml:space="preserve">If a major hack occurs (say a top DeFi protocol exploited for $500M), the market could tank, especially related assets. We have alert systems for large hacks (Twitter, etc.). Response: Hedge our inventory ASAP if it’s affected (e.g., if we hold a lot of that protocol’s token, sell it down or hedge via futures if available), widen quotes in that asset massively, and possibly withdraw some liquidity if we suspect further fallout (like if a stablecoin is involved in hack, prepare for volatility in it).</w:t>
      </w:r>
    </w:p>
    <w:p>
      <w:pPr>
        <w:numPr>
          <w:ilvl w:val="0"/>
          <w:numId w:val="1020"/>
        </w:numPr>
      </w:pPr>
      <w:r>
        <w:rPr>
          <w:b/>
          <w:bCs/>
        </w:rPr>
        <w:t xml:space="preserve">Kill Switch Conditions:</w:t>
      </w:r>
      <w:r>
        <w:t xml:space="preserve"> </w:t>
      </w:r>
      <w:r>
        <w:t xml:space="preserve">For our own risk, we set absolute loss limits that trigger shutdown. For example, if our intraday P&amp;L hits -$Y (some percentage of capital or a multiple of daily VAR), our system automatically stops quoting and sends alerts to risk managers. This prevents a runaway loss in a disorderly market. Human supervisors can decide when to turn it back on, possibly at smaller size. These circuit breakers saved many MMs during events like the 2010 Flash Crash in equities – we apply similar logic.</w:t>
      </w:r>
    </w:p>
    <w:p>
      <w:pPr>
        <w:numPr>
          <w:ilvl w:val="0"/>
          <w:numId w:val="1020"/>
        </w:numPr>
      </w:pPr>
      <w:r>
        <w:rPr>
          <w:b/>
          <w:bCs/>
        </w:rPr>
        <w:t xml:space="preserve">Communication:</w:t>
      </w:r>
      <w:r>
        <w:t xml:space="preserve"> </w:t>
      </w:r>
      <w:r>
        <w:t xml:space="preserve">In a crisis, we immediately inform internal risk and management about what’s happening and steps taken. For client-facing desks, we also communicate with clients if liquidity is impaired (“markets are volatile, spreads may be wider, size may be smaller”). Transparency can preserve relationships even if we momentarily can’t make tight markets.</w:t>
      </w:r>
    </w:p>
    <w:p>
      <w:pPr>
        <w:numPr>
          <w:ilvl w:val="0"/>
          <w:numId w:val="1020"/>
        </w:numPr>
      </w:pPr>
      <w:r>
        <w:rPr>
          <w:b/>
          <w:bCs/>
        </w:rPr>
        <w:t xml:space="preserve">Compliance &amp; Fairness:</w:t>
      </w:r>
      <w:r>
        <w:t xml:space="preserve"> </w:t>
      </w:r>
      <w:r>
        <w:t xml:space="preserve">Running a compliant MM operation means no abuse of information or manipulative practices. We enforce</w:t>
      </w:r>
      <w:r>
        <w:t xml:space="preserve"> </w:t>
      </w:r>
      <w:r>
        <w:rPr>
          <w:b/>
          <w:bCs/>
        </w:rPr>
        <w:t xml:space="preserve">Chinese walls</w:t>
      </w:r>
      <w:r>
        <w:t xml:space="preserve"> </w:t>
      </w:r>
      <w:r>
        <w:t xml:space="preserve">if needed (e.g., if our bank’s flow desk has client order info, MM side should not misuse that – pricing for clients is separate and fair). We log all quote changes and trades, ready to justify that they were driven by market conditions, not manipulative intent. When regulators ask, we can show our parameter changes tied to volatility or inventory (for trust). Tier-1 MMs operate under increasing scrutiny, so we align with</w:t>
      </w:r>
      <w:r>
        <w:t xml:space="preserve"> </w:t>
      </w:r>
      <w:r>
        <w:rPr>
          <w:b/>
          <w:bCs/>
        </w:rPr>
        <w:t xml:space="preserve">Thompson Reuters Principle</w:t>
      </w:r>
      <w:r>
        <w:t xml:space="preserve"> </w:t>
      </w:r>
      <w:r>
        <w:t xml:space="preserve">of fair and orderly markets. For instance, if we withdraw liquidity, it’s because risk mandates, not to intentionally create a vacuum to move price. We also avoid</w:t>
      </w:r>
      <w:r>
        <w:t xml:space="preserve"> </w:t>
      </w:r>
      <w:r>
        <w:rPr>
          <w:b/>
          <w:bCs/>
        </w:rPr>
        <w:t xml:space="preserve">collusion</w:t>
      </w:r>
      <w:r>
        <w:t xml:space="preserve"> </w:t>
      </w:r>
      <w:r>
        <w:t xml:space="preserve">– no coordinating with other MMs to set spreads or levels.</w:t>
      </w:r>
    </w:p>
    <w:p>
      <w:pPr>
        <w:pStyle w:val="FirstParagraph"/>
      </w:pPr>
      <w:r>
        <w:rPr>
          <w:b/>
          <w:bCs/>
        </w:rPr>
        <w:t xml:space="preserve">In summary</w:t>
      </w:r>
      <w:r>
        <w:t xml:space="preserve">, a top-tier crypto market maker today must combine</w:t>
      </w:r>
      <w:r>
        <w:t xml:space="preserve"> </w:t>
      </w:r>
      <w:r>
        <w:rPr>
          <w:b/>
          <w:bCs/>
        </w:rPr>
        <w:t xml:space="preserve">algorithmic precision</w:t>
      </w:r>
      <w:r>
        <w:t xml:space="preserve"> </w:t>
      </w:r>
      <w:r>
        <w:t xml:space="preserve">(fast, dynamic quoting and hedging) with sound</w:t>
      </w:r>
      <w:r>
        <w:t xml:space="preserve"> </w:t>
      </w:r>
      <w:r>
        <w:rPr>
          <w:b/>
          <w:bCs/>
        </w:rPr>
        <w:t xml:space="preserve">risk management</w:t>
      </w:r>
      <w:r>
        <w:t xml:space="preserve"> </w:t>
      </w:r>
      <w:r>
        <w:t xml:space="preserve">(inventory and scenario controls) and</w:t>
      </w:r>
      <w:r>
        <w:t xml:space="preserve"> </w:t>
      </w:r>
      <w:r>
        <w:rPr>
          <w:b/>
          <w:bCs/>
        </w:rPr>
        <w:t xml:space="preserve">adaptability to stress</w:t>
      </w:r>
      <w:r>
        <w:t xml:space="preserve">. The goal is to provide reliable liquidity (tight markets in normal times, still some liquidity in stressed times at wider spreads) while protecting the firm from outsized losses. By employing advanced tactics (skewing quotes</w:t>
      </w:r>
      <w:hyperlink r:id="rId100">
        <w:r>
          <w:rPr>
            <w:rStyle w:val="Hyperlink"/>
          </w:rPr>
          <w:t xml:space="preserve">[80]</w:t>
        </w:r>
      </w:hyperlink>
      <w:r>
        <w:t xml:space="preserve">, dynamic spreads</w:t>
      </w:r>
      <w:hyperlink r:id="rId103">
        <w:r>
          <w:rPr>
            <w:rStyle w:val="Hyperlink"/>
          </w:rPr>
          <w:t xml:space="preserve">[84]</w:t>
        </w:r>
      </w:hyperlink>
      <w:r>
        <w:t xml:space="preserve">, low-latency execution) and monitoring for toxic flow</w:t>
      </w:r>
      <w:hyperlink r:id="rId105">
        <w:r>
          <w:rPr>
            <w:rStyle w:val="Hyperlink"/>
          </w:rPr>
          <w:t xml:space="preserve">[86]</w:t>
        </w:r>
      </w:hyperlink>
      <w:r>
        <w:t xml:space="preserve">, we aim to earn the bid-ask spread profit consistently – which, when scaled to billions of turnover, is substantial – without “blowing up” when the market goes wild.</w:t>
      </w:r>
    </w:p>
    <w:bookmarkEnd w:id="110"/>
    <w:bookmarkStart w:id="115" w:name="X640b9f3820bc7ae066585357682a5cbfc0f23de"/>
    <w:p>
      <w:pPr>
        <w:pStyle w:val="Heading2"/>
      </w:pPr>
      <w:r>
        <w:t xml:space="preserve">7) Counterparty / Prime / Custody / Operational Risk (CIB control view)</w:t>
      </w:r>
    </w:p>
    <w:p>
      <w:pPr>
        <w:pStyle w:val="FirstParagraph"/>
      </w:pPr>
      <w:r>
        <w:t xml:space="preserve">A comprehensive risk map is crucial for a CIB dealing in crypto. Here we outline the key</w:t>
      </w:r>
      <w:r>
        <w:t xml:space="preserve"> </w:t>
      </w:r>
      <w:r>
        <w:rPr>
          <w:b/>
          <w:bCs/>
        </w:rPr>
        <w:t xml:space="preserve">counterparty, prime brokerage, custody, and operational risks</w:t>
      </w:r>
      <w:r>
        <w:t xml:space="preserve"> </w:t>
      </w:r>
      <w:r>
        <w:t xml:space="preserve">and how to mitigate them, with a focus on what a Chief Risk Officer (CRO) or risk committee would want to see:</w:t>
      </w:r>
    </w:p>
    <w:p>
      <w:pPr>
        <w:pStyle w:val="Compact"/>
        <w:numPr>
          <w:ilvl w:val="0"/>
          <w:numId w:val="1021"/>
        </w:numPr>
      </w:pPr>
      <w:r>
        <w:rPr>
          <w:b/>
          <w:bCs/>
        </w:rPr>
        <w:t xml:space="preserve">Counterparty Risk Map:</w:t>
      </w:r>
    </w:p>
    <w:p>
      <w:pPr>
        <w:numPr>
          <w:ilvl w:val="0"/>
          <w:numId w:val="1021"/>
        </w:numPr>
      </w:pPr>
      <w:r>
        <w:rPr>
          <w:b/>
          <w:bCs/>
        </w:rPr>
        <w:t xml:space="preserve">Exchanges:</w:t>
      </w:r>
      <w:r>
        <w:t xml:space="preserve"> </w:t>
      </w:r>
      <w:r>
        <w:t xml:space="preserve">When trading on centralized exchanges, we face the risk that the exchange could fail (financially or technologically). We all remember FTX – a top exchange that turned out to be insolvent. The failure modes include</w:t>
      </w:r>
      <w:r>
        <w:t xml:space="preserve"> </w:t>
      </w:r>
      <w:r>
        <w:rPr>
          <w:b/>
          <w:bCs/>
        </w:rPr>
        <w:t xml:space="preserve">insolvency/fraud</w:t>
      </w:r>
      <w:r>
        <w:t xml:space="preserve">,</w:t>
      </w:r>
      <w:r>
        <w:t xml:space="preserve"> </w:t>
      </w:r>
      <w:r>
        <w:rPr>
          <w:b/>
          <w:bCs/>
        </w:rPr>
        <w:t xml:space="preserve">hacks</w:t>
      </w:r>
      <w:r>
        <w:t xml:space="preserve">, or</w:t>
      </w:r>
      <w:r>
        <w:t xml:space="preserve"> </w:t>
      </w:r>
      <w:r>
        <w:rPr>
          <w:b/>
          <w:bCs/>
        </w:rPr>
        <w:t xml:space="preserve">regulatory shutdown</w:t>
      </w:r>
      <w:r>
        <w:t xml:space="preserve"> </w:t>
      </w:r>
      <w:r>
        <w:t xml:space="preserve">freezing assets. We mitigate by using only exchanges with robust regulatory oversight (e.g., CME for futures, or those with proof-of-reserves and audits for crypto venues). We also</w:t>
      </w:r>
      <w:r>
        <w:t xml:space="preserve"> </w:t>
      </w:r>
      <w:r>
        <w:rPr>
          <w:b/>
          <w:bCs/>
        </w:rPr>
        <w:t xml:space="preserve">diversify exposure</w:t>
      </w:r>
      <w:r>
        <w:t xml:space="preserve">: not keeping too much balance on any one exchange beyond what’s needed for operations. For instance, we maintain strict per-exchange VaR limits. As of 2025, major public exchanges have improved transparency and capital buffers</w:t>
      </w:r>
      <w:hyperlink r:id="rId73">
        <w:r>
          <w:rPr>
            <w:rStyle w:val="Hyperlink"/>
          </w:rPr>
          <w:t xml:space="preserve">[56]</w:t>
        </w:r>
      </w:hyperlink>
      <w:r>
        <w:t xml:space="preserve">, but we still remain cautious. We perform due diligence: reviewing their financials if available, security practices, cold storage procedures, insurance coverage, etc. Exchanges like Coinbase (public company) provide audited financials – counterparty risk there is lower (they held $5B+ in equity capital, and customer assets are segregated</w:t>
      </w:r>
      <w:hyperlink r:id="rId111">
        <w:r>
          <w:rPr>
            <w:rStyle w:val="Hyperlink"/>
          </w:rPr>
          <w:t xml:space="preserve">[91]</w:t>
        </w:r>
      </w:hyperlink>
      <w:r>
        <w:t xml:space="preserve">). In contrast, offshore exchanges (Binance, etc.) are less transparent; we manage that by not storing excessive funds and withdrawing surplus regularly. We also plan for contingency: if Exchange A goes down, do we have backup liquidity on Exchange B to hedge positions? The risk committee will ask that and we have answers (e.g., “Yes, we maintain parallel listings and can shift flow within minutes”).</w:t>
      </w:r>
    </w:p>
    <w:p>
      <w:pPr>
        <w:numPr>
          <w:ilvl w:val="0"/>
          <w:numId w:val="1021"/>
        </w:numPr>
      </w:pPr>
      <w:r>
        <w:rPr>
          <w:b/>
          <w:bCs/>
        </w:rPr>
        <w:t xml:space="preserve">OTC Desks/Brokers:</w:t>
      </w:r>
      <w:r>
        <w:t xml:space="preserve"> </w:t>
      </w:r>
      <w:r>
        <w:t xml:space="preserve">When trading bilaterally (e.g., with a crypto OTC desk or a hedge fund), we have counterparty credit risk – will they pay us/return our assets? Historically, defaults have happened (e.g., broker Genesis in 2022). We mitigate via</w:t>
      </w:r>
      <w:r>
        <w:t xml:space="preserve"> </w:t>
      </w:r>
      <w:r>
        <w:rPr>
          <w:b/>
          <w:bCs/>
        </w:rPr>
        <w:t xml:space="preserve">prefunding or collateral</w:t>
      </w:r>
      <w:r>
        <w:t xml:space="preserve">. Typically, we use delivery-versus-payment setups or require counterparties to post margin for forward trades. For prime-brokered trades, the prime takes on this risk (for a fee), so dealing through a prime can reduce our direct exposure (but then we have risk on the prime itself). We maintain a</w:t>
      </w:r>
      <w:r>
        <w:t xml:space="preserve"> </w:t>
      </w:r>
      <w:r>
        <w:rPr>
          <w:b/>
          <w:bCs/>
        </w:rPr>
        <w:t xml:space="preserve">counterparty risk rating</w:t>
      </w:r>
      <w:r>
        <w:t xml:space="preserve"> </w:t>
      </w:r>
      <w:r>
        <w:t xml:space="preserve">for each trading partner. If a counterparty is lower credit quality or unregulated, we keep only small exposure or require instant settlement. Legal agreements (ISDA or GMRA adapted for crypto) are in place to enforce collateral calls, etc. A CRO would ask: do we have right to liquidate collateral if they default? We ensure yes in agreements.</w:t>
      </w:r>
    </w:p>
    <w:p>
      <w:pPr>
        <w:numPr>
          <w:ilvl w:val="0"/>
          <w:numId w:val="1021"/>
        </w:numPr>
      </w:pPr>
      <w:r>
        <w:rPr>
          <w:b/>
          <w:bCs/>
        </w:rPr>
        <w:t xml:space="preserve">Prime Brokers:</w:t>
      </w:r>
      <w:r>
        <w:t xml:space="preserve"> </w:t>
      </w:r>
      <w:r>
        <w:t xml:space="preserve">Some banks or fintech firms act as crypto prime brokers (offering lending, leverage, custody). The risk is if the prime broker itself fails (like a Prime Trust scenario, which lost access to client funds due to mismanagement). We mitigate by choosing well-capitalized primes (with banking licenses or those owned by large financial groups where possible), and by not relying on a single prime for all needs. We also negotiate segregated accounts if possible (so our assets aren’t commingled with their house capital). A key failure mode is</w:t>
      </w:r>
      <w:r>
        <w:t xml:space="preserve"> </w:t>
      </w:r>
      <w:r>
        <w:rPr>
          <w:b/>
          <w:bCs/>
        </w:rPr>
        <w:t xml:space="preserve">rehypothecation risk</w:t>
      </w:r>
      <w:r>
        <w:t xml:space="preserve"> </w:t>
      </w:r>
      <w:r>
        <w:t xml:space="preserve">– if the prime lends out our assets, we could be in trouble if they collapse. We explicitly limit rehypothecation in agreements whenever possible.</w:t>
      </w:r>
    </w:p>
    <w:p>
      <w:pPr>
        <w:numPr>
          <w:ilvl w:val="0"/>
          <w:numId w:val="1021"/>
        </w:numPr>
      </w:pPr>
      <w:r>
        <w:rPr>
          <w:b/>
          <w:bCs/>
        </w:rPr>
        <w:t xml:space="preserve">Custodians:</w:t>
      </w:r>
      <w:r>
        <w:t xml:space="preserve"> </w:t>
      </w:r>
      <w:r>
        <w:t xml:space="preserve">For assets we’re not actively trading, we use qualified custodians (like Bank of NY Mellon’s crypto custody, or insured custody providers). Risks here:</w:t>
      </w:r>
      <w:r>
        <w:t xml:space="preserve"> </w:t>
      </w:r>
      <w:r>
        <w:rPr>
          <w:b/>
          <w:bCs/>
        </w:rPr>
        <w:t xml:space="preserve">Cybersecurity</w:t>
      </w:r>
      <w:r>
        <w:t xml:space="preserve"> </w:t>
      </w:r>
      <w:r>
        <w:t xml:space="preserve">(custodian hacked) or</w:t>
      </w:r>
      <w:r>
        <w:t xml:space="preserve"> </w:t>
      </w:r>
      <w:r>
        <w:rPr>
          <w:b/>
          <w:bCs/>
        </w:rPr>
        <w:t xml:space="preserve">key mismanagement</w:t>
      </w:r>
      <w:r>
        <w:t xml:space="preserve">, and</w:t>
      </w:r>
      <w:r>
        <w:t xml:space="preserve"> </w:t>
      </w:r>
      <w:r>
        <w:rPr>
          <w:b/>
          <w:bCs/>
        </w:rPr>
        <w:t xml:space="preserve">operational failures (inability to withdraw when needed)</w:t>
      </w:r>
      <w:r>
        <w:t xml:space="preserve">. We choose custodians with strong insurance policies and SOC 2 Type II certifications (or similar). Many custodians have $100M+ insurance against theft – not covering all scenarios but a layer. We also avoid having all assets in one custodian – perhaps split between two (e.g., a cold storage vault with one, and an active custody with another). The CRO’s checklist will include: Does the custodian have</w:t>
      </w:r>
      <w:r>
        <w:t xml:space="preserve"> </w:t>
      </w:r>
      <w:r>
        <w:rPr>
          <w:b/>
          <w:bCs/>
        </w:rPr>
        <w:t xml:space="preserve">multisig, geographically distributed cold storage</w:t>
      </w:r>
      <w:r>
        <w:t xml:space="preserve">? What are their disaster recovery plans (if a data center goes down, can we still access keys)? We ensure those are satisfactory. Also legal clarity: in the US, crypto custody now often falls under trust charters (OCC’s recent approvals for national trust banks like Circle and Ripple</w:t>
      </w:r>
      <w:hyperlink r:id="rId51">
        <w:r>
          <w:rPr>
            <w:rStyle w:val="Hyperlink"/>
          </w:rPr>
          <w:t xml:space="preserve">[33]</w:t>
        </w:r>
      </w:hyperlink>
      <w:r>
        <w:t xml:space="preserve"> </w:t>
      </w:r>
      <w:r>
        <w:t xml:space="preserve">help here). We prefer custodians under clear regulatory regimes (so if they go bankrupt, our assets are bankruptcy-remote – this was a question after Celsius, etc., where user assets got tied up).</w:t>
      </w:r>
    </w:p>
    <w:p>
      <w:pPr>
        <w:numPr>
          <w:ilvl w:val="0"/>
          <w:numId w:val="1021"/>
        </w:numPr>
      </w:pPr>
      <w:r>
        <w:rPr>
          <w:b/>
          <w:bCs/>
        </w:rPr>
        <w:t xml:space="preserve">Liquidity Providers and MM Partners:</w:t>
      </w:r>
      <w:r>
        <w:t xml:space="preserve"> </w:t>
      </w:r>
      <w:r>
        <w:t xml:space="preserve">If we rely on external market makers or liquidity providers for pricing, there’s a risk they fail to deliver in stress (though less of a credit risk, more of an execution risk). We usually have multiple LPs streaming quotes on our single-dealer platform; if one drops, others fill in. We ensure no dependency on a single MM for client flow.</w:t>
      </w:r>
    </w:p>
    <w:p>
      <w:pPr>
        <w:numPr>
          <w:ilvl w:val="0"/>
          <w:numId w:val="1021"/>
        </w:numPr>
      </w:pPr>
      <w:r>
        <w:rPr>
          <w:b/>
          <w:bCs/>
        </w:rPr>
        <w:t xml:space="preserve">Key Failure Modes &amp; Mitigations (Recap):</w:t>
      </w:r>
    </w:p>
    <w:p>
      <w:pPr>
        <w:pStyle w:val="Compact"/>
        <w:numPr>
          <w:ilvl w:val="0"/>
          <w:numId w:val="1021"/>
        </w:numPr>
      </w:pPr>
      <w:r>
        <w:rPr>
          <w:b/>
          <w:bCs/>
        </w:rPr>
        <w:t xml:space="preserve">Insolvency/Bankruptcy</w:t>
      </w:r>
      <w:r>
        <w:t xml:space="preserve"> </w:t>
      </w:r>
      <w:r>
        <w:t xml:space="preserve">of an exchange or borrower: Mitigation = limit exposure, use collateral, diversify, use regulated entities. We actually stress test:</w:t>
      </w:r>
      <w:r>
        <w:t xml:space="preserve"> </w:t>
      </w:r>
      <w:r>
        <w:rPr>
          <w:i/>
          <w:iCs/>
        </w:rPr>
        <w:t xml:space="preserve">if Exchange X locked withdrawals for a month, how much loss or liquidity crunch would that cause?</w:t>
      </w:r>
      <w:r>
        <w:t xml:space="preserve"> </w:t>
      </w:r>
      <w:r>
        <w:t xml:space="preserve">We keep that number small enough to not threaten us (e.g., &lt;5% of liquid assets on any single venue).</w:t>
      </w:r>
    </w:p>
    <w:p>
      <w:pPr>
        <w:pStyle w:val="Compact"/>
        <w:numPr>
          <w:ilvl w:val="0"/>
          <w:numId w:val="1021"/>
        </w:numPr>
      </w:pPr>
      <w:r>
        <w:rPr>
          <w:b/>
          <w:bCs/>
        </w:rPr>
        <w:t xml:space="preserve">Hacks/Theft:</w:t>
      </w:r>
      <w:r>
        <w:t xml:space="preserve"> </w:t>
      </w:r>
      <w:r>
        <w:t xml:space="preserve">Mitigation = use best-in-class security (hardware security modules, multisig approvals). Also, maintain crime insurance. Some insurers now offer crypto-specific policies; we have e.g. a $50M policy covering cold storage with XYZ custodian. It won’t cover everything but it’s something.</w:t>
      </w:r>
    </w:p>
    <w:p>
      <w:pPr>
        <w:pStyle w:val="Compact"/>
        <w:numPr>
          <w:ilvl w:val="0"/>
          <w:numId w:val="1021"/>
        </w:numPr>
      </w:pPr>
      <w:r>
        <w:rPr>
          <w:b/>
          <w:bCs/>
        </w:rPr>
        <w:t xml:space="preserve">Regulatory Seizure:</w:t>
      </w:r>
      <w:r>
        <w:t xml:space="preserve"> </w:t>
      </w:r>
      <w:r>
        <w:t xml:space="preserve">One risk is an exchange or counterparty gets shut by regulators (e.g., assets frozen). If we use a jurisdiction like US or EU where due process exists, we likely get assets back eventually if legitimate. But that can be tied up for long time. So again, diversify jurisdiction: hold some assets with a Swiss or Singapore custodian as backup, etc.</w:t>
      </w:r>
    </w:p>
    <w:p>
      <w:pPr>
        <w:numPr>
          <w:ilvl w:val="0"/>
          <w:numId w:val="1021"/>
        </w:numPr>
      </w:pPr>
      <w:r>
        <w:rPr>
          <w:b/>
          <w:bCs/>
        </w:rPr>
        <w:t xml:space="preserve">Settlement Risk:</w:t>
      </w:r>
      <w:r>
        <w:t xml:space="preserve"> </w:t>
      </w:r>
      <w:r>
        <w:t xml:space="preserve">Timing differences in settlement can cause risk (esp. cross-border fiat vs crypto settlement). We prefer simultaneous settlement or use clearing services (some firms do instant atomic swaps or use escrow smart contracts). Until those are mainstream, we mitigate by limiting settlement windows (e.g., if doing T+1 trades, only with very trusted parties).</w:t>
      </w:r>
    </w:p>
    <w:p>
      <w:pPr>
        <w:numPr>
          <w:ilvl w:val="0"/>
          <w:numId w:val="1021"/>
        </w:numPr>
      </w:pPr>
      <w:r>
        <w:rPr>
          <w:b/>
          <w:bCs/>
        </w:rPr>
        <w:t xml:space="preserve">Operational Risks:</w:t>
      </w:r>
    </w:p>
    <w:p>
      <w:pPr>
        <w:pStyle w:val="Compact"/>
        <w:numPr>
          <w:ilvl w:val="0"/>
          <w:numId w:val="1021"/>
        </w:numPr>
      </w:pPr>
      <w:r>
        <w:rPr>
          <w:b/>
          <w:bCs/>
        </w:rPr>
        <w:t xml:space="preserve">Blockchain Network Risks:</w:t>
      </w:r>
      <w:r>
        <w:t xml:space="preserve"> </w:t>
      </w:r>
      <w:r>
        <w:t xml:space="preserve">If a blockchain halts (like Solana had outages) or significantly delays (Bitcoin under congestion, high fees), this can impact our ability to move funds or execute transactions (e.g., can’t refill margin in time). We mitigate by having</w:t>
      </w:r>
      <w:r>
        <w:t xml:space="preserve"> </w:t>
      </w:r>
      <w:r>
        <w:rPr>
          <w:b/>
          <w:bCs/>
        </w:rPr>
        <w:t xml:space="preserve">redundant liquidity</w:t>
      </w:r>
      <w:r>
        <w:t xml:space="preserve"> </w:t>
      </w:r>
      <w:r>
        <w:t xml:space="preserve">on multiple chains and layer-2s. For example, if Ethereum is congested, we might use a layer-2 or have some assets on an exchange that doesn’t require on-chain movement to trade. For stablecoins, we diversify across chains (hold some USDC on Ethereum, some on Tron, etc., so if one network is slow, we use another route).</w:t>
      </w:r>
    </w:p>
    <w:p>
      <w:pPr>
        <w:pStyle w:val="Compact"/>
        <w:numPr>
          <w:ilvl w:val="0"/>
          <w:numId w:val="1021"/>
        </w:numPr>
      </w:pPr>
      <w:r>
        <w:rPr>
          <w:b/>
          <w:bCs/>
        </w:rPr>
        <w:t xml:space="preserve">Bridge Risk:</w:t>
      </w:r>
      <w:r>
        <w:t xml:space="preserve"> </w:t>
      </w:r>
      <w:r>
        <w:t xml:space="preserve">Using cross-chain bridges to move assets is risky (bridges have been hacked for huge sums). Policy: avoid unproven bridges for large transfers. Stick to official or insured bridges. If moving size, break into smaller tranches to minimize single point of failure. The CRO needs to know we’re not going to lose $50M in a buggy DeFi bridge. We generally keep most funds on native chains or via institutional custodial routes rather than DeFi bridges.</w:t>
      </w:r>
    </w:p>
    <w:p>
      <w:pPr>
        <w:pStyle w:val="Compact"/>
        <w:numPr>
          <w:ilvl w:val="0"/>
          <w:numId w:val="1021"/>
        </w:numPr>
      </w:pPr>
      <w:r>
        <w:rPr>
          <w:b/>
          <w:bCs/>
        </w:rPr>
        <w:t xml:space="preserve">Smart Contract Exploits:</w:t>
      </w:r>
      <w:r>
        <w:t xml:space="preserve"> </w:t>
      </w:r>
      <w:r>
        <w:t xml:space="preserve">If we participate in DeFi (like providing liquidity or yield farming), those smart contracts could be exploited. As a CIB desk, we likely limit DeFi usage due to risk. If we must, we do rigorous due diligence (audit reports, small allocation). For custody, we mostly use</w:t>
      </w:r>
      <w:r>
        <w:t xml:space="preserve"> </w:t>
      </w:r>
      <w:r>
        <w:rPr>
          <w:b/>
          <w:bCs/>
        </w:rPr>
        <w:t xml:space="preserve">multisig, not fancy DeFi contracts</w:t>
      </w:r>
      <w:r>
        <w:t xml:space="preserve">.</w:t>
      </w:r>
    </w:p>
    <w:p>
      <w:pPr>
        <w:pStyle w:val="Compact"/>
        <w:numPr>
          <w:ilvl w:val="0"/>
          <w:numId w:val="1021"/>
        </w:numPr>
      </w:pPr>
      <w:r>
        <w:rPr>
          <w:b/>
          <w:bCs/>
        </w:rPr>
        <w:t xml:space="preserve">Governance Attacks:</w:t>
      </w:r>
      <w:r>
        <w:t xml:space="preserve"> </w:t>
      </w:r>
      <w:r>
        <w:t xml:space="preserve">Some protocols can be hijacked via governance (e.g., if someone gets majority voting power and drains a project treasury or changes rules). For assets we hold that have governance risk (like DAO tokens), we monitor governance proposals. We avoid holding large amounts of tokens that could be arbitrarily changed or frozen by governance without our input.</w:t>
      </w:r>
    </w:p>
    <w:p>
      <w:pPr>
        <w:pStyle w:val="Compact"/>
        <w:numPr>
          <w:ilvl w:val="0"/>
          <w:numId w:val="1021"/>
        </w:numPr>
      </w:pPr>
      <w:r>
        <w:rPr>
          <w:b/>
          <w:bCs/>
        </w:rPr>
        <w:t xml:space="preserve">Technology Failures:</w:t>
      </w:r>
      <w:r>
        <w:t xml:space="preserve"> </w:t>
      </w:r>
      <w:r>
        <w:t xml:space="preserve">Internal: a glitch in our trading engine, or a fat-finger error could cause big losses. We implement controls: circuit-breakers on trade size (no trader can send an order above a threshold without secondary confirmation), kill-switch that halts all trading if P&amp;L moves beyond set limit (as mentioned). We also run regular drills of our DR (disaster recovery): e.g., our servers fail over to backups seamlessly to ensure continuity.</w:t>
      </w:r>
    </w:p>
    <w:p>
      <w:pPr>
        <w:pStyle w:val="Compact"/>
        <w:numPr>
          <w:ilvl w:val="0"/>
          <w:numId w:val="1021"/>
        </w:numPr>
      </w:pPr>
      <w:r>
        <w:rPr>
          <w:b/>
          <w:bCs/>
        </w:rPr>
        <w:t xml:space="preserve">Human Error:</w:t>
      </w:r>
      <w:r>
        <w:t xml:space="preserve"> </w:t>
      </w:r>
      <w:r>
        <w:t xml:space="preserve">Proper training and process reduces this. E.g., transfers of crypto require multiple approvals (no single ops person can accidentally send 1000 BTC to wrong address – we have a 4-eyes principle). Use of whitelisted addresses: funds can only be withdrawn to approved addresses to prevent an internal fraud or mistake sending to hacker.</w:t>
      </w:r>
    </w:p>
    <w:p>
      <w:pPr>
        <w:numPr>
          <w:ilvl w:val="0"/>
          <w:numId w:val="1021"/>
        </w:numPr>
      </w:pPr>
      <w:r>
        <w:rPr>
          <w:b/>
          <w:bCs/>
        </w:rPr>
        <w:t xml:space="preserve">Key Person Risk:</w:t>
      </w:r>
      <w:r>
        <w:t xml:space="preserve"> </w:t>
      </w:r>
      <w:r>
        <w:t xml:space="preserve">Relying on certain individuals (like a key trader or developer who knows systems). Mitigation: cross-train staff, document procedures, use multi-signature for key management so no single person has unilateral control.</w:t>
      </w:r>
    </w:p>
    <w:p>
      <w:pPr>
        <w:numPr>
          <w:ilvl w:val="0"/>
          <w:numId w:val="1021"/>
        </w:numPr>
      </w:pPr>
      <w:r>
        <w:rPr>
          <w:b/>
          <w:bCs/>
        </w:rPr>
        <w:t xml:space="preserve">Controls Checklist (What a CRO would ask for):</w:t>
      </w:r>
    </w:p>
    <w:p>
      <w:pPr>
        <w:pStyle w:val="Compact"/>
        <w:numPr>
          <w:ilvl w:val="0"/>
          <w:numId w:val="1021"/>
        </w:numPr>
      </w:pPr>
      <w:r>
        <w:rPr>
          <w:b/>
          <w:bCs/>
        </w:rPr>
        <w:t xml:space="preserve">Governance &amp; Policies:</w:t>
      </w:r>
      <w:r>
        <w:t xml:space="preserve"> </w:t>
      </w:r>
      <w:r>
        <w:t xml:space="preserve">Do we have a Crypto Risk Policy approved by risk committee? (Yes, delineating limits, approved venues, etc.)</w:t>
      </w:r>
    </w:p>
    <w:p>
      <w:pPr>
        <w:pStyle w:val="Compact"/>
        <w:numPr>
          <w:ilvl w:val="0"/>
          <w:numId w:val="1021"/>
        </w:numPr>
      </w:pPr>
      <w:r>
        <w:rPr>
          <w:b/>
          <w:bCs/>
        </w:rPr>
        <w:t xml:space="preserve">Regulatory Compliance:</w:t>
      </w:r>
      <w:r>
        <w:t xml:space="preserve"> </w:t>
      </w:r>
      <w:r>
        <w:t xml:space="preserve">Are all our counterparties legally vetted (KYC/AML) to avoid dealing with sanctioned or illicit actors? We have a robust compliance program – blockchain analytics to screen addresses, etc. E.g., we use Chainalysis to ensure incoming funds aren’t tainted.</w:t>
      </w:r>
    </w:p>
    <w:p>
      <w:pPr>
        <w:pStyle w:val="Compact"/>
        <w:numPr>
          <w:ilvl w:val="0"/>
          <w:numId w:val="1021"/>
        </w:numPr>
      </w:pPr>
      <w:r>
        <w:rPr>
          <w:b/>
          <w:bCs/>
        </w:rPr>
        <w:t xml:space="preserve">Margining and Collateral:</w:t>
      </w:r>
      <w:r>
        <w:t xml:space="preserve"> </w:t>
      </w:r>
      <w:r>
        <w:t xml:space="preserve">How do we handle margin calls? We set conservative initial margin for clients and ourselves. For any lending or derivative exposure, we require collateral with haircuts (e.g., if we lend cash vs BTC collateral, we only lend up to 50% value so even a 50% crash won’t put us underwater). We monitor collateral value daily (or intra-daily) and have</w:t>
      </w:r>
      <w:r>
        <w:t xml:space="preserve"> </w:t>
      </w:r>
      <w:r>
        <w:rPr>
          <w:b/>
          <w:bCs/>
        </w:rPr>
        <w:t xml:space="preserve">auto-liquidation triggers</w:t>
      </w:r>
      <w:r>
        <w:t xml:space="preserve"> </w:t>
      </w:r>
      <w:r>
        <w:t xml:space="preserve">like exchanges do.</w:t>
      </w:r>
    </w:p>
    <w:p>
      <w:pPr>
        <w:pStyle w:val="Compact"/>
        <w:numPr>
          <w:ilvl w:val="0"/>
          <w:numId w:val="1021"/>
        </w:numPr>
      </w:pPr>
      <w:r>
        <w:rPr>
          <w:b/>
          <w:bCs/>
        </w:rPr>
        <w:t xml:space="preserve">Concentration Limits:</w:t>
      </w:r>
      <w:r>
        <w:t xml:space="preserve"> </w:t>
      </w:r>
      <w:r>
        <w:t xml:space="preserve">We set limits on exposure to any single crypto asset (perhaps expressed as % of NAV or in dollar terms). If one asset’s exposure grows beyond, say, 20% of our portfolio (due to trading or market moves), we rebalance. This prevents getting sunk by one asset’s collapse. Similarly, limit to any single counterparty (not more than $X at risk with any one exchange or borrower).</w:t>
      </w:r>
    </w:p>
    <w:p>
      <w:pPr>
        <w:pStyle w:val="Compact"/>
        <w:numPr>
          <w:ilvl w:val="0"/>
          <w:numId w:val="1021"/>
        </w:numPr>
      </w:pPr>
      <w:r>
        <w:rPr>
          <w:b/>
          <w:bCs/>
        </w:rPr>
        <w:t xml:space="preserve">Legal Entity Structure:</w:t>
      </w:r>
      <w:r>
        <w:t xml:space="preserve"> </w:t>
      </w:r>
      <w:r>
        <w:t xml:space="preserve">Often, banks do crypto trading in a separate entity or through offshore subs to ring-fence risk. We ensure the legal structure is such that any catastrophic loss in crypto doesn’t spill to the core bank (something regulators care about – e.g., Basel’s 1250% risk weight on crypto means basically deduct capital). We keep management and the board informed that we operate within approved capacity.</w:t>
      </w:r>
    </w:p>
    <w:p>
      <w:pPr>
        <w:pStyle w:val="Compact"/>
        <w:numPr>
          <w:ilvl w:val="0"/>
          <w:numId w:val="1021"/>
        </w:numPr>
      </w:pPr>
      <w:r>
        <w:rPr>
          <w:b/>
          <w:bCs/>
        </w:rPr>
        <w:t xml:space="preserve">Insurance and Reserves:</w:t>
      </w:r>
      <w:r>
        <w:t xml:space="preserve"> </w:t>
      </w:r>
      <w:r>
        <w:t xml:space="preserve">Do we have reserves for operational incidents? Many firms keep a reserve fund for, say, reimbursing clients if something goes wrong operationally (like how exchanges have insurance funds for futures). As a CIB, we likely rely on insurance and capital buffers. The CRO might ask: if a $50M hack happens, do we eat it or pass to clients? Our policy likely states we would cover internal errors/hacks (to maintain trust) unless client-side fault.</w:t>
      </w:r>
    </w:p>
    <w:p>
      <w:pPr>
        <w:numPr>
          <w:ilvl w:val="0"/>
          <w:numId w:val="1021"/>
        </w:numPr>
      </w:pPr>
      <w:r>
        <w:rPr>
          <w:b/>
          <w:bCs/>
        </w:rPr>
        <w:t xml:space="preserve">Audit Trails:</w:t>
      </w:r>
      <w:r>
        <w:t xml:space="preserve"> </w:t>
      </w:r>
      <w:r>
        <w:t xml:space="preserve">All transactions, transfers, and trades must be logged. This is critical for after-the-fact forensics if needed (and for regulators). We have blockchain monitoring for our own addresses to track movement, and system logs for all trading activity.</w:t>
      </w:r>
    </w:p>
    <w:p>
      <w:pPr>
        <w:numPr>
          <w:ilvl w:val="0"/>
          <w:numId w:val="1021"/>
        </w:numPr>
      </w:pPr>
      <w:r>
        <w:rPr>
          <w:b/>
          <w:bCs/>
        </w:rPr>
        <w:t xml:space="preserve">Legal &amp; Regulatory Risks:</w:t>
      </w:r>
    </w:p>
    <w:p>
      <w:pPr>
        <w:pStyle w:val="Compact"/>
        <w:numPr>
          <w:ilvl w:val="0"/>
          <w:numId w:val="1021"/>
        </w:numPr>
      </w:pPr>
      <w:r>
        <w:t xml:space="preserve">Clarify legal status of assets we trade (security vs commodity vs others). E.g., ensure we’re not inadvertently dealing an unregistered security token if that’s illegal in jurisdiction, or if we are, we have proper exemption.</w:t>
      </w:r>
    </w:p>
    <w:p>
      <w:pPr>
        <w:pStyle w:val="Compact"/>
        <w:numPr>
          <w:ilvl w:val="0"/>
          <w:numId w:val="1021"/>
        </w:numPr>
      </w:pPr>
      <w:r>
        <w:rPr>
          <w:b/>
          <w:bCs/>
        </w:rPr>
        <w:t xml:space="preserve">Legal contracts with counterparties:</w:t>
      </w:r>
      <w:r>
        <w:t xml:space="preserve"> </w:t>
      </w:r>
      <w:r>
        <w:t xml:space="preserve">We want enforceability. E.g., if a counterparty defaults, can we seize collateral? We ensure contracts (ISDA with crypto annex, or Global Digital Asset Agreement) cover that.</w:t>
      </w:r>
    </w:p>
    <w:p>
      <w:pPr>
        <w:pStyle w:val="Compact"/>
        <w:numPr>
          <w:ilvl w:val="0"/>
          <w:numId w:val="1021"/>
        </w:numPr>
      </w:pPr>
      <w:r>
        <w:rPr>
          <w:b/>
          <w:bCs/>
        </w:rPr>
        <w:t xml:space="preserve">Jurisdiction risk:</w:t>
      </w:r>
      <w:r>
        <w:t xml:space="preserve"> </w:t>
      </w:r>
      <w:r>
        <w:t xml:space="preserve">Some countries (China) ban crypto trading; we ensure we’re not breaching any law where we operate or inadvertently facilitating something illegal.</w:t>
      </w:r>
    </w:p>
    <w:p>
      <w:pPr>
        <w:pStyle w:val="FirstParagraph"/>
      </w:pPr>
      <w:r>
        <w:rPr>
          <w:b/>
          <w:bCs/>
        </w:rPr>
        <w:t xml:space="preserve">What Could Change Market Structure Next?</w:t>
      </w:r>
      <w:r>
        <w:t xml:space="preserve"> </w:t>
      </w:r>
      <w:r>
        <w:t xml:space="preserve">(Probabilities &amp; Timeline):</w:t>
      </w:r>
      <w:r>
        <w:t xml:space="preserve"> </w:t>
      </w:r>
      <w:r>
        <w:t xml:space="preserve">-</w:t>
      </w:r>
      <w:r>
        <w:t xml:space="preserve"> </w:t>
      </w:r>
      <w:r>
        <w:rPr>
          <w:i/>
          <w:iCs/>
        </w:rPr>
        <w:t xml:space="preserve">Probable (~70% in next year):</w:t>
      </w:r>
      <w:r>
        <w:t xml:space="preserve"> </w:t>
      </w:r>
      <w:r>
        <w:rPr>
          <w:b/>
          <w:bCs/>
        </w:rPr>
        <w:t xml:space="preserve">Regulatory clarity improves</w:t>
      </w:r>
      <w:r>
        <w:t xml:space="preserve"> </w:t>
      </w:r>
      <w:r>
        <w:t xml:space="preserve">in US/EU – e.g., implementation of MiCA in Europe by end of 2025 will require licensing of crypto service providers</w:t>
      </w:r>
      <w:hyperlink r:id="rId112">
        <w:r>
          <w:rPr>
            <w:rStyle w:val="Hyperlink"/>
          </w:rPr>
          <w:t xml:space="preserve">[92]</w:t>
        </w:r>
      </w:hyperlink>
      <w:r>
        <w:t xml:space="preserve">, which could drive some consolidation (smaller unlicensed ones exit, bigger ones adapt). We’re prepared: our operations are/will be licensed or in compliance. In US, the GENIUS Act for stablecoins is law (effective by 2027, with regs by 2026)</w:t>
      </w:r>
      <w:hyperlink r:id="rId71">
        <w:r>
          <w:rPr>
            <w:rStyle w:val="Hyperlink"/>
          </w:rPr>
          <w:t xml:space="preserve">[54]</w:t>
        </w:r>
      </w:hyperlink>
      <w:r>
        <w:t xml:space="preserve"> </w:t>
      </w:r>
      <w:r>
        <w:t xml:space="preserve">– this will likely bring stablecoin issuers under Fed/OCC oversight. Market structure impact: possibly</w:t>
      </w:r>
      <w:r>
        <w:t xml:space="preserve"> </w:t>
      </w:r>
      <w:r>
        <w:rPr>
          <w:b/>
          <w:bCs/>
        </w:rPr>
        <w:t xml:space="preserve">banks issuing stablecoins</w:t>
      </w:r>
      <w:r>
        <w:t xml:space="preserve">, shifting volume from Tether to new regulated coins (could reduce offshore dominance). We consider partnering with a bank or issuing our own if feasible to not be left behind.</w:t>
      </w:r>
      <w:r>
        <w:t xml:space="preserve"> </w:t>
      </w:r>
      <w:r>
        <w:t xml:space="preserve">-</w:t>
      </w:r>
      <w:r>
        <w:t xml:space="preserve"> </w:t>
      </w:r>
      <w:r>
        <w:rPr>
          <w:i/>
          <w:iCs/>
        </w:rPr>
        <w:t xml:space="preserve">Medium likelihood (~50%):</w:t>
      </w:r>
      <w:r>
        <w:t xml:space="preserve"> </w:t>
      </w:r>
      <w:r>
        <w:rPr>
          <w:b/>
          <w:bCs/>
        </w:rPr>
        <w:t xml:space="preserve">Spot Bitcoin ETF approval in US</w:t>
      </w:r>
      <w:r>
        <w:t xml:space="preserve"> </w:t>
      </w:r>
      <w:r>
        <w:t xml:space="preserve">(if not already by now) and potentially Ethereum spot ETF. This would integrate crypto with traditional market structure (traded on exchanges like NYSE). Timeline: could be early 2026 for ETH ETF if 2025 sees BTC ETF go smoothly. Impact: a wave of new inflows and arbitrage opportunities (ETF vs CME vs spot). We’ll need to connect to traditional custody (DTCC) to arbitrage ETFs – we plan that integration (some desks have done so with GBTC, etc.).</w:t>
      </w:r>
      <w:r>
        <w:t xml:space="preserve"> </w:t>
      </w:r>
      <w:r>
        <w:t xml:space="preserve">-</w:t>
      </w:r>
      <w:r>
        <w:t xml:space="preserve"> </w:t>
      </w:r>
      <w:r>
        <w:rPr>
          <w:i/>
          <w:iCs/>
        </w:rPr>
        <w:t xml:space="preserve">Medium (~40%):</w:t>
      </w:r>
      <w:r>
        <w:t xml:space="preserve"> </w:t>
      </w:r>
      <w:r>
        <w:rPr>
          <w:b/>
          <w:bCs/>
        </w:rPr>
        <w:t xml:space="preserve">Exchange landscape reshuffles due to enforcement.</w:t>
      </w:r>
      <w:r>
        <w:t xml:space="preserve"> </w:t>
      </w:r>
      <w:r>
        <w:t xml:space="preserve">For instance, Binance’s global status is uncertain with various legal challenges. If Binance were to significantly shrink or geofence more regions by 2026, its volume might scatter to several regional exchanges or DEXs. Market structure could fragment further or conversely concentrate on a regulated few (Coinbase, etc.). We prepare by being active on all plausible venues (including DEX aggregation for certain flows).</w:t>
      </w:r>
      <w:r>
        <w:t xml:space="preserve"> </w:t>
      </w:r>
      <w:r>
        <w:t xml:space="preserve">-</w:t>
      </w:r>
      <w:r>
        <w:t xml:space="preserve"> </w:t>
      </w:r>
      <w:r>
        <w:rPr>
          <w:i/>
          <w:iCs/>
        </w:rPr>
        <w:t xml:space="preserve">Lower probability but impactful (~20%):</w:t>
      </w:r>
      <w:r>
        <w:t xml:space="preserve"> </w:t>
      </w:r>
      <w:r>
        <w:rPr>
          <w:b/>
          <w:bCs/>
        </w:rPr>
        <w:t xml:space="preserve">Major DeFi growth or CeFi-DeFi hybrid models.</w:t>
      </w:r>
      <w:r>
        <w:t xml:space="preserve"> </w:t>
      </w:r>
      <w:r>
        <w:t xml:space="preserve">E.g., if decentralized exchange technology advances (orderbook DEXs become as efficient as CEX), we might see a shift of trading onto on-chain venues by 2026–2027. That would alter our MM approach (we’d need on-chain MM capability, dealing with gas fees, etc.). We monitor projects in this space (e.g., dYdX, Serum etc.) and invest in connectivity to them early.</w:t>
      </w:r>
      <w:r>
        <w:t xml:space="preserve"> </w:t>
      </w:r>
      <w:r>
        <w:t xml:space="preserve">-</w:t>
      </w:r>
      <w:r>
        <w:t xml:space="preserve"> </w:t>
      </w:r>
      <w:r>
        <w:rPr>
          <w:i/>
          <w:iCs/>
        </w:rPr>
        <w:t xml:space="preserve">Low (~10%):</w:t>
      </w:r>
      <w:r>
        <w:t xml:space="preserve"> </w:t>
      </w:r>
      <w:r>
        <w:rPr>
          <w:b/>
          <w:bCs/>
        </w:rPr>
        <w:t xml:space="preserve">Global coordinated regulation setting high capital charges</w:t>
      </w:r>
      <w:r>
        <w:t xml:space="preserve"> </w:t>
      </w:r>
      <w:r>
        <w:t xml:space="preserve">(Basel’s crypto capital rules). Banks may be limited in exposure (Basel requires 1250% RW currently, but there’s review ongoing due to pushback</w:t>
      </w:r>
      <w:hyperlink r:id="rId113">
        <w:r>
          <w:rPr>
            <w:rStyle w:val="Hyperlink"/>
          </w:rPr>
          <w:t xml:space="preserve">[93]</w:t>
        </w:r>
      </w:hyperlink>
      <w:hyperlink r:id="rId114">
        <w:r>
          <w:rPr>
            <w:rStyle w:val="Hyperlink"/>
          </w:rPr>
          <w:t xml:space="preserve">[94]</w:t>
        </w:r>
      </w:hyperlink>
      <w:r>
        <w:t xml:space="preserve">). If they relax it, more banks enter (improving market depth). If not or if stricter, banks’ involvement stays limited (market stays with non-banks). We estimate regulators will moderate the stance (already US regulators said they are not adopting the harsh Basel standard as-is</w:t>
      </w:r>
      <w:hyperlink r:id="rId114">
        <w:r>
          <w:rPr>
            <w:rStyle w:val="Hyperlink"/>
          </w:rPr>
          <w:t xml:space="preserve">[94]</w:t>
        </w:r>
      </w:hyperlink>
      <w:r>
        <w:t xml:space="preserve">). So likely more capital will flow in from banks over a 2-3 year timeline.</w:t>
      </w:r>
      <w:r>
        <w:t xml:space="preserve"> </w:t>
      </w:r>
      <w:r>
        <w:t xml:space="preserve">-</w:t>
      </w:r>
      <w:r>
        <w:t xml:space="preserve"> </w:t>
      </w:r>
      <w:r>
        <w:rPr>
          <w:b/>
          <w:bCs/>
        </w:rPr>
        <w:t xml:space="preserve">Timeline Summary:</w:t>
      </w:r>
      <w:r>
        <w:t xml:space="preserve"> </w:t>
      </w:r>
      <w:r>
        <w:t xml:space="preserve">Next 6-12 months, expect incremental improvements (US ETFs, EU MiCA licensing). 12-24 months, structural changes in stablecoins and institutional participation. We need to remain agile and compliant, ready to seize new opportunities (like offering prime services if banks can hold crypto for clients easier, etc.) and mitigate new risks (like if regulatory fragmentation causes liquidity to dry up in certain regions, we adjust accordingly).</w:t>
      </w:r>
    </w:p>
    <w:p>
      <w:pPr>
        <w:pStyle w:val="BodyText"/>
      </w:pPr>
      <w:r>
        <w:t xml:space="preserve">In concluding the risk perspective: our goal is</w:t>
      </w:r>
      <w:r>
        <w:t xml:space="preserve"> </w:t>
      </w:r>
      <w:r>
        <w:rPr>
          <w:b/>
          <w:bCs/>
        </w:rPr>
        <w:t xml:space="preserve">no surprises.</w:t>
      </w:r>
      <w:r>
        <w:t xml:space="preserve"> </w:t>
      </w:r>
      <w:r>
        <w:t xml:space="preserve">We actively identify and quantify risks (counterparty, operational, etc.) and either mitigate or accept with eyes open (with capital allocated for it). A CRO would have a dashboard – e.g., exchange exposures, collateral balances, VaR, stress test results (like a 30% overnight crash scenario) – and we would keep all within approved limits. The crypto market has indeed become more resilient in 2025 (the November correction, while severe in price, did</w:t>
      </w:r>
      <w:r>
        <w:t xml:space="preserve"> </w:t>
      </w:r>
      <w:r>
        <w:rPr>
          <w:i/>
          <w:iCs/>
        </w:rPr>
        <w:t xml:space="preserve">not</w:t>
      </w:r>
      <w:r>
        <w:t xml:space="preserve"> </w:t>
      </w:r>
      <w:r>
        <w:t xml:space="preserve">trigger systemic failures</w:t>
      </w:r>
      <w:hyperlink r:id="rId29">
        <w:r>
          <w:rPr>
            <w:rStyle w:val="Hyperlink"/>
          </w:rPr>
          <w:t xml:space="preserve">[9]</w:t>
        </w:r>
      </w:hyperlink>
      <w:hyperlink r:id="rId30">
        <w:r>
          <w:rPr>
            <w:rStyle w:val="Hyperlink"/>
          </w:rPr>
          <w:t xml:space="preserve">[10]</w:t>
        </w:r>
      </w:hyperlink>
      <w:r>
        <w:t xml:space="preserve"> </w:t>
      </w:r>
      <w:r>
        <w:t xml:space="preserve">thanks to better risk protocols industry-wide), but complacency is not an option. We incorporate the lessons of past crises (FTX, etc.) into our risk framework such that even if one part of the crypto infrastructure fails, our business remains solvent and operational.</w:t>
      </w:r>
    </w:p>
    <w:bookmarkEnd w:id="115"/>
    <w:bookmarkStart w:id="157" w:name="X477b7c40096725032cf44950e9e796ba7233134"/>
    <w:p>
      <w:pPr>
        <w:pStyle w:val="Heading2"/>
      </w:pPr>
      <w:r>
        <w:t xml:space="preserve">8) Regulatory + Policy Landscape (must be current)</w:t>
      </w:r>
    </w:p>
    <w:p>
      <w:pPr>
        <w:pStyle w:val="FirstParagraph"/>
      </w:pPr>
      <w:r>
        <w:t xml:space="preserve">The regulatory and policy landscape for crypto is evolving rapidly across jurisdictions. Below is a summary of</w:t>
      </w:r>
      <w:r>
        <w:t xml:space="preserve"> </w:t>
      </w:r>
      <w:r>
        <w:rPr>
          <w:b/>
          <w:bCs/>
        </w:rPr>
        <w:t xml:space="preserve">major developments in the US, EU, UK, and key APAC regions</w:t>
      </w:r>
      <w:r>
        <w:t xml:space="preserve"> </w:t>
      </w:r>
      <w:r>
        <w:t xml:space="preserve">that affect trading, custody, stablecoins, ETFs, and capital treatment – all with official citations, as of end-2025:</w:t>
      </w:r>
    </w:p>
    <w:p>
      <w:pPr>
        <w:pStyle w:val="Compact"/>
        <w:numPr>
          <w:ilvl w:val="0"/>
          <w:numId w:val="1022"/>
        </w:numPr>
      </w:pPr>
      <w:r>
        <w:rPr>
          <w:b/>
          <w:bCs/>
        </w:rPr>
        <w:t xml:space="preserve">United States:</w:t>
      </w:r>
      <w:r>
        <w:t xml:space="preserve"> </w:t>
      </w:r>
      <w:r>
        <w:t xml:space="preserve">2025 was a turning point, shifting from enforcement toward establishing frameworks</w:t>
      </w:r>
      <w:hyperlink r:id="rId116">
        <w:r>
          <w:rPr>
            <w:rStyle w:val="Hyperlink"/>
          </w:rPr>
          <w:t xml:space="preserve">[95]</w:t>
        </w:r>
      </w:hyperlink>
      <w:r>
        <w:t xml:space="preserve">.</w:t>
      </w:r>
    </w:p>
    <w:p>
      <w:pPr>
        <w:pStyle w:val="Compact"/>
        <w:numPr>
          <w:ilvl w:val="0"/>
          <w:numId w:val="1022"/>
        </w:numPr>
      </w:pPr>
      <w:r>
        <w:rPr>
          <w:b/>
          <w:bCs/>
        </w:rPr>
        <w:t xml:space="preserve">Federal Legislation:</w:t>
      </w:r>
      <w:r>
        <w:t xml:space="preserve"> </w:t>
      </w:r>
      <w:r>
        <w:t xml:space="preserve">In July 2025, Congress passed the</w:t>
      </w:r>
      <w:r>
        <w:t xml:space="preserve"> </w:t>
      </w:r>
      <w:r>
        <w:rPr>
          <w:b/>
          <w:bCs/>
        </w:rPr>
        <w:t xml:space="preserve">U.S. Stablecoin (GENIUS) Act</w:t>
      </w:r>
      <w:r>
        <w:t xml:space="preserve"> </w:t>
      </w:r>
      <w:r>
        <w:t xml:space="preserve">– the first comprehensive federal law for payment stablecoins</w:t>
      </w:r>
      <w:hyperlink r:id="rId117">
        <w:r>
          <w:rPr>
            <w:rStyle w:val="Hyperlink"/>
          </w:rPr>
          <w:t xml:space="preserve">[96]</w:t>
        </w:r>
      </w:hyperlink>
      <w:r>
        <w:t xml:space="preserve">. This law creates a federal regime for stablecoin issuance, including requirements on reserves, audits, and oversight</w:t>
      </w:r>
      <w:hyperlink r:id="rId118">
        <w:r>
          <w:rPr>
            <w:rStyle w:val="Hyperlink"/>
          </w:rPr>
          <w:t xml:space="preserve">[97]</w:t>
        </w:r>
      </w:hyperlink>
      <w:r>
        <w:t xml:space="preserve">. It mandates that regulators issue implementing rules by July 2026, and the law takes effect no later than Jan 2027</w:t>
      </w:r>
      <w:hyperlink r:id="rId119">
        <w:r>
          <w:rPr>
            <w:rStyle w:val="Hyperlink"/>
          </w:rPr>
          <w:t xml:space="preserve">[98]</w:t>
        </w:r>
      </w:hyperlink>
      <w:r>
        <w:t xml:space="preserve">. This will subject stablecoin issuers to bank-like supervision (issuers can be licensed, must hold high-quality reserves, etc.). It’s a huge step: stablecoins are being pulled into the regulated banking perimeter (e.g., Circle will operate under an OCC charter as noted</w:t>
      </w:r>
      <w:hyperlink r:id="rId51">
        <w:r>
          <w:rPr>
            <w:rStyle w:val="Hyperlink"/>
          </w:rPr>
          <w:t xml:space="preserve">[33]</w:t>
        </w:r>
      </w:hyperlink>
      <w:r>
        <w:t xml:space="preserve">). Confidence: high that by 2026 we’ll see clear reserve standards and maybe federal stablecoin licenses granted. For now, issuers are preparing to comply – Tether’s recent disclosures likely aim to pre-empt requirements by showing transparency</w:t>
      </w:r>
      <w:hyperlink r:id="rId56">
        <w:r>
          <w:rPr>
            <w:rStyle w:val="Hyperlink"/>
          </w:rPr>
          <w:t xml:space="preserve">[38]</w:t>
        </w:r>
      </w:hyperlink>
      <w:hyperlink r:id="rId120">
        <w:r>
          <w:rPr>
            <w:rStyle w:val="Hyperlink"/>
          </w:rPr>
          <w:t xml:space="preserve">[99]</w:t>
        </w:r>
      </w:hyperlink>
      <w:r>
        <w:t xml:space="preserve">.</w:t>
      </w:r>
    </w:p>
    <w:p>
      <w:pPr>
        <w:pStyle w:val="Compact"/>
        <w:numPr>
          <w:ilvl w:val="0"/>
          <w:numId w:val="1022"/>
        </w:numPr>
      </w:pPr>
      <w:r>
        <w:rPr>
          <w:b/>
          <w:bCs/>
        </w:rPr>
        <w:t xml:space="preserve">Market Structure Bill (Clarity Act):</w:t>
      </w:r>
      <w:r>
        <w:t xml:space="preserve"> </w:t>
      </w:r>
      <w:r>
        <w:t xml:space="preserve">The House also passed the</w:t>
      </w:r>
      <w:r>
        <w:t xml:space="preserve"> </w:t>
      </w:r>
      <w:r>
        <w:rPr>
          <w:b/>
          <w:bCs/>
        </w:rPr>
        <w:t xml:space="preserve">Digital Commodity Exchange Act</w:t>
      </w:r>
      <w:r>
        <w:t xml:space="preserve"> </w:t>
      </w:r>
      <w:r>
        <w:t xml:space="preserve">(nicknamed “Clarity Act”), which aims to define when a token is a security vs commodity and split oversight between the SEC and CFTC</w:t>
      </w:r>
      <w:hyperlink r:id="rId72">
        <w:r>
          <w:rPr>
            <w:rStyle w:val="Hyperlink"/>
          </w:rPr>
          <w:t xml:space="preserve">[55]</w:t>
        </w:r>
      </w:hyperlink>
      <w:r>
        <w:t xml:space="preserve">. It proposes that if a crypto project is decentralized enough, its tokens are commodities under CFTC; otherwise, initial offerings might be securities under SEC. As of Dec 2025, this bill awaits Senate approval. If enacted in 2026, it would create a registration process for trading platforms (exchanges) with the CFTC for crypto commodities and clarify rules for broker-dealers dealing in digital securities. This would be game-changing – exchanges like Coinbase could get a clear federal license for token trading (something they lack now under uncertainty). Probability moderate that 2026 sees passage, given growing bipartisan interest after the chaotic enforcement-only approach of prior years.</w:t>
      </w:r>
    </w:p>
    <w:p>
      <w:pPr>
        <w:pStyle w:val="Compact"/>
        <w:numPr>
          <w:ilvl w:val="0"/>
          <w:numId w:val="1022"/>
        </w:numPr>
      </w:pPr>
      <w:r>
        <w:rPr>
          <w:b/>
          <w:bCs/>
        </w:rPr>
        <w:t xml:space="preserve">Regulatory Shift in Tone:</w:t>
      </w:r>
      <w:r>
        <w:t xml:space="preserve"> </w:t>
      </w:r>
      <w:r>
        <w:t xml:space="preserve">Under the new administration (crypto-friendlier President as Reuters noted</w:t>
      </w:r>
      <w:hyperlink r:id="rId25">
        <w:r>
          <w:rPr>
            <w:rStyle w:val="Hyperlink"/>
          </w:rPr>
          <w:t xml:space="preserve">[5]</w:t>
        </w:r>
      </w:hyperlink>
      <w:r>
        <w:t xml:space="preserve">), regulators are re-evaluating the strict stance. Treasury Secretary Scott</w:t>
      </w:r>
      <w:r>
        <w:t xml:space="preserve"> </w:t>
      </w:r>
      <w:r>
        <w:rPr>
          <w:b/>
          <w:bCs/>
        </w:rPr>
        <w:t xml:space="preserve">Bessent’s draft policy letter</w:t>
      </w:r>
      <w:r>
        <w:t xml:space="preserve"> </w:t>
      </w:r>
      <w:r>
        <w:t xml:space="preserve">directs FSOC to focus on whether regulations impose “undue burdens” hindering innovation</w:t>
      </w:r>
      <w:hyperlink r:id="rId49">
        <w:r>
          <w:rPr>
            <w:rStyle w:val="Hyperlink"/>
          </w:rPr>
          <w:t xml:space="preserve">[31]</w:t>
        </w:r>
      </w:hyperlink>
      <w:r>
        <w:t xml:space="preserve">. This suggests a dial-back on viewing crypto purely as a threat, and instead balancing stability with growth. It’s not a rule change itself but sets tone for agencies to potentially roll back certain harsh policies</w:t>
      </w:r>
      <w:hyperlink r:id="rId50">
        <w:r>
          <w:rPr>
            <w:rStyle w:val="Hyperlink"/>
          </w:rPr>
          <w:t xml:space="preserve">[32]</w:t>
        </w:r>
      </w:hyperlink>
      <w:r>
        <w:t xml:space="preserve">. For example, U.S. banking regulators earlier in 2025</w:t>
      </w:r>
      <w:r>
        <w:t xml:space="preserve"> </w:t>
      </w:r>
      <w:r>
        <w:rPr>
          <w:b/>
          <w:bCs/>
        </w:rPr>
        <w:t xml:space="preserve">rescinded some crypto-hostile supervisory letters</w:t>
      </w:r>
      <w:r>
        <w:t xml:space="preserve"> </w:t>
      </w:r>
      <w:r>
        <w:t xml:space="preserve">(Fed SR 22-6, OCC 1179) that had discouraged banks from touching crypto</w:t>
      </w:r>
      <w:hyperlink r:id="rId121">
        <w:r>
          <w:rPr>
            <w:rStyle w:val="Hyperlink"/>
          </w:rPr>
          <w:t xml:space="preserve">[100]</w:t>
        </w:r>
      </w:hyperlink>
      <w:hyperlink r:id="rId122">
        <w:r>
          <w:rPr>
            <w:rStyle w:val="Hyperlink"/>
          </w:rPr>
          <w:t xml:space="preserve">[101]</w:t>
        </w:r>
      </w:hyperlink>
      <w:r>
        <w:t xml:space="preserve">. By backing off those, banks can engage with crypto with normal notifications rather than outright prohibitions. In short, policy is slowly shifting from regulation by enforcement to regulation by rules and accommodation.</w:t>
      </w:r>
    </w:p>
    <w:p>
      <w:pPr>
        <w:pStyle w:val="Compact"/>
        <w:numPr>
          <w:ilvl w:val="0"/>
          <w:numId w:val="1022"/>
        </w:numPr>
      </w:pPr>
      <w:r>
        <w:rPr>
          <w:b/>
          <w:bCs/>
        </w:rPr>
        <w:t xml:space="preserve">SEC and ETFs:</w:t>
      </w:r>
      <w:r>
        <w:t xml:space="preserve"> </w:t>
      </w:r>
      <w:r>
        <w:t xml:space="preserve">The SEC, under new leadership expected in 2025 (Gensler possibly replaced given Trump administration changes</w:t>
      </w:r>
      <w:hyperlink r:id="rId123">
        <w:r>
          <w:rPr>
            <w:rStyle w:val="Hyperlink"/>
          </w:rPr>
          <w:t xml:space="preserve">[102]</w:t>
        </w:r>
      </w:hyperlink>
      <w:r>
        <w:t xml:space="preserve">), has warmed to crypto investment products. Spot Bitcoin ETFs are either approved or on verge – the SEC faced court defeats (Grayscale won an appeal in 2024). Now, as of Dec 2025, industry insiders expect</w:t>
      </w:r>
      <w:r>
        <w:t xml:space="preserve"> </w:t>
      </w:r>
      <w:r>
        <w:rPr>
          <w:b/>
          <w:bCs/>
        </w:rPr>
        <w:t xml:space="preserve">multiple spot BTC ETFs trading</w:t>
      </w:r>
      <w:r>
        <w:t xml:space="preserve"> </w:t>
      </w:r>
      <w:r>
        <w:t xml:space="preserve">(and indeed Reuters cites Standard Chartered’s note that flows into BTC ETFs were part of 2025 price drivers</w:t>
      </w:r>
      <w:hyperlink r:id="rId74">
        <w:r>
          <w:rPr>
            <w:rStyle w:val="Hyperlink"/>
          </w:rPr>
          <w:t xml:space="preserve">[57]</w:t>
        </w:r>
      </w:hyperlink>
      <w:r>
        <w:t xml:space="preserve">). We’ve observed BlackRock’s and Fidelity’s filings progress with no further SEC resistance. An official announcement could have come Q4 2025 – if not, it’s imminent early 2026.</w:t>
      </w:r>
      <w:r>
        <w:t xml:space="preserve"> </w:t>
      </w:r>
      <w:r>
        <w:rPr>
          <w:b/>
          <w:bCs/>
        </w:rPr>
        <w:t xml:space="preserve">Ether ETFs</w:t>
      </w:r>
      <w:r>
        <w:t xml:space="preserve">: Futures-based ETH ETFs rolled out Oct 2023; a spot ETH ETF filing is being considered by SEC, likely outcome in 2026. Regulatory stance: the SEC is setting guidelines around surveillance-sharing agreements for exchanges listing these ETFs to prevent manipulation</w:t>
      </w:r>
      <w:hyperlink r:id="rId70">
        <w:r>
          <w:rPr>
            <w:rStyle w:val="Hyperlink"/>
          </w:rPr>
          <w:t xml:space="preserve">[53]</w:t>
        </w:r>
      </w:hyperlink>
      <w:r>
        <w:t xml:space="preserve">. As those are satisfied, approvals follow.</w:t>
      </w:r>
    </w:p>
    <w:p>
      <w:pPr>
        <w:pStyle w:val="Compact"/>
        <w:numPr>
          <w:ilvl w:val="0"/>
          <w:numId w:val="1022"/>
        </w:numPr>
      </w:pPr>
      <w:r>
        <w:rPr>
          <w:b/>
          <w:bCs/>
        </w:rPr>
        <w:t xml:space="preserve">Custody Rules:</w:t>
      </w:r>
      <w:r>
        <w:t xml:space="preserve"> </w:t>
      </w:r>
      <w:r>
        <w:t xml:space="preserve">The SEC has proposed expanding the custody rule to cover crypto assets, meaning investment advisers can only use “qualified custodians.” Currently many states allow trust companies (like Coinbase Custody, NYDFS chartered trusts) – the SEC’s new rule (not final yet) might tighten who qualifies and require more disclosures</w:t>
      </w:r>
      <w:hyperlink r:id="rId124">
        <w:r>
          <w:rPr>
            <w:rStyle w:val="Hyperlink"/>
          </w:rPr>
          <w:t xml:space="preserve">[103]</w:t>
        </w:r>
      </w:hyperlink>
      <w:r>
        <w:t xml:space="preserve">. Meanwhile, the</w:t>
      </w:r>
      <w:r>
        <w:t xml:space="preserve"> </w:t>
      </w:r>
      <w:r>
        <w:rPr>
          <w:b/>
          <w:bCs/>
        </w:rPr>
        <w:t xml:space="preserve">OCC</w:t>
      </w:r>
      <w:r>
        <w:t xml:space="preserve"> </w:t>
      </w:r>
      <w:r>
        <w:t xml:space="preserve">under Acting Comptroller Hsu in 2023 had slowed new charters, but in 2025 under a likely new Comptroller, we saw approvals: the OCC conditionally approved</w:t>
      </w:r>
      <w:r>
        <w:t xml:space="preserve"> </w:t>
      </w:r>
      <w:r>
        <w:rPr>
          <w:b/>
          <w:bCs/>
        </w:rPr>
        <w:t xml:space="preserve">national trust bank charters for Circle and Ripple</w:t>
      </w:r>
      <w:r>
        <w:t xml:space="preserve"> </w:t>
      </w:r>
      <w:r>
        <w:t xml:space="preserve">in late 2025</w:t>
      </w:r>
      <w:hyperlink r:id="rId51">
        <w:r>
          <w:rPr>
            <w:rStyle w:val="Hyperlink"/>
          </w:rPr>
          <w:t xml:space="preserve">[33]</w:t>
        </w:r>
      </w:hyperlink>
      <w:r>
        <w:t xml:space="preserve">. This means those entities can operate across states as crypto-focused banks (with Fed oversight), particularly facilitating stablecoin issuance and custody nationally</w:t>
      </w:r>
      <w:hyperlink r:id="rId125">
        <w:r>
          <w:rPr>
            <w:rStyle w:val="Hyperlink"/>
          </w:rPr>
          <w:t xml:space="preserve">[104]</w:t>
        </w:r>
      </w:hyperlink>
      <w:r>
        <w:t xml:space="preserve">. This is a significant development – it legitimizes crypto firms in the banking system framework. Timeline: Circle’s bank (First National Digital Currency Bank) could be operational in 2026 under OCC supervision.</w:t>
      </w:r>
    </w:p>
    <w:p>
      <w:pPr>
        <w:pStyle w:val="Compact"/>
        <w:numPr>
          <w:ilvl w:val="0"/>
          <w:numId w:val="1022"/>
        </w:numPr>
      </w:pPr>
      <w:r>
        <w:rPr>
          <w:b/>
          <w:bCs/>
        </w:rPr>
        <w:t xml:space="preserve">Capital Treatment:</w:t>
      </w:r>
      <w:r>
        <w:t xml:space="preserve"> </w:t>
      </w:r>
      <w:r>
        <w:t xml:space="preserve">The U.S. (Fed, OCC, FDIC) indicated they are</w:t>
      </w:r>
      <w:r>
        <w:t xml:space="preserve"> </w:t>
      </w:r>
      <w:r>
        <w:rPr>
          <w:b/>
          <w:bCs/>
        </w:rPr>
        <w:t xml:space="preserve">not fully adopting Basel’s end-2024 crypto capital standard</w:t>
      </w:r>
      <w:r>
        <w:t xml:space="preserve"> </w:t>
      </w:r>
      <w:r>
        <w:t xml:space="preserve">which was extremely stringent</w:t>
      </w:r>
      <w:hyperlink r:id="rId114">
        <w:r>
          <w:rPr>
            <w:rStyle w:val="Hyperlink"/>
          </w:rPr>
          <w:t xml:space="preserve">[94]</w:t>
        </w:r>
      </w:hyperlink>
      <w:r>
        <w:t xml:space="preserve">. Fed Vice Chair Bowman said the Basel approach was “not very realistic”</w:t>
      </w:r>
      <w:hyperlink r:id="rId126">
        <w:r>
          <w:rPr>
            <w:rStyle w:val="Hyperlink"/>
          </w:rPr>
          <w:t xml:space="preserve">[105]</w:t>
        </w:r>
      </w:hyperlink>
      <w:r>
        <w:t xml:space="preserve">, so US will not impose 1250% RW on all crypto exposures. Instead, expect a nuanced approach by 2025/26: e.g., tokenized deposits or stablecoins might get favorable treatment if properly backed (maybe similar to cash equivalents), while unbacked crypto still gets high risk weight but perhaps not a full deduction. This is in flux – but clearly U.S. regulators are seeking to refine these rules to not stifle banks. By early 2026, we might see new guidance that allows banks to hold a small amount of crypto on balance sheet under certain conditions (maybe up to 1-2% of capital, aligning with Basel’s cap but with less punitive risk weight).</w:t>
      </w:r>
    </w:p>
    <w:p>
      <w:pPr>
        <w:pStyle w:val="Compact"/>
        <w:numPr>
          <w:ilvl w:val="0"/>
          <w:numId w:val="1022"/>
        </w:numPr>
      </w:pPr>
      <w:r>
        <w:rPr>
          <w:b/>
          <w:bCs/>
        </w:rPr>
        <w:t xml:space="preserve">Enforcement:</w:t>
      </w:r>
      <w:r>
        <w:t xml:space="preserve"> </w:t>
      </w:r>
      <w:r>
        <w:t xml:space="preserve">The SEC and CFTC continued enforcement in 2025 (SEC sued a few more exchanges and token issuers), but these are overshadowed by the legislative changes. One notable enforcement development: Courts provided some clarity – e.g., the Ripple case final outcome mid-2025 was that XRP is not a security for secondary market sales (confirming Judge Torres’ earlier ruling), influencing how other tokens might be viewed. The SEC’s approach is expected to become more selective as rulemaking takes precedence. CFTC pursued some cases on illicit derivatives offerings but also ramped up work on a framework to register crypto exchanges as designated contract markets for non-security tokens (if the Clarity Act passes, this becomes formal).</w:t>
      </w:r>
    </w:p>
    <w:p>
      <w:pPr>
        <w:numPr>
          <w:ilvl w:val="0"/>
          <w:numId w:val="1022"/>
        </w:numPr>
      </w:pPr>
      <w:r>
        <w:rPr>
          <w:b/>
          <w:bCs/>
        </w:rPr>
        <w:t xml:space="preserve">Tax:</w:t>
      </w:r>
      <w:r>
        <w:t xml:space="preserve"> </w:t>
      </w:r>
      <w:r>
        <w:t xml:space="preserve">The IRS is finalizing rules for crypto brokers reporting (the 2021 infra bill required 1099-B for crypto). Starting tax year 2025, exchanges/brokers will issue tax forms to users and the IRS for gains/losses – that’s operational but important for compliance overhead.</w:t>
      </w:r>
    </w:p>
    <w:p>
      <w:pPr>
        <w:numPr>
          <w:ilvl w:val="0"/>
          <w:numId w:val="1022"/>
        </w:numPr>
      </w:pPr>
      <w:r>
        <w:rPr>
          <w:b/>
          <w:bCs/>
        </w:rPr>
        <w:t xml:space="preserve">European Union:</w:t>
      </w:r>
      <w:r>
        <w:t xml:space="preserve"> </w:t>
      </w:r>
      <w:r>
        <w:t xml:space="preserve">The EU has moved ahead with comprehensive regulation via</w:t>
      </w:r>
      <w:r>
        <w:t xml:space="preserve"> </w:t>
      </w:r>
      <w:r>
        <w:rPr>
          <w:b/>
          <w:bCs/>
        </w:rPr>
        <w:t xml:space="preserve">MiCA (Markets in Crypto-Assets Regulation)</w:t>
      </w:r>
      <w:r>
        <w:t xml:space="preserve"> </w:t>
      </w:r>
      <w:r>
        <w:t xml:space="preserve">– the world’s first unified crypto framework, which was passed in 2023 and is phasing in.</w:t>
      </w:r>
    </w:p>
    <w:p>
      <w:pPr>
        <w:pStyle w:val="Compact"/>
        <w:numPr>
          <w:ilvl w:val="0"/>
          <w:numId w:val="1022"/>
        </w:numPr>
      </w:pPr>
      <w:r>
        <w:rPr>
          <w:b/>
          <w:bCs/>
        </w:rPr>
        <w:t xml:space="preserve">MiCA Overview:</w:t>
      </w:r>
      <w:r>
        <w:t xml:space="preserve"> </w:t>
      </w:r>
      <w:r>
        <w:t xml:space="preserve">MiCA creates a licensing regime for crypto-asset service providers (CASPs) and specific rules for stablecoins (called “asset-referenced tokens” (ARTs) and e-money tokens). It requires CASPs (exchanges, custodians, etc.) to obtain authorization and meet prudential, consumer protection, and AML standards to operate across the EU.</w:t>
      </w:r>
      <w:r>
        <w:t xml:space="preserve"> </w:t>
      </w:r>
      <w:r>
        <w:rPr>
          <w:b/>
          <w:bCs/>
        </w:rPr>
        <w:t xml:space="preserve">Timeline:</w:t>
      </w:r>
      <w:r>
        <w:t xml:space="preserve"> </w:t>
      </w:r>
      <w:r>
        <w:t xml:space="preserve">MiCA’s stablecoin rules come into effect June 2024, and rules for other CASPs by Dec 2024</w:t>
      </w:r>
      <w:hyperlink r:id="rId127">
        <w:r>
          <w:rPr>
            <w:rStyle w:val="Hyperlink"/>
          </w:rPr>
          <w:t xml:space="preserve">[106]</w:t>
        </w:r>
      </w:hyperlink>
      <w:hyperlink r:id="rId128">
        <w:r>
          <w:rPr>
            <w:rStyle w:val="Hyperlink"/>
          </w:rPr>
          <w:t xml:space="preserve">[107]</w:t>
        </w:r>
      </w:hyperlink>
      <w:r>
        <w:t xml:space="preserve">. Now, in Dec 2025, these rules are in force: stablecoin issuers must have EU legal entity, capital, and audit; exchanges need licenses.</w:t>
      </w:r>
    </w:p>
    <w:p>
      <w:pPr>
        <w:pStyle w:val="Compact"/>
        <w:numPr>
          <w:ilvl w:val="0"/>
          <w:numId w:val="1022"/>
        </w:numPr>
      </w:pPr>
      <w:r>
        <w:rPr>
          <w:b/>
          <w:bCs/>
        </w:rPr>
        <w:t xml:space="preserve">Effect in 2025:</w:t>
      </w:r>
      <w:r>
        <w:t xml:space="preserve"> </w:t>
      </w:r>
      <w:r>
        <w:t xml:space="preserve">Only a few CASPs have been approved so far (France, Germany processed some early). Some jurisdictions, like</w:t>
      </w:r>
      <w:r>
        <w:t xml:space="preserve"> </w:t>
      </w:r>
      <w:r>
        <w:rPr>
          <w:b/>
          <w:bCs/>
        </w:rPr>
        <w:t xml:space="preserve">Austria, have been extra strict</w:t>
      </w:r>
      <w:r>
        <w:t xml:space="preserve"> </w:t>
      </w:r>
      <w:r>
        <w:t xml:space="preserve">and pushed for even tougher EU-wide rules such as higher capital for CASPs</w:t>
      </w:r>
      <w:hyperlink r:id="rId129">
        <w:r>
          <w:rPr>
            <w:rStyle w:val="Hyperlink"/>
          </w:rPr>
          <w:t xml:space="preserve">[108]</w:t>
        </w:r>
      </w:hyperlink>
      <w:r>
        <w:t xml:space="preserve">. But broadly, by 2025, many major players (Binance, Coinbase EU, Kraken) have applied for MiCA authorization. Some smaller or non-compliant actors have exited or geofenced EU. This means market structure in EU is consolidating to those willing to be regulated.</w:t>
      </w:r>
    </w:p>
    <w:p>
      <w:pPr>
        <w:pStyle w:val="Compact"/>
        <w:numPr>
          <w:ilvl w:val="0"/>
          <w:numId w:val="1022"/>
        </w:numPr>
      </w:pPr>
      <w:r>
        <w:rPr>
          <w:b/>
          <w:bCs/>
        </w:rPr>
        <w:t xml:space="preserve">Stablecoins in EU:</w:t>
      </w:r>
      <w:r>
        <w:t xml:space="preserve"> </w:t>
      </w:r>
      <w:r>
        <w:t xml:space="preserve">Under MiCA, any significant stablecoin (referenced to fiat or other assets) needs authorization. They also have volume caps (if a stablecoin exceeds certain daily volume, additional measures or potential caps could apply, a controversial clause to avoid systemic risk). We saw in 2024-25 some issuers like Circle preparing to register EU entities for issuing</w:t>
      </w:r>
      <w:r>
        <w:t xml:space="preserve"> </w:t>
      </w:r>
      <w:r>
        <w:rPr>
          <w:b/>
          <w:bCs/>
        </w:rPr>
        <w:t xml:space="preserve">EUROS or bridging USDC</w:t>
      </w:r>
      <w:r>
        <w:t xml:space="preserve"> </w:t>
      </w:r>
      <w:r>
        <w:t xml:space="preserve">under MiCA. By Sept 2025, the first licenses likely granted.</w:t>
      </w:r>
    </w:p>
    <w:p>
      <w:pPr>
        <w:pStyle w:val="Compact"/>
        <w:numPr>
          <w:ilvl w:val="0"/>
          <w:numId w:val="1022"/>
        </w:numPr>
      </w:pPr>
      <w:r>
        <w:rPr>
          <w:b/>
          <w:bCs/>
        </w:rPr>
        <w:t xml:space="preserve">Market Abuse &amp; Market Integrity:</w:t>
      </w:r>
      <w:r>
        <w:t xml:space="preserve"> </w:t>
      </w:r>
      <w:r>
        <w:t xml:space="preserve">Even beyond MiCA, EU is adapting existing financial laws. There’s a focus on</w:t>
      </w:r>
      <w:r>
        <w:t xml:space="preserve"> </w:t>
      </w:r>
      <w:r>
        <w:rPr>
          <w:b/>
          <w:bCs/>
        </w:rPr>
        <w:t xml:space="preserve">market abuse in crypto</w:t>
      </w:r>
      <w:r>
        <w:t xml:space="preserve"> </w:t>
      </w:r>
      <w:r>
        <w:t xml:space="preserve">– expect that trading on inside information or manipulation in crypto could be prosecuted similar to traditional markets. ESMA and national regulators are working on this.</w:t>
      </w:r>
    </w:p>
    <w:p>
      <w:pPr>
        <w:pStyle w:val="Compact"/>
        <w:numPr>
          <w:ilvl w:val="0"/>
          <w:numId w:val="1022"/>
        </w:numPr>
      </w:pPr>
      <w:r>
        <w:rPr>
          <w:b/>
          <w:bCs/>
        </w:rPr>
        <w:t xml:space="preserve">Travel Rule and AML:</w:t>
      </w:r>
      <w:r>
        <w:t xml:space="preserve"> </w:t>
      </w:r>
      <w:r>
        <w:t xml:space="preserve">The EU implemented the Travel Rule for crypto in 2024, requiring CASPs to collect and transmit originator/beneficiary info for transfers. By 2025, this is operational – any transfer involving an EU VASP includes attached KYC info. This increases compliance overhead but also de-risks the system from AML perspective.</w:t>
      </w:r>
    </w:p>
    <w:p>
      <w:pPr>
        <w:pStyle w:val="Compact"/>
        <w:numPr>
          <w:ilvl w:val="0"/>
          <w:numId w:val="1022"/>
        </w:numPr>
      </w:pPr>
      <w:r>
        <w:rPr>
          <w:b/>
          <w:bCs/>
        </w:rPr>
        <w:t xml:space="preserve">Taxonomy and Securities:</w:t>
      </w:r>
      <w:r>
        <w:t xml:space="preserve"> </w:t>
      </w:r>
      <w:r>
        <w:t xml:space="preserve">EU clarified that some crypto may still fall under existing securities laws (if they have dividend-like features, etc.), but MiCA largely covers utility tokens and stablecoins not already regulated.</w:t>
      </w:r>
    </w:p>
    <w:p>
      <w:pPr>
        <w:pStyle w:val="Compact"/>
        <w:numPr>
          <w:ilvl w:val="0"/>
          <w:numId w:val="1022"/>
        </w:numPr>
      </w:pPr>
      <w:r>
        <w:rPr>
          <w:b/>
          <w:bCs/>
        </w:rPr>
        <w:t xml:space="preserve">Pilot Regime for Tokenized Securities:</w:t>
      </w:r>
      <w:r>
        <w:t xml:space="preserve"> </w:t>
      </w:r>
      <w:r>
        <w:t xml:space="preserve">Also, the EU’s DLT Pilot Regime began in 2023 allowing regulated trading of tokenized stocks/bonds in sandboxes. By 2025, a few exchanges (e.g., in Luxembourg, Switzerland (not EU but parallel efforts)) are trading tokenized securities on DLT under special exemption. This hasn’t directly affected crypto markets yet, but is adjacent – showing EU openness to broader tokenization within regulated frameworks (which may blur lines with crypto markets in future).</w:t>
      </w:r>
    </w:p>
    <w:p>
      <w:pPr>
        <w:numPr>
          <w:ilvl w:val="0"/>
          <w:numId w:val="1022"/>
        </w:numPr>
      </w:pPr>
      <w:r>
        <w:rPr>
          <w:b/>
          <w:bCs/>
        </w:rPr>
        <w:t xml:space="preserve">Overall Tone:</w:t>
      </w:r>
      <w:r>
        <w:t xml:space="preserve"> </w:t>
      </w:r>
      <w:r>
        <w:t xml:space="preserve">Europe wants to be a leader by regulating and thus legitimizing crypto. Many projects and exchanges have praised MiCA for clarity, even if compliance is costly. We expect by 2026, the EU will have a fairly stable market structure with licensed exchanges (Coinbase Europe, Bitstamp, etc.), licensed custodians (maybe firms like BitGo or banks obtaining CASP status), and maybe the first MiCA-approved stablecoins (possibly Société Générale’s EURO stablecoin got approved by France in 2023 already under their framework).</w:t>
      </w:r>
    </w:p>
    <w:p>
      <w:pPr>
        <w:numPr>
          <w:ilvl w:val="0"/>
          <w:numId w:val="1022"/>
        </w:numPr>
      </w:pPr>
      <w:r>
        <w:rPr>
          <w:b/>
          <w:bCs/>
        </w:rPr>
        <w:t xml:space="preserve">United Kingdom:</w:t>
      </w:r>
      <w:r>
        <w:t xml:space="preserve"> </w:t>
      </w:r>
      <w:r>
        <w:t xml:space="preserve">The UK has been very active in 2025 building its own regime to compete with EU, but it’s still in consultation phase rather than fully implemented law.</w:t>
      </w:r>
    </w:p>
    <w:p>
      <w:pPr>
        <w:pStyle w:val="Compact"/>
        <w:numPr>
          <w:ilvl w:val="0"/>
          <w:numId w:val="1022"/>
        </w:numPr>
      </w:pPr>
      <w:r>
        <w:rPr>
          <w:b/>
          <w:bCs/>
        </w:rPr>
        <w:t xml:space="preserve">Crypto Market Structure Consultations:</w:t>
      </w:r>
      <w:r>
        <w:t xml:space="preserve"> </w:t>
      </w:r>
      <w:r>
        <w:t xml:space="preserve">The</w:t>
      </w:r>
      <w:r>
        <w:t xml:space="preserve"> </w:t>
      </w:r>
      <w:r>
        <w:rPr>
          <w:b/>
          <w:bCs/>
        </w:rPr>
        <w:t xml:space="preserve">FCA (Financial Conduct Authority)</w:t>
      </w:r>
      <w:r>
        <w:t xml:space="preserve"> </w:t>
      </w:r>
      <w:r>
        <w:t xml:space="preserve">in 2025 issued a series of</w:t>
      </w:r>
      <w:r>
        <w:t xml:space="preserve"> </w:t>
      </w:r>
      <w:r>
        <w:rPr>
          <w:b/>
          <w:bCs/>
        </w:rPr>
        <w:t xml:space="preserve">discussion papers and consultations</w:t>
      </w:r>
      <w:r>
        <w:t xml:space="preserve"> </w:t>
      </w:r>
      <w:r>
        <w:t xml:space="preserve">covering crypto trading, lending, and DeFi</w:t>
      </w:r>
      <w:hyperlink r:id="rId130">
        <w:r>
          <w:rPr>
            <w:rStyle w:val="Hyperlink"/>
          </w:rPr>
          <w:t xml:space="preserve">[109]</w:t>
        </w:r>
      </w:hyperlink>
      <w:r>
        <w:t xml:space="preserve">. They proposed a new framework dubbed</w:t>
      </w:r>
      <w:r>
        <w:t xml:space="preserve"> </w:t>
      </w:r>
      <w:r>
        <w:rPr>
          <w:b/>
          <w:bCs/>
        </w:rPr>
        <w:t xml:space="preserve">“UK crypto market integrity regime”</w:t>
      </w:r>
      <w:r>
        <w:t xml:space="preserve"> </w:t>
      </w:r>
      <w:r>
        <w:t xml:space="preserve">which includes a potential</w:t>
      </w:r>
      <w:r>
        <w:t xml:space="preserve"> </w:t>
      </w:r>
      <w:r>
        <w:rPr>
          <w:b/>
          <w:bCs/>
        </w:rPr>
        <w:t xml:space="preserve">“MARC” (Market Abuse Regime for Crypto)</w:t>
      </w:r>
      <w:hyperlink r:id="rId131">
        <w:r>
          <w:rPr>
            <w:rStyle w:val="Hyperlink"/>
            <w:b/>
            <w:bCs/>
          </w:rPr>
          <w:t xml:space="preserve">[110]</w:t>
        </w:r>
      </w:hyperlink>
      <w:r>
        <w:t xml:space="preserve"> </w:t>
      </w:r>
      <w:r>
        <w:t xml:space="preserve">and rules for admission/disclosure for crypto token issuances (treating them somewhat like how UK treats listed securities with disclosure requirements)</w:t>
      </w:r>
      <w:hyperlink r:id="rId131">
        <w:r>
          <w:rPr>
            <w:rStyle w:val="Hyperlink"/>
          </w:rPr>
          <w:t xml:space="preserve">[110]</w:t>
        </w:r>
      </w:hyperlink>
      <w:r>
        <w:t xml:space="preserve">. They also consulted on</w:t>
      </w:r>
      <w:r>
        <w:t xml:space="preserve"> </w:t>
      </w:r>
      <w:r>
        <w:rPr>
          <w:b/>
          <w:bCs/>
        </w:rPr>
        <w:t xml:space="preserve">stablecoin issuance and custody rules (CP25/14)</w:t>
      </w:r>
      <w:r>
        <w:t xml:space="preserve"> </w:t>
      </w:r>
      <w:r>
        <w:t xml:space="preserve">and a</w:t>
      </w:r>
      <w:r>
        <w:t xml:space="preserve"> </w:t>
      </w:r>
      <w:r>
        <w:rPr>
          <w:b/>
          <w:bCs/>
        </w:rPr>
        <w:t xml:space="preserve">prudential regime for crypto firms (CP25/15)</w:t>
      </w:r>
      <w:hyperlink r:id="rId132">
        <w:r>
          <w:rPr>
            <w:rStyle w:val="Hyperlink"/>
          </w:rPr>
          <w:t xml:space="preserve">[111]</w:t>
        </w:r>
      </w:hyperlink>
      <w:r>
        <w:t xml:space="preserve">. Final rules are signposted for 2026</w:t>
      </w:r>
      <w:hyperlink r:id="rId133">
        <w:r>
          <w:rPr>
            <w:rStyle w:val="Hyperlink"/>
          </w:rPr>
          <w:t xml:space="preserve">[112]</w:t>
        </w:r>
      </w:hyperlink>
      <w:r>
        <w:t xml:space="preserve"> </w:t>
      </w:r>
      <w:r>
        <w:t xml:space="preserve">– meaning likely by mid-2026 the UK will have a comprehensive set of FCA rules for crypto exchanges, custodians, and possibly a special permission for firms doing crypto activities.</w:t>
      </w:r>
    </w:p>
    <w:p>
      <w:pPr>
        <w:pStyle w:val="Compact"/>
        <w:numPr>
          <w:ilvl w:val="0"/>
          <w:numId w:val="1022"/>
        </w:numPr>
      </w:pPr>
      <w:r>
        <w:rPr>
          <w:b/>
          <w:bCs/>
        </w:rPr>
        <w:t xml:space="preserve">Legislation:</w:t>
      </w:r>
      <w:r>
        <w:t xml:space="preserve"> </w:t>
      </w:r>
      <w:r>
        <w:t xml:space="preserve">The UK is using secondary legislation to bring crypto into scope of existing law. In Oct 2025, HM Treasury published a</w:t>
      </w:r>
      <w:r>
        <w:t xml:space="preserve"> </w:t>
      </w:r>
      <w:r>
        <w:rPr>
          <w:b/>
          <w:bCs/>
        </w:rPr>
        <w:t xml:space="preserve">draft Statutory Instrument</w:t>
      </w:r>
      <w:r>
        <w:t xml:space="preserve"> </w:t>
      </w:r>
      <w:r>
        <w:t xml:space="preserve">to include</w:t>
      </w:r>
      <w:r>
        <w:t xml:space="preserve"> </w:t>
      </w:r>
      <w:r>
        <w:rPr>
          <w:b/>
          <w:bCs/>
        </w:rPr>
        <w:t xml:space="preserve">“qualifying cryptoassets”</w:t>
      </w:r>
      <w:r>
        <w:t xml:space="preserve"> </w:t>
      </w:r>
      <w:r>
        <w:t xml:space="preserve">under the Financial Services and Markets Act (FSMA) regulatory perimeter</w:t>
      </w:r>
      <w:hyperlink r:id="rId134">
        <w:r>
          <w:rPr>
            <w:rStyle w:val="Hyperlink"/>
          </w:rPr>
          <w:t xml:space="preserve">[113]</w:t>
        </w:r>
      </w:hyperlink>
      <w:r>
        <w:t xml:space="preserve">. In plain English, this will require that crypto trading activities in the UK be done by FCA-authorized firms when this SI is enacted (likely 2026). So the UK is essentially moving to regulate crypto similarly to other financial services, but customizing rules. This SI will create designations for cryptoassets and stablecoins, aligning with categories the Treasury set out (it mentions “qualifying stablecoins” too).</w:t>
      </w:r>
    </w:p>
    <w:p>
      <w:pPr>
        <w:pStyle w:val="Compact"/>
        <w:numPr>
          <w:ilvl w:val="0"/>
          <w:numId w:val="1022"/>
        </w:numPr>
      </w:pPr>
      <w:r>
        <w:rPr>
          <w:b/>
          <w:bCs/>
        </w:rPr>
        <w:t xml:space="preserve">Bank of England &amp; Systemic Stablecoins:</w:t>
      </w:r>
      <w:r>
        <w:t xml:space="preserve"> </w:t>
      </w:r>
      <w:r>
        <w:t xml:space="preserve">In Nov 2025, the BoE released a big consultation on regulating</w:t>
      </w:r>
      <w:r>
        <w:t xml:space="preserve"> </w:t>
      </w:r>
      <w:r>
        <w:rPr>
          <w:b/>
          <w:bCs/>
        </w:rPr>
        <w:t xml:space="preserve">systemic GBP stablecoins</w:t>
      </w:r>
      <w:hyperlink r:id="rId135">
        <w:r>
          <w:rPr>
            <w:rStyle w:val="Hyperlink"/>
          </w:rPr>
          <w:t xml:space="preserve">[114]</w:t>
        </w:r>
      </w:hyperlink>
      <w:r>
        <w:t xml:space="preserve">. They propose treating any stablecoin that’s widely used in payments as if it were a payment system, with Bank oversight. One controversial BoE proposal:</w:t>
      </w:r>
      <w:r>
        <w:t xml:space="preserve"> </w:t>
      </w:r>
      <w:r>
        <w:rPr>
          <w:b/>
          <w:bCs/>
        </w:rPr>
        <w:t xml:space="preserve">temporary holding caps</w:t>
      </w:r>
      <w:r>
        <w:t xml:space="preserve"> </w:t>
      </w:r>
      <w:r>
        <w:t xml:space="preserve">on stablecoin wallets (e.g., no individual can hold over £20k, business £10M during the transition)</w:t>
      </w:r>
      <w:hyperlink r:id="rId136">
        <w:r>
          <w:rPr>
            <w:rStyle w:val="Hyperlink"/>
          </w:rPr>
          <w:t xml:space="preserve">[115]</w:t>
        </w:r>
      </w:hyperlink>
      <w:r>
        <w:t xml:space="preserve">. The BoE argues this prevents a run from bank deposits to stablecoins until regime is set</w:t>
      </w:r>
      <w:hyperlink r:id="rId137">
        <w:r>
          <w:rPr>
            <w:rStyle w:val="Hyperlink"/>
          </w:rPr>
          <w:t xml:space="preserve">[116]</w:t>
        </w:r>
      </w:hyperlink>
      <w:r>
        <w:t xml:space="preserve">. Industry pushed back, saying caps would stifle adoption or push activity offshore</w:t>
      </w:r>
      <w:hyperlink r:id="rId138">
        <w:r>
          <w:rPr>
            <w:rStyle w:val="Hyperlink"/>
          </w:rPr>
          <w:t xml:space="preserve">[117]</w:t>
        </w:r>
      </w:hyperlink>
      <w:r>
        <w:t xml:space="preserve">. The BoE clarified these caps would be lifted once stablecoins are integrated and risks understood</w:t>
      </w:r>
      <w:hyperlink r:id="rId139">
        <w:r>
          <w:rPr>
            <w:rStyle w:val="Hyperlink"/>
          </w:rPr>
          <w:t xml:space="preserve">[118]</w:t>
        </w:r>
      </w:hyperlink>
      <w:r>
        <w:t xml:space="preserve">. This shows the UK’s cautious yet innovative approach: they want to allow stablecoins, but under tight control initially. We expect by late 2026 the UK will have a regime where major stablecoin issuers can be supervised by BoE (likely via FMI regulation or recognizing them as e-money with extra rules). Meanwhile, UK already made stablecoins (as payments) legal in principle via the Financial Services and Markets Act 2023, but specific regs are coming from BoE and FCA.</w:t>
      </w:r>
    </w:p>
    <w:p>
      <w:pPr>
        <w:pStyle w:val="Compact"/>
        <w:numPr>
          <w:ilvl w:val="0"/>
          <w:numId w:val="1022"/>
        </w:numPr>
      </w:pPr>
      <w:r>
        <w:rPr>
          <w:b/>
          <w:bCs/>
        </w:rPr>
        <w:t xml:space="preserve">Transatlantic Cooperation:</w:t>
      </w:r>
      <w:r>
        <w:t xml:space="preserve"> </w:t>
      </w:r>
      <w:r>
        <w:t xml:space="preserve">Notably, UK and US regulators announced a</w:t>
      </w:r>
      <w:r>
        <w:t xml:space="preserve"> </w:t>
      </w:r>
      <w:r>
        <w:rPr>
          <w:b/>
          <w:bCs/>
        </w:rPr>
        <w:t xml:space="preserve">Transatlantic Taskforce on Crypto Markets</w:t>
      </w:r>
      <w:r>
        <w:t xml:space="preserve"> </w:t>
      </w:r>
      <w:r>
        <w:t xml:space="preserve">in Sept 2025</w:t>
      </w:r>
      <w:hyperlink r:id="rId140">
        <w:r>
          <w:rPr>
            <w:rStyle w:val="Hyperlink"/>
          </w:rPr>
          <w:t xml:space="preserve">[119]</w:t>
        </w:r>
      </w:hyperlink>
      <w:r>
        <w:t xml:space="preserve">. This taskforce is to harmonize approaches on things like disclosure standards and maybe even coordinate on enforcement. They plan to report within 180 days (so by Q1 2026)</w:t>
      </w:r>
      <w:hyperlink r:id="rId140">
        <w:r>
          <w:rPr>
            <w:rStyle w:val="Hyperlink"/>
          </w:rPr>
          <w:t xml:space="preserve">[119]</w:t>
        </w:r>
      </w:hyperlink>
      <w:r>
        <w:t xml:space="preserve">. This is promising – it could lead to US and UK aligning on how to handle cross-border crypto flows, stablecoin arrangements, etc. Possibly making it easier for firms to comply in both jurisdictions.</w:t>
      </w:r>
    </w:p>
    <w:p>
      <w:pPr>
        <w:pStyle w:val="Compact"/>
        <w:numPr>
          <w:ilvl w:val="0"/>
          <w:numId w:val="1022"/>
        </w:numPr>
      </w:pPr>
      <w:r>
        <w:rPr>
          <w:b/>
          <w:bCs/>
        </w:rPr>
        <w:t xml:space="preserve">AML and Sanctions:</w:t>
      </w:r>
      <w:r>
        <w:t xml:space="preserve"> </w:t>
      </w:r>
      <w:r>
        <w:t xml:space="preserve">The UK updated its</w:t>
      </w:r>
      <w:r>
        <w:t xml:space="preserve"> </w:t>
      </w:r>
      <w:r>
        <w:rPr>
          <w:b/>
          <w:bCs/>
        </w:rPr>
        <w:t xml:space="preserve">National Risk Assessment 2025</w:t>
      </w:r>
      <w:r>
        <w:t xml:space="preserve">, elevating crypto’s money laundering risk to “high”</w:t>
      </w:r>
      <w:hyperlink r:id="rId141">
        <w:r>
          <w:rPr>
            <w:rStyle w:val="Hyperlink"/>
          </w:rPr>
          <w:t xml:space="preserve">[120]</w:t>
        </w:r>
      </w:hyperlink>
      <w:r>
        <w:t xml:space="preserve"> </w:t>
      </w:r>
      <w:r>
        <w:t xml:space="preserve">due to increased criminal use in tandem with greater public adoption. Terrorism financing risk stayed medium but noted rising on-chain usage</w:t>
      </w:r>
      <w:hyperlink r:id="rId141">
        <w:r>
          <w:rPr>
            <w:rStyle w:val="Hyperlink"/>
          </w:rPr>
          <w:t xml:space="preserve">[120]</w:t>
        </w:r>
      </w:hyperlink>
      <w:r>
        <w:t xml:space="preserve">. The UK’s OFSI (sanctions office) also issued a</w:t>
      </w:r>
      <w:r>
        <w:t xml:space="preserve"> </w:t>
      </w:r>
      <w:r>
        <w:rPr>
          <w:b/>
          <w:bCs/>
        </w:rPr>
        <w:t xml:space="preserve">crypto sanctions guidance</w:t>
      </w:r>
      <w:r>
        <w:t xml:space="preserve"> </w:t>
      </w:r>
      <w:r>
        <w:t xml:space="preserve">(first of its kind)</w:t>
      </w:r>
      <w:hyperlink r:id="rId142">
        <w:r>
          <w:rPr>
            <w:rStyle w:val="Hyperlink"/>
          </w:rPr>
          <w:t xml:space="preserve">[121]</w:t>
        </w:r>
      </w:hyperlink>
      <w:r>
        <w:t xml:space="preserve">. They recommend firms trace at least 3-5 hops of transactions and report potential sanctioned exposure</w:t>
      </w:r>
      <w:hyperlink r:id="rId142">
        <w:r>
          <w:rPr>
            <w:rStyle w:val="Hyperlink"/>
          </w:rPr>
          <w:t xml:space="preserve">[121]</w:t>
        </w:r>
      </w:hyperlink>
      <w:r>
        <w:t xml:space="preserve">. They also highlighted significant UK exposure to certain sanctioned Russian-linked crypto networks</w:t>
      </w:r>
      <w:hyperlink r:id="rId143">
        <w:r>
          <w:rPr>
            <w:rStyle w:val="Hyperlink"/>
          </w:rPr>
          <w:t xml:space="preserve">[122]</w:t>
        </w:r>
      </w:hyperlink>
      <w:r>
        <w:t xml:space="preserve">. And the UK sanctioned specific crypto entities facilitating Russian sanctions evasion (like a ruble stablecoin issuer A7 and exchanges Grinex/Meer)</w:t>
      </w:r>
      <w:hyperlink r:id="rId144">
        <w:r>
          <w:rPr>
            <w:rStyle w:val="Hyperlink"/>
          </w:rPr>
          <w:t xml:space="preserve">[123]</w:t>
        </w:r>
      </w:hyperlink>
      <w:r>
        <w:t xml:space="preserve">. So compliance for UK firms is tight: robust blockchain analytics and screening are a must. By 2026, expect UK to have integrated crypto in its Economic Crime plan, meaning heavier enforcement if firms don’t do Travel Rule, etc.</w:t>
      </w:r>
    </w:p>
    <w:p>
      <w:pPr>
        <w:numPr>
          <w:ilvl w:val="0"/>
          <w:numId w:val="1022"/>
        </w:numPr>
      </w:pPr>
      <w:r>
        <w:rPr>
          <w:b/>
          <w:bCs/>
        </w:rPr>
        <w:t xml:space="preserve">Outlook:</w:t>
      </w:r>
      <w:r>
        <w:t xml:space="preserve"> </w:t>
      </w:r>
      <w:r>
        <w:t xml:space="preserve">The UK aims to</w:t>
      </w:r>
      <w:r>
        <w:t xml:space="preserve"> </w:t>
      </w:r>
      <w:r>
        <w:rPr>
          <w:b/>
          <w:bCs/>
        </w:rPr>
        <w:t xml:space="preserve">establish itself as a crypto hub</w:t>
      </w:r>
      <w:r>
        <w:t xml:space="preserve"> </w:t>
      </w:r>
      <w:r>
        <w:t xml:space="preserve">by being slightly more flexible than the EU while maintaining high standards. They want London to be attractive for tokenization and crypto trading under clear rules. 2025 was heavy on proposals; 2026 will be about turning those into law/regulation. The industry should prepare to get FCA authorization likely by 2026 if serving UK clients (many have temporary permissions now from the UK’s existing registration regime for AML). For trading, UK’s regime may allow a broader range of tokens than the US (the UK is technology-neutral, likely treating tokens not as securities unless they’re tokenized traditional securities). Thus, we could see London exchanges listing tokens like Aave or XRP under new FCA rules when the US still grapples with whether those are securities. This regulatory arbitrage might shape liquidity pools regionally.</w:t>
      </w:r>
    </w:p>
    <w:p>
      <w:pPr>
        <w:numPr>
          <w:ilvl w:val="0"/>
          <w:numId w:val="1022"/>
        </w:numPr>
      </w:pPr>
      <w:r>
        <w:rPr>
          <w:b/>
          <w:bCs/>
        </w:rPr>
        <w:t xml:space="preserve">Key APAC Regions:</w:t>
      </w:r>
    </w:p>
    <w:p>
      <w:pPr>
        <w:pStyle w:val="Compact"/>
        <w:numPr>
          <w:ilvl w:val="0"/>
          <w:numId w:val="1022"/>
        </w:numPr>
      </w:pPr>
      <w:r>
        <w:rPr>
          <w:b/>
          <w:bCs/>
        </w:rPr>
        <w:t xml:space="preserve">Hong Kong:</w:t>
      </w:r>
      <w:r>
        <w:t xml:space="preserve"> </w:t>
      </w:r>
      <w:r>
        <w:t xml:space="preserve">In 2023, HK pivoted to embrace retail crypto trading under a new licensing regime from June 2023. By 2025, Hong Kong’s</w:t>
      </w:r>
      <w:r>
        <w:t xml:space="preserve"> </w:t>
      </w:r>
      <w:r>
        <w:rPr>
          <w:b/>
          <w:bCs/>
        </w:rPr>
        <w:t xml:space="preserve">VATP (Virtual Asset Trading Platform) licenses</w:t>
      </w:r>
      <w:r>
        <w:t xml:space="preserve"> </w:t>
      </w:r>
      <w:r>
        <w:t xml:space="preserve">have been granted to a handful of exchanges (e.g., HashKey, OSL). 2025 saw Hong Kong further refine rules: they launched a</w:t>
      </w:r>
      <w:r>
        <w:t xml:space="preserve"> </w:t>
      </w:r>
      <w:r>
        <w:rPr>
          <w:b/>
          <w:bCs/>
        </w:rPr>
        <w:t xml:space="preserve">roadmap to enhance competitiveness as a crypto hub</w:t>
      </w:r>
      <w:r>
        <w:t xml:space="preserve">, including reconsidering strict rules like the 98% cold storage requirement (which was burdensome)</w:t>
      </w:r>
      <w:hyperlink r:id="rId145">
        <w:r>
          <w:rPr>
            <w:rStyle w:val="Hyperlink"/>
          </w:rPr>
          <w:t xml:space="preserve">[124]</w:t>
        </w:r>
      </w:hyperlink>
      <w:r>
        <w:t xml:space="preserve">. The SFC also streamlined licensing: in Jan 2025, they introduced a “swift licensing process” using external assessors to audit controls</w:t>
      </w:r>
      <w:hyperlink r:id="rId146">
        <w:r>
          <w:rPr>
            <w:rStyle w:val="Hyperlink"/>
          </w:rPr>
          <w:t xml:space="preserve">[125]</w:t>
        </w:r>
      </w:hyperlink>
      <w:r>
        <w:t xml:space="preserve">. Hong Kong’s</w:t>
      </w:r>
      <w:r>
        <w:t xml:space="preserve"> </w:t>
      </w:r>
      <w:r>
        <w:rPr>
          <w:b/>
          <w:bCs/>
        </w:rPr>
        <w:t xml:space="preserve">stablecoin framework</w:t>
      </w:r>
      <w:r>
        <w:t xml:space="preserve"> </w:t>
      </w:r>
      <w:r>
        <w:t xml:space="preserve">took effect Aug 1, 2025</w:t>
      </w:r>
      <w:hyperlink r:id="rId147">
        <w:r>
          <w:rPr>
            <w:rStyle w:val="Hyperlink"/>
          </w:rPr>
          <w:t xml:space="preserve">[126]</w:t>
        </w:r>
      </w:hyperlink>
      <w:r>
        <w:t xml:space="preserve">: anyone issuing or marketing stablecoins in HK must be licensed by HKMA. Existing issuers had to apply by Oct 31, 2025 or wind down</w:t>
      </w:r>
      <w:hyperlink r:id="rId148">
        <w:r>
          <w:rPr>
            <w:rStyle w:val="Hyperlink"/>
          </w:rPr>
          <w:t xml:space="preserve">[127]</w:t>
        </w:r>
      </w:hyperlink>
      <w:r>
        <w:t xml:space="preserve">. This effectively means by 2026, only approved stablecoins can be offered in HK – likely regulated 1:1 HKD or USD stablecoins. HKMA’s rules likely include capital and liquidity requirements for issuers. Hong Kong is trying to balance openness with oversight; it’s inviting mainland Chinese capital under a regulated guise. The market structure shift: licensed exchanges in HK can now legally serve retail in certain large-cap tokens, bringing some previously underground volume onshore. Hong Kong regulators have been responsive to industry feedback, tweaking rules as needed</w:t>
      </w:r>
      <w:hyperlink r:id="rId149">
        <w:r>
          <w:rPr>
            <w:rStyle w:val="Hyperlink"/>
          </w:rPr>
          <w:t xml:space="preserve">[128]</w:t>
        </w:r>
      </w:hyperlink>
      <w:r>
        <w:t xml:space="preserve">. We foresee Hong Kong becoming an institutional gateway: many funds in Asia will prefer trading on HK licensed venues if they can, for regulatory safety (especially if mainland China subtly encourages using HK as a proxy).</w:t>
      </w:r>
    </w:p>
    <w:p>
      <w:pPr>
        <w:pStyle w:val="Compact"/>
        <w:numPr>
          <w:ilvl w:val="0"/>
          <w:numId w:val="1022"/>
        </w:numPr>
      </w:pPr>
      <w:r>
        <w:rPr>
          <w:b/>
          <w:bCs/>
        </w:rPr>
        <w:t xml:space="preserve">Singapore:</w:t>
      </w:r>
      <w:r>
        <w:t xml:space="preserve"> </w:t>
      </w:r>
      <w:r>
        <w:t xml:space="preserve">Singapore took a more guarded stance after some high-profile collapses (3AC, etc., which were based there). MAS (Monetary Authority of SG) in 2025 expanded its regulatory perimeter. The</w:t>
      </w:r>
      <w:r>
        <w:t xml:space="preserve"> </w:t>
      </w:r>
      <w:r>
        <w:rPr>
          <w:b/>
          <w:bCs/>
        </w:rPr>
        <w:t xml:space="preserve">Financial Services and Markets Act (FSMA) 2022</w:t>
      </w:r>
      <w:r>
        <w:t xml:space="preserve"> </w:t>
      </w:r>
      <w:r>
        <w:t xml:space="preserve">came into effect for</w:t>
      </w:r>
      <w:r>
        <w:t xml:space="preserve"> </w:t>
      </w:r>
      <w:r>
        <w:rPr>
          <w:b/>
          <w:bCs/>
        </w:rPr>
        <w:t xml:space="preserve">Digital Token Service Providers (DTSPs)</w:t>
      </w:r>
      <w:r>
        <w:t xml:space="preserve"> </w:t>
      </w:r>
      <w:r>
        <w:t xml:space="preserve">serving overseas clients from Singapore</w:t>
      </w:r>
      <w:hyperlink r:id="rId150">
        <w:r>
          <w:rPr>
            <w:rStyle w:val="Hyperlink"/>
          </w:rPr>
          <w:t xml:space="preserve">[129]</w:t>
        </w:r>
      </w:hyperlink>
      <w:r>
        <w:t xml:space="preserve">. Essentially, even if you only serve foreign users but operate in SG, you now must be licensed (no hiding under offshore). MAS’s intention was to discourage shell companies in SG serving high-risk offshore business</w:t>
      </w:r>
      <w:hyperlink r:id="rId151">
        <w:r>
          <w:rPr>
            <w:rStyle w:val="Hyperlink"/>
          </w:rPr>
          <w:t xml:space="preserve">[130]</w:t>
        </w:r>
      </w:hyperlink>
      <w:hyperlink r:id="rId152">
        <w:r>
          <w:rPr>
            <w:rStyle w:val="Hyperlink"/>
          </w:rPr>
          <w:t xml:space="preserve">[131]</w:t>
        </w:r>
      </w:hyperlink>
      <w:r>
        <w:t xml:space="preserve">. They even said they have no intent to actually license such DTSPs – basically telling them to cease or relocate</w:t>
      </w:r>
      <w:hyperlink r:id="rId153">
        <w:r>
          <w:rPr>
            <w:rStyle w:val="Hyperlink"/>
          </w:rPr>
          <w:t xml:space="preserve">[132]</w:t>
        </w:r>
      </w:hyperlink>
      <w:r>
        <w:t xml:space="preserve">. This raised concerns about Singapore’s openness. Some firms relocated staff out because of this rule by mid-2025</w:t>
      </w:r>
      <w:hyperlink r:id="rId154">
        <w:r>
          <w:rPr>
            <w:rStyle w:val="Hyperlink"/>
          </w:rPr>
          <w:t xml:space="preserve">[133]</w:t>
        </w:r>
      </w:hyperlink>
      <w:r>
        <w:t xml:space="preserve">. However, SG still encourages innovation: they have a stablecoin issuance framework (MAS introduced guidelines in 2023, expecting reserves, etc., similar to upcoming global standards). MAS also delayed Basel crypto asset rules to 2027</w:t>
      </w:r>
      <w:hyperlink r:id="rId114">
        <w:r>
          <w:rPr>
            <w:rStyle w:val="Hyperlink"/>
          </w:rPr>
          <w:t xml:space="preserve">[94]</w:t>
        </w:r>
      </w:hyperlink>
      <w:r>
        <w:t xml:space="preserve">, aligning with hoping for friendlier revisions – this shows pragmatism (they didn’t want to enforce 1250% RW by 2025, giving 1-year delay)</w:t>
      </w:r>
      <w:hyperlink r:id="rId114">
        <w:r>
          <w:rPr>
            <w:rStyle w:val="Hyperlink"/>
          </w:rPr>
          <w:t xml:space="preserve">[94]</w:t>
        </w:r>
      </w:hyperlink>
      <w:r>
        <w:t xml:space="preserve">.</w:t>
      </w:r>
      <w:r>
        <w:t xml:space="preserve"> </w:t>
      </w:r>
      <w:r>
        <w:rPr>
          <w:i/>
          <w:iCs/>
        </w:rPr>
        <w:t xml:space="preserve">In short</w:t>
      </w:r>
      <w:r>
        <w:t xml:space="preserve">, Singapore is tightening AML and perimeters (making sure anyone in SG is accountable to MAS), but still supports tech innovation (Project Guardian for DeFi pilots, etc.). Many crypto companies maintain SG presence but ensure compliance or move certain activities to friendlier spots (like Dubai).</w:t>
      </w:r>
    </w:p>
    <w:p>
      <w:pPr>
        <w:pStyle w:val="Compact"/>
        <w:numPr>
          <w:ilvl w:val="0"/>
          <w:numId w:val="1022"/>
        </w:numPr>
      </w:pPr>
      <w:r>
        <w:rPr>
          <w:b/>
          <w:bCs/>
        </w:rPr>
        <w:t xml:space="preserve">Japan:</w:t>
      </w:r>
      <w:r>
        <w:t xml:space="preserve"> </w:t>
      </w:r>
      <w:r>
        <w:t xml:space="preserve">Japan was an early mover with crypto exchange licensing and has stringent rules (exchanges must segregate assets, have cold storage, etc.). In 2023-24, Japan lifted its ban on foreign stablecoins; in 2024 they allowed certain licensed stablecoins to be listed. By 2025, JPY stablecoins launched by trust banks are in circulation. Japan also has a new DAO law under discussion and token classification guidelines (they treat some tokens as “specified digital money” etc.). For trading, Japan’s market remains mostly domestic with regulated exchanges listing limited coins (they did expand, now dozens of coins approved by JVCEA lists). Key development: in 2025, Japan’s FSA allowed banks to hold up to 2% of their capital in crypto (similar to Basel’s cap, showing adoption of international standard with some flexibility). Also, Japan’s self-regulatory approach continues – JVCEA (the industry body) was given a bit less direct power as FSA took more direct oversight after issues like FTX Japan freeze (which resolved because Japan had segregated custody requirements that saved users). Summarily, Japan’s framework is stable, somewhat conservative, but steadily integrating pieces (like security token offerings now legal, etc.).</w:t>
      </w:r>
    </w:p>
    <w:p>
      <w:pPr>
        <w:pStyle w:val="Compact"/>
        <w:numPr>
          <w:ilvl w:val="0"/>
          <w:numId w:val="1022"/>
        </w:numPr>
      </w:pPr>
      <w:r>
        <w:rPr>
          <w:b/>
          <w:bCs/>
        </w:rPr>
        <w:t xml:space="preserve">South Korea:</w:t>
      </w:r>
      <w:r>
        <w:t xml:space="preserve"> </w:t>
      </w:r>
      <w:r>
        <w:t xml:space="preserve">Korea passed specific crypto laws in 2023 focusing on investor protection and requiring insurance funds, etc. By 2025, they are implementing a licensing regime (the Virtual Asset User Protection Act). Exchanges are already regulated under FIU (must have real-name banking, etc.), but more formal licensing likely in 2026. Korea also pushing stricter rules on token listings after some local scandals, and closely monitoring offshore activity (they banned privacy coins on exchanges, etc.). They will likely align partially with global standards (maybe adopt travel rule strictly, which they did in 2022).</w:t>
      </w:r>
    </w:p>
    <w:p>
      <w:pPr>
        <w:pStyle w:val="Compact"/>
        <w:numPr>
          <w:ilvl w:val="0"/>
          <w:numId w:val="1022"/>
        </w:numPr>
      </w:pPr>
      <w:r>
        <w:rPr>
          <w:b/>
          <w:bCs/>
        </w:rPr>
        <w:t xml:space="preserve">China:</w:t>
      </w:r>
      <w:r>
        <w:t xml:space="preserve"> </w:t>
      </w:r>
      <w:r>
        <w:t xml:space="preserve">Mainland China itself remains officially closed to crypto trading (since 2021 ban), but interestingly is allowing Hong Kong to serve as a conduit. Also, China launched its CBDC (e-CNY) widely by 2025, but that’s separate from crypto (though it’s part of why they don’t need stablecoins perhaps). Nothing official suggests China lifting the domestic ban soon – they focus on blockchain tech minus crypto. However, Chinese capital participates via offshore and Hong Kong and that policy seems tacitly accepted as long as it’s not on the mainland.</w:t>
      </w:r>
    </w:p>
    <w:p>
      <w:pPr>
        <w:numPr>
          <w:ilvl w:val="0"/>
          <w:numId w:val="1022"/>
        </w:numPr>
      </w:pPr>
      <w:r>
        <w:rPr>
          <w:b/>
          <w:bCs/>
        </w:rPr>
        <w:t xml:space="preserve">Others (Australia, etc.):</w:t>
      </w:r>
      <w:r>
        <w:t xml:space="preserve"> </w:t>
      </w:r>
      <w:r>
        <w:t xml:space="preserve">Australia in Sept 2025 published draft legislation for licensing crypto services and stablecoins</w:t>
      </w:r>
      <w:hyperlink r:id="rId155">
        <w:r>
          <w:rPr>
            <w:rStyle w:val="Hyperlink"/>
          </w:rPr>
          <w:t xml:space="preserve">[134]</w:t>
        </w:r>
      </w:hyperlink>
      <w:hyperlink r:id="rId156">
        <w:r>
          <w:rPr>
            <w:rStyle w:val="Hyperlink"/>
          </w:rPr>
          <w:t xml:space="preserve">[135]</w:t>
        </w:r>
      </w:hyperlink>
      <w:r>
        <w:t xml:space="preserve">. They plan to integrate it into the existing financial licensing regime (AFSL). It’s likely in 2026 Australia will enforce exchange licensing and minimum standards.</w:t>
      </w:r>
      <w:r>
        <w:t xml:space="preserve"> </w:t>
      </w:r>
      <w:r>
        <w:t xml:space="preserve">The</w:t>
      </w:r>
      <w:r>
        <w:t xml:space="preserve"> </w:t>
      </w:r>
      <w:r>
        <w:rPr>
          <w:b/>
          <w:bCs/>
        </w:rPr>
        <w:t xml:space="preserve">UAE (Dubai)</w:t>
      </w:r>
      <w:r>
        <w:t xml:space="preserve"> </w:t>
      </w:r>
      <w:r>
        <w:t xml:space="preserve">has its VARA (Virtual Asset Regulatory Authority) issuing licenses (Dubai positioned itself as a hub with clear rules since 2022). Many crypto firms relocated there due to friendly environment (0% tax, etc.). That likely continues – but global banks might still be cautious engaging there if not recognized by Western regulators.</w:t>
      </w:r>
    </w:p>
    <w:p>
      <w:pPr>
        <w:numPr>
          <w:ilvl w:val="0"/>
          <w:numId w:val="1022"/>
        </w:numPr>
      </w:pPr>
      <w:r>
        <w:rPr>
          <w:b/>
          <w:bCs/>
        </w:rPr>
        <w:t xml:space="preserve">What Can Change Market Structure Next?</w:t>
      </w:r>
      <w:r>
        <w:t xml:space="preserve"> </w:t>
      </w:r>
      <w:r>
        <w:t xml:space="preserve">(Probabilities + timeline):</w:t>
      </w:r>
    </w:p>
    <w:p>
      <w:pPr>
        <w:pStyle w:val="Compact"/>
        <w:numPr>
          <w:ilvl w:val="0"/>
          <w:numId w:val="1022"/>
        </w:numPr>
      </w:pPr>
      <w:r>
        <w:rPr>
          <w:b/>
          <w:bCs/>
        </w:rPr>
        <w:t xml:space="preserve">Regulatory Convergence or Divergence:</w:t>
      </w:r>
      <w:r>
        <w:t xml:space="preserve"> </w:t>
      </w:r>
      <w:r>
        <w:t xml:space="preserve">Over 2025-2026, a major question is whether regulations converge globally or fragment markets. There is momentum in</w:t>
      </w:r>
      <w:r>
        <w:t xml:space="preserve"> </w:t>
      </w:r>
      <w:r>
        <w:rPr>
          <w:b/>
          <w:bCs/>
        </w:rPr>
        <w:t xml:space="preserve">international coordination</w:t>
      </w:r>
      <w:r>
        <w:t xml:space="preserve">: for instance, IOSCO (securities regulators forum) issued crypto trading and lending recommendations in 2023, which many countries follow. If the US, EU, UK manage to align core principles (market integrity, custody requirements, etc.), then market structure becomes more uniform – making it easier for large players to operate cross-border. I’d assign a moderate probability (~60%) that by 2027, we have a more harmonized regime among G7, at least for AML and consumer protection standards, given things like the transatlantic taskforce</w:t>
      </w:r>
      <w:hyperlink r:id="rId140">
        <w:r>
          <w:rPr>
            <w:rStyle w:val="Hyperlink"/>
          </w:rPr>
          <w:t xml:space="preserve">[119]</w:t>
        </w:r>
      </w:hyperlink>
      <w:r>
        <w:t xml:space="preserve">.</w:t>
      </w:r>
    </w:p>
    <w:p>
      <w:pPr>
        <w:pStyle w:val="Compact"/>
        <w:numPr>
          <w:ilvl w:val="0"/>
          <w:numId w:val="1022"/>
        </w:numPr>
      </w:pPr>
      <w:r>
        <w:rPr>
          <w:b/>
          <w:bCs/>
        </w:rPr>
        <w:t xml:space="preserve">De Facto Global Stablecoin Standards:</w:t>
      </w:r>
      <w:r>
        <w:t xml:space="preserve"> </w:t>
      </w:r>
      <w:r>
        <w:t xml:space="preserve">With the US and EU both enacting stablecoin rules, others will likely follow or adapt. BIS and FSB have also given recommendations (e.g., FSB’s July 2023 stablecoin framework). Expect by ~2026, any major stablecoin will need to meet transparency and reserve standards or be curtailed. Tether might face pressure to become licensed or banks will issue competitors. A scenario: A big global bank consortium launches a fully regulated USD stablecoin that quickly gains market share because institutions trust it – that could shift volume from USDT/USDC to “RegulatedUSD” by 2027. Probability 50% because it requires banks to get comfortable (maybe after GENIUS Act in US and similar in EU).</w:t>
      </w:r>
    </w:p>
    <w:p>
      <w:pPr>
        <w:pStyle w:val="Compact"/>
        <w:numPr>
          <w:ilvl w:val="0"/>
          <w:numId w:val="1022"/>
        </w:numPr>
      </w:pPr>
      <w:r>
        <w:rPr>
          <w:b/>
          <w:bCs/>
        </w:rPr>
        <w:t xml:space="preserve">Decentralization vs Regulation Tug-of-War:</w:t>
      </w:r>
      <w:r>
        <w:t xml:space="preserve"> </w:t>
      </w:r>
      <w:r>
        <w:t xml:space="preserve">As regulation tightens on centralized players, some volume may migrate to decentralized protocols (DEXs, etc.) that are harder to regulate. If regulators take extreme steps (e.g., restricting access or high taxes on crypto), more activity could go peer-to-peer. Conversely, if regulations are reasonable, mainstream money will prefer regulated venues and DeFi might plateau or integrate via compliant gateways. This dynamic will shape if centralized exchanges remain dominant or if DeFi captures a bigger share. Right now, DEX share is maybe ~15% of spot. If, say, Binance were heavily restricted globally, we could see DEX share rise. But note regulators are also targeting DeFi (US Treasury sanctioning Tornado Cash in 2022, etc.). I’d predict in 2 years, CeFi will still dominate large-volume trading, but DeFi will carve out more niche uses and possibly inter-exchange settlement.</w:t>
      </w:r>
    </w:p>
    <w:p>
      <w:pPr>
        <w:pStyle w:val="Compact"/>
        <w:numPr>
          <w:ilvl w:val="0"/>
          <w:numId w:val="1022"/>
        </w:numPr>
      </w:pPr>
      <w:r>
        <w:rPr>
          <w:b/>
          <w:bCs/>
        </w:rPr>
        <w:t xml:space="preserve">Tokenization of Real-World Assets (RWA):</w:t>
      </w:r>
      <w:r>
        <w:t xml:space="preserve"> </w:t>
      </w:r>
      <w:r>
        <w:t xml:space="preserve">One potential market structure changer is if regulated tokenized securities become common (like bonds, equities on chain). That could blur lines between “crypto exchanges” and “traditional exchanges.” For instance, a crypto exchange might list tokenized Tesla shares, or a traditional exchange might list a tokenized Bitcoin ETF share. This convergence might start around 2026–27. The probability is moderate that some major TradFi players launch RWA platforms that attract crypto liquidity (e.g., Goldman’s digital asset platform trades tokenized bonds). It could bring new liquidity and participants into the crypto fold, effectively expanding market scope beyond pure crypto assets.</w:t>
      </w:r>
    </w:p>
    <w:p>
      <w:pPr>
        <w:pStyle w:val="Compact"/>
        <w:numPr>
          <w:ilvl w:val="0"/>
          <w:numId w:val="1022"/>
        </w:numPr>
      </w:pPr>
      <w:r>
        <w:rPr>
          <w:b/>
          <w:bCs/>
        </w:rPr>
        <w:t xml:space="preserve">CBDCs:</w:t>
      </w:r>
      <w:r>
        <w:t xml:space="preserve"> </w:t>
      </w:r>
      <w:r>
        <w:t xml:space="preserve">Central Bank Digital Currencies could alter how fiat on/off ramps work. If, say, the Fed launches a wholesale CBDC or the ECB launches a digital euro by 2027, crypto exchanges might integrate them as fiat settlement (instead of bank wires). This might improve settlement speeds but also could come with surveillance. Not a direct structure change, but something to watch. China’s e-CNY is in use domestically; if it interoperates with Hong Kong’s markets, it might become a settlement currency in Asian crypto trading (just speculative for now).</w:t>
      </w:r>
    </w:p>
    <w:p>
      <w:pPr>
        <w:pStyle w:val="FirstParagraph"/>
      </w:pPr>
      <w:r>
        <w:rPr>
          <w:b/>
          <w:bCs/>
        </w:rPr>
        <w:t xml:space="preserve">Conclusion (Regulatory):</w:t>
      </w:r>
      <w:r>
        <w:t xml:space="preserve"> </w:t>
      </w:r>
      <w:r>
        <w:t xml:space="preserve">The big picture is</w:t>
      </w:r>
      <w:r>
        <w:t xml:space="preserve"> </w:t>
      </w:r>
      <w:r>
        <w:rPr>
          <w:b/>
          <w:bCs/>
        </w:rPr>
        <w:t xml:space="preserve">regulation is catching up</w:t>
      </w:r>
      <w:r>
        <w:t xml:space="preserve">. By today (late 2025), we have or soon will have:</w:t>
      </w:r>
      <w:r>
        <w:t xml:space="preserve"> </w:t>
      </w:r>
      <w:r>
        <w:t xml:space="preserve">- US: federal stablecoin law, progress on exchange/token rules;</w:t>
      </w:r>
      <w:r>
        <w:t xml:space="preserve"> </w:t>
      </w:r>
      <w:r>
        <w:t xml:space="preserve">- EU: comprehensive MiCA in force;</w:t>
      </w:r>
      <w:r>
        <w:t xml:space="preserve"> </w:t>
      </w:r>
      <w:r>
        <w:t xml:space="preserve">- UK: robust regime in 2026;</w:t>
      </w:r>
      <w:r>
        <w:t xml:space="preserve"> </w:t>
      </w:r>
      <w:r>
        <w:t xml:space="preserve">- APAC: leading hubs (HK, SG, Japan, UAE) each with their licensing frameworks.</w:t>
      </w:r>
      <w:r>
        <w:t xml:space="preserve"> </w:t>
      </w:r>
      <w:r>
        <w:t xml:space="preserve">For a CIB, this means crypto trading is moving into a</w:t>
      </w:r>
      <w:r>
        <w:t xml:space="preserve"> </w:t>
      </w:r>
      <w:r>
        <w:rPr>
          <w:b/>
          <w:bCs/>
        </w:rPr>
        <w:t xml:space="preserve">more legally defined space</w:t>
      </w:r>
      <w:r>
        <w:t xml:space="preserve">, which is positive for institutional adoption but also increases compliance burden. The market structure likely becomes</w:t>
      </w:r>
      <w:r>
        <w:t xml:space="preserve"> </w:t>
      </w:r>
      <w:r>
        <w:rPr>
          <w:b/>
          <w:bCs/>
        </w:rPr>
        <w:t xml:space="preserve">more institutionalized</w:t>
      </w:r>
      <w:r>
        <w:t xml:space="preserve"> </w:t>
      </w:r>
      <w:r>
        <w:t xml:space="preserve">– expect more traditional finance involvement once these rules lower reputational/regulatory risk. The flip side is some</w:t>
      </w:r>
      <w:r>
        <w:t xml:space="preserve"> </w:t>
      </w:r>
      <w:r>
        <w:rPr>
          <w:b/>
          <w:bCs/>
        </w:rPr>
        <w:t xml:space="preserve">market fragmentation</w:t>
      </w:r>
      <w:r>
        <w:t xml:space="preserve"> </w:t>
      </w:r>
      <w:r>
        <w:t xml:space="preserve">by jurisdiction if rules differ (we might have to fragment liquidity pools or adapt offerings region by region). However, efforts like the US-UK taskforce hint at trying to avoid patchwork conflict</w:t>
      </w:r>
      <w:hyperlink r:id="rId140">
        <w:r>
          <w:rPr>
            <w:rStyle w:val="Hyperlink"/>
          </w:rPr>
          <w:t xml:space="preserve">[119]</w:t>
        </w:r>
      </w:hyperlink>
      <w:r>
        <w:t xml:space="preserve">.</w:t>
      </w:r>
    </w:p>
    <w:p>
      <w:pPr>
        <w:pStyle w:val="BodyText"/>
      </w:pPr>
      <w:r>
        <w:t xml:space="preserve">We remain engaged with policymakers (via trade associations or consultation responses) to help shape balanced rules. And internally, we ensure our systems and controls are ready for the new regimes – e.g., licensing, travel rule compliance, capital requirements. Being ahead on compliance can become a competitive advantage as the wild-west era ends and a</w:t>
      </w:r>
      <w:r>
        <w:t xml:space="preserve"> </w:t>
      </w:r>
      <w:r>
        <w:rPr>
          <w:b/>
          <w:bCs/>
        </w:rPr>
        <w:t xml:space="preserve">compliant, well-capitalized crypto market structure</w:t>
      </w:r>
      <w:r>
        <w:t xml:space="preserve"> </w:t>
      </w:r>
      <w:r>
        <w:t xml:space="preserve">emerges over the next 1-2 years.</w:t>
      </w:r>
    </w:p>
    <w:p>
      <w:r>
        <w:pict>
          <v:rect style="width:0;height:1.5pt" o:hralign="center" o:hrstd="t" o:hr="t"/>
        </w:pict>
      </w:r>
    </w:p>
    <w:bookmarkEnd w:id="157"/>
    <w:bookmarkStart w:id="174" w:name="X4c41e5f9e09aefffe63c77cddf51baf16c5e999"/>
    <w:p>
      <w:pPr>
        <w:pStyle w:val="Heading1"/>
      </w:pPr>
      <w:r>
        <w:t xml:space="preserve">Appendix A: “Top Firms With Crypto Exposure” (super detailed, evidence-based)</w:t>
      </w:r>
    </w:p>
    <w:p>
      <w:pPr>
        <w:pStyle w:val="FirstParagraph"/>
      </w:pPr>
      <w:r>
        <w:t xml:space="preserve">Below is a</w:t>
      </w:r>
      <w:r>
        <w:t xml:space="preserve"> </w:t>
      </w:r>
      <w:r>
        <w:rPr>
          <w:b/>
          <w:bCs/>
        </w:rPr>
        <w:t xml:space="preserve">ranked mapping</w:t>
      </w:r>
      <w:r>
        <w:t xml:space="preserve"> </w:t>
      </w:r>
      <w:r>
        <w:t xml:space="preserve">of major public and private firms with significant cryptocurrency exposure, including the nature and magnitude of that exposure, sourced from filings and credible reports. This table provides for each firm: name (ticker if public), exposure category tags, an estimate of exposure magnitude (with context), primary evidence (filing or official source), last verified date, and a confidence score with rationale.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Firm</w:t>
            </w:r>
            <w:r>
              <w:t xml:space="preserve"> </w:t>
            </w:r>
            <w:r>
              <w:t xml:space="preserve">(Ticker)</w:t>
            </w:r>
          </w:p>
        </w:tc>
        <w:tc>
          <w:tcPr/>
          <w:p>
            <w:pPr>
              <w:pStyle w:val="Compact"/>
            </w:pPr>
            <w:r>
              <w:rPr>
                <w:b/>
                <w:bCs/>
              </w:rPr>
              <w:t xml:space="preserve">Exposure Categories</w:t>
            </w:r>
          </w:p>
        </w:tc>
        <w:tc>
          <w:tcPr/>
          <w:p>
            <w:pPr>
              <w:pStyle w:val="Compact"/>
            </w:pPr>
            <w:r>
              <w:rPr>
                <w:b/>
                <w:bCs/>
              </w:rPr>
              <w:t xml:space="preserve">Magnitude &amp; Description</w:t>
            </w:r>
          </w:p>
        </w:tc>
        <w:tc>
          <w:tcPr/>
          <w:p>
            <w:pPr>
              <w:pStyle w:val="Compact"/>
            </w:pPr>
            <w:r>
              <w:rPr>
                <w:b/>
                <w:bCs/>
              </w:rPr>
              <w:t xml:space="preserve">Primary Evidence</w:t>
            </w:r>
          </w:p>
        </w:tc>
        <w:tc>
          <w:tcPr/>
          <w:p>
            <w:pPr>
              <w:pStyle w:val="Compact"/>
            </w:pPr>
            <w:r>
              <w:rPr>
                <w:b/>
                <w:bCs/>
              </w:rPr>
              <w:t xml:space="preserve">Last Verified</w:t>
            </w:r>
          </w:p>
        </w:tc>
        <w:tc>
          <w:tcPr/>
          <w:p>
            <w:pPr>
              <w:pStyle w:val="Compact"/>
            </w:pPr>
            <w:r>
              <w:rPr>
                <w:b/>
                <w:bCs/>
              </w:rPr>
              <w:t xml:space="preserve">Confidence (0–100)</w:t>
            </w:r>
            <w:r>
              <w:t xml:space="preserve"> </w:t>
            </w:r>
            <w:r>
              <w:t xml:space="preserve">&amp; Basis</w:t>
            </w:r>
          </w:p>
        </w:tc>
      </w:tr>
      <w:tr>
        <w:tc>
          <w:tcPr/>
          <w:p>
            <w:pPr>
              <w:pStyle w:val="Compact"/>
            </w:pPr>
            <w:r>
              <w:rPr>
                <w:b/>
                <w:bCs/>
              </w:rPr>
              <w:t xml:space="preserve">Strategy Inc.</w:t>
            </w:r>
            <w:r>
              <w:t xml:space="preserve"> </w:t>
            </w:r>
            <w:r>
              <w:t xml:space="preserve">(formerly MicroStrategy, MSTR)</w:t>
            </w:r>
          </w:p>
        </w:tc>
        <w:tc>
          <w:tcPr/>
          <w:p>
            <w:pPr>
              <w:pStyle w:val="Compact"/>
            </w:pPr>
            <w:r>
              <w:t xml:space="preserve">Direct BTC Holdings; “Bitcoin Treasury” Public Co.</w:t>
            </w:r>
          </w:p>
        </w:tc>
        <w:tc>
          <w:tcPr/>
          <w:p>
            <w:pPr>
              <w:pStyle w:val="Compact"/>
            </w:pPr>
            <w:r>
              <w:t xml:space="preserve">Holds</w:t>
            </w:r>
            <w:r>
              <w:t xml:space="preserve"> </w:t>
            </w:r>
            <w:r>
              <w:rPr>
                <w:b/>
                <w:bCs/>
              </w:rPr>
              <w:t xml:space="preserve">640,808 BTC</w:t>
            </w:r>
            <w:r>
              <w:t xml:space="preserve"> </w:t>
            </w:r>
            <w:r>
              <w:t xml:space="preserve">on balance sheet (~3.0% of total BTC supply). Acquisition cost ~$47.44 B (avg ~$74k/BTC)</w:t>
            </w:r>
            <w:hyperlink r:id="rId59">
              <w:r>
                <w:rPr>
                  <w:rStyle w:val="Hyperlink"/>
                </w:rPr>
                <w:t xml:space="preserve">[41]</w:t>
              </w:r>
            </w:hyperlink>
            <w:r>
              <w:t xml:space="preserve">. Market value ~$57B at $89k/BTC. Core business intelligence firm turned BTC holding company.</w:t>
            </w:r>
          </w:p>
        </w:tc>
        <w:tc>
          <w:tcPr/>
          <w:p>
            <w:pPr>
              <w:pStyle w:val="Compact"/>
            </w:pPr>
            <w:r>
              <w:t xml:space="preserve">Q3 2025 10-Q: “640,808 bitcoin… total cost $47.44B”</w:t>
            </w:r>
            <w:hyperlink r:id="rId59">
              <w:r>
                <w:rPr>
                  <w:rStyle w:val="Hyperlink"/>
                </w:rPr>
                <w:t xml:space="preserve">[41]</w:t>
              </w:r>
            </w:hyperlink>
            <w:r>
              <w:t xml:space="preserve">. Reuters note: world’s largest bitcoin-hoarding company</w:t>
            </w:r>
            <w:hyperlink r:id="rId74">
              <w:r>
                <w:rPr>
                  <w:rStyle w:val="Hyperlink"/>
                </w:rPr>
                <w:t xml:space="preserve">[57]</w:t>
              </w:r>
            </w:hyperlink>
            <w:r>
              <w:t xml:space="preserve">.</w:t>
            </w:r>
          </w:p>
        </w:tc>
        <w:tc>
          <w:tcPr/>
          <w:p>
            <w:pPr>
              <w:pStyle w:val="Compact"/>
            </w:pPr>
            <w:r>
              <w:t xml:space="preserve">2025-10-26 (filing); 2025-12-09 (news)</w:t>
            </w:r>
          </w:p>
        </w:tc>
        <w:tc>
          <w:tcPr/>
          <w:p>
            <w:pPr>
              <w:pStyle w:val="Compact"/>
            </w:pPr>
            <w:r>
              <w:rPr>
                <w:b/>
                <w:bCs/>
              </w:rPr>
              <w:t xml:space="preserve">100%</w:t>
            </w:r>
            <w:r>
              <w:t xml:space="preserve"> </w:t>
            </w:r>
            <w:r>
              <w:t xml:space="preserve">– Disclosed in audited financials</w:t>
            </w:r>
            <w:hyperlink r:id="rId59">
              <w:r>
                <w:rPr>
                  <w:rStyle w:val="Hyperlink"/>
                </w:rPr>
                <w:t xml:space="preserve">[41]</w:t>
              </w:r>
            </w:hyperlink>
            <w:r>
              <w:t xml:space="preserve">. (Confidence: Very high; SEC filings give exact figures.)</w:t>
            </w:r>
          </w:p>
        </w:tc>
      </w:tr>
      <w:tr>
        <w:tc>
          <w:tcPr/>
          <w:p>
            <w:pPr>
              <w:pStyle w:val="Compact"/>
            </w:pPr>
            <w:r>
              <w:rPr>
                <w:b/>
                <w:bCs/>
              </w:rPr>
              <w:t xml:space="preserve">Tether Holdings</w:t>
            </w:r>
            <w:r>
              <w:t xml:space="preserve"> </w:t>
            </w:r>
            <w:r>
              <w:t xml:space="preserve">(private)</w:t>
            </w:r>
          </w:p>
        </w:tc>
        <w:tc>
          <w:tcPr/>
          <w:p>
            <w:pPr>
              <w:pStyle w:val="Compact"/>
            </w:pPr>
            <w:r>
              <w:t xml:space="preserve">Stablecoin Issuer (USDT); Reserve Manager (BTC, Treasuries)</w:t>
            </w:r>
          </w:p>
        </w:tc>
        <w:tc>
          <w:tcPr/>
          <w:p>
            <w:pPr>
              <w:pStyle w:val="Compact"/>
            </w:pPr>
            <w:r>
              <w:t xml:space="preserve">Issues USDT (~$174B in circulation) backed by ~$181.2B assets</w:t>
            </w:r>
            <w:hyperlink r:id="rId53">
              <w:r>
                <w:rPr>
                  <w:rStyle w:val="Hyperlink"/>
                </w:rPr>
                <w:t xml:space="preserve">[35]</w:t>
              </w:r>
            </w:hyperlink>
            <w:r>
              <w:t xml:space="preserve">. Holds</w:t>
            </w:r>
            <w:r>
              <w:t xml:space="preserve"> </w:t>
            </w:r>
            <w:r>
              <w:rPr>
                <w:b/>
                <w:bCs/>
              </w:rPr>
              <w:t xml:space="preserve">$9.9B BTC</w:t>
            </w:r>
            <w:r>
              <w:t xml:space="preserve"> </w:t>
            </w:r>
            <w:r>
              <w:t xml:space="preserve">and $12.9B gold in reserves (13% of reserves)</w:t>
            </w:r>
            <w:hyperlink r:id="rId56">
              <w:r>
                <w:rPr>
                  <w:rStyle w:val="Hyperlink"/>
                </w:rPr>
                <w:t xml:space="preserve">[38]</w:t>
              </w:r>
            </w:hyperlink>
            <w:r>
              <w:t xml:space="preserve">; ~$135B in U.S. T-bills (one of world’s largest holders)</w:t>
            </w:r>
            <w:hyperlink r:id="rId158">
              <w:r>
                <w:rPr>
                  <w:rStyle w:val="Hyperlink"/>
                </w:rPr>
                <w:t xml:space="preserve">[136]</w:t>
              </w:r>
            </w:hyperlink>
            <w:r>
              <w:t xml:space="preserve">. YTD profit $10B+</w:t>
            </w:r>
            <w:hyperlink r:id="rId58">
              <w:r>
                <w:rPr>
                  <w:rStyle w:val="Hyperlink"/>
                </w:rPr>
                <w:t xml:space="preserve">[40]</w:t>
              </w:r>
            </w:hyperlink>
            <w:r>
              <w:t xml:space="preserve">.</w:t>
            </w:r>
          </w:p>
        </w:tc>
        <w:tc>
          <w:tcPr/>
          <w:p>
            <w:pPr>
              <w:pStyle w:val="Compact"/>
            </w:pPr>
            <w:r>
              <w:t xml:space="preserve">Q3 2025 Attestation: $181.22B assets vs $174.45B liabs</w:t>
            </w:r>
            <w:hyperlink r:id="rId54">
              <w:r>
                <w:rPr>
                  <w:rStyle w:val="Hyperlink"/>
                </w:rPr>
                <w:t xml:space="preserve">[36]</w:t>
              </w:r>
            </w:hyperlink>
            <w:r>
              <w:t xml:space="preserve">; Bitcoin reserves $9.9B</w:t>
            </w:r>
            <w:hyperlink r:id="rId56">
              <w:r>
                <w:rPr>
                  <w:rStyle w:val="Hyperlink"/>
                </w:rPr>
                <w:t xml:space="preserve">[38]</w:t>
              </w:r>
            </w:hyperlink>
            <w:r>
              <w:t xml:space="preserve">. BraveNewCoin analysis</w:t>
            </w:r>
            <w:hyperlink r:id="rId158">
              <w:r>
                <w:rPr>
                  <w:rStyle w:val="Hyperlink"/>
                </w:rPr>
                <w:t xml:space="preserve">[137]</w:t>
              </w:r>
            </w:hyperlink>
            <w:hyperlink r:id="rId56">
              <w:r>
                <w:rPr>
                  <w:rStyle w:val="Hyperlink"/>
                </w:rPr>
                <w:t xml:space="preserve">[38]</w:t>
              </w:r>
            </w:hyperlink>
            <w:r>
              <w:t xml:space="preserve">.</w:t>
            </w:r>
          </w:p>
        </w:tc>
        <w:tc>
          <w:tcPr/>
          <w:p>
            <w:pPr>
              <w:pStyle w:val="Compact"/>
            </w:pPr>
            <w:r>
              <w:t xml:space="preserve">2025-09-30 (attest.); 2025-11-01 (report)</w:t>
            </w:r>
          </w:p>
        </w:tc>
        <w:tc>
          <w:tcPr/>
          <w:p>
            <w:pPr>
              <w:pStyle w:val="Compact"/>
            </w:pPr>
            <w:r>
              <w:rPr>
                <w:b/>
                <w:bCs/>
              </w:rPr>
              <w:t xml:space="preserve">90%</w:t>
            </w:r>
            <w:r>
              <w:t xml:space="preserve"> </w:t>
            </w:r>
            <w:r>
              <w:t xml:space="preserve">– Attestation by BDO</w:t>
            </w:r>
            <w:hyperlink r:id="rId54">
              <w:r>
                <w:rPr>
                  <w:rStyle w:val="Hyperlink"/>
                </w:rPr>
                <w:t xml:space="preserve">[36]</w:t>
              </w:r>
            </w:hyperlink>
            <w:r>
              <w:t xml:space="preserve"> </w:t>
            </w:r>
            <w:r>
              <w:t xml:space="preserve">confirms reserves, but not a full audit. (Confidence: High; numbers from official report, though privately held.)</w:t>
            </w:r>
          </w:p>
        </w:tc>
      </w:tr>
      <w:tr>
        <w:tc>
          <w:tcPr/>
          <w:p>
            <w:pPr>
              <w:pStyle w:val="Compact"/>
            </w:pPr>
            <w:r>
              <w:rPr>
                <w:b/>
                <w:bCs/>
              </w:rPr>
              <w:t xml:space="preserve">Coinbase Global</w:t>
            </w:r>
            <w:r>
              <w:t xml:space="preserve"> </w:t>
            </w:r>
            <w:r>
              <w:t xml:space="preserve">(COIN)</w:t>
            </w:r>
          </w:p>
        </w:tc>
        <w:tc>
          <w:tcPr/>
          <w:p>
            <w:pPr>
              <w:pStyle w:val="Compact"/>
            </w:pPr>
            <w:r>
              <w:t xml:space="preserve">Crypto Exchange &amp; Custody; Trading Revenue; Proprietary Crypto Holdings</w:t>
            </w:r>
          </w:p>
        </w:tc>
        <w:tc>
          <w:tcPr/>
          <w:p>
            <w:pPr>
              <w:pStyle w:val="Compact"/>
            </w:pPr>
            <w:r>
              <w:t xml:space="preserve">~</w:t>
            </w:r>
            <w:r>
              <w:rPr>
                <w:b/>
                <w:bCs/>
              </w:rPr>
              <w:t xml:space="preserve">$516B assets on platform</w:t>
            </w:r>
            <w:r>
              <w:t xml:space="preserve"> </w:t>
            </w:r>
            <w:r>
              <w:t xml:space="preserve">(Q3 2025)</w:t>
            </w:r>
            <w:hyperlink r:id="rId159">
              <w:r>
                <w:rPr>
                  <w:rStyle w:val="Hyperlink"/>
                </w:rPr>
                <w:t xml:space="preserve">[138]</w:t>
              </w:r>
            </w:hyperlink>
            <w:r>
              <w:t xml:space="preserve"> </w:t>
            </w:r>
            <w:r>
              <w:t xml:space="preserve">– primarily client crypto custody. Earned ~$1.4B quarterly rev mostly from trading fees (directly tied to crypto volumes). Holds some crypto on balance sheet: added ~$299M BTC in Q3</w:t>
            </w:r>
            <w:hyperlink r:id="rId160">
              <w:r>
                <w:rPr>
                  <w:rStyle w:val="Hyperlink"/>
                </w:rPr>
                <w:t xml:space="preserve">[139]</w:t>
              </w:r>
            </w:hyperlink>
            <w:r>
              <w:t xml:space="preserve"> </w:t>
            </w:r>
            <w:r>
              <w:t xml:space="preserve">(treasury now holds an estimated ~11k BTC ≈ $1B). Also custodies ~80% of US crypto ETF assets</w:t>
            </w:r>
            <w:hyperlink r:id="rId161">
              <w:r>
                <w:rPr>
                  <w:rStyle w:val="Hyperlink"/>
                </w:rPr>
                <w:t xml:space="preserve">[140]</w:t>
              </w:r>
            </w:hyperlink>
            <w:r>
              <w:t xml:space="preserve">.</w:t>
            </w:r>
          </w:p>
        </w:tc>
        <w:tc>
          <w:tcPr/>
          <w:p>
            <w:pPr>
              <w:pStyle w:val="Compact"/>
            </w:pPr>
            <w:r>
              <w:t xml:space="preserve">Q3 2025 Shareholder Letter: $516B assets on platform</w:t>
            </w:r>
            <w:hyperlink r:id="rId159">
              <w:r>
                <w:rPr>
                  <w:rStyle w:val="Hyperlink"/>
                </w:rPr>
                <w:t xml:space="preserve">[138]</w:t>
              </w:r>
            </w:hyperlink>
            <w:r>
              <w:t xml:space="preserve">; Forbes: “added $299M to bitcoin treasury in Q3”</w:t>
            </w:r>
            <w:hyperlink r:id="rId162">
              <w:r>
                <w:rPr>
                  <w:rStyle w:val="Hyperlink"/>
                </w:rPr>
                <w:t xml:space="preserve">[141]</w:t>
              </w:r>
            </w:hyperlink>
            <w:r>
              <w:t xml:space="preserve">. Yahoo Finance: $31B assets, $15B liabs on balance sheet</w:t>
            </w:r>
            <w:hyperlink r:id="rId111">
              <w:r>
                <w:rPr>
                  <w:rStyle w:val="Hyperlink"/>
                </w:rPr>
                <w:t xml:space="preserve">[91]</w:t>
              </w:r>
            </w:hyperlink>
            <w:r>
              <w:t xml:space="preserve">.</w:t>
            </w:r>
          </w:p>
        </w:tc>
        <w:tc>
          <w:tcPr/>
          <w:p>
            <w:pPr>
              <w:pStyle w:val="Compact"/>
            </w:pPr>
            <w:r>
              <w:t xml:space="preserve">2025-10-30</w:t>
            </w:r>
          </w:p>
        </w:tc>
        <w:tc>
          <w:tcPr/>
          <w:p>
            <w:pPr>
              <w:pStyle w:val="Compact"/>
            </w:pPr>
            <w:r>
              <w:rPr>
                <w:b/>
                <w:bCs/>
              </w:rPr>
              <w:t xml:space="preserve">100%</w:t>
            </w:r>
            <w:r>
              <w:t xml:space="preserve"> </w:t>
            </w:r>
            <w:r>
              <w:t xml:space="preserve">– Public company filings (10-Q) and verified reports. (Balance sheet and AUM are audited</w:t>
            </w:r>
            <w:hyperlink r:id="rId111">
              <w:r>
                <w:rPr>
                  <w:rStyle w:val="Hyperlink"/>
                </w:rPr>
                <w:t xml:space="preserve">[91]</w:t>
              </w:r>
            </w:hyperlink>
            <w:r>
              <w:t xml:space="preserve">. Treasury BTC inferred from official commentary</w:t>
            </w:r>
            <w:hyperlink r:id="rId162">
              <w:r>
                <w:rPr>
                  <w:rStyle w:val="Hyperlink"/>
                </w:rPr>
                <w:t xml:space="preserve">[141]</w:t>
              </w:r>
            </w:hyperlink>
            <w:r>
              <w:t xml:space="preserve">.)</w:t>
            </w:r>
          </w:p>
        </w:tc>
      </w:tr>
      <w:tr>
        <w:tc>
          <w:tcPr/>
          <w:p>
            <w:pPr>
              <w:pStyle w:val="Compact"/>
            </w:pPr>
            <w:r>
              <w:rPr>
                <w:b/>
                <w:bCs/>
              </w:rPr>
              <w:t xml:space="preserve">Binance</w:t>
            </w:r>
            <w:r>
              <w:t xml:space="preserve"> </w:t>
            </w:r>
            <w:r>
              <w:t xml:space="preserve">(private)</w:t>
            </w:r>
          </w:p>
        </w:tc>
        <w:tc>
          <w:tcPr/>
          <w:p>
            <w:pPr>
              <w:pStyle w:val="Compact"/>
            </w:pPr>
            <w:r>
              <w:t xml:space="preserve">Crypto Exchange (largest global); Exchange Token (BNB) Issuer; Custody of User Assets</w:t>
            </w:r>
          </w:p>
        </w:tc>
        <w:tc>
          <w:tcPr/>
          <w:p>
            <w:pPr>
              <w:pStyle w:val="Compact"/>
            </w:pPr>
            <w:r>
              <w:t xml:space="preserve">Handles ~50% of global crypto spot &amp; derivatives volume (billions/day). Claims</w:t>
            </w:r>
            <w:r>
              <w:t xml:space="preserve"> </w:t>
            </w:r>
            <w:r>
              <w:rPr>
                <w:b/>
                <w:bCs/>
              </w:rPr>
              <w:t xml:space="preserve">&gt;$120B in reserves</w:t>
            </w:r>
            <w:r>
              <w:t xml:space="preserve"> </w:t>
            </w:r>
            <w:r>
              <w:t xml:space="preserve">backing user balances (Nov 2023 PoR)</w:t>
            </w:r>
            <w:hyperlink r:id="rId79">
              <w:r>
                <w:rPr>
                  <w:rStyle w:val="Hyperlink"/>
                </w:rPr>
                <w:t xml:space="preserve">[61]</w:t>
              </w:r>
            </w:hyperlink>
            <w:r>
              <w:t xml:space="preserve">, including ~606k BTC, 4M+ ETH</w:t>
            </w:r>
            <w:hyperlink r:id="rId163">
              <w:r>
                <w:rPr>
                  <w:rStyle w:val="Hyperlink"/>
                </w:rPr>
                <w:t xml:space="preserve">[142]</w:t>
              </w:r>
            </w:hyperlink>
            <w:hyperlink r:id="rId164">
              <w:r>
                <w:rPr>
                  <w:rStyle w:val="Hyperlink"/>
                </w:rPr>
                <w:t xml:space="preserve">[143]</w:t>
              </w:r>
            </w:hyperlink>
            <w:r>
              <w:t xml:space="preserve">. Generates est. $10B+ annual revenue (trading fees). Issuer of</w:t>
            </w:r>
            <w:r>
              <w:t xml:space="preserve"> </w:t>
            </w:r>
            <w:r>
              <w:rPr>
                <w:b/>
                <w:bCs/>
              </w:rPr>
              <w:t xml:space="preserve">BNB</w:t>
            </w:r>
            <w:r>
              <w:t xml:space="preserve"> </w:t>
            </w:r>
            <w:r>
              <w:t xml:space="preserve">(~$40B mkt cap) used in ecosystem (Binance likely holds a large portion). Legal structure opaque (no public financials).</w:t>
            </w:r>
          </w:p>
        </w:tc>
        <w:tc>
          <w:tcPr/>
          <w:p>
            <w:pPr>
              <w:pStyle w:val="Compact"/>
            </w:pPr>
            <w:r>
              <w:t xml:space="preserve">Binance proof-of-reserves report: “reserves totaling over $120 billion”</w:t>
            </w:r>
            <w:hyperlink r:id="rId79">
              <w:r>
                <w:rPr>
                  <w:rStyle w:val="Hyperlink"/>
                </w:rPr>
                <w:t xml:space="preserve">[61]</w:t>
              </w:r>
            </w:hyperlink>
            <w:r>
              <w:t xml:space="preserve"> </w:t>
            </w:r>
            <w:r>
              <w:t xml:space="preserve">(covering 34 assets). Reserve snapshot: 606,000 BTC, etc.</w:t>
            </w:r>
            <w:hyperlink r:id="rId163">
              <w:r>
                <w:rPr>
                  <w:rStyle w:val="Hyperlink"/>
                </w:rPr>
                <w:t xml:space="preserve">[142]</w:t>
              </w:r>
            </w:hyperlink>
            <w:r>
              <w:t xml:space="preserve">. 2024 Forbes estimate: ~$12B 2024 revenue (not official).</w:t>
            </w:r>
          </w:p>
        </w:tc>
        <w:tc>
          <w:tcPr/>
          <w:p>
            <w:pPr>
              <w:pStyle w:val="Compact"/>
            </w:pPr>
            <w:r>
              <w:t xml:space="preserve">2023-12-01 (PoR); 2024 est. revenue</w:t>
            </w:r>
          </w:p>
        </w:tc>
        <w:tc>
          <w:tcPr/>
          <w:p>
            <w:pPr>
              <w:pStyle w:val="Compact"/>
            </w:pPr>
            <w:r>
              <w:rPr>
                <w:b/>
                <w:bCs/>
              </w:rPr>
              <w:t xml:space="preserve">70%</w:t>
            </w:r>
            <w:r>
              <w:t xml:space="preserve"> </w:t>
            </w:r>
            <w:r>
              <w:t xml:space="preserve">– Figures from self-published reserve attestations</w:t>
            </w:r>
            <w:hyperlink r:id="rId79">
              <w:r>
                <w:rPr>
                  <w:rStyle w:val="Hyperlink"/>
                </w:rPr>
                <w:t xml:space="preserve">[61]</w:t>
              </w:r>
            </w:hyperlink>
            <w:r>
              <w:t xml:space="preserve"> </w:t>
            </w:r>
            <w:r>
              <w:t xml:space="preserve">and known wallet data, but not externally audited. (Confidence: Moderate; large uncertainties in corporate finances.)</w:t>
            </w:r>
          </w:p>
        </w:tc>
      </w:tr>
      <w:tr>
        <w:tc>
          <w:tcPr/>
          <w:p>
            <w:pPr>
              <w:pStyle w:val="Compact"/>
            </w:pPr>
            <w:r>
              <w:rPr>
                <w:b/>
                <w:bCs/>
              </w:rPr>
              <w:t xml:space="preserve">Tesla, Inc.</w:t>
            </w:r>
            <w:r>
              <w:t xml:space="preserve"> </w:t>
            </w:r>
            <w:r>
              <w:t xml:space="preserve">(TSLA)</w:t>
            </w:r>
          </w:p>
        </w:tc>
        <w:tc>
          <w:tcPr/>
          <w:p>
            <w:pPr>
              <w:pStyle w:val="Compact"/>
            </w:pPr>
            <w:r>
              <w:t xml:space="preserve">Direct BTC Holdings (Treasury Asset); Corporate Investor</w:t>
            </w:r>
          </w:p>
        </w:tc>
        <w:tc>
          <w:tcPr/>
          <w:p>
            <w:pPr>
              <w:pStyle w:val="Compact"/>
            </w:pPr>
            <w:r>
              <w:t xml:space="preserve">Holds</w:t>
            </w:r>
            <w:r>
              <w:t xml:space="preserve"> </w:t>
            </w:r>
            <w:r>
              <w:rPr>
                <w:b/>
                <w:bCs/>
              </w:rPr>
              <w:t xml:space="preserve">11,509 BTC</w:t>
            </w:r>
            <w:r>
              <w:t xml:space="preserve"> </w:t>
            </w:r>
            <w:r>
              <w:t xml:space="preserve">(~$1.35B @ Q3’25) on balance sheet</w:t>
            </w:r>
            <w:hyperlink r:id="rId165">
              <w:r>
                <w:rPr>
                  <w:rStyle w:val="Hyperlink"/>
                </w:rPr>
                <w:t xml:space="preserve">[144]</w:t>
              </w:r>
            </w:hyperlink>
            <w:hyperlink r:id="rId62">
              <w:r>
                <w:rPr>
                  <w:rStyle w:val="Hyperlink"/>
                </w:rPr>
                <w:t xml:space="preserve">[44]</w:t>
              </w:r>
            </w:hyperlink>
            <w:r>
              <w:t xml:space="preserve">. Initially bought $1.5B in 2021, sold 75% in 2022, retained ~11.5k BTC since</w:t>
            </w:r>
            <w:hyperlink r:id="rId62">
              <w:r>
                <w:rPr>
                  <w:rStyle w:val="Hyperlink"/>
                </w:rPr>
                <w:t xml:space="preserve">[145]</w:t>
              </w:r>
            </w:hyperlink>
            <w:r>
              <w:t xml:space="preserve">. Q3 2025: booked $80M gain as BTC rose</w:t>
            </w:r>
            <w:hyperlink r:id="rId61">
              <w:r>
                <w:rPr>
                  <w:rStyle w:val="Hyperlink"/>
                </w:rPr>
                <w:t xml:space="preserve">[43]</w:t>
              </w:r>
            </w:hyperlink>
            <w:r>
              <w:t xml:space="preserve">. Bitcoin now ~2% of Tesla’s ~$60B cash &amp; investments. No other crypto reported. Accepts Dogecoin for merchandise (immaterial).</w:t>
            </w:r>
          </w:p>
        </w:tc>
        <w:tc>
          <w:tcPr/>
          <w:p>
            <w:pPr>
              <w:pStyle w:val="Compact"/>
            </w:pPr>
            <w:r>
              <w:t xml:space="preserve">Tesla Q3 2025 update: “continues to hold 11,509 BTC – valued ~$1.35B”</w:t>
            </w:r>
            <w:hyperlink r:id="rId165">
              <w:r>
                <w:rPr>
                  <w:rStyle w:val="Hyperlink"/>
                </w:rPr>
                <w:t xml:space="preserve">[144]</w:t>
              </w:r>
            </w:hyperlink>
            <w:hyperlink r:id="rId62">
              <w:r>
                <w:rPr>
                  <w:rStyle w:val="Hyperlink"/>
                </w:rPr>
                <w:t xml:space="preserve">[44]</w:t>
              </w:r>
            </w:hyperlink>
            <w:r>
              <w:t xml:space="preserve">. BitcoinMagazine: $80M Q3 profit from BTC holdings</w:t>
            </w:r>
            <w:hyperlink r:id="rId61">
              <w:r>
                <w:rPr>
                  <w:rStyle w:val="Hyperlink"/>
                </w:rPr>
                <w:t xml:space="preserve">[43]</w:t>
              </w:r>
            </w:hyperlink>
            <w:r>
              <w:t xml:space="preserve">.</w:t>
            </w:r>
          </w:p>
        </w:tc>
        <w:tc>
          <w:tcPr/>
          <w:p>
            <w:pPr>
              <w:pStyle w:val="Compact"/>
            </w:pPr>
            <w:r>
              <w:t xml:space="preserve">2025-10-23</w:t>
            </w:r>
          </w:p>
        </w:tc>
        <w:tc>
          <w:tcPr/>
          <w:p>
            <w:pPr>
              <w:pStyle w:val="Compact"/>
            </w:pPr>
            <w:r>
              <w:rPr>
                <w:b/>
                <w:bCs/>
              </w:rPr>
              <w:t xml:space="preserve">100%</w:t>
            </w:r>
            <w:r>
              <w:t xml:space="preserve"> </w:t>
            </w:r>
            <w:r>
              <w:t xml:space="preserve">– SEC filings and company reports confirm BTC holdings (and that they haven’t sold further)</w:t>
            </w:r>
            <w:hyperlink r:id="rId165">
              <w:r>
                <w:rPr>
                  <w:rStyle w:val="Hyperlink"/>
                </w:rPr>
                <w:t xml:space="preserve">[144]</w:t>
              </w:r>
            </w:hyperlink>
            <w:r>
              <w:t xml:space="preserve">. (Confidence: Very high.)</w:t>
            </w:r>
          </w:p>
        </w:tc>
      </w:tr>
      <w:tr>
        <w:tc>
          <w:tcPr/>
          <w:p>
            <w:pPr>
              <w:pStyle w:val="Compact"/>
            </w:pPr>
            <w:r>
              <w:rPr>
                <w:b/>
                <w:bCs/>
              </w:rPr>
              <w:t xml:space="preserve">Marathon Holdings</w:t>
            </w:r>
            <w:r>
              <w:t xml:space="preserve"> </w:t>
            </w:r>
            <w:r>
              <w:t xml:space="preserve">(MARA)</w:t>
            </w:r>
          </w:p>
        </w:tc>
        <w:tc>
          <w:tcPr/>
          <w:p>
            <w:pPr>
              <w:pStyle w:val="Compact"/>
            </w:pPr>
            <w:r>
              <w:t xml:space="preserve">Bitcoin Mining; Treasury BTC Holdings; Public Miner</w:t>
            </w:r>
          </w:p>
        </w:tc>
        <w:tc>
          <w:tcPr/>
          <w:p>
            <w:pPr>
              <w:pStyle w:val="Compact"/>
            </w:pPr>
            <w:r>
              <w:t xml:space="preserve">Owns</w:t>
            </w:r>
            <w:r>
              <w:t xml:space="preserve"> </w:t>
            </w:r>
            <w:r>
              <w:rPr>
                <w:b/>
                <w:bCs/>
              </w:rPr>
              <w:t xml:space="preserve">52,850 BTC</w:t>
            </w:r>
            <w:r>
              <w:t xml:space="preserve"> </w:t>
            </w:r>
            <w:r>
              <w:t xml:space="preserve">mined and held in treasury</w:t>
            </w:r>
            <w:hyperlink r:id="rId63">
              <w:r>
                <w:rPr>
                  <w:rStyle w:val="Hyperlink"/>
                </w:rPr>
                <w:t xml:space="preserve">[45]</w:t>
              </w:r>
            </w:hyperlink>
            <w:r>
              <w:t xml:space="preserve"> </w:t>
            </w:r>
            <w:r>
              <w:t xml:space="preserve">(worth ~$4.7B). One of largest BTC miners, producing ~700 BTC/month. BTC on balance sheet up ~98% YoY (26.7k→52.85k)</w:t>
            </w:r>
            <w:hyperlink r:id="rId63">
              <w:r>
                <w:rPr>
                  <w:rStyle w:val="Hyperlink"/>
                </w:rPr>
                <w:t xml:space="preserve">[45]</w:t>
              </w:r>
            </w:hyperlink>
            <w:r>
              <w:t xml:space="preserve">. Market cap ~$5.9B; BTC holdings ~80% of assets. Relies on BTC price – effectively a leveraged BTC play.</w:t>
            </w:r>
          </w:p>
        </w:tc>
        <w:tc>
          <w:tcPr/>
          <w:p>
            <w:pPr>
              <w:pStyle w:val="Compact"/>
            </w:pPr>
            <w:r>
              <w:t xml:space="preserve">Q3 2025 earnings PR: “Bitcoin holdings increased 98% YoY to 52,850 BTC from 26,747”</w:t>
            </w:r>
            <w:hyperlink r:id="rId63">
              <w:r>
                <w:rPr>
                  <w:rStyle w:val="Hyperlink"/>
                </w:rPr>
                <w:t xml:space="preserve">[45]</w:t>
              </w:r>
            </w:hyperlink>
            <w:r>
              <w:t xml:space="preserve">. GlobeNewswire 11/04/25. SEC 8-K: BTC val ~$6.0B @ Sep 30</w:t>
            </w:r>
            <w:hyperlink r:id="rId166">
              <w:r>
                <w:rPr>
                  <w:rStyle w:val="Hyperlink"/>
                </w:rPr>
                <w:t xml:space="preserve">[146]</w:t>
              </w:r>
            </w:hyperlink>
            <w:r>
              <w:t xml:space="preserve">.</w:t>
            </w:r>
          </w:p>
        </w:tc>
        <w:tc>
          <w:tcPr/>
          <w:p>
            <w:pPr>
              <w:pStyle w:val="Compact"/>
            </w:pPr>
            <w:r>
              <w:t xml:space="preserve">2025-11-04</w:t>
            </w:r>
          </w:p>
        </w:tc>
        <w:tc>
          <w:tcPr/>
          <w:p>
            <w:pPr>
              <w:pStyle w:val="Compact"/>
            </w:pPr>
            <w:r>
              <w:rPr>
                <w:b/>
                <w:bCs/>
              </w:rPr>
              <w:t xml:space="preserve">100%</w:t>
            </w:r>
            <w:r>
              <w:t xml:space="preserve"> </w:t>
            </w:r>
            <w:r>
              <w:t xml:space="preserve">– Company press release and SEC filings give exact BTC counts</w:t>
            </w:r>
            <w:hyperlink r:id="rId63">
              <w:r>
                <w:rPr>
                  <w:rStyle w:val="Hyperlink"/>
                </w:rPr>
                <w:t xml:space="preserve">[45]</w:t>
              </w:r>
            </w:hyperlink>
            <w:r>
              <w:t xml:space="preserve">. (Confidence: Very high; audited financials include BTC inventory.)</w:t>
            </w:r>
          </w:p>
        </w:tc>
      </w:tr>
      <w:tr>
        <w:tc>
          <w:tcPr/>
          <w:p>
            <w:pPr>
              <w:pStyle w:val="Compact"/>
            </w:pPr>
            <w:r>
              <w:rPr>
                <w:b/>
                <w:bCs/>
              </w:rPr>
              <w:t xml:space="preserve">Circle</w:t>
            </w:r>
            <w:r>
              <w:t xml:space="preserve"> </w:t>
            </w:r>
            <w:r>
              <w:t xml:space="preserve">(NYSE: CRCL)*</w:t>
            </w:r>
          </w:p>
        </w:tc>
        <w:tc>
          <w:tcPr/>
          <w:p>
            <w:pPr>
              <w:pStyle w:val="Compact"/>
            </w:pPr>
            <w:r>
              <w:t xml:space="preserve">Stablecoin Issuer (USDC); Reserve Manager; Payments</w:t>
            </w:r>
          </w:p>
        </w:tc>
        <w:tc>
          <w:tcPr/>
          <w:p>
            <w:pPr>
              <w:pStyle w:val="Compact"/>
            </w:pPr>
            <w:r>
              <w:t xml:space="preserve">Issuer of</w:t>
            </w:r>
            <w:r>
              <w:t xml:space="preserve"> </w:t>
            </w:r>
            <w:r>
              <w:rPr>
                <w:b/>
                <w:bCs/>
              </w:rPr>
              <w:t xml:space="preserve">USDC (≈ $60.7B</w:t>
            </w:r>
            <w:r>
              <w:t xml:space="preserve"> </w:t>
            </w:r>
            <w:r>
              <w:t xml:space="preserve">in circulation)</w:t>
            </w:r>
            <w:hyperlink r:id="rId53">
              <w:r>
                <w:rPr>
                  <w:rStyle w:val="Hyperlink"/>
                </w:rPr>
                <w:t xml:space="preserve">[35]</w:t>
              </w:r>
            </w:hyperlink>
            <w:r>
              <w:t xml:space="preserve">, fully backed by cash &amp; treasuries. Holds ~$61B in reserves (mostly T-bills) for USDC (audited monthly). Also has crypto venture investments and runs a treasury yield product. Plans to become a U.S. national digital currency bank (OCC charter approved in principle</w:t>
            </w:r>
            <w:hyperlink r:id="rId51">
              <w:r>
                <w:rPr>
                  <w:rStyle w:val="Hyperlink"/>
                </w:rPr>
                <w:t xml:space="preserve">[33]</w:t>
              </w:r>
            </w:hyperlink>
            <w:r>
              <w:t xml:space="preserve">). Small direct crypto holdings on balance sheet (for operations) – not publicly quantified.</w:t>
            </w:r>
          </w:p>
        </w:tc>
        <w:tc>
          <w:tcPr/>
          <w:p>
            <w:pPr>
              <w:pStyle w:val="Compact"/>
            </w:pPr>
            <w:r>
              <w:t xml:space="preserve">BNC report: USDC market cap ~$60.7B by Oct 2025</w:t>
            </w:r>
            <w:hyperlink r:id="rId53">
              <w:r>
                <w:rPr>
                  <w:rStyle w:val="Hyperlink"/>
                </w:rPr>
                <w:t xml:space="preserve">[35]</w:t>
              </w:r>
            </w:hyperlink>
            <w:r>
              <w:t xml:space="preserve">. Circle’s attestation (Sep 2025) shows reserves ~100% in short-term USD assets (via BlackRock fund). OCC news: “Circle… First National Digital Currency Bank charter approved”</w:t>
            </w:r>
            <w:hyperlink r:id="rId51">
              <w:r>
                <w:rPr>
                  <w:rStyle w:val="Hyperlink"/>
                </w:rPr>
                <w:t xml:space="preserve">[33]</w:t>
              </w:r>
            </w:hyperlink>
            <w:r>
              <w:t xml:space="preserve">.</w:t>
            </w:r>
          </w:p>
        </w:tc>
        <w:tc>
          <w:tcPr/>
          <w:p>
            <w:pPr>
              <w:pStyle w:val="Compact"/>
            </w:pPr>
            <w:r>
              <w:t xml:space="preserve">2025-10-01 (USDC supply); 2025-12-12 (OCC)</w:t>
            </w:r>
          </w:p>
        </w:tc>
        <w:tc>
          <w:tcPr/>
          <w:p>
            <w:pPr>
              <w:pStyle w:val="Compact"/>
            </w:pPr>
            <w:r>
              <w:rPr>
                <w:b/>
                <w:bCs/>
              </w:rPr>
              <w:t xml:space="preserve">90%</w:t>
            </w:r>
            <w:r>
              <w:t xml:space="preserve"> </w:t>
            </w:r>
            <w:r>
              <w:t xml:space="preserve">– USDC supply and reserve composition are independently attested (via Grant Thornton monthly). As a (future) public co*, Circle’s disclosures are expected to be robust. (Confidence: High; minor uncertainty on proprietary crypto holdings.)</w:t>
            </w:r>
          </w:p>
        </w:tc>
      </w:tr>
      <w:tr>
        <w:tc>
          <w:tcPr/>
          <w:p>
            <w:pPr>
              <w:pStyle w:val="Compact"/>
            </w:pPr>
            <w:r>
              <w:rPr>
                <w:b/>
                <w:bCs/>
              </w:rPr>
              <w:t xml:space="preserve">Riot Platforms</w:t>
            </w:r>
            <w:r>
              <w:t xml:space="preserve"> </w:t>
            </w:r>
            <w:r>
              <w:t xml:space="preserve">(RIOT)</w:t>
            </w:r>
          </w:p>
        </w:tc>
        <w:tc>
          <w:tcPr/>
          <w:p>
            <w:pPr>
              <w:pStyle w:val="Compact"/>
            </w:pPr>
            <w:r>
              <w:t xml:space="preserve">Bitcoin Mining; Treasury BTC Holdings; Public Miner</w:t>
            </w:r>
          </w:p>
        </w:tc>
        <w:tc>
          <w:tcPr/>
          <w:p>
            <w:pPr>
              <w:pStyle w:val="Compact"/>
            </w:pPr>
            <w:r>
              <w:t xml:space="preserve">Holds</w:t>
            </w:r>
            <w:r>
              <w:t xml:space="preserve"> </w:t>
            </w:r>
            <w:r>
              <w:rPr>
                <w:b/>
                <w:bCs/>
              </w:rPr>
              <w:t xml:space="preserve">19,287 BTC</w:t>
            </w:r>
            <w:r>
              <w:t xml:space="preserve"> </w:t>
            </w:r>
            <w:r>
              <w:t xml:space="preserve">in treasury (mined over years)</w:t>
            </w:r>
            <w:hyperlink r:id="rId95">
              <w:r>
                <w:rPr>
                  <w:rStyle w:val="Hyperlink"/>
                </w:rPr>
                <w:t xml:space="preserve">[78]</w:t>
              </w:r>
            </w:hyperlink>
            <w:r>
              <w:t xml:space="preserve">, worth ~$1.72B. Mined 1,406 BTC in Q3 2025 alone. Net income heavily influenced by BTC price (Q3’25 $104M profit largely from $133M gain on BTC holdings)</w:t>
            </w:r>
            <w:hyperlink r:id="rId167">
              <w:r>
                <w:rPr>
                  <w:rStyle w:val="Hyperlink"/>
                </w:rPr>
                <w:t xml:space="preserve">[147]</w:t>
              </w:r>
            </w:hyperlink>
            <w:r>
              <w:t xml:space="preserve">. Has diversified via data centers for AI, but BTC mining is core. BTC on balance ~50% of total assets.</w:t>
            </w:r>
          </w:p>
        </w:tc>
        <w:tc>
          <w:tcPr/>
          <w:p>
            <w:pPr>
              <w:pStyle w:val="Compact"/>
            </w:pPr>
            <w:r>
              <w:t xml:space="preserve">Q3 2025 investor deck: “RIOT… 19,287 BTC held”</w:t>
            </w:r>
            <w:hyperlink r:id="rId95">
              <w:r>
                <w:rPr>
                  <w:rStyle w:val="Hyperlink"/>
                </w:rPr>
                <w:t xml:space="preserve">[78]</w:t>
              </w:r>
            </w:hyperlink>
            <w:r>
              <w:t xml:space="preserve">. The Block: Riot Q3 net $104.5M, included $133M BTC gain</w:t>
            </w:r>
            <w:hyperlink r:id="rId167">
              <w:r>
                <w:rPr>
                  <w:rStyle w:val="Hyperlink"/>
                </w:rPr>
                <w:t xml:space="preserve">[147]</w:t>
              </w:r>
            </w:hyperlink>
            <w:r>
              <w:t xml:space="preserve">.</w:t>
            </w:r>
          </w:p>
        </w:tc>
        <w:tc>
          <w:tcPr/>
          <w:p>
            <w:pPr>
              <w:pStyle w:val="Compact"/>
            </w:pPr>
            <w:r>
              <w:t xml:space="preserve">2025-10-30</w:t>
            </w:r>
          </w:p>
        </w:tc>
        <w:tc>
          <w:tcPr/>
          <w:p>
            <w:pPr>
              <w:pStyle w:val="Compact"/>
            </w:pPr>
            <w:r>
              <w:rPr>
                <w:b/>
                <w:bCs/>
              </w:rPr>
              <w:t xml:space="preserve">100%</w:t>
            </w:r>
            <w:r>
              <w:t xml:space="preserve"> </w:t>
            </w:r>
            <w:r>
              <w:t xml:space="preserve">– Figures from SEC-filed presentations</w:t>
            </w:r>
            <w:hyperlink r:id="rId95">
              <w:r>
                <w:rPr>
                  <w:rStyle w:val="Hyperlink"/>
                </w:rPr>
                <w:t xml:space="preserve">[78]</w:t>
              </w:r>
            </w:hyperlink>
            <w:r>
              <w:t xml:space="preserve"> </w:t>
            </w:r>
            <w:r>
              <w:t xml:space="preserve">and earnings reports. (Confidence: Very high.)</w:t>
            </w:r>
          </w:p>
        </w:tc>
      </w:tr>
      <w:tr>
        <w:tc>
          <w:tcPr/>
          <w:p>
            <w:pPr>
              <w:pStyle w:val="Compact"/>
            </w:pPr>
            <w:r>
              <w:rPr>
                <w:b/>
                <w:bCs/>
              </w:rPr>
              <w:t xml:space="preserve">Block, Inc.</w:t>
            </w:r>
            <w:r>
              <w:t xml:space="preserve"> </w:t>
            </w:r>
            <w:r>
              <w:t xml:space="preserve">(SQ)</w:t>
            </w:r>
          </w:p>
        </w:tc>
        <w:tc>
          <w:tcPr/>
          <w:p>
            <w:pPr>
              <w:pStyle w:val="Compact"/>
            </w:pPr>
            <w:r>
              <w:t xml:space="preserve">Corporate BTC Treasury; Crypto Services (Cash App); Bitcoin Mining R&amp;D</w:t>
            </w:r>
          </w:p>
        </w:tc>
        <w:tc>
          <w:tcPr/>
          <w:p>
            <w:pPr>
              <w:pStyle w:val="Compact"/>
            </w:pPr>
            <w:r>
              <w:t xml:space="preserve">Holds</w:t>
            </w:r>
            <w:r>
              <w:t xml:space="preserve"> </w:t>
            </w:r>
            <w:r>
              <w:rPr>
                <w:b/>
                <w:bCs/>
              </w:rPr>
              <w:t xml:space="preserve">8,692 BTC</w:t>
            </w:r>
            <w:r>
              <w:t xml:space="preserve"> </w:t>
            </w:r>
            <w:r>
              <w:t xml:space="preserve">(est.) on balance sheet (~$0.78B)</w:t>
            </w:r>
            <w:hyperlink r:id="rId168">
              <w:r>
                <w:rPr>
                  <w:rStyle w:val="Hyperlink"/>
                </w:rPr>
                <w:t xml:space="preserve">[148]</w:t>
              </w:r>
            </w:hyperlink>
            <w:r>
              <w:t xml:space="preserve"> </w:t>
            </w:r>
            <w:r>
              <w:t xml:space="preserve">– originally 8,027 BTC bought for ~$220M in 2020–21, plus incremental mining pilot accumulation. Bitcoin ~5% of its $15B cash/securities. Also generates significant revenue (~$2B/quarter) from facilitating Bitcoin sales to Cash App users (though accounting counts total sale volume as revenue). Investing in ASIC chip development and runs small-scale BTC mining (Proto).</w:t>
            </w:r>
          </w:p>
        </w:tc>
        <w:tc>
          <w:tcPr/>
          <w:p>
            <w:pPr>
              <w:pStyle w:val="Compact"/>
            </w:pPr>
            <w:r>
              <w:t xml:space="preserve">Bitbo/Block IR: “owns 8,584 BTC as of June 26, 2025”</w:t>
            </w:r>
            <w:hyperlink r:id="rId169">
              <w:r>
                <w:rPr>
                  <w:rStyle w:val="Hyperlink"/>
                </w:rPr>
                <w:t xml:space="preserve">[149]</w:t>
              </w:r>
            </w:hyperlink>
            <w:r>
              <w:t xml:space="preserve"> </w:t>
            </w:r>
            <w:r>
              <w:t xml:space="preserve">(Block’s last reported figure; increased to ~8692 by Aug</w:t>
            </w:r>
            <w:hyperlink r:id="rId168">
              <w:r>
                <w:rPr>
                  <w:rStyle w:val="Hyperlink"/>
                </w:rPr>
                <w:t xml:space="preserve">[148]</w:t>
              </w:r>
            </w:hyperlink>
            <w:r>
              <w:t xml:space="preserve">). Block Q3 2025 Shareholder Letter: Bitcoin revenue $2.42B (mostly passthrough), $43M gross profit.</w:t>
            </w:r>
          </w:p>
        </w:tc>
        <w:tc>
          <w:tcPr/>
          <w:p>
            <w:pPr>
              <w:pStyle w:val="Compact"/>
            </w:pPr>
            <w:r>
              <w:t xml:space="preserve">2025-08-08 (BTC count); 2025-11-09 (Q3 report)</w:t>
            </w:r>
          </w:p>
        </w:tc>
        <w:tc>
          <w:tcPr/>
          <w:p>
            <w:pPr>
              <w:pStyle w:val="Compact"/>
            </w:pPr>
            <w:r>
              <w:rPr>
                <w:b/>
                <w:bCs/>
              </w:rPr>
              <w:t xml:space="preserve">95%</w:t>
            </w:r>
            <w:r>
              <w:t xml:space="preserve"> </w:t>
            </w:r>
            <w:r>
              <w:t xml:space="preserve">– Based on company announcements and blockchain data. Block’s BTC holdings are in financial notes (fair value ~$500M as of 2024). Confident, with slight uncertainty if they added a bit more beyond Aug. (Confidence: Very high.)</w:t>
            </w:r>
          </w:p>
        </w:tc>
      </w:tr>
      <w:tr>
        <w:tc>
          <w:tcPr/>
          <w:p>
            <w:pPr>
              <w:pStyle w:val="Compact"/>
            </w:pPr>
            <w:r>
              <w:rPr>
                <w:b/>
                <w:bCs/>
              </w:rPr>
              <w:t xml:space="preserve">Galaxy Digital</w:t>
            </w:r>
            <w:r>
              <w:t xml:space="preserve"> </w:t>
            </w:r>
            <w:r>
              <w:t xml:space="preserve">(TSX: GLXY)</w:t>
            </w:r>
          </w:p>
        </w:tc>
        <w:tc>
          <w:tcPr/>
          <w:p>
            <w:pPr>
              <w:pStyle w:val="Compact"/>
            </w:pPr>
            <w:r>
              <w:t xml:space="preserve">Crypto Investment Bank; Principal Investments; Asset Management</w:t>
            </w:r>
          </w:p>
        </w:tc>
        <w:tc>
          <w:tcPr/>
          <w:p>
            <w:pPr>
              <w:pStyle w:val="Compact"/>
            </w:pPr>
            <w:r>
              <w:t xml:space="preserve">Holds</w:t>
            </w:r>
            <w:r>
              <w:t xml:space="preserve"> </w:t>
            </w:r>
            <w:r>
              <w:rPr>
                <w:b/>
                <w:bCs/>
              </w:rPr>
              <w:t xml:space="preserve">$713M in digital assets</w:t>
            </w:r>
            <w:r>
              <w:t xml:space="preserve"> </w:t>
            </w:r>
            <w:r>
              <w:t xml:space="preserve">on balance sheet (including ~$430M BTC, $150M ETH, plus others) per Q3 2025 report. Runs a trading desk and crypto investments (VC and GBTC holdings). Generated $170M trading income Q3 largely from principal positions</w:t>
            </w:r>
            <w:hyperlink r:id="rId170">
              <w:r>
                <w:rPr>
                  <w:rStyle w:val="Hyperlink"/>
                </w:rPr>
                <w:t xml:space="preserve">[150]</w:t>
              </w:r>
            </w:hyperlink>
            <w:r>
              <w:t xml:space="preserve">. Also manages ~$2B AUM in crypto funds. Exposure tags: Prop trading, venture holdings, mining (owns miners), Luna/Terra loss in 2022 (wrote down ~$100M).</w:t>
            </w:r>
          </w:p>
        </w:tc>
        <w:tc>
          <w:tcPr/>
          <w:p>
            <w:pPr>
              <w:pStyle w:val="Compact"/>
            </w:pPr>
            <w:r>
              <w:t xml:space="preserve">Q3 2025 Earnings: “Digital assets $713.3 million… including $433M of BTC, $150M ETH” (from MD&amp;A). CoinDesk 2025: Galaxy profit rebound from BTC price rise.</w:t>
            </w:r>
          </w:p>
        </w:tc>
        <w:tc>
          <w:tcPr/>
          <w:p>
            <w:pPr>
              <w:pStyle w:val="Compact"/>
            </w:pPr>
            <w:r>
              <w:t xml:space="preserve">2025-11-14</w:t>
            </w:r>
          </w:p>
        </w:tc>
        <w:tc>
          <w:tcPr/>
          <w:p>
            <w:pPr>
              <w:pStyle w:val="Compact"/>
            </w:pPr>
            <w:r>
              <w:rPr>
                <w:b/>
                <w:bCs/>
              </w:rPr>
              <w:t xml:space="preserve">90%</w:t>
            </w:r>
            <w:r>
              <w:t xml:space="preserve"> </w:t>
            </w:r>
            <w:r>
              <w:t xml:space="preserve">– Figures from financial filings on Sedar (Galaxy’s MD&amp;A). Not a Big-4 audit but fairly transparent. (Confidence: High; some risk due to fair-valuing private investments.)</w:t>
            </w:r>
          </w:p>
        </w:tc>
      </w:tr>
      <w:tr>
        <w:tc>
          <w:tcPr/>
          <w:p>
            <w:pPr>
              <w:pStyle w:val="Compact"/>
            </w:pPr>
            <w:r>
              <w:rPr>
                <w:b/>
                <w:bCs/>
              </w:rPr>
              <w:t xml:space="preserve">Grayscale Bitcoin Trust</w:t>
            </w:r>
            <w:r>
              <w:t xml:space="preserve"> </w:t>
            </w:r>
            <w:r>
              <w:t xml:space="preserve">(GBTC)</w:t>
            </w:r>
          </w:p>
        </w:tc>
        <w:tc>
          <w:tcPr/>
          <w:p>
            <w:pPr>
              <w:pStyle w:val="Compact"/>
            </w:pPr>
            <w:r>
              <w:t xml:space="preserve">Investment Fund (Public Trust); Indirect Corporate Exposure via Shareholders (DCG, etc.)</w:t>
            </w:r>
          </w:p>
        </w:tc>
        <w:tc>
          <w:tcPr/>
          <w:p>
            <w:pPr>
              <w:pStyle w:val="Compact"/>
            </w:pPr>
            <w:r>
              <w:t xml:space="preserve">Holds</w:t>
            </w:r>
            <w:r>
              <w:t xml:space="preserve"> </w:t>
            </w:r>
            <w:r>
              <w:rPr>
                <w:b/>
                <w:bCs/>
              </w:rPr>
              <w:t xml:space="preserve">approx. 628,900 BTC</w:t>
            </w:r>
            <w:r>
              <w:t xml:space="preserve"> </w:t>
            </w:r>
            <w:r>
              <w:t xml:space="preserve">(largest BTC fund) – value ~$56B</w:t>
            </w:r>
            <w:hyperlink r:id="rId171">
              <w:r>
                <w:rPr>
                  <w:rStyle w:val="Hyperlink"/>
                </w:rPr>
                <w:t xml:space="preserve">[151]</w:t>
              </w:r>
            </w:hyperlink>
            <w:r>
              <w:t xml:space="preserve">. Structured as a trust, not an operating company. Parent</w:t>
            </w:r>
            <w:r>
              <w:t xml:space="preserve"> </w:t>
            </w:r>
            <w:r>
              <w:rPr>
                <w:b/>
                <w:bCs/>
              </w:rPr>
              <w:t xml:space="preserve">Digital Currency Group (DCG)</w:t>
            </w:r>
            <w:r>
              <w:t xml:space="preserve"> </w:t>
            </w:r>
            <w:r>
              <w:t xml:space="preserve">(private) derives revenue/valuations from GBTC (fees ~$300M/yr). Many public firms hold GBTC shares (e.g., ARK Invest owns &gt;GBTC value $1B). GBTC’s large BTC stash represents exposure for</w:t>
            </w:r>
            <w:r>
              <w:t xml:space="preserve"> </w:t>
            </w:r>
            <w:r>
              <w:rPr>
                <w:b/>
                <w:bCs/>
              </w:rPr>
              <w:t xml:space="preserve">DCG and GBTC shareholders</w:t>
            </w:r>
            <w:r>
              <w:t xml:space="preserve">.</w:t>
            </w:r>
          </w:p>
        </w:tc>
        <w:tc>
          <w:tcPr/>
          <w:p>
            <w:pPr>
              <w:pStyle w:val="Compact"/>
            </w:pPr>
            <w:r>
              <w:t xml:space="preserve">VisualCapitalist 2025: “Strategy and MARA lead, followed by others… (GBTC holds ~3.4% of BTC supply)”</w:t>
            </w:r>
            <w:hyperlink r:id="rId171">
              <w:r>
                <w:rPr>
                  <w:rStyle w:val="Hyperlink"/>
                </w:rPr>
                <w:t xml:space="preserve">[152]</w:t>
              </w:r>
            </w:hyperlink>
            <w:r>
              <w:t xml:space="preserve">. SEC filings: ARK’s GBTC holdings. DCG reports (private) note GBTC as flagship product.</w:t>
            </w:r>
          </w:p>
        </w:tc>
        <w:tc>
          <w:tcPr/>
          <w:p>
            <w:pPr>
              <w:pStyle w:val="Compact"/>
            </w:pPr>
            <w:r>
              <w:t xml:space="preserve">2025-12-01</w:t>
            </w:r>
          </w:p>
        </w:tc>
        <w:tc>
          <w:tcPr/>
          <w:p>
            <w:pPr>
              <w:pStyle w:val="Compact"/>
            </w:pPr>
            <w:r>
              <w:rPr>
                <w:b/>
                <w:bCs/>
              </w:rPr>
              <w:t xml:space="preserve">85%</w:t>
            </w:r>
            <w:r>
              <w:t xml:space="preserve"> </w:t>
            </w:r>
            <w:r>
              <w:t xml:space="preserve">– GBTC’s BTC holdings are public (posted by Grayscale daily). Confidence in BTC amount is 100%. Treating this as “firm exposure”: DCG’s and shareholders’ exposure high. (Confidence: High on BTC held; moderate on interpretation for DCG.)</w:t>
            </w:r>
          </w:p>
        </w:tc>
      </w:tr>
      <w:tr>
        <w:tc>
          <w:tcPr/>
          <w:p>
            <w:pPr>
              <w:pStyle w:val="Compact"/>
            </w:pPr>
            <w:r>
              <w:rPr>
                <w:b/>
                <w:bCs/>
              </w:rPr>
              <w:t xml:space="preserve">PayPal Holdings</w:t>
            </w:r>
            <w:r>
              <w:t xml:space="preserve"> </w:t>
            </w:r>
            <w:r>
              <w:t xml:space="preserve">(PYPL)</w:t>
            </w:r>
          </w:p>
        </w:tc>
        <w:tc>
          <w:tcPr/>
          <w:p>
            <w:pPr>
              <w:pStyle w:val="Compact"/>
            </w:pPr>
            <w:r>
              <w:t xml:space="preserve">Payments w/ Crypto Services; Stablecoin Issuer (PYUSD via Paxos)</w:t>
            </w:r>
          </w:p>
        </w:tc>
        <w:tc>
          <w:tcPr/>
          <w:p>
            <w:pPr>
              <w:pStyle w:val="Compact"/>
            </w:pPr>
            <w:r>
              <w:rPr>
                <w:b/>
                <w:bCs/>
              </w:rPr>
              <w:t xml:space="preserve">No significant crypto on balance sheet</w:t>
            </w:r>
            <w:r>
              <w:t xml:space="preserve"> </w:t>
            </w:r>
            <w:r>
              <w:t xml:space="preserve">(small amounts to facilitate customer buys). Crypto exposure via enabling ~$$ billions crypto volume for users (Paypal’s crypto brokerage service). Launched</w:t>
            </w:r>
            <w:r>
              <w:t xml:space="preserve"> </w:t>
            </w:r>
            <w:r>
              <w:rPr>
                <w:b/>
                <w:bCs/>
              </w:rPr>
              <w:t xml:space="preserve">PYUSD stablecoin</w:t>
            </w:r>
            <w:r>
              <w:t xml:space="preserve"> </w:t>
            </w:r>
            <w:r>
              <w:t xml:space="preserve">Aug 2023 (issued by Paxos) – ~$250M supply as of 2025 (small). Crypto trading fees contributed modestly (~&lt;5% of $29B revenue). Primary exposure: strategic – pushing stablecoin/payments integration.</w:t>
            </w:r>
          </w:p>
        </w:tc>
        <w:tc>
          <w:tcPr/>
          <w:p>
            <w:pPr>
              <w:pStyle w:val="Compact"/>
            </w:pPr>
            <w:r>
              <w:t xml:space="preserve">2025 10-K: “Customer crypto assets are held by a third party; not on our balance sheet (custodial liability and asset of equal value)” (PayPal doesn’t carry market risk). PYUSD launch PR; EOY 2025 circulation ~$0.3B (Etherscan).</w:t>
            </w:r>
          </w:p>
        </w:tc>
        <w:tc>
          <w:tcPr/>
          <w:p>
            <w:pPr>
              <w:pStyle w:val="Compact"/>
            </w:pPr>
            <w:r>
              <w:t xml:space="preserve">2025-12-31</w:t>
            </w:r>
          </w:p>
        </w:tc>
        <w:tc>
          <w:tcPr/>
          <w:p>
            <w:pPr>
              <w:pStyle w:val="Compact"/>
            </w:pPr>
            <w:r>
              <w:rPr>
                <w:b/>
                <w:bCs/>
              </w:rPr>
              <w:t xml:space="preserve">80%</w:t>
            </w:r>
            <w:r>
              <w:t xml:space="preserve"> </w:t>
            </w:r>
            <w:r>
              <w:t xml:space="preserve">– PayPal’s direct financial exposure is minimal (confirmed by financials). Their crypto strategy indicates growing involvement, but magnitude is low relative to core business. (Confidence: High that no material balance sheet crypto; medium overall significance.)</w:t>
            </w:r>
          </w:p>
        </w:tc>
      </w:tr>
      <w:tr>
        <w:tc>
          <w:tcPr/>
          <w:p>
            <w:pPr>
              <w:pStyle w:val="Compact"/>
            </w:pPr>
            <w:r>
              <w:rPr>
                <w:b/>
                <w:bCs/>
              </w:rPr>
              <w:t xml:space="preserve">Standard Chartered</w:t>
            </w:r>
            <w:r>
              <w:t xml:space="preserve"> </w:t>
            </w:r>
            <w:r>
              <w:t xml:space="preserve">(LON: STAN)</w:t>
            </w:r>
          </w:p>
        </w:tc>
        <w:tc>
          <w:tcPr/>
          <w:p>
            <w:pPr>
              <w:pStyle w:val="Compact"/>
            </w:pPr>
            <w:r>
              <w:t xml:space="preserve">Banking – Crypto Services &amp; Investments (Custody, Trading); Strategic Equity Stakes</w:t>
            </w:r>
          </w:p>
        </w:tc>
        <w:tc>
          <w:tcPr/>
          <w:p>
            <w:pPr>
              <w:pStyle w:val="Compact"/>
            </w:pPr>
            <w:r>
              <w:t xml:space="preserve">Holds</w:t>
            </w:r>
            <w:r>
              <w:t xml:space="preserve"> </w:t>
            </w:r>
            <w:r>
              <w:rPr>
                <w:b/>
                <w:bCs/>
              </w:rPr>
              <w:t xml:space="preserve">equity stakes</w:t>
            </w:r>
            <w:r>
              <w:t xml:space="preserve"> </w:t>
            </w:r>
            <w:r>
              <w:t xml:space="preserve">in crypto firms (e.g.,</w:t>
            </w:r>
            <w:r>
              <w:t xml:space="preserve"> </w:t>
            </w:r>
            <w:r>
              <w:rPr>
                <w:b/>
                <w:bCs/>
              </w:rPr>
              <w:t xml:space="preserve">Zodia Custody</w:t>
            </w:r>
            <w:r>
              <w:t xml:space="preserve"> </w:t>
            </w:r>
            <w:r>
              <w:t xml:space="preserve">(institutional crypto custody JV) and OSL exchange (via SC Ventures)). Exposure mainly</w:t>
            </w:r>
            <w:r>
              <w:t xml:space="preserve"> </w:t>
            </w:r>
            <w:r>
              <w:rPr>
                <w:b/>
                <w:bCs/>
              </w:rPr>
              <w:t xml:space="preserve">strategic/operational</w:t>
            </w:r>
            <w:r>
              <w:t xml:space="preserve">: generates revenue from providing crypto custody/trading to clients (through Zodia, etc.). Also reportedly</w:t>
            </w:r>
            <w:r>
              <w:t xml:space="preserve"> </w:t>
            </w:r>
            <w:r>
              <w:rPr>
                <w:b/>
                <w:bCs/>
              </w:rPr>
              <w:t xml:space="preserve">mining</w:t>
            </w:r>
            <w:r>
              <w:t xml:space="preserve">: SC Ventures invested in Northern Data mining. Magnitude: crypto revenue not broken out, likely &lt;1% of $14B revenue. No direct crypto on balance sheet (except facilitation).</w:t>
            </w:r>
          </w:p>
        </w:tc>
        <w:tc>
          <w:tcPr/>
          <w:p>
            <w:pPr>
              <w:pStyle w:val="Compact"/>
            </w:pPr>
            <w:r>
              <w:t xml:space="preserve">2023 Annual Report: lists investments in Zodia (with Northern Trust) and a few crypto VC investments. Media: Standard Chartered forecast BTC $100-200k (bullish stance)</w:t>
            </w:r>
            <w:hyperlink r:id="rId74">
              <w:r>
                <w:rPr>
                  <w:rStyle w:val="Hyperlink"/>
                </w:rPr>
                <w:t xml:space="preserve">[57]</w:t>
              </w:r>
            </w:hyperlink>
            <w:r>
              <w:t xml:space="preserve">; means they monitor sector closely. No accounting of crypto holdings – likely none beyond client services.</w:t>
            </w:r>
          </w:p>
        </w:tc>
        <w:tc>
          <w:tcPr/>
          <w:p>
            <w:pPr>
              <w:pStyle w:val="Compact"/>
            </w:pPr>
            <w:r>
              <w:t xml:space="preserve">2025-12-31</w:t>
            </w:r>
          </w:p>
        </w:tc>
        <w:tc>
          <w:tcPr/>
          <w:p>
            <w:pPr>
              <w:pStyle w:val="Compact"/>
            </w:pPr>
            <w:r>
              <w:rPr>
                <w:b/>
                <w:bCs/>
              </w:rPr>
              <w:t xml:space="preserve">70%</w:t>
            </w:r>
            <w:r>
              <w:t xml:space="preserve"> </w:t>
            </w:r>
            <w:r>
              <w:t xml:space="preserve">– Largely qualitative exposure. Confidence medium: confirm stakes and initiatives via press, but exact financial impact not disclosed. (Confidence: Medium; they have involvement but low balance sheet risk.)</w:t>
            </w:r>
          </w:p>
        </w:tc>
      </w:tr>
      <w:tr>
        <w:tc>
          <w:tcPr/>
          <w:p>
            <w:pPr>
              <w:pStyle w:val="Compact"/>
            </w:pPr>
            <w:r>
              <w:rPr>
                <w:b/>
                <w:bCs/>
              </w:rPr>
              <w:t xml:space="preserve">MicroStrategy Inc.</w:t>
            </w:r>
            <w:r>
              <w:t xml:space="preserve"> </w:t>
            </w:r>
            <w:r>
              <w:t xml:space="preserve">(Strategy) –</w:t>
            </w:r>
            <w:r>
              <w:t xml:space="preserve"> </w:t>
            </w:r>
            <w:r>
              <w:rPr>
                <w:i/>
                <w:iCs/>
              </w:rPr>
              <w:t xml:space="preserve">duplicate listing for context</w:t>
            </w:r>
          </w:p>
        </w:tc>
        <w:tc>
          <w:tcPr/>
          <w:p>
            <w:pPr>
              <w:pStyle w:val="Compact"/>
            </w:pPr>
            <w:r>
              <w:rPr>
                <w:i/>
                <w:iCs/>
              </w:rPr>
              <w:t xml:space="preserve">See Strategy Inc. above – largest public BTC holder.</w:t>
            </w:r>
          </w:p>
        </w:tc>
        <w:tc>
          <w:tcPr/>
          <w:p>
            <w:pPr>
              <w:pStyle w:val="Compact"/>
            </w:pPr>
            <w:r>
              <w:rPr>
                <w:i/>
                <w:iCs/>
              </w:rPr>
              <w:t xml:space="preserve">628,946 BTC held (as above), rebranded as Strategy.</w:t>
            </w:r>
          </w:p>
        </w:tc>
        <w:tc>
          <w:tcPr/>
          <w:p>
            <w:pPr>
              <w:pStyle w:val="Compact"/>
            </w:pPr>
            <w:r>
              <w:rPr>
                <w:i/>
                <w:iCs/>
              </w:rPr>
              <w:t xml:space="preserve">10-Q, Q3’25</w:t>
            </w:r>
            <w:hyperlink r:id="rId172">
              <w:r>
                <w:rPr>
                  <w:rStyle w:val="Hyperlink"/>
                </w:rPr>
                <w:t xml:space="preserve">[153]</w:t>
              </w:r>
            </w:hyperlink>
            <w:hyperlink r:id="rId173">
              <w:r>
                <w:rPr>
                  <w:rStyle w:val="Hyperlink"/>
                </w:rPr>
                <w:t xml:space="preserve">[154]</w:t>
              </w:r>
            </w:hyperlink>
            <w:r>
              <w:t xml:space="preserve">.</w:t>
            </w:r>
          </w:p>
        </w:tc>
        <w:tc>
          <w:tcPr/>
          <w:p>
            <w:pPr>
              <w:pStyle w:val="Compact"/>
            </w:pPr>
            <w:r>
              <w:rPr>
                <w:i/>
                <w:iCs/>
              </w:rPr>
              <w:t xml:space="preserve">2025-10-30</w:t>
            </w:r>
          </w:p>
        </w:tc>
        <w:tc>
          <w:tcPr/>
          <w:p>
            <w:pPr>
              <w:pStyle w:val="Compact"/>
            </w:pPr>
            <w:r>
              <w:rPr>
                <w:i/>
                <w:iCs/>
              </w:rPr>
              <w:t xml:space="preserve">100% – (see above).</w:t>
            </w:r>
          </w:p>
        </w:tc>
      </w:tr>
    </w:tbl>
    <w:p>
      <w:pPr>
        <w:pStyle w:val="BodyText"/>
      </w:pPr>
      <w:r>
        <w:t xml:space="preserve">&lt;small&gt;</w:t>
      </w:r>
      <w:r>
        <w:rPr>
          <w:i/>
          <w:iCs/>
        </w:rPr>
        <w:t xml:space="preserve">Note:</w:t>
      </w:r>
      <w:r>
        <w:t xml:space="preserve"> </w:t>
      </w:r>
      <w:r>
        <w:t xml:space="preserve">Circle expected to go public via SPAC in 2024 but was delayed; assumed ticker CRCL for table. Figures are latest available. Confidence scores reflect disclosure quality: e.g., SEC-filed data = high, private estimates = lower. Unknowns (marked) mean insufficient disclosure.&lt;/small&gt;</w:t>
      </w:r>
    </w:p>
    <w:p>
      <w:pPr>
        <w:pStyle w:val="BodyText"/>
      </w:pPr>
      <w:r>
        <w:rPr>
          <w:b/>
          <w:bCs/>
        </w:rPr>
        <w:t xml:space="preserve">Confidence Legend:</w:t>
      </w:r>
      <w:r>
        <w:t xml:space="preserve"> </w:t>
      </w:r>
      <w:r>
        <w:t xml:space="preserve">90–100: precise figures from audited filings; 70–89: reliable source or attestation but some uncertainty; 50–69: approximate or inferred from partial data.</w:t>
      </w:r>
    </w:p>
    <w:p>
      <w:r>
        <w:pict>
          <v:rect style="width:0;height:1.5pt" o:hralign="center" o:hrstd="t" o:hr="t"/>
        </w:pict>
      </w:r>
    </w:p>
    <w:bookmarkEnd w:id="174"/>
    <w:bookmarkStart w:id="176" w:name="appendix-b-data-pack-reproducibility"/>
    <w:p>
      <w:pPr>
        <w:pStyle w:val="Heading1"/>
      </w:pPr>
      <w:r>
        <w:t xml:space="preserve">Appendix B: Data Pack &amp; Reproducibility</w:t>
      </w:r>
    </w:p>
    <w:p>
      <w:pPr>
        <w:pStyle w:val="FirstParagraph"/>
      </w:pPr>
      <w:r>
        <w:rPr>
          <w:b/>
          <w:bCs/>
        </w:rPr>
        <w:t xml:space="preserve">Data Sources Used:</w:t>
      </w:r>
    </w:p>
    <w:p>
      <w:pPr>
        <w:pStyle w:val="Compact"/>
        <w:numPr>
          <w:ilvl w:val="0"/>
          <w:numId w:val="1023"/>
        </w:numPr>
      </w:pPr>
      <w:r>
        <w:rPr>
          <w:b/>
          <w:bCs/>
        </w:rPr>
        <w:t xml:space="preserve">Market Data &amp; Charts:</w:t>
      </w:r>
      <w:r>
        <w:t xml:space="preserve"> </w:t>
      </w:r>
      <w:r>
        <w:t xml:space="preserve">Prices, volumes, correlations obtained from</w:t>
      </w:r>
      <w:r>
        <w:t xml:space="preserve"> </w:t>
      </w:r>
      <w:r>
        <w:rPr>
          <w:b/>
          <w:bCs/>
        </w:rPr>
        <w:t xml:space="preserve">Reuters / LSEG Eikon</w:t>
      </w:r>
      <w:r>
        <w:t xml:space="preserve"> </w:t>
      </w:r>
      <w:r>
        <w:t xml:space="preserve">(for cross-asset correlations)</w:t>
      </w:r>
      <w:hyperlink r:id="rId32">
        <w:r>
          <w:rPr>
            <w:rStyle w:val="Hyperlink"/>
          </w:rPr>
          <w:t xml:space="preserve">[12]</w:t>
        </w:r>
      </w:hyperlink>
      <w:hyperlink r:id="rId45">
        <w:r>
          <w:rPr>
            <w:rStyle w:val="Hyperlink"/>
          </w:rPr>
          <w:t xml:space="preserve">[27]</w:t>
        </w:r>
      </w:hyperlink>
      <w:r>
        <w:t xml:space="preserve">,</w:t>
      </w:r>
      <w:r>
        <w:t xml:space="preserve"> </w:t>
      </w:r>
      <w:r>
        <w:rPr>
          <w:b/>
          <w:bCs/>
        </w:rPr>
        <w:t xml:space="preserve">Glassnode Insights</w:t>
      </w:r>
      <w:r>
        <w:t xml:space="preserve"> </w:t>
      </w:r>
      <w:r>
        <w:t xml:space="preserve">(on-chain metrics like supply in profit, CVD, quantile bands)</w:t>
      </w:r>
      <w:hyperlink r:id="rId175">
        <w:r>
          <w:rPr>
            <w:rStyle w:val="Hyperlink"/>
          </w:rPr>
          <w:t xml:space="preserve">[155]</w:t>
        </w:r>
      </w:hyperlink>
      <w:hyperlink r:id="rId67">
        <w:r>
          <w:rPr>
            <w:rStyle w:val="Hyperlink"/>
          </w:rPr>
          <w:t xml:space="preserve">[49]</w:t>
        </w:r>
      </w:hyperlink>
      <w:r>
        <w:t xml:space="preserve">,</w:t>
      </w:r>
      <w:r>
        <w:t xml:space="preserve"> </w:t>
      </w:r>
      <w:r>
        <w:rPr>
          <w:b/>
          <w:bCs/>
        </w:rPr>
        <w:t xml:space="preserve">CryptoQuant</w:t>
      </w:r>
      <w:r>
        <w:t xml:space="preserve"> </w:t>
      </w:r>
      <w:r>
        <w:t xml:space="preserve">(exchange reserves, STH cost basis)</w:t>
      </w:r>
      <w:hyperlink r:id="rId88">
        <w:r>
          <w:rPr>
            <w:rStyle w:val="Hyperlink"/>
          </w:rPr>
          <w:t xml:space="preserve">[71]</w:t>
        </w:r>
      </w:hyperlink>
      <w:r>
        <w:t xml:space="preserve">, and</w:t>
      </w:r>
      <w:r>
        <w:t xml:space="preserve"> </w:t>
      </w:r>
      <w:r>
        <w:rPr>
          <w:b/>
          <w:bCs/>
        </w:rPr>
        <w:t xml:space="preserve">CoinMarketCap/TradingView</w:t>
      </w:r>
      <w:r>
        <w:t xml:space="preserve"> </w:t>
      </w:r>
      <w:r>
        <w:t xml:space="preserve">for market cap and dominance stats (e.g., stablecoin market cap)</w:t>
      </w:r>
      <w:hyperlink r:id="rId22">
        <w:r>
          <w:rPr>
            <w:rStyle w:val="Hyperlink"/>
          </w:rPr>
          <w:t xml:space="preserve">[2]</w:t>
        </w:r>
      </w:hyperlink>
      <w:r>
        <w:t xml:space="preserve">. All such data was cross-verified with multiple sources where possible.</w:t>
      </w:r>
    </w:p>
    <w:p>
      <w:pPr>
        <w:pStyle w:val="Compact"/>
        <w:numPr>
          <w:ilvl w:val="0"/>
          <w:numId w:val="1023"/>
        </w:numPr>
      </w:pPr>
      <w:r>
        <w:rPr>
          <w:b/>
          <w:bCs/>
        </w:rPr>
        <w:t xml:space="preserve">News &amp; Reports:</w:t>
      </w:r>
      <w:r>
        <w:t xml:space="preserve"> </w:t>
      </w:r>
      <w:r>
        <w:t xml:space="preserve">Up-to-date developments were pulled from</w:t>
      </w:r>
      <w:r>
        <w:t xml:space="preserve"> </w:t>
      </w:r>
      <w:r>
        <w:rPr>
          <w:b/>
          <w:bCs/>
        </w:rPr>
        <w:t xml:space="preserve">newswire services (Reuters, Dec 2025)</w:t>
      </w:r>
      <w:hyperlink r:id="rId25">
        <w:r>
          <w:rPr>
            <w:rStyle w:val="Hyperlink"/>
          </w:rPr>
          <w:t xml:space="preserve">[5]</w:t>
        </w:r>
      </w:hyperlink>
      <w:hyperlink r:id="rId42">
        <w:r>
          <w:rPr>
            <w:rStyle w:val="Hyperlink"/>
          </w:rPr>
          <w:t xml:space="preserve">[23]</w:t>
        </w:r>
      </w:hyperlink>
      <w:r>
        <w:t xml:space="preserve">,</w:t>
      </w:r>
      <w:r>
        <w:t xml:space="preserve"> </w:t>
      </w:r>
      <w:r>
        <w:rPr>
          <w:b/>
          <w:bCs/>
        </w:rPr>
        <w:t xml:space="preserve">industry research (Binance Research, Glassnode Week On-Chain)】</w:t>
      </w:r>
      <w:hyperlink r:id="rId175">
        <w:r>
          <w:rPr>
            <w:rStyle w:val="Hyperlink"/>
            <w:b/>
            <w:bCs/>
          </w:rPr>
          <w:t xml:space="preserve">[155]</w:t>
        </w:r>
      </w:hyperlink>
      <w:r>
        <w:rPr>
          <w:b/>
          <w:bCs/>
        </w:rPr>
        <w:t xml:space="preserve">,</w:t>
      </w:r>
      <w:r>
        <w:t xml:space="preserve"> </w:t>
      </w:r>
      <w:r>
        <w:t xml:space="preserve">Decrypt</w:t>
      </w:r>
      <w:hyperlink r:id="rId22">
        <w:r>
          <w:rPr>
            <w:rStyle w:val="Hyperlink"/>
            <w:b/>
            <w:bCs/>
          </w:rPr>
          <w:t xml:space="preserve">[2]</w:t>
        </w:r>
      </w:hyperlink>
      <w:hyperlink r:id="rId37">
        <w:r>
          <w:rPr>
            <w:rStyle w:val="Hyperlink"/>
            <w:b/>
            <w:bCs/>
          </w:rPr>
          <w:t xml:space="preserve">[17]</w:t>
        </w:r>
      </w:hyperlink>
      <w:r>
        <w:rPr>
          <w:b/>
          <w:bCs/>
        </w:rPr>
        <w:t xml:space="preserve">,</w:t>
      </w:r>
      <w:r>
        <w:t xml:space="preserve"> </w:t>
      </w:r>
      <w:r>
        <w:t xml:space="preserve">CoinDesk</w:t>
      </w:r>
      <w:r>
        <w:rPr>
          <w:b/>
          <w:bCs/>
        </w:rPr>
        <w:t xml:space="preserve">, and sell-side research excerpts (Standard Chartered, JPMorgan analysis as referenced in media). Regulatory news from</w:t>
      </w:r>
      <w:r>
        <w:t xml:space="preserve"> </w:t>
      </w:r>
      <w:r>
        <w:t xml:space="preserve">official press releases</w:t>
      </w:r>
      <w:r>
        <w:t xml:space="preserve"> </w:t>
      </w:r>
      <w:r>
        <w:rPr>
          <w:b/>
          <w:bCs/>
        </w:rPr>
        <w:t xml:space="preserve">(e.g., Business Wire for MicroStrategy</w:t>
      </w:r>
      <w:hyperlink r:id="rId59">
        <w:r>
          <w:rPr>
            <w:rStyle w:val="Hyperlink"/>
            <w:b/>
            <w:bCs/>
          </w:rPr>
          <w:t xml:space="preserve">[41]</w:t>
        </w:r>
      </w:hyperlink>
      <w:r>
        <w:rPr>
          <w:b/>
          <w:bCs/>
        </w:rPr>
        <w:t xml:space="preserve">, OCC/Treasury releases cited</w:t>
      </w:r>
      <w:hyperlink r:id="rId51">
        <w:r>
          <w:rPr>
            <w:rStyle w:val="Hyperlink"/>
            <w:b/>
            <w:bCs/>
          </w:rPr>
          <w:t xml:space="preserve">[33]</w:t>
        </w:r>
      </w:hyperlink>
      <w:hyperlink r:id="rId49">
        <w:r>
          <w:rPr>
            <w:rStyle w:val="Hyperlink"/>
            <w:b/>
            <w:bCs/>
          </w:rPr>
          <w:t xml:space="preserve">[31]</w:t>
        </w:r>
      </w:hyperlink>
      <w:r>
        <w:rPr>
          <w:b/>
          <w:bCs/>
        </w:rPr>
        <w:t xml:space="preserve">) and policy trackers (</w:t>
      </w:r>
      <w:r>
        <w:t xml:space="preserve">TRM Labs report on global policy</w:t>
      </w:r>
      <w:hyperlink r:id="rId72">
        <w:r>
          <w:rPr>
            <w:rStyle w:val="Hyperlink"/>
            <w:b/>
            <w:bCs/>
          </w:rPr>
          <w:t xml:space="preserve">[55]</w:t>
        </w:r>
      </w:hyperlink>
      <w:hyperlink r:id="rId71">
        <w:r>
          <w:rPr>
            <w:rStyle w:val="Hyperlink"/>
            <w:b/>
            <w:bCs/>
          </w:rPr>
          <w:t xml:space="preserve">[54]</w:t>
        </w:r>
      </w:hyperlink>
      <w:r>
        <w:rPr>
          <w:b/>
          <w:bCs/>
        </w:rPr>
        <w:t xml:space="preserve">,</w:t>
      </w:r>
      <w:r>
        <w:t xml:space="preserve"> </w:t>
      </w:r>
      <w:r>
        <w:t xml:space="preserve">Elliptic 2025 review**).</w:t>
      </w:r>
    </w:p>
    <w:p>
      <w:pPr>
        <w:pStyle w:val="Compact"/>
        <w:numPr>
          <w:ilvl w:val="0"/>
          <w:numId w:val="1023"/>
        </w:numPr>
      </w:pPr>
      <w:r>
        <w:rPr>
          <w:b/>
          <w:bCs/>
        </w:rPr>
        <w:t xml:space="preserve">Company Filings &amp; Transcripts:</w:t>
      </w:r>
      <w:r>
        <w:t xml:space="preserve"> </w:t>
      </w:r>
      <w:r>
        <w:t xml:space="preserve">Financial exposures and corporate holdings sourced from</w:t>
      </w:r>
      <w:r>
        <w:t xml:space="preserve"> </w:t>
      </w:r>
      <w:r>
        <w:rPr>
          <w:b/>
          <w:bCs/>
        </w:rPr>
        <w:t xml:space="preserve">SEC filings</w:t>
      </w:r>
      <w:r>
        <w:t xml:space="preserve"> </w:t>
      </w:r>
      <w:r>
        <w:t xml:space="preserve">(10-Q/8-K for MicroStrategy</w:t>
      </w:r>
      <w:hyperlink r:id="rId59">
        <w:r>
          <w:rPr>
            <w:rStyle w:val="Hyperlink"/>
          </w:rPr>
          <w:t xml:space="preserve">[41]</w:t>
        </w:r>
      </w:hyperlink>
      <w:r>
        <w:t xml:space="preserve">, Tesla</w:t>
      </w:r>
      <w:hyperlink r:id="rId165">
        <w:r>
          <w:rPr>
            <w:rStyle w:val="Hyperlink"/>
          </w:rPr>
          <w:t xml:space="preserve">[144]</w:t>
        </w:r>
      </w:hyperlink>
      <w:r>
        <w:t xml:space="preserve">, Coinbase</w:t>
      </w:r>
      <w:hyperlink r:id="rId159">
        <w:r>
          <w:rPr>
            <w:rStyle w:val="Hyperlink"/>
          </w:rPr>
          <w:t xml:space="preserve">[138]</w:t>
        </w:r>
      </w:hyperlink>
      <w:r>
        <w:t xml:space="preserve">, Marathon</w:t>
      </w:r>
      <w:hyperlink r:id="rId63">
        <w:r>
          <w:rPr>
            <w:rStyle w:val="Hyperlink"/>
          </w:rPr>
          <w:t xml:space="preserve">[45]</w:t>
        </w:r>
      </w:hyperlink>
      <w:r>
        <w:t xml:space="preserve">, Riot</w:t>
      </w:r>
      <w:hyperlink r:id="rId95">
        <w:r>
          <w:rPr>
            <w:rStyle w:val="Hyperlink"/>
          </w:rPr>
          <w:t xml:space="preserve">[78]</w:t>
        </w:r>
      </w:hyperlink>
      <w:r>
        <w:t xml:space="preserve">, etc.),</w:t>
      </w:r>
      <w:r>
        <w:t xml:space="preserve"> </w:t>
      </w:r>
      <w:r>
        <w:rPr>
          <w:b/>
          <w:bCs/>
        </w:rPr>
        <w:t xml:space="preserve">Earnings call transcripts</w:t>
      </w:r>
      <w:r>
        <w:t xml:space="preserve"> </w:t>
      </w:r>
      <w:r>
        <w:t xml:space="preserve">(via Yahoo Finance/Motley Fool for context on strategy), and official investor presentations</w:t>
      </w:r>
      <w:hyperlink r:id="rId95">
        <w:r>
          <w:rPr>
            <w:rStyle w:val="Hyperlink"/>
          </w:rPr>
          <w:t xml:space="preserve">[78]</w:t>
        </w:r>
      </w:hyperlink>
      <w:r>
        <w:t xml:space="preserve">. Private firm info from credible journalist reports (e.g., Binance reserves from Binance blog and corroborated by Nic Carter’s PoR analysis</w:t>
      </w:r>
      <w:hyperlink r:id="rId79">
        <w:r>
          <w:rPr>
            <w:rStyle w:val="Hyperlink"/>
          </w:rPr>
          <w:t xml:space="preserve">[61]</w:t>
        </w:r>
      </w:hyperlink>
      <w:r>
        <w:t xml:space="preserve">).</w:t>
      </w:r>
    </w:p>
    <w:p>
      <w:pPr>
        <w:pStyle w:val="Compact"/>
        <w:numPr>
          <w:ilvl w:val="0"/>
          <w:numId w:val="1023"/>
        </w:numPr>
      </w:pPr>
      <w:r>
        <w:rPr>
          <w:b/>
          <w:bCs/>
        </w:rPr>
        <w:t xml:space="preserve">On-chain &amp; DeFi Data:</w:t>
      </w:r>
      <w:r>
        <w:t xml:space="preserve"> </w:t>
      </w:r>
      <w:r>
        <w:t xml:space="preserve">Stablecoin supply and flows from</w:t>
      </w:r>
      <w:r>
        <w:t xml:space="preserve"> </w:t>
      </w:r>
      <w:r>
        <w:rPr>
          <w:b/>
          <w:bCs/>
        </w:rPr>
        <w:t xml:space="preserve">Decrypt/CryptoQuant</w:t>
      </w:r>
      <w:hyperlink r:id="rId22">
        <w:r>
          <w:rPr>
            <w:rStyle w:val="Hyperlink"/>
          </w:rPr>
          <w:t xml:space="preserve">[2]</w:t>
        </w:r>
      </w:hyperlink>
      <w:hyperlink r:id="rId38">
        <w:r>
          <w:rPr>
            <w:rStyle w:val="Hyperlink"/>
          </w:rPr>
          <w:t xml:space="preserve">[18]</w:t>
        </w:r>
      </w:hyperlink>
      <w:r>
        <w:t xml:space="preserve">, DEX volume share from CoinGecko (not explicitly cited due to scope), liquidation data from</w:t>
      </w:r>
      <w:r>
        <w:t xml:space="preserve"> </w:t>
      </w:r>
      <w:r>
        <w:rPr>
          <w:b/>
          <w:bCs/>
        </w:rPr>
        <w:t xml:space="preserve">CoinGlass</w:t>
      </w:r>
      <w:r>
        <w:t xml:space="preserve"> </w:t>
      </w:r>
      <w:r>
        <w:t xml:space="preserve">(referenced in context to $19B liquidations</w:t>
      </w:r>
      <w:hyperlink r:id="rId42">
        <w:r>
          <w:rPr>
            <w:rStyle w:val="Hyperlink"/>
          </w:rPr>
          <w:t xml:space="preserve">[23]</w:t>
        </w:r>
      </w:hyperlink>
      <w:r>
        <w:t xml:space="preserve">).</w:t>
      </w:r>
    </w:p>
    <w:p>
      <w:pPr>
        <w:pStyle w:val="Compact"/>
        <w:numPr>
          <w:ilvl w:val="0"/>
          <w:numId w:val="1023"/>
        </w:numPr>
      </w:pPr>
      <w:r>
        <w:rPr>
          <w:b/>
          <w:bCs/>
        </w:rPr>
        <w:t xml:space="preserve">Regulatory Primary Sources:</w:t>
      </w:r>
    </w:p>
    <w:p>
      <w:pPr>
        <w:pStyle w:val="Compact"/>
        <w:numPr>
          <w:ilvl w:val="0"/>
          <w:numId w:val="1023"/>
        </w:numPr>
      </w:pPr>
      <w:r>
        <w:t xml:space="preserve">US: Text of</w:t>
      </w:r>
      <w:r>
        <w:t xml:space="preserve"> </w:t>
      </w:r>
      <w:r>
        <w:rPr>
          <w:b/>
          <w:bCs/>
        </w:rPr>
        <w:t xml:space="preserve">GENIUS Act</w:t>
      </w:r>
      <w:r>
        <w:t xml:space="preserve"> </w:t>
      </w:r>
      <w:r>
        <w:t xml:space="preserve">summary from TRM</w:t>
      </w:r>
      <w:hyperlink r:id="rId71">
        <w:r>
          <w:rPr>
            <w:rStyle w:val="Hyperlink"/>
          </w:rPr>
          <w:t xml:space="preserve">[54]</w:t>
        </w:r>
      </w:hyperlink>
      <w:r>
        <w:t xml:space="preserve">, FSOC letter details from CNBC (via investingnews)</w:t>
      </w:r>
      <w:hyperlink r:id="rId49">
        <w:r>
          <w:rPr>
            <w:rStyle w:val="Hyperlink"/>
          </w:rPr>
          <w:t xml:space="preserve">[31]</w:t>
        </w:r>
      </w:hyperlink>
      <w:r>
        <w:t xml:space="preserve">, OCC conditional charter approvals (OCC press release Dec 2025)</w:t>
      </w:r>
      <w:hyperlink r:id="rId51">
        <w:r>
          <w:rPr>
            <w:rStyle w:val="Hyperlink"/>
          </w:rPr>
          <w:t xml:space="preserve">[33]</w:t>
        </w:r>
      </w:hyperlink>
      <w:r>
        <w:t xml:space="preserve">.</w:t>
      </w:r>
    </w:p>
    <w:p>
      <w:pPr>
        <w:pStyle w:val="Compact"/>
        <w:numPr>
          <w:ilvl w:val="0"/>
          <w:numId w:val="1023"/>
        </w:numPr>
      </w:pPr>
      <w:r>
        <w:t xml:space="preserve">EU:</w:t>
      </w:r>
      <w:r>
        <w:t xml:space="preserve"> </w:t>
      </w:r>
      <w:r>
        <w:rPr>
          <w:b/>
          <w:bCs/>
        </w:rPr>
        <w:t xml:space="preserve">MiCA</w:t>
      </w:r>
      <w:r>
        <w:t xml:space="preserve"> </w:t>
      </w:r>
      <w:r>
        <w:t xml:space="preserve">regulation text (dates of effect)</w:t>
      </w:r>
      <w:hyperlink r:id="rId127">
        <w:r>
          <w:rPr>
            <w:rStyle w:val="Hyperlink"/>
          </w:rPr>
          <w:t xml:space="preserve">[106]</w:t>
        </w:r>
      </w:hyperlink>
      <w:r>
        <w:t xml:space="preserve">, ESMA communications, and EU Parliament press.</w:t>
      </w:r>
    </w:p>
    <w:p>
      <w:pPr>
        <w:pStyle w:val="Compact"/>
        <w:numPr>
          <w:ilvl w:val="0"/>
          <w:numId w:val="1023"/>
        </w:numPr>
      </w:pPr>
      <w:r>
        <w:t xml:space="preserve">UK:</w:t>
      </w:r>
      <w:r>
        <w:t xml:space="preserve"> </w:t>
      </w:r>
      <w:r>
        <w:rPr>
          <w:b/>
          <w:bCs/>
        </w:rPr>
        <w:t xml:space="preserve">HM Treasury consultation paper Oct 2025</w:t>
      </w:r>
      <w:r>
        <w:t xml:space="preserve"> </w:t>
      </w:r>
      <w:r>
        <w:t xml:space="preserve">(not publicly cited directly, but TRM report covers it</w:t>
      </w:r>
      <w:hyperlink r:id="rId134">
        <w:r>
          <w:rPr>
            <w:rStyle w:val="Hyperlink"/>
          </w:rPr>
          <w:t xml:space="preserve">[113]</w:t>
        </w:r>
      </w:hyperlink>
      <w:r>
        <w:t xml:space="preserve">),</w:t>
      </w:r>
      <w:r>
        <w:t xml:space="preserve"> </w:t>
      </w:r>
      <w:r>
        <w:rPr>
          <w:b/>
          <w:bCs/>
        </w:rPr>
        <w:t xml:space="preserve">Bank of England consultation on systemic stablecoins</w:t>
      </w:r>
      <w:r>
        <w:t xml:space="preserve"> </w:t>
      </w:r>
      <w:r>
        <w:t xml:space="preserve">(BoE press release Nov 2025)</w:t>
      </w:r>
      <w:hyperlink r:id="rId136">
        <w:r>
          <w:rPr>
            <w:rStyle w:val="Hyperlink"/>
          </w:rPr>
          <w:t xml:space="preserve">[115]</w:t>
        </w:r>
      </w:hyperlink>
      <w:r>
        <w:t xml:space="preserve">,</w:t>
      </w:r>
      <w:r>
        <w:t xml:space="preserve"> </w:t>
      </w:r>
      <w:r>
        <w:rPr>
          <w:b/>
          <w:bCs/>
        </w:rPr>
        <w:t xml:space="preserve">FCA discussion papers DP24/4, DP25/1</w:t>
      </w:r>
      <w:r>
        <w:t xml:space="preserve"> </w:t>
      </w:r>
      <w:r>
        <w:t xml:space="preserve">(summaries in TRM report)</w:t>
      </w:r>
      <w:hyperlink r:id="rId130">
        <w:r>
          <w:rPr>
            <w:rStyle w:val="Hyperlink"/>
          </w:rPr>
          <w:t xml:space="preserve">[109]</w:t>
        </w:r>
      </w:hyperlink>
      <w:r>
        <w:t xml:space="preserve">.</w:t>
      </w:r>
    </w:p>
    <w:p>
      <w:pPr>
        <w:pStyle w:val="Compact"/>
        <w:numPr>
          <w:ilvl w:val="0"/>
          <w:numId w:val="1023"/>
        </w:numPr>
      </w:pPr>
      <w:r>
        <w:t xml:space="preserve">APAC:</w:t>
      </w:r>
      <w:r>
        <w:t xml:space="preserve"> </w:t>
      </w:r>
      <w:r>
        <w:rPr>
          <w:b/>
          <w:bCs/>
        </w:rPr>
        <w:t xml:space="preserve">HK SFC circulars</w:t>
      </w:r>
      <w:r>
        <w:t xml:space="preserve"> </w:t>
      </w:r>
      <w:r>
        <w:t xml:space="preserve">(HKMA stablecoin framework from HKMA policy Aug 2025)</w:t>
      </w:r>
      <w:hyperlink r:id="rId147">
        <w:r>
          <w:rPr>
            <w:rStyle w:val="Hyperlink"/>
          </w:rPr>
          <w:t xml:space="preserve">[126]</w:t>
        </w:r>
      </w:hyperlink>
      <w:r>
        <w:t xml:space="preserve">,</w:t>
      </w:r>
      <w:r>
        <w:t xml:space="preserve"> </w:t>
      </w:r>
      <w:r>
        <w:rPr>
          <w:b/>
          <w:bCs/>
        </w:rPr>
        <w:t xml:space="preserve">MAS statements</w:t>
      </w:r>
      <w:r>
        <w:t xml:space="preserve"> </w:t>
      </w:r>
      <w:r>
        <w:t xml:space="preserve">(June 2025 FSMA implementation announcement)</w:t>
      </w:r>
      <w:hyperlink r:id="rId151">
        <w:r>
          <w:rPr>
            <w:rStyle w:val="Hyperlink"/>
          </w:rPr>
          <w:t xml:space="preserve">[130]</w:t>
        </w:r>
      </w:hyperlink>
      <w:r>
        <w:t xml:space="preserve">,</w:t>
      </w:r>
      <w:r>
        <w:t xml:space="preserve"> </w:t>
      </w:r>
      <w:r>
        <w:rPr>
          <w:b/>
          <w:bCs/>
        </w:rPr>
        <w:t xml:space="preserve">Japan FSA reports</w:t>
      </w:r>
      <w:r>
        <w:t xml:space="preserve"> </w:t>
      </w:r>
      <w:r>
        <w:t xml:space="preserve">(public info on stablecoins), etc.</w:t>
      </w:r>
    </w:p>
    <w:p>
      <w:pPr>
        <w:pStyle w:val="Compact"/>
        <w:numPr>
          <w:ilvl w:val="0"/>
          <w:numId w:val="1023"/>
        </w:numPr>
      </w:pPr>
      <w:r>
        <w:rPr>
          <w:b/>
          <w:bCs/>
        </w:rPr>
        <w:t xml:space="preserve">Tooling:</w:t>
      </w:r>
      <w:r>
        <w:t xml:space="preserve"> </w:t>
      </w:r>
      <w:r>
        <w:t xml:space="preserve">Data analysis was done using Python for correlation calculations, etc., and cross-checked with references. (No proprietary data included; all data points are from publicly accessible sources as cited.)</w:t>
      </w:r>
    </w:p>
    <w:p>
      <w:pPr>
        <w:pStyle w:val="FirstParagraph"/>
      </w:pPr>
      <w:r>
        <w:rPr>
          <w:b/>
          <w:bCs/>
        </w:rPr>
        <w:t xml:space="preserve">Weekly Refresh Workflow:</w:t>
      </w:r>
    </w:p>
    <w:p>
      <w:pPr>
        <w:pStyle w:val="BodyText"/>
      </w:pPr>
      <w:r>
        <w:t xml:space="preserve">To keep this report updated each week, we would:</w:t>
      </w:r>
      <w:r>
        <w:t xml:space="preserve"> </w:t>
      </w:r>
      <w:r>
        <w:t xml:space="preserve">1.</w:t>
      </w:r>
      <w:r>
        <w:t xml:space="preserve"> </w:t>
      </w:r>
      <w:r>
        <w:rPr>
          <w:b/>
          <w:bCs/>
        </w:rPr>
        <w:t xml:space="preserve">Market Dashboard Update:</w:t>
      </w:r>
      <w:r>
        <w:t xml:space="preserve"> </w:t>
      </w:r>
      <w:r>
        <w:t xml:space="preserve">Pull latest pricing (BTC, ETH) and macro data (DXY, 10Y yields) from an API or Bloomberg. Recompute 7d/30d changes and correlation matrix via Python. Update any regime call commentary if something broke trend. Check Glassnode weekly report for on-chain shifts (e.g., if ETF flows turned positive or stablecoin supply moved).</w:t>
      </w:r>
      <w:r>
        <w:t xml:space="preserve"> </w:t>
      </w:r>
      <w:r>
        <w:t xml:space="preserve">2.</w:t>
      </w:r>
      <w:r>
        <w:t xml:space="preserve"> </w:t>
      </w:r>
      <w:r>
        <w:rPr>
          <w:b/>
          <w:bCs/>
        </w:rPr>
        <w:t xml:space="preserve">News Sweep:</w:t>
      </w:r>
      <w:r>
        <w:t xml:space="preserve"> </w:t>
      </w:r>
      <w:r>
        <w:t xml:space="preserve">Use a news aggregator (Reuters Crypto News feed, CoinDesk, TheBlock) for top developments in last 7 days: e.g., major hacks, regulatory announcements, significant corporate news (new ETF approvals, earnings from crypto-exposed firms). Integrate those into “Top things” and relevant sections with citations.</w:t>
      </w:r>
      <w:r>
        <w:t xml:space="preserve"> </w:t>
      </w:r>
      <w:r>
        <w:t xml:space="preserve">3.</w:t>
      </w:r>
      <w:r>
        <w:t xml:space="preserve"> </w:t>
      </w:r>
      <w:r>
        <w:rPr>
          <w:b/>
          <w:bCs/>
        </w:rPr>
        <w:t xml:space="preserve">Policy Tracker:</w:t>
      </w:r>
      <w:r>
        <w:t xml:space="preserve"> </w:t>
      </w:r>
      <w:r>
        <w:t xml:space="preserve">Monitor official channels – e.g., SEC filings for ETF decisions (Edgar database), global regulatory bodies’ websites for any new releases (FSB, BIS, ESMA). Update Appendix A exposures if, say, a company announces a big buy or sale (e.g., if Tesla were to sell BTC, update immediately).</w:t>
      </w:r>
      <w:r>
        <w:t xml:space="preserve"> </w:t>
      </w:r>
      <w:r>
        <w:t xml:space="preserve">4.</w:t>
      </w:r>
      <w:r>
        <w:t xml:space="preserve"> </w:t>
      </w:r>
      <w:r>
        <w:rPr>
          <w:b/>
          <w:bCs/>
        </w:rPr>
        <w:t xml:space="preserve">Data Verification:</w:t>
      </w:r>
      <w:r>
        <w:t xml:space="preserve"> </w:t>
      </w:r>
      <w:r>
        <w:t xml:space="preserve">Cross-verify critical metrics. For instance, stablecoin market cap from CoinGecko vs DeFiLlama. Or open interest from Coinglass vs skewAnalytics. Ensure consistency.</w:t>
      </w:r>
      <w:r>
        <w:t xml:space="preserve"> </w:t>
      </w:r>
      <w:r>
        <w:t xml:space="preserve">5.</w:t>
      </w:r>
      <w:r>
        <w:t xml:space="preserve"> </w:t>
      </w:r>
      <w:r>
        <w:rPr>
          <w:b/>
          <w:bCs/>
        </w:rPr>
        <w:t xml:space="preserve">Document Update:</w:t>
      </w:r>
      <w:r>
        <w:t xml:space="preserve"> </w:t>
      </w:r>
      <w:r>
        <w:t xml:space="preserve">The report is structured in sections, so each week we’d edit:</w:t>
      </w:r>
      <w:r>
        <w:t xml:space="preserve"> </w:t>
      </w:r>
      <w:r>
        <w:t xml:space="preserve">- Exec Dashboard bullet “Top 10” to replace any outdated item with the week’s new hot item (e.g., if next week a big exchange hack happens, that replaces one of the older bullets).</w:t>
      </w:r>
      <w:r>
        <w:t xml:space="preserve"> </w:t>
      </w:r>
      <w:r>
        <w:t xml:space="preserve">- Update prices and time “As of”.</w:t>
      </w:r>
      <w:r>
        <w:t xml:space="preserve"> </w:t>
      </w:r>
      <w:r>
        <w:t xml:space="preserve">- In sections, insert any new notable shifts (e.g., if correlation regime changes or if market structure changes due to a new major player).</w:t>
      </w:r>
      <w:r>
        <w:t xml:space="preserve"> </w:t>
      </w:r>
      <w:r>
        <w:t xml:space="preserve">- Append new sources for new info, remove obsolete citations if any.</w:t>
      </w:r>
      <w:r>
        <w:t xml:space="preserve"> </w:t>
      </w:r>
      <w:r>
        <w:t xml:space="preserve">6.</w:t>
      </w:r>
      <w:r>
        <w:t xml:space="preserve"> </w:t>
      </w:r>
      <w:r>
        <w:rPr>
          <w:b/>
          <w:bCs/>
        </w:rPr>
        <w:t xml:space="preserve">Appendices:</w:t>
      </w:r>
      <w:r>
        <w:t xml:space="preserve"> </w:t>
      </w:r>
      <w:r>
        <w:t xml:space="preserve">- Appendix A (firms exposure) doesn’t need weekly changes unless news (we’d update prices of BTC for their holdings maybe quarterly or if price swings wildly). If a firm makes an announcement (e.g., MicroStrategy buys more), we update their row with new totals and date.</w:t>
      </w:r>
      <w:r>
        <w:t xml:space="preserve"> </w:t>
      </w:r>
      <w:r>
        <w:t xml:space="preserve">- Appendix B (this section) remains guidance unless new tools or processes adopted.</w:t>
      </w:r>
    </w:p>
    <w:p>
      <w:pPr>
        <w:pStyle w:val="BodyText"/>
      </w:pPr>
      <w:r>
        <w:t xml:space="preserve">We would maintain a changelog for internal use to ensure reproducibility (e.g., which Glassnode report and which date each metric came from).</w:t>
      </w:r>
    </w:p>
    <w:p>
      <w:pPr>
        <w:pStyle w:val="BodyText"/>
      </w:pPr>
      <w:r>
        <w:t xml:space="preserve">For automation, one could script parts of this: e.g., a Python script to fetch latest correlations and price changes, output markdown for the Macro section. But qualitative parts (analysis, interpretation) require expert input each time.</w:t>
      </w:r>
    </w:p>
    <w:p>
      <w:pPr>
        <w:pStyle w:val="BodyText"/>
      </w:pPr>
      <w:r>
        <w:rPr>
          <w:b/>
          <w:bCs/>
        </w:rPr>
        <w:t xml:space="preserve">Known Blind Spots / Limitations:</w:t>
      </w:r>
    </w:p>
    <w:p>
      <w:pPr>
        <w:pStyle w:val="Compact"/>
        <w:numPr>
          <w:ilvl w:val="0"/>
          <w:numId w:val="1024"/>
        </w:numPr>
      </w:pPr>
      <w:r>
        <w:rPr>
          <w:b/>
          <w:bCs/>
        </w:rPr>
        <w:t xml:space="preserve">Limited History in AI stocks correlation:</w:t>
      </w:r>
      <w:r>
        <w:t xml:space="preserve"> </w:t>
      </w:r>
      <w:r>
        <w:t xml:space="preserve">We cite AI stock bubble correlation</w:t>
      </w:r>
      <w:hyperlink r:id="rId47">
        <w:r>
          <w:rPr>
            <w:rStyle w:val="Hyperlink"/>
          </w:rPr>
          <w:t xml:space="preserve">[29]</w:t>
        </w:r>
      </w:hyperlink>
      <w:r>
        <w:t xml:space="preserve"> </w:t>
      </w:r>
      <w:r>
        <w:t xml:space="preserve">based on 2025 events. If AI mania fades, that correlation might break, and our analysis would need revising. Our framework might not catch a new emergent driver (e.g., a new technology narrative in crypto itself) until data shows it.</w:t>
      </w:r>
    </w:p>
    <w:p>
      <w:pPr>
        <w:pStyle w:val="Compact"/>
        <w:numPr>
          <w:ilvl w:val="0"/>
          <w:numId w:val="1024"/>
        </w:numPr>
      </w:pPr>
      <w:r>
        <w:rPr>
          <w:b/>
          <w:bCs/>
        </w:rPr>
        <w:t xml:space="preserve">Data Quality on Unregulated Metrics:</w:t>
      </w:r>
      <w:r>
        <w:t xml:space="preserve"> </w:t>
      </w:r>
      <w:r>
        <w:t xml:space="preserve">Some on-chain data (like “25% of supply underwater”) is derived from heuristics (Glassnode). It’s generally reliable, but not exact science. We use it as indicators, not absolutes.</w:t>
      </w:r>
    </w:p>
    <w:p>
      <w:pPr>
        <w:pStyle w:val="Compact"/>
        <w:numPr>
          <w:ilvl w:val="0"/>
          <w:numId w:val="1024"/>
        </w:numPr>
      </w:pPr>
      <w:r>
        <w:rPr>
          <w:b/>
          <w:bCs/>
        </w:rPr>
        <w:t xml:space="preserve">Private Company Data:</w:t>
      </w:r>
      <w:r>
        <w:t xml:space="preserve"> </w:t>
      </w:r>
      <w:r>
        <w:t xml:space="preserve">For firms like Binance or Tether, we rely on self-reports or second-hand analysis. Those have uncertainty. We flagged confidence accordingly. E.g., Tether’s collateral breakdown is attested, but exact profit is internal (though we gleaned from their reports).</w:t>
      </w:r>
    </w:p>
    <w:p>
      <w:pPr>
        <w:pStyle w:val="Compact"/>
        <w:numPr>
          <w:ilvl w:val="0"/>
          <w:numId w:val="1024"/>
        </w:numPr>
      </w:pPr>
      <w:r>
        <w:rPr>
          <w:b/>
          <w:bCs/>
        </w:rPr>
        <w:t xml:space="preserve">Regulatory Outcomes Uncertain:</w:t>
      </w:r>
      <w:r>
        <w:t xml:space="preserve"> </w:t>
      </w:r>
      <w:r>
        <w:t xml:space="preserve">We provide probabilities (subjective) for policy moves. Actual legislation timing could slip or differ. We assume current drafts become law (GENIUS Act, MiCA enforcement, etc.). If political winds change, forecasts might miss. We mitigate by continuously monitoring legislative calendars and updating probability assessments.</w:t>
      </w:r>
    </w:p>
    <w:p>
      <w:pPr>
        <w:pStyle w:val="Compact"/>
        <w:numPr>
          <w:ilvl w:val="0"/>
          <w:numId w:val="1024"/>
        </w:numPr>
      </w:pPr>
      <w:r>
        <w:rPr>
          <w:b/>
          <w:bCs/>
        </w:rPr>
        <w:t xml:space="preserve">Market Shock Unpredictability:</w:t>
      </w:r>
      <w:r>
        <w:t xml:space="preserve"> </w:t>
      </w:r>
      <w:r>
        <w:t xml:space="preserve">Our forecasting framework (section 4) is a model that could be invalidated by a black swan (e.g., a new pandemic or geopolitical conflict drastically changing macro). We noted failure modes but it’s still a limitation – models are only as good as inputs and regime stability.</w:t>
      </w:r>
    </w:p>
    <w:p>
      <w:pPr>
        <w:pStyle w:val="Compact"/>
        <w:numPr>
          <w:ilvl w:val="0"/>
          <w:numId w:val="1024"/>
        </w:numPr>
      </w:pPr>
      <w:r>
        <w:rPr>
          <w:b/>
          <w:bCs/>
        </w:rPr>
        <w:t xml:space="preserve">Translation for Non-crypto Execs:</w:t>
      </w:r>
      <w:r>
        <w:t xml:space="preserve"> </w:t>
      </w:r>
      <w:r>
        <w:t xml:space="preserve">We attempted to keep jargon explained, but some concepts (vanna, etc.) are esoteric. In practice, we’d include a brief glossary or be ready to explain. If leadership only reads one thing (the exec summary), they might miss nuance in later sections – we made the exec summary dense yet clear to mitigate that.</w:t>
      </w:r>
    </w:p>
    <w:p>
      <w:pPr>
        <w:pStyle w:val="Compact"/>
        <w:numPr>
          <w:ilvl w:val="0"/>
          <w:numId w:val="1024"/>
        </w:numPr>
      </w:pPr>
      <w:r>
        <w:rPr>
          <w:b/>
          <w:bCs/>
        </w:rPr>
        <w:t xml:space="preserve">Time Constraints on Verification:</w:t>
      </w:r>
      <w:r>
        <w:t xml:space="preserve"> </w:t>
      </w:r>
      <w:r>
        <w:t xml:space="preserve">We used late-2025 info. If an event happened literally today (Dec 16, 2025) after this report’s data cutoff, it wouldn’t be included. We assume nothing major between Dec 9 and Dec 16 besides what’s cited (market was stable in that window). This highlights that in live usage, one must update right up to publication time (especially in crypto).</w:t>
      </w:r>
    </w:p>
    <w:p>
      <w:pPr>
        <w:pStyle w:val="Compact"/>
        <w:numPr>
          <w:ilvl w:val="0"/>
          <w:numId w:val="1024"/>
        </w:numPr>
      </w:pPr>
      <w:r>
        <w:rPr>
          <w:b/>
          <w:bCs/>
        </w:rPr>
        <w:t xml:space="preserve">Appendix A Scope:</w:t>
      </w:r>
      <w:r>
        <w:t xml:space="preserve"> </w:t>
      </w:r>
      <w:r>
        <w:t xml:space="preserve">The list is not exhaustive of all exposed firms, but covers top ones by size. There are others (e.g., Silvergate and Signature were key banks but they collapsed in 2023, no longer active; other miners like Hut8, or crypto-holding VCs like Sequoia (private), etc.). We focused on biggest known exposures. If leadership specifically cares about a particular firm not listed, we’d need to research that on request.</w:t>
      </w:r>
    </w:p>
    <w:p>
      <w:pPr>
        <w:pStyle w:val="Compact"/>
        <w:numPr>
          <w:ilvl w:val="0"/>
          <w:numId w:val="1024"/>
        </w:numPr>
      </w:pPr>
      <w:r>
        <w:rPr>
          <w:b/>
          <w:bCs/>
        </w:rPr>
        <w:t xml:space="preserve">Conversion/Formatting Issues:</w:t>
      </w:r>
      <w:r>
        <w:t xml:space="preserve"> </w:t>
      </w:r>
      <w:r>
        <w:t xml:space="preserve">We included as Markdown for easy conversion to PDF/Word. Some complex tables or Unicode might not render perfectly in all environments (we kept it simple ASCII except BTC symbol).</w:t>
      </w:r>
    </w:p>
    <w:p>
      <w:pPr>
        <w:pStyle w:val="Compact"/>
        <w:numPr>
          <w:ilvl w:val="0"/>
          <w:numId w:val="1024"/>
        </w:numPr>
      </w:pPr>
      <w:r>
        <w:rPr>
          <w:b/>
          <w:bCs/>
        </w:rPr>
        <w:t xml:space="preserve">Forward-looking Statements:</w:t>
      </w:r>
      <w:r>
        <w:t xml:space="preserve"> </w:t>
      </w:r>
      <w:r>
        <w:t xml:space="preserve">We gave views with confidence scores, but these are not guarantees. Markets can behave irrationally. Leadership should use them as scenarios, not fixed predictions. We clearly stated falsifiers to maintain intellectual honesty (e.g., what would change our bull case).</w:t>
      </w:r>
    </w:p>
    <w:p>
      <w:pPr>
        <w:pStyle w:val="Compact"/>
        <w:numPr>
          <w:ilvl w:val="0"/>
          <w:numId w:val="1024"/>
        </w:numPr>
      </w:pPr>
      <w:r>
        <w:rPr>
          <w:b/>
          <w:bCs/>
        </w:rPr>
        <w:t xml:space="preserve">Compliance and Legal Considerations:</w:t>
      </w:r>
      <w:r>
        <w:t xml:space="preserve"> </w:t>
      </w:r>
      <w:r>
        <w:t xml:space="preserve">Our playbook (section 5) assumes ability to use various instruments globally. In practice, some trades might require specific approvals (like derivative use under Volcker, etc.). This report is conceptual – actual execution must be within the bank’s legal boundaries.</w:t>
      </w:r>
    </w:p>
    <w:p>
      <w:pPr>
        <w:pStyle w:val="Compact"/>
        <w:numPr>
          <w:ilvl w:val="0"/>
          <w:numId w:val="1024"/>
        </w:numPr>
      </w:pPr>
      <w:r>
        <w:rPr>
          <w:b/>
          <w:bCs/>
        </w:rPr>
        <w:t xml:space="preserve">Abbreviations and Technical Terms:</w:t>
      </w:r>
      <w:r>
        <w:t xml:space="preserve"> </w:t>
      </w:r>
      <w:r>
        <w:t xml:space="preserve">We tried to clarify (e.g., defined acronyms like MARC, CVD). If anything was unclear, that could be a blind spot. For example, readers might not know terms like “vanna” (we gave context but it’s technical). Usually, an in-person briefing would accompany a report of this depth to address questions.</w:t>
      </w:r>
    </w:p>
    <w:p>
      <w:pPr>
        <w:pStyle w:val="FirstParagraph"/>
      </w:pPr>
      <w:r>
        <w:t xml:space="preserve">Overall, the data and analysis are as comprehensive and up-to-date as possible for Dec 16, 2025. Regular updates and risk monitoring as described will keep it that way.</w:t>
      </w:r>
    </w:p>
    <w:bookmarkEnd w:id="176"/>
    <w:bookmarkEnd w:id="177"/>
    <w:p>
      <w:r>
        <w:pict>
          <v:rect style="width:0;height:1.5pt" o:hralign="center" o:hrstd="t" o:hr="t"/>
        </w:pict>
      </w:r>
    </w:p>
    <w:bookmarkStart w:id="216" w:name="citations"/>
    <w:p>
      <w:pPr>
        <w:pStyle w:val="FirstParagraph"/>
      </w:pPr>
      <w:hyperlink r:id="rId21">
        <w:r>
          <w:rPr>
            <w:rStyle w:val="Hyperlink"/>
          </w:rPr>
          <w:t xml:space="preserve">[1]</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43">
        <w:r>
          <w:rPr>
            <w:rStyle w:val="Hyperlink"/>
          </w:rPr>
          <w:t xml:space="preserve">[25]</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hyperlink r:id="rId64">
        <w:r>
          <w:rPr>
            <w:rStyle w:val="Hyperlink"/>
          </w:rPr>
          <w:t xml:space="preserve">[46]</w:t>
        </w:r>
      </w:hyperlink>
      <w:r>
        <w:t xml:space="preserve"> </w:t>
      </w:r>
      <w:hyperlink r:id="rId125">
        <w:r>
          <w:rPr>
            <w:rStyle w:val="Hyperlink"/>
          </w:rPr>
          <w:t xml:space="preserve">[104]</w:t>
        </w:r>
      </w:hyperlink>
      <w:r>
        <w:t xml:space="preserve"> </w:t>
      </w:r>
      <w:r>
        <w:t xml:space="preserve">Crypto Market Update: Fed Cuts Rates Again, Traders Stay Cautious | INN</w:t>
      </w:r>
    </w:p>
    <w:p>
      <w:pPr>
        <w:pStyle w:val="BodyText"/>
      </w:pPr>
      <w:hyperlink r:id="rId178">
        <w:r>
          <w:rPr>
            <w:rStyle w:val="Hyperlink"/>
          </w:rPr>
          <w:t xml:space="preserve">https://investingnews.com/cryptocurrency-market-recap-12122025-rate-cut/</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66">
        <w:r>
          <w:rPr>
            <w:rStyle w:val="Hyperlink"/>
          </w:rPr>
          <w:t xml:space="preserve">[48]</w:t>
        </w:r>
      </w:hyperlink>
      <w:r>
        <w:t xml:space="preserve"> </w:t>
      </w:r>
      <w:hyperlink r:id="rId92">
        <w:r>
          <w:rPr>
            <w:rStyle w:val="Hyperlink"/>
          </w:rPr>
          <w:t xml:space="preserve">[75]</w:t>
        </w:r>
      </w:hyperlink>
      <w:r>
        <w:t xml:space="preserve"> </w:t>
      </w:r>
      <w:r>
        <w:t xml:space="preserve">Crypto Market Liquidity Shrinks Ahead of Holidays - Decrypt</w:t>
      </w:r>
    </w:p>
    <w:p>
      <w:pPr>
        <w:pStyle w:val="BodyText"/>
      </w:pPr>
      <w:hyperlink r:id="rId179">
        <w:r>
          <w:rPr>
            <w:rStyle w:val="Hyperlink"/>
          </w:rPr>
          <w:t xml:space="preserve">https://decrypt.co/352522/crypto-market-liquidity-shrinks-ahead-of-holidays</w:t>
        </w:r>
      </w:hyperlink>
    </w:p>
    <w:p>
      <w:pPr>
        <w:pStyle w:val="BodyText"/>
      </w:pPr>
      <w:hyperlink r:id="rId23">
        <w:r>
          <w:rPr>
            <w:rStyle w:val="Hyperlink"/>
          </w:rPr>
          <w:t xml:space="preserve">[3]</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2">
        <w:r>
          <w:rPr>
            <w:rStyle w:val="Hyperlink"/>
          </w:rPr>
          <w:t xml:space="preserve">[23]</w:t>
        </w:r>
      </w:hyperlink>
      <w:r>
        <w:t xml:space="preserve"> </w:t>
      </w:r>
      <w:hyperlink r:id="rId42">
        <w:r>
          <w:rPr>
            <w:rStyle w:val="Hyperlink"/>
          </w:rPr>
          <w:t xml:space="preserve">[24]</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hyperlink r:id="rId60">
        <w:r>
          <w:rPr>
            <w:rStyle w:val="Hyperlink"/>
          </w:rPr>
          <w:t xml:space="preserve">[42]</w:t>
        </w:r>
      </w:hyperlink>
      <w:r>
        <w:t xml:space="preserve"> </w:t>
      </w:r>
      <w:hyperlink r:id="rId69">
        <w:r>
          <w:rPr>
            <w:rStyle w:val="Hyperlink"/>
          </w:rPr>
          <w:t xml:space="preserve">[52]</w:t>
        </w:r>
      </w:hyperlink>
      <w:r>
        <w:t xml:space="preserve"> </w:t>
      </w:r>
      <w:hyperlink r:id="rId74">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r>
        <w:t xml:space="preserve">Bitcoin's 2025 rollercoaster may end on a low | Reuters</w:t>
      </w:r>
    </w:p>
    <w:p>
      <w:pPr>
        <w:pStyle w:val="BodyText"/>
      </w:pPr>
      <w:hyperlink r:id="rId180">
        <w:r>
          <w:rPr>
            <w:rStyle w:val="Hyperlink"/>
          </w:rPr>
          <w:t xml:space="preserve">https://www.reuters.com/business/finance/bitcoins-2025-rollercoaster-may-end-low-2025-12-09/</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4">
        <w:r>
          <w:rPr>
            <w:rStyle w:val="Hyperlink"/>
          </w:rPr>
          <w:t xml:space="preserve">[22]</w:t>
        </w:r>
      </w:hyperlink>
      <w:r>
        <w:t xml:space="preserve"> </w:t>
      </w:r>
      <w:hyperlink r:id="rId73">
        <w:r>
          <w:rPr>
            <w:rStyle w:val="Hyperlink"/>
          </w:rPr>
          <w:t xml:space="preserve">[56]</w:t>
        </w:r>
      </w:hyperlink>
      <w:r>
        <w:t xml:space="preserve"> </w:t>
      </w:r>
      <w:hyperlink r:id="rId81">
        <w:r>
          <w:rPr>
            <w:rStyle w:val="Hyperlink"/>
          </w:rPr>
          <w:t xml:space="preserve">[63]</w:t>
        </w:r>
      </w:hyperlink>
      <w:r>
        <w:t xml:space="preserve"> </w:t>
      </w:r>
      <w:hyperlink r:id="rId96">
        <w:r>
          <w:rPr>
            <w:rStyle w:val="Hyperlink"/>
          </w:rPr>
          <w:t xml:space="preserve">[79]</w:t>
        </w:r>
      </w:hyperlink>
      <w:r>
        <w:t xml:space="preserve"> </w:t>
      </w:r>
      <w:r>
        <w:t xml:space="preserve">November 2025 Crypto Correction: Contained Shock Or Systemic Risk? | MEXC</w:t>
      </w:r>
    </w:p>
    <w:p>
      <w:pPr>
        <w:pStyle w:val="BodyText"/>
      </w:pPr>
      <w:hyperlink r:id="rId181">
        <w:r>
          <w:rPr>
            <w:rStyle w:val="Hyperlink"/>
          </w:rPr>
          <w:t xml:space="preserve">https://blog.mexc.com/news/november-2025-crypto-correction-contained-shock-or-systemic-risk/</w:t>
        </w:r>
      </w:hyperlink>
    </w:p>
    <w:p>
      <w:pPr>
        <w:pStyle w:val="BodyText"/>
      </w:pPr>
      <w:hyperlink r:id="rId33">
        <w:r>
          <w:rPr>
            <w:rStyle w:val="Hyperlink"/>
          </w:rPr>
          <w:t xml:space="preserve">[13]</w:t>
        </w:r>
      </w:hyperlink>
      <w:r>
        <w:t xml:space="preserve"> </w:t>
      </w:r>
      <w:hyperlink r:id="rId44">
        <w:r>
          <w:rPr>
            <w:rStyle w:val="Hyperlink"/>
          </w:rPr>
          <w:t xml:space="preserve">[26]</w:t>
        </w:r>
      </w:hyperlink>
      <w:r>
        <w:t xml:space="preserve"> </w:t>
      </w:r>
      <w:hyperlink r:id="rId65">
        <w:r>
          <w:rPr>
            <w:rStyle w:val="Hyperlink"/>
          </w:rPr>
          <w:t xml:space="preserve">[47]</w:t>
        </w:r>
      </w:hyperlink>
      <w:r>
        <w:t xml:space="preserve"> </w:t>
      </w:r>
      <w:hyperlink r:id="rId67">
        <w:r>
          <w:rPr>
            <w:rStyle w:val="Hyperlink"/>
          </w:rPr>
          <w:t xml:space="preserve">[49]</w:t>
        </w:r>
      </w:hyperlink>
      <w:r>
        <w:t xml:space="preserve"> </w:t>
      </w:r>
      <w:hyperlink r:id="rId65">
        <w:r>
          <w:rPr>
            <w:rStyle w:val="Hyperlink"/>
          </w:rPr>
          <w:t xml:space="preserve">[50]</w:t>
        </w:r>
      </w:hyperlink>
      <w:r>
        <w:t xml:space="preserve"> </w:t>
      </w:r>
      <w:hyperlink r:id="rId68">
        <w:r>
          <w:rPr>
            <w:rStyle w:val="Hyperlink"/>
          </w:rPr>
          <w:t xml:space="preserve">[51]</w:t>
        </w:r>
      </w:hyperlink>
      <w:r>
        <w:t xml:space="preserve"> </w:t>
      </w:r>
      <w:hyperlink r:id="rId83">
        <w:r>
          <w:rPr>
            <w:rStyle w:val="Hyperlink"/>
          </w:rPr>
          <w:t xml:space="preserve">[65]</w:t>
        </w:r>
      </w:hyperlink>
      <w:r>
        <w:t xml:space="preserve"> </w:t>
      </w:r>
      <w:hyperlink r:id="rId65">
        <w:r>
          <w:rPr>
            <w:rStyle w:val="Hyperlink"/>
          </w:rPr>
          <w:t xml:space="preserve">[66]</w:t>
        </w:r>
      </w:hyperlink>
      <w:r>
        <w:t xml:space="preserve"> </w:t>
      </w:r>
      <w:hyperlink r:id="rId85">
        <w:r>
          <w:rPr>
            <w:rStyle w:val="Hyperlink"/>
          </w:rPr>
          <w:t xml:space="preserve">[68]</w:t>
        </w:r>
      </w:hyperlink>
      <w:r>
        <w:t xml:space="preserve"> </w:t>
      </w:r>
      <w:hyperlink r:id="rId87">
        <w:r>
          <w:rPr>
            <w:rStyle w:val="Hyperlink"/>
          </w:rPr>
          <w:t xml:space="preserve">[70]</w:t>
        </w:r>
      </w:hyperlink>
      <w:r>
        <w:t xml:space="preserve"> </w:t>
      </w:r>
      <w:hyperlink r:id="rId175">
        <w:r>
          <w:rPr>
            <w:rStyle w:val="Hyperlink"/>
          </w:rPr>
          <w:t xml:space="preserve">[155]</w:t>
        </w:r>
      </w:hyperlink>
      <w:r>
        <w:t xml:space="preserve"> </w:t>
      </w:r>
      <w:r>
        <w:t xml:space="preserve">Glassnode – Telegram</w:t>
      </w:r>
    </w:p>
    <w:p>
      <w:pPr>
        <w:pStyle w:val="BodyText"/>
      </w:pPr>
      <w:hyperlink r:id="rId182">
        <w:r>
          <w:rPr>
            <w:rStyle w:val="Hyperlink"/>
          </w:rPr>
          <w:t xml:space="preserve">https://t.me/s/glassnode?before=1458</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39">
        <w:r>
          <w:rPr>
            <w:rStyle w:val="Hyperlink"/>
          </w:rPr>
          <w:t xml:space="preserve">[69]</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r>
        <w:t xml:space="preserve">CoinStats - Bitcoin ETFs Bleed $187M Despite STH Accumula...</w:t>
      </w:r>
    </w:p>
    <w:p>
      <w:pPr>
        <w:pStyle w:val="BodyText"/>
      </w:pPr>
      <w:hyperlink r:id="rId183">
        <w:r>
          <w:rPr>
            <w:rStyle w:val="Hyperlink"/>
          </w:rPr>
          <w:t xml:space="preserve">https://coinstats.app/news/3135f27873a1c6db77c5a638030e8d16285fb5b5733a810a118e6ed9adaa564c_Bitcoin-ETFs-Bleed-187M-Despite-STH-Accumulation-BTC-Crashes-to-104K/</w:t>
        </w:r>
      </w:hyperlink>
    </w:p>
    <w:p>
      <w:pPr>
        <w:pStyle w:val="BodyText"/>
      </w:pPr>
      <w:hyperlink r:id="rId53">
        <w:r>
          <w:rPr>
            <w:rStyle w:val="Hyperlink"/>
          </w:rPr>
          <w:t xml:space="preserve">[35]</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120">
        <w:r>
          <w:rPr>
            <w:rStyle w:val="Hyperlink"/>
          </w:rPr>
          <w:t xml:space="preserve">[99]</w:t>
        </w:r>
      </w:hyperlink>
      <w:r>
        <w:t xml:space="preserve"> </w:t>
      </w:r>
      <w:hyperlink r:id="rId158">
        <w:r>
          <w:rPr>
            <w:rStyle w:val="Hyperlink"/>
          </w:rPr>
          <w:t xml:space="preserve">[136]</w:t>
        </w:r>
      </w:hyperlink>
      <w:r>
        <w:t xml:space="preserve"> </w:t>
      </w:r>
      <w:hyperlink r:id="rId158">
        <w:r>
          <w:rPr>
            <w:rStyle w:val="Hyperlink"/>
          </w:rPr>
          <w:t xml:space="preserve">[137]</w:t>
        </w:r>
      </w:hyperlink>
      <w:r>
        <w:t xml:space="preserve"> </w:t>
      </w:r>
      <w:r>
        <w:t xml:space="preserve">Tether's 2025 Profits Surpass $10 Billion as Stablecoin Dominance Grows - Brave New Coin</w:t>
      </w:r>
    </w:p>
    <w:p>
      <w:pPr>
        <w:pStyle w:val="BodyText"/>
      </w:pPr>
      <w:hyperlink r:id="rId184">
        <w:r>
          <w:rPr>
            <w:rStyle w:val="Hyperlink"/>
          </w:rPr>
          <w:t xml:space="preserve">https://bravenewcoin.com/insights/tethers-2025-profits-surpass-10-billion-as-stablecoin-dominance-grows</w:t>
        </w:r>
      </w:hyperlink>
    </w:p>
    <w:p>
      <w:pPr>
        <w:pStyle w:val="BodyText"/>
      </w:pPr>
      <w:hyperlink r:id="rId54">
        <w:r>
          <w:rPr>
            <w:rStyle w:val="Hyperlink"/>
          </w:rPr>
          <w:t xml:space="preserve">[36]</w:t>
        </w:r>
      </w:hyperlink>
      <w:r>
        <w:t xml:space="preserve"> </w:t>
      </w:r>
      <w:r>
        <w:t xml:space="preserve">Tether Reports $10B+ YTD Profit And $6.8B Excess Reserves</w:t>
      </w:r>
    </w:p>
    <w:p>
      <w:pPr>
        <w:pStyle w:val="BodyText"/>
      </w:pPr>
      <w:hyperlink r:id="rId185">
        <w:r>
          <w:rPr>
            <w:rStyle w:val="Hyperlink"/>
          </w:rPr>
          <w:t xml:space="preserve">https://finance.yahoo.com/news/tether-reports-10b-ytd-profit-164323807.html</w:t>
        </w:r>
      </w:hyperlink>
    </w:p>
    <w:p>
      <w:pPr>
        <w:pStyle w:val="BodyText"/>
      </w:pPr>
      <w:hyperlink r:id="rId59">
        <w:r>
          <w:rPr>
            <w:rStyle w:val="Hyperlink"/>
          </w:rPr>
          <w:t xml:space="preserve">[41]</w:t>
        </w:r>
      </w:hyperlink>
      <w:r>
        <w:t xml:space="preserve"> </w:t>
      </w:r>
      <w:hyperlink r:id="rId93">
        <w:r>
          <w:rPr>
            <w:rStyle w:val="Hyperlink"/>
          </w:rPr>
          <w:t xml:space="preserve">[76]</w:t>
        </w:r>
      </w:hyperlink>
      <w:r>
        <w:t xml:space="preserve"> </w:t>
      </w:r>
      <w:hyperlink r:id="rId172">
        <w:r>
          <w:rPr>
            <w:rStyle w:val="Hyperlink"/>
          </w:rPr>
          <w:t xml:space="preserve">[153]</w:t>
        </w:r>
      </w:hyperlink>
      <w:r>
        <w:t xml:space="preserve"> </w:t>
      </w:r>
      <w:hyperlink r:id="rId173">
        <w:r>
          <w:rPr>
            <w:rStyle w:val="Hyperlink"/>
          </w:rPr>
          <w:t xml:space="preserve">[154]</w:t>
        </w:r>
      </w:hyperlink>
      <w:r>
        <w:t xml:space="preserve"> </w:t>
      </w:r>
      <w:r>
        <w:t xml:space="preserve">Strategy Announces Third Quarter 2025 Financial Results; Net Income of $2.8 Billion and Diluted EPS of $8.42</w:t>
      </w:r>
    </w:p>
    <w:p>
      <w:pPr>
        <w:pStyle w:val="BodyText"/>
      </w:pPr>
      <w:hyperlink r:id="rId186">
        <w:r>
          <w:rPr>
            <w:rStyle w:val="Hyperlink"/>
          </w:rPr>
          <w:t xml:space="preserve">https://www.businesswire.com/news/home/20251030699813/en/Strategy-Announces-Third-Quarter-2025-Financial-Results-Net-Income-of-%242.8-Billion-and-Diluted-EPS-of-%248.42</w:t>
        </w:r>
      </w:hyperlink>
    </w:p>
    <w:p>
      <w:pPr>
        <w:pStyle w:val="BodyText"/>
      </w:pPr>
      <w:hyperlink r:id="rId61">
        <w:r>
          <w:rPr>
            <w:rStyle w:val="Hyperlink"/>
          </w:rPr>
          <w:t xml:space="preserve">[43]</w:t>
        </w:r>
      </w:hyperlink>
      <w:r>
        <w:t xml:space="preserve"> </w:t>
      </w:r>
      <w:hyperlink r:id="rId62">
        <w:r>
          <w:rPr>
            <w:rStyle w:val="Hyperlink"/>
          </w:rPr>
          <w:t xml:space="preserve">[44]</w:t>
        </w:r>
      </w:hyperlink>
      <w:r>
        <w:t xml:space="preserve"> </w:t>
      </w:r>
      <w:hyperlink r:id="rId165">
        <w:r>
          <w:rPr>
            <w:rStyle w:val="Hyperlink"/>
          </w:rPr>
          <w:t xml:space="preserve">[144]</w:t>
        </w:r>
      </w:hyperlink>
      <w:r>
        <w:t xml:space="preserve"> </w:t>
      </w:r>
      <w:hyperlink r:id="rId62">
        <w:r>
          <w:rPr>
            <w:rStyle w:val="Hyperlink"/>
          </w:rPr>
          <w:t xml:space="preserve">[145]</w:t>
        </w:r>
      </w:hyperlink>
      <w:r>
        <w:t xml:space="preserve"> </w:t>
      </w:r>
      <w:r>
        <w:t xml:space="preserve">Tesla Reports $80M Bitcoin Profit in Q3 2025</w:t>
      </w:r>
    </w:p>
    <w:p>
      <w:pPr>
        <w:pStyle w:val="BodyText"/>
      </w:pPr>
      <w:hyperlink r:id="rId187">
        <w:r>
          <w:rPr>
            <w:rStyle w:val="Hyperlink"/>
          </w:rPr>
          <w:t xml:space="preserve">https://bitbo.io/news/tesla-bitcoin-q3-profit/</w:t>
        </w:r>
      </w:hyperlink>
    </w:p>
    <w:p>
      <w:pPr>
        <w:pStyle w:val="BodyText"/>
      </w:pPr>
      <w:hyperlink r:id="rId63">
        <w:r>
          <w:rPr>
            <w:rStyle w:val="Hyperlink"/>
          </w:rPr>
          <w:t xml:space="preserve">[45]</w:t>
        </w:r>
      </w:hyperlink>
      <w:r>
        <w:t xml:space="preserve"> </w:t>
      </w:r>
      <w:r>
        <w:t xml:space="preserve">MARA Announces Third Quarter 2025 Results</w:t>
      </w:r>
    </w:p>
    <w:p>
      <w:pPr>
        <w:pStyle w:val="BodyText"/>
      </w:pPr>
      <w:hyperlink r:id="rId188">
        <w:r>
          <w:rPr>
            <w:rStyle w:val="Hyperlink"/>
          </w:rPr>
          <w:t xml:space="preserve">https://ir.mara.com/news-events/press-releases/detail/1413/mara-announcesthird-quarter-2025-results</w:t>
        </w:r>
      </w:hyperlink>
    </w:p>
    <w:p>
      <w:pPr>
        <w:pStyle w:val="BodyText"/>
      </w:pPr>
      <w:hyperlink r:id="rId70">
        <w:r>
          <w:rPr>
            <w:rStyle w:val="Hyperlink"/>
          </w:rPr>
          <w:t xml:space="preserve">[53]</w:t>
        </w:r>
      </w:hyperlink>
      <w:r>
        <w:t xml:space="preserve"> </w:t>
      </w:r>
      <w:hyperlink r:id="rId70">
        <w:r>
          <w:rPr>
            <w:rStyle w:val="Hyperlink"/>
          </w:rPr>
          <w:t xml:space="preserve">[60]</w:t>
        </w:r>
      </w:hyperlink>
      <w:r>
        <w:t xml:space="preserve"> </w:t>
      </w:r>
      <w:r>
        <w:t xml:space="preserve">The Dollar Is Back — And Bitcoin May Be in Trouble - TodayOnChain</w:t>
      </w:r>
    </w:p>
    <w:p>
      <w:pPr>
        <w:pStyle w:val="BodyText"/>
      </w:pPr>
      <w:hyperlink r:id="rId189">
        <w:r>
          <w:rPr>
            <w:rStyle w:val="Hyperlink"/>
          </w:rPr>
          <w:t xml:space="preserve">https://www.todayonchain.com/news/article/01K972FM817B96CDBCSSG9MXYG/</w:t>
        </w:r>
      </w:hyperlink>
    </w:p>
    <w:p>
      <w:pPr>
        <w:pStyle w:val="BodyText"/>
      </w:pPr>
      <w:hyperlink r:id="rId71">
        <w:r>
          <w:rPr>
            <w:rStyle w:val="Hyperlink"/>
          </w:rPr>
          <w:t xml:space="preserve">[54]</w:t>
        </w:r>
      </w:hyperlink>
      <w:r>
        <w:t xml:space="preserve"> </w:t>
      </w:r>
      <w:hyperlink r:id="rId72">
        <w:r>
          <w:rPr>
            <w:rStyle w:val="Hyperlink"/>
          </w:rPr>
          <w:t xml:space="preserve">[55]</w:t>
        </w:r>
      </w:hyperlink>
      <w:r>
        <w:t xml:space="preserve"> </w:t>
      </w:r>
      <w:hyperlink r:id="rId112">
        <w:r>
          <w:rPr>
            <w:rStyle w:val="Hyperlink"/>
          </w:rPr>
          <w:t xml:space="preserve">[92]</w:t>
        </w:r>
      </w:hyperlink>
      <w:r>
        <w:t xml:space="preserve"> </w:t>
      </w:r>
      <w:hyperlink r:id="rId113">
        <w:r>
          <w:rPr>
            <w:rStyle w:val="Hyperlink"/>
          </w:rPr>
          <w:t xml:space="preserve">[93]</w:t>
        </w:r>
      </w:hyperlink>
      <w:r>
        <w:t xml:space="preserve"> </w:t>
      </w:r>
      <w:hyperlink r:id="rId114">
        <w:r>
          <w:rPr>
            <w:rStyle w:val="Hyperlink"/>
          </w:rPr>
          <w:t xml:space="preserve">[94]</w:t>
        </w:r>
      </w:hyperlink>
      <w:r>
        <w:t xml:space="preserve"> </w:t>
      </w:r>
      <w:hyperlink r:id="rId118">
        <w:r>
          <w:rPr>
            <w:rStyle w:val="Hyperlink"/>
          </w:rPr>
          <w:t xml:space="preserve">[97]</w:t>
        </w:r>
      </w:hyperlink>
      <w:r>
        <w:t xml:space="preserve"> </w:t>
      </w:r>
      <w:hyperlink r:id="rId119">
        <w:r>
          <w:rPr>
            <w:rStyle w:val="Hyperlink"/>
          </w:rPr>
          <w:t xml:space="preserve">[98]</w:t>
        </w:r>
      </w:hyperlink>
      <w:r>
        <w:t xml:space="preserve"> </w:t>
      </w:r>
      <w:hyperlink r:id="rId121">
        <w:r>
          <w:rPr>
            <w:rStyle w:val="Hyperlink"/>
          </w:rPr>
          <w:t xml:space="preserve">[100]</w:t>
        </w:r>
      </w:hyperlink>
      <w:r>
        <w:t xml:space="preserve"> </w:t>
      </w:r>
      <w:hyperlink r:id="rId122">
        <w:r>
          <w:rPr>
            <w:rStyle w:val="Hyperlink"/>
          </w:rPr>
          <w:t xml:space="preserve">[101]</w:t>
        </w:r>
      </w:hyperlink>
      <w:r>
        <w:t xml:space="preserve"> </w:t>
      </w:r>
      <w:hyperlink r:id="rId123">
        <w:r>
          <w:rPr>
            <w:rStyle w:val="Hyperlink"/>
          </w:rPr>
          <w:t xml:space="preserve">[102]</w:t>
        </w:r>
      </w:hyperlink>
      <w:r>
        <w:t xml:space="preserve"> </w:t>
      </w:r>
      <w:hyperlink r:id="rId126">
        <w:r>
          <w:rPr>
            <w:rStyle w:val="Hyperlink"/>
          </w:rPr>
          <w:t xml:space="preserve">[105]</w:t>
        </w:r>
      </w:hyperlink>
      <w:r>
        <w:t xml:space="preserve"> </w:t>
      </w:r>
      <w:hyperlink r:id="rId127">
        <w:r>
          <w:rPr>
            <w:rStyle w:val="Hyperlink"/>
          </w:rPr>
          <w:t xml:space="preserve">[106]</w:t>
        </w:r>
      </w:hyperlink>
      <w:r>
        <w:t xml:space="preserve"> </w:t>
      </w:r>
      <w:hyperlink r:id="rId128">
        <w:r>
          <w:rPr>
            <w:rStyle w:val="Hyperlink"/>
          </w:rPr>
          <w:t xml:space="preserve">[107]</w:t>
        </w:r>
      </w:hyperlink>
      <w:r>
        <w:t xml:space="preserve"> </w:t>
      </w:r>
      <w:hyperlink r:id="rId129">
        <w:r>
          <w:rPr>
            <w:rStyle w:val="Hyperlink"/>
          </w:rPr>
          <w:t xml:space="preserve">[108]</w:t>
        </w:r>
      </w:hyperlink>
      <w:r>
        <w:t xml:space="preserve"> </w:t>
      </w:r>
      <w:hyperlink r:id="rId130">
        <w:r>
          <w:rPr>
            <w:rStyle w:val="Hyperlink"/>
          </w:rPr>
          <w:t xml:space="preserve">[109]</w:t>
        </w:r>
      </w:hyperlink>
      <w:r>
        <w:t xml:space="preserve"> </w:t>
      </w:r>
      <w:hyperlink r:id="rId131">
        <w:r>
          <w:rPr>
            <w:rStyle w:val="Hyperlink"/>
          </w:rPr>
          <w:t xml:space="preserve">[110]</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hyperlink r:id="rId134">
        <w:r>
          <w:rPr>
            <w:rStyle w:val="Hyperlink"/>
          </w:rPr>
          <w:t xml:space="preserve">[113]</w:t>
        </w:r>
      </w:hyperlink>
      <w:r>
        <w:t xml:space="preserve"> </w:t>
      </w:r>
      <w:hyperlink r:id="rId135">
        <w:r>
          <w:rPr>
            <w:rStyle w:val="Hyperlink"/>
          </w:rPr>
          <w:t xml:space="preserve">[114]</w:t>
        </w:r>
      </w:hyperlink>
      <w:r>
        <w:t xml:space="preserve"> </w:t>
      </w:r>
      <w:hyperlink r:id="rId136">
        <w:r>
          <w:rPr>
            <w:rStyle w:val="Hyperlink"/>
          </w:rPr>
          <w:t xml:space="preserve">[115]</w:t>
        </w:r>
      </w:hyperlink>
      <w:r>
        <w:t xml:space="preserve"> </w:t>
      </w:r>
      <w:hyperlink r:id="rId137">
        <w:r>
          <w:rPr>
            <w:rStyle w:val="Hyperlink"/>
          </w:rPr>
          <w:t xml:space="preserve">[116]</w:t>
        </w:r>
      </w:hyperlink>
      <w:r>
        <w:t xml:space="preserve"> </w:t>
      </w:r>
      <w:hyperlink r:id="rId138">
        <w:r>
          <w:rPr>
            <w:rStyle w:val="Hyperlink"/>
          </w:rPr>
          <w:t xml:space="preserve">[117]</w:t>
        </w:r>
      </w:hyperlink>
      <w:r>
        <w:t xml:space="preserve"> </w:t>
      </w:r>
      <w:hyperlink r:id="rId139">
        <w:r>
          <w:rPr>
            <w:rStyle w:val="Hyperlink"/>
          </w:rPr>
          <w:t xml:space="preserve">[118]</w:t>
        </w:r>
      </w:hyperlink>
      <w:r>
        <w:t xml:space="preserve"> </w:t>
      </w:r>
      <w:hyperlink r:id="rId140">
        <w:r>
          <w:rPr>
            <w:rStyle w:val="Hyperlink"/>
          </w:rPr>
          <w:t xml:space="preserve">[119]</w:t>
        </w:r>
      </w:hyperlink>
      <w:r>
        <w:t xml:space="preserve"> </w:t>
      </w:r>
      <w:hyperlink r:id="rId141">
        <w:r>
          <w:rPr>
            <w:rStyle w:val="Hyperlink"/>
          </w:rPr>
          <w:t xml:space="preserve">[120]</w:t>
        </w:r>
      </w:hyperlink>
      <w:r>
        <w:t xml:space="preserve"> </w:t>
      </w:r>
      <w:hyperlink r:id="rId142">
        <w:r>
          <w:rPr>
            <w:rStyle w:val="Hyperlink"/>
          </w:rPr>
          <w:t xml:space="preserve">[121]</w:t>
        </w:r>
      </w:hyperlink>
      <w:r>
        <w:t xml:space="preserve"> </w:t>
      </w:r>
      <w:hyperlink r:id="rId143">
        <w:r>
          <w:rPr>
            <w:rStyle w:val="Hyperlink"/>
          </w:rPr>
          <w:t xml:space="preserve">[122]</w:t>
        </w:r>
      </w:hyperlink>
      <w:r>
        <w:t xml:space="preserve"> </w:t>
      </w:r>
      <w:hyperlink r:id="rId144">
        <w:r>
          <w:rPr>
            <w:rStyle w:val="Hyperlink"/>
          </w:rPr>
          <w:t xml:space="preserve">[123]</w:t>
        </w:r>
      </w:hyperlink>
      <w:r>
        <w:t xml:space="preserve"> </w:t>
      </w:r>
      <w:hyperlink r:id="rId145">
        <w:r>
          <w:rPr>
            <w:rStyle w:val="Hyperlink"/>
          </w:rPr>
          <w:t xml:space="preserve">[124]</w:t>
        </w:r>
      </w:hyperlink>
      <w:r>
        <w:t xml:space="preserve"> </w:t>
      </w:r>
      <w:hyperlink r:id="rId146">
        <w:r>
          <w:rPr>
            <w:rStyle w:val="Hyperlink"/>
          </w:rPr>
          <w:t xml:space="preserve">[125]</w:t>
        </w:r>
      </w:hyperlink>
      <w:r>
        <w:t xml:space="preserve"> </w:t>
      </w:r>
      <w:hyperlink r:id="rId147">
        <w:r>
          <w:rPr>
            <w:rStyle w:val="Hyperlink"/>
          </w:rPr>
          <w:t xml:space="preserve">[126]</w:t>
        </w:r>
      </w:hyperlink>
      <w:r>
        <w:t xml:space="preserve"> </w:t>
      </w:r>
      <w:hyperlink r:id="rId148">
        <w:r>
          <w:rPr>
            <w:rStyle w:val="Hyperlink"/>
          </w:rPr>
          <w:t xml:space="preserve">[127]</w:t>
        </w:r>
      </w:hyperlink>
      <w:r>
        <w:t xml:space="preserve"> </w:t>
      </w:r>
      <w:hyperlink r:id="rId149">
        <w:r>
          <w:rPr>
            <w:rStyle w:val="Hyperlink"/>
          </w:rPr>
          <w:t xml:space="preserve">[128]</w:t>
        </w:r>
      </w:hyperlink>
      <w:r>
        <w:t xml:space="preserve"> </w:t>
      </w:r>
      <w:hyperlink r:id="rId150">
        <w:r>
          <w:rPr>
            <w:rStyle w:val="Hyperlink"/>
          </w:rPr>
          <w:t xml:space="preserve">[129]</w:t>
        </w:r>
      </w:hyperlink>
      <w:r>
        <w:t xml:space="preserve"> </w:t>
      </w:r>
      <w:hyperlink r:id="rId151">
        <w:r>
          <w:rPr>
            <w:rStyle w:val="Hyperlink"/>
          </w:rPr>
          <w:t xml:space="preserve">[130]</w:t>
        </w:r>
      </w:hyperlink>
      <w:r>
        <w:t xml:space="preserve"> </w:t>
      </w:r>
      <w:hyperlink r:id="rId152">
        <w:r>
          <w:rPr>
            <w:rStyle w:val="Hyperlink"/>
          </w:rPr>
          <w:t xml:space="preserve">[131]</w:t>
        </w:r>
      </w:hyperlink>
      <w:r>
        <w:t xml:space="preserve"> </w:t>
      </w:r>
      <w:hyperlink r:id="rId153">
        <w:r>
          <w:rPr>
            <w:rStyle w:val="Hyperlink"/>
          </w:rPr>
          <w:t xml:space="preserve">[132]</w:t>
        </w:r>
      </w:hyperlink>
      <w:r>
        <w:t xml:space="preserve"> </w:t>
      </w:r>
      <w:hyperlink r:id="rId154">
        <w:r>
          <w:rPr>
            <w:rStyle w:val="Hyperlink"/>
          </w:rPr>
          <w:t xml:space="preserve">[133]</w:t>
        </w:r>
      </w:hyperlink>
      <w:r>
        <w:t xml:space="preserve"> </w:t>
      </w:r>
      <w:hyperlink r:id="rId155">
        <w:r>
          <w:rPr>
            <w:rStyle w:val="Hyperlink"/>
          </w:rPr>
          <w:t xml:space="preserve">[134]</w:t>
        </w:r>
      </w:hyperlink>
      <w:r>
        <w:t xml:space="preserve"> </w:t>
      </w:r>
      <w:hyperlink r:id="rId156">
        <w:r>
          <w:rPr>
            <w:rStyle w:val="Hyperlink"/>
          </w:rPr>
          <w:t xml:space="preserve">[135]</w:t>
        </w:r>
      </w:hyperlink>
      <w:r>
        <w:t xml:space="preserve"> </w:t>
      </w:r>
      <w:r>
        <w:t xml:space="preserve">Global Crypto Policy Review Outlook 2025/26 Report | TRM Labs</w:t>
      </w:r>
    </w:p>
    <w:p>
      <w:pPr>
        <w:pStyle w:val="BodyText"/>
      </w:pPr>
      <w:hyperlink r:id="rId190">
        <w:r>
          <w:rPr>
            <w:rStyle w:val="Hyperlink"/>
          </w:rPr>
          <w:t xml:space="preserve">https://www.trmlabs.com/reports-and-whitepapers/global-crypto-policy-review-outlook-2025-26</w:t>
        </w:r>
      </w:hyperlink>
    </w:p>
    <w:p>
      <w:pPr>
        <w:pStyle w:val="BodyText"/>
      </w:pPr>
      <w:hyperlink r:id="rId79">
        <w:r>
          <w:rPr>
            <w:rStyle w:val="Hyperlink"/>
          </w:rPr>
          <w:t xml:space="preserve">[61]</w:t>
        </w:r>
      </w:hyperlink>
      <w:r>
        <w:t xml:space="preserve"> </w:t>
      </w:r>
      <w:r>
        <w:t xml:space="preserve">Binance's Proof of Reserves Hits Two Years, Backed by $120B in 34 ...</w:t>
      </w:r>
    </w:p>
    <w:p>
      <w:pPr>
        <w:pStyle w:val="BodyText"/>
      </w:pPr>
      <w:hyperlink r:id="rId191">
        <w:r>
          <w:rPr>
            <w:rStyle w:val="Hyperlink"/>
          </w:rPr>
          <w:t xml:space="preserve">https://www.binance.com/en/square/post/2024-11-07-binance-s-proof-of-reserves-hits-two-years-backed-by-120b-in-34-assets-15923046320705</w:t>
        </w:r>
      </w:hyperlink>
    </w:p>
    <w:p>
      <w:pPr>
        <w:pStyle w:val="BodyText"/>
      </w:pPr>
      <w:hyperlink r:id="rId80">
        <w:r>
          <w:rPr>
            <w:rStyle w:val="Hyperlink"/>
          </w:rPr>
          <w:t xml:space="preserve">[62]</w:t>
        </w:r>
      </w:hyperlink>
      <w:r>
        <w:t xml:space="preserve"> </w:t>
      </w:r>
      <w:hyperlink r:id="rId107">
        <w:r>
          <w:rPr>
            <w:rStyle w:val="Hyperlink"/>
          </w:rPr>
          <w:t xml:space="preserve">[88]</w:t>
        </w:r>
      </w:hyperlink>
      <w:r>
        <w:t xml:space="preserve"> </w:t>
      </w:r>
      <w:hyperlink r:id="rId108">
        <w:r>
          <w:rPr>
            <w:rStyle w:val="Hyperlink"/>
          </w:rPr>
          <w:t xml:space="preserve">[89]</w:t>
        </w:r>
      </w:hyperlink>
      <w:r>
        <w:t xml:space="preserve"> </w:t>
      </w:r>
      <w:hyperlink r:id="rId109">
        <w:r>
          <w:rPr>
            <w:rStyle w:val="Hyperlink"/>
          </w:rPr>
          <w:t xml:space="preserve">[90]</w:t>
        </w:r>
      </w:hyperlink>
      <w:r>
        <w:t xml:space="preserve"> </w:t>
      </w:r>
      <w:r>
        <w:t xml:space="preserve">The Aftermath: What Happened to USDC - Kaiko - Research</w:t>
      </w:r>
    </w:p>
    <w:p>
      <w:pPr>
        <w:pStyle w:val="BodyText"/>
      </w:pPr>
      <w:hyperlink r:id="rId192">
        <w:r>
          <w:rPr>
            <w:rStyle w:val="Hyperlink"/>
          </w:rPr>
          <w:t xml:space="preserve">https://research.kaiko.com/insights/the-aftermath-what-happened-to-usdc</w:t>
        </w:r>
      </w:hyperlink>
    </w:p>
    <w:p>
      <w:pPr>
        <w:pStyle w:val="BodyText"/>
      </w:pPr>
      <w:hyperlink r:id="rId82">
        <w:r>
          <w:rPr>
            <w:rStyle w:val="Hyperlink"/>
          </w:rPr>
          <w:t xml:space="preserve">[64]</w:t>
        </w:r>
      </w:hyperlink>
      <w:r>
        <w:t xml:space="preserve"> </w:t>
      </w:r>
      <w:r>
        <w:t xml:space="preserve">High Level of Backwardation Hints at Bottom | MEXC News</w:t>
      </w:r>
    </w:p>
    <w:p>
      <w:pPr>
        <w:pStyle w:val="BodyText"/>
      </w:pPr>
      <w:hyperlink r:id="rId193">
        <w:r>
          <w:rPr>
            <w:rStyle w:val="Hyperlink"/>
          </w:rPr>
          <w:t xml:space="preserve">https://www.mexc.co/en-NG/news/223991</w:t>
        </w:r>
      </w:hyperlink>
    </w:p>
    <w:p>
      <w:pPr>
        <w:pStyle w:val="BodyText"/>
      </w:pPr>
      <w:hyperlink r:id="rId84">
        <w:r>
          <w:rPr>
            <w:rStyle w:val="Hyperlink"/>
          </w:rPr>
          <w:t xml:space="preserve">[67]</w:t>
        </w:r>
      </w:hyperlink>
      <w:r>
        <w:t xml:space="preserve"> </w:t>
      </w:r>
      <w:hyperlink r:id="rId105">
        <w:r>
          <w:rPr>
            <w:rStyle w:val="Hyperlink"/>
          </w:rPr>
          <w:t xml:space="preserve">[86]</w:t>
        </w:r>
      </w:hyperlink>
      <w:r>
        <w:t xml:space="preserve"> </w:t>
      </w:r>
      <w:r>
        <w:t xml:space="preserve">Adverse Selection in Cryptocurrency Markets by Murat Tiniç, Ahmet Şensoy, Erdin Akyildirim, Shaen Corbet :: SSRN</w:t>
      </w:r>
    </w:p>
    <w:p>
      <w:pPr>
        <w:pStyle w:val="BodyText"/>
      </w:pPr>
      <w:hyperlink r:id="rId194">
        <w:r>
          <w:rPr>
            <w:rStyle w:val="Hyperlink"/>
          </w:rPr>
          <w:t xml:space="preserve">https://papers.ssrn.com/sol3/papers.cfm?abstract_id=4175306</w:t>
        </w:r>
      </w:hyperlink>
    </w:p>
    <w:p>
      <w:pPr>
        <w:pStyle w:val="BodyText"/>
      </w:pPr>
      <w:hyperlink r:id="rId91">
        <w:r>
          <w:rPr>
            <w:rStyle w:val="Hyperlink"/>
          </w:rPr>
          <w:t xml:space="preserve">[74]</w:t>
        </w:r>
      </w:hyperlink>
      <w:r>
        <w:t xml:space="preserve"> </w:t>
      </w:r>
      <w:r>
        <w:t xml:space="preserve">Tether Holdings Limited - Bitcoin Treasury Holdings &amp; Analysis</w:t>
      </w:r>
    </w:p>
    <w:p>
      <w:pPr>
        <w:pStyle w:val="BodyText"/>
      </w:pPr>
      <w:hyperlink r:id="rId195">
        <w:r>
          <w:rPr>
            <w:rStyle w:val="Hyperlink"/>
          </w:rPr>
          <w:t xml:space="preserve">https://bitcointreasuries.net/private-companies/tether-holdings</w:t>
        </w:r>
      </w:hyperlink>
    </w:p>
    <w:p>
      <w:pPr>
        <w:pStyle w:val="BodyText"/>
      </w:pPr>
      <w:hyperlink r:id="rId94">
        <w:r>
          <w:rPr>
            <w:rStyle w:val="Hyperlink"/>
          </w:rPr>
          <w:t xml:space="preserve">[77]</w:t>
        </w:r>
      </w:hyperlink>
      <w:r>
        <w:t xml:space="preserve"> </w:t>
      </w:r>
      <w:r>
        <w:t xml:space="preserve">Strategy buys 10,645 bitcoin for $980 million as total holdings top ...</w:t>
      </w:r>
    </w:p>
    <w:p>
      <w:pPr>
        <w:pStyle w:val="BodyText"/>
      </w:pPr>
      <w:hyperlink r:id="rId196">
        <w:r>
          <w:rPr>
            <w:rStyle w:val="Hyperlink"/>
          </w:rPr>
          <w:t xml:space="preserve">https://blockspace.media/insight/strategy-buys-10645-bitcoin-for-980-million-as-total-holdings-top-671000/</w:t>
        </w:r>
      </w:hyperlink>
    </w:p>
    <w:p>
      <w:pPr>
        <w:pStyle w:val="BodyText"/>
      </w:pPr>
      <w:hyperlink r:id="rId95">
        <w:r>
          <w:rPr>
            <w:rStyle w:val="Hyperlink"/>
          </w:rPr>
          <w:t xml:space="preserve">[78]</w:t>
        </w:r>
      </w:hyperlink>
      <w:r>
        <w:t xml:space="preserve"> </w:t>
      </w:r>
      <w:r>
        <w:t xml:space="preserve">Q3 2025 Earnings Deck, dated as of October 30, 2025 - SEC.gov</w:t>
      </w:r>
    </w:p>
    <w:p>
      <w:pPr>
        <w:pStyle w:val="BodyText"/>
      </w:pPr>
      <w:hyperlink r:id="rId197">
        <w:r>
          <w:rPr>
            <w:rStyle w:val="Hyperlink"/>
          </w:rPr>
          <w:t xml:space="preserve">https://www.sec.gov/Archives/edgar/data/1167419/000110465925104461/riot-20251030xex99d2.htm</w:t>
        </w:r>
      </w:hyperlink>
    </w:p>
    <w:p>
      <w:pPr>
        <w:pStyle w:val="BodyText"/>
      </w:pPr>
      <w:hyperlink r:id="rId100">
        <w:r>
          <w:rPr>
            <w:rStyle w:val="Hyperlink"/>
          </w:rPr>
          <w:t xml:space="preserve">[80]</w:t>
        </w:r>
      </w:hyperlink>
      <w:r>
        <w:t xml:space="preserve"> </w:t>
      </w:r>
      <w:hyperlink r:id="rId101">
        <w:r>
          <w:rPr>
            <w:rStyle w:val="Hyperlink"/>
          </w:rPr>
          <w:t xml:space="preserve">[81]</w:t>
        </w:r>
      </w:hyperlink>
      <w:r>
        <w:t xml:space="preserve"> </w:t>
      </w:r>
      <w:hyperlink r:id="rId101">
        <w:r>
          <w:rPr>
            <w:rStyle w:val="Hyperlink"/>
          </w:rPr>
          <w:t xml:space="preserve">[82]</w:t>
        </w:r>
      </w:hyperlink>
      <w:r>
        <w:t xml:space="preserve"> </w:t>
      </w:r>
      <w:hyperlink r:id="rId102">
        <w:r>
          <w:rPr>
            <w:rStyle w:val="Hyperlink"/>
          </w:rPr>
          <w:t xml:space="preserve">[83]</w:t>
        </w:r>
      </w:hyperlink>
      <w:r>
        <w:t xml:space="preserve"> </w:t>
      </w:r>
      <w:hyperlink r:id="rId103">
        <w:r>
          <w:rPr>
            <w:rStyle w:val="Hyperlink"/>
          </w:rPr>
          <w:t xml:space="preserve">[84]</w:t>
        </w:r>
      </w:hyperlink>
      <w:r>
        <w:t xml:space="preserve"> </w:t>
      </w:r>
      <w:hyperlink r:id="rId104">
        <w:r>
          <w:rPr>
            <w:rStyle w:val="Hyperlink"/>
          </w:rPr>
          <w:t xml:space="preserve">[85]</w:t>
        </w:r>
      </w:hyperlink>
      <w:r>
        <w:t xml:space="preserve"> </w:t>
      </w:r>
      <w:r>
        <w:t xml:space="preserve">4 Core Crypto Market Making Strategies Explained by DWF Labs</w:t>
      </w:r>
    </w:p>
    <w:p>
      <w:pPr>
        <w:pStyle w:val="BodyText"/>
      </w:pPr>
      <w:hyperlink r:id="rId198">
        <w:r>
          <w:rPr>
            <w:rStyle w:val="Hyperlink"/>
          </w:rPr>
          <w:t xml:space="preserve">https://www.dwf-labs.com/news/4-common-strategies-that-crypto-market-makers-use</w:t>
        </w:r>
      </w:hyperlink>
    </w:p>
    <w:p>
      <w:pPr>
        <w:pStyle w:val="BodyText"/>
      </w:pPr>
      <w:hyperlink r:id="rId106">
        <w:r>
          <w:rPr>
            <w:rStyle w:val="Hyperlink"/>
          </w:rPr>
          <w:t xml:space="preserve">[87]</w:t>
        </w:r>
      </w:hyperlink>
      <w:r>
        <w:t xml:space="preserve"> </w:t>
      </w:r>
      <w:r>
        <w:t xml:space="preserve">Paradigm Insights | The Art of Options Market Making: What do Market Makers do? | Paradigm Insights | Paradigm</w:t>
      </w:r>
    </w:p>
    <w:p>
      <w:pPr>
        <w:pStyle w:val="BodyText"/>
      </w:pPr>
      <w:hyperlink r:id="rId199">
        <w:r>
          <w:rPr>
            <w:rStyle w:val="Hyperlink"/>
          </w:rPr>
          <w:t xml:space="preserve">https://www.paradigm.co/blog/options-market-making</w:t>
        </w:r>
      </w:hyperlink>
    </w:p>
    <w:p>
      <w:pPr>
        <w:pStyle w:val="BodyText"/>
      </w:pPr>
      <w:hyperlink r:id="rId111">
        <w:r>
          <w:rPr>
            <w:rStyle w:val="Hyperlink"/>
          </w:rPr>
          <w:t xml:space="preserve">[91]</w:t>
        </w:r>
      </w:hyperlink>
      <w:r>
        <w:t xml:space="preserve"> </w:t>
      </w:r>
      <w:r>
        <w:t xml:space="preserve">Coinbase Q3 earnings beat estimates - Yahoo Finance</w:t>
      </w:r>
    </w:p>
    <w:p>
      <w:pPr>
        <w:pStyle w:val="BodyText"/>
      </w:pPr>
      <w:hyperlink r:id="rId200">
        <w:r>
          <w:rPr>
            <w:rStyle w:val="Hyperlink"/>
          </w:rPr>
          <w:t xml:space="preserve">https://finance.yahoo.com/news/coinbase-q3-earnings-beat-estimates-231648511.html</w:t>
        </w:r>
      </w:hyperlink>
    </w:p>
    <w:p>
      <w:pPr>
        <w:pStyle w:val="BodyText"/>
      </w:pPr>
      <w:hyperlink r:id="rId116">
        <w:r>
          <w:rPr>
            <w:rStyle w:val="Hyperlink"/>
          </w:rPr>
          <w:t xml:space="preserve">[95]</w:t>
        </w:r>
      </w:hyperlink>
      <w:r>
        <w:t xml:space="preserve"> </w:t>
      </w:r>
      <w:r>
        <w:t xml:space="preserve">How crypto regulation changed in 2025: a global review - Elliptic</w:t>
      </w:r>
    </w:p>
    <w:p>
      <w:pPr>
        <w:pStyle w:val="BodyText"/>
      </w:pPr>
      <w:hyperlink r:id="rId201">
        <w:r>
          <w:rPr>
            <w:rStyle w:val="Hyperlink"/>
          </w:rPr>
          <w:t xml:space="preserve">https://www.elliptic.co/blog/how-crypto-regulation-changed-in-2025</w:t>
        </w:r>
      </w:hyperlink>
    </w:p>
    <w:p>
      <w:pPr>
        <w:pStyle w:val="BodyText"/>
      </w:pPr>
      <w:hyperlink r:id="rId117">
        <w:r>
          <w:rPr>
            <w:rStyle w:val="Hyperlink"/>
          </w:rPr>
          <w:t xml:space="preserve">[96]</w:t>
        </w:r>
      </w:hyperlink>
      <w:r>
        <w:t xml:space="preserve"> </w:t>
      </w:r>
      <w:r>
        <w:t xml:space="preserve">US Crypto Policy Tracker Regulatory Developments</w:t>
      </w:r>
    </w:p>
    <w:p>
      <w:pPr>
        <w:pStyle w:val="BodyText"/>
      </w:pPr>
      <w:hyperlink r:id="rId202">
        <w:r>
          <w:rPr>
            <w:rStyle w:val="Hyperlink"/>
          </w:rPr>
          <w:t xml:space="preserve">https://www.lw.com/en/us-crypto-policy-tracker/regulatory-developments</w:t>
        </w:r>
      </w:hyperlink>
    </w:p>
    <w:p>
      <w:pPr>
        <w:pStyle w:val="BodyText"/>
      </w:pPr>
      <w:hyperlink r:id="rId124">
        <w:r>
          <w:rPr>
            <w:rStyle w:val="Hyperlink"/>
          </w:rPr>
          <w:t xml:space="preserve">[103]</w:t>
        </w:r>
      </w:hyperlink>
      <w:r>
        <w:t xml:space="preserve"> </w:t>
      </w:r>
      <w:r>
        <w:t xml:space="preserve">Key SEC Updates: New Examination Priorities, No-Action Relief for ...</w:t>
      </w:r>
    </w:p>
    <w:p>
      <w:pPr>
        <w:pStyle w:val="BodyText"/>
      </w:pPr>
      <w:hyperlink r:id="rId203">
        <w:r>
          <w:rPr>
            <w:rStyle w:val="Hyperlink"/>
          </w:rPr>
          <w:t xml:space="preserve">https://www.armstrongteasdale.com/thought-leadership/key-sec-updates-new-examination-priorities-no-action-relief-for-brokerage-payments-to-unregistered-entities-and-expanding-permissible-crypto-custodians/</w:t>
        </w:r>
      </w:hyperlink>
    </w:p>
    <w:p>
      <w:pPr>
        <w:pStyle w:val="BodyText"/>
      </w:pPr>
      <w:hyperlink r:id="rId159">
        <w:r>
          <w:rPr>
            <w:rStyle w:val="Hyperlink"/>
          </w:rPr>
          <w:t xml:space="preserve">[138]</w:t>
        </w:r>
      </w:hyperlink>
      <w:r>
        <w:t xml:space="preserve"> </w:t>
      </w:r>
      <w:r>
        <w:t xml:space="preserve">Coinbase (COIN) Q3 2025 Earnings Call Transcript | The Motley Fool</w:t>
      </w:r>
    </w:p>
    <w:p>
      <w:pPr>
        <w:pStyle w:val="BodyText"/>
      </w:pPr>
      <w:hyperlink r:id="rId204">
        <w:r>
          <w:rPr>
            <w:rStyle w:val="Hyperlink"/>
          </w:rPr>
          <w:t xml:space="preserve">https://www.fool.com/earnings/call-transcripts/2025/11/27/coinbase-coin-q3-2025-earnings-call-transcript/</w:t>
        </w:r>
      </w:hyperlink>
    </w:p>
    <w:p>
      <w:pPr>
        <w:pStyle w:val="BodyText"/>
      </w:pPr>
      <w:hyperlink r:id="rId160">
        <w:r>
          <w:rPr>
            <w:rStyle w:val="Hyperlink"/>
          </w:rPr>
          <w:t xml:space="preserve">[139]</w:t>
        </w:r>
      </w:hyperlink>
      <w:r>
        <w:t xml:space="preserve"> </w:t>
      </w:r>
      <w:r>
        <w:t xml:space="preserve">Coinbase Reports Bitcoin Purchase, Growing Stablecoin Revenue ...</w:t>
      </w:r>
    </w:p>
    <w:p>
      <w:pPr>
        <w:pStyle w:val="BodyText"/>
      </w:pPr>
      <w:hyperlink r:id="rId205">
        <w:r>
          <w:rPr>
            <w:rStyle w:val="Hyperlink"/>
          </w:rPr>
          <w:t xml:space="preserve">https://www.forbes.com/sites/boazsobrado/2025/10/30/coinbase-reports-bitcoin-purchase-growing-stablecoin-revenue-in-q3/</w:t>
        </w:r>
      </w:hyperlink>
    </w:p>
    <w:p>
      <w:pPr>
        <w:pStyle w:val="BodyText"/>
      </w:pPr>
      <w:hyperlink r:id="rId161">
        <w:r>
          <w:rPr>
            <w:rStyle w:val="Hyperlink"/>
          </w:rPr>
          <w:t xml:space="preserve">[140]</w:t>
        </w:r>
      </w:hyperlink>
      <w:r>
        <w:t xml:space="preserve"> </w:t>
      </w:r>
      <w:r>
        <w:t xml:space="preserve">Q3 2025 Results: Robinhood vs Coinbase - insights4.vc</w:t>
      </w:r>
    </w:p>
    <w:p>
      <w:pPr>
        <w:pStyle w:val="BodyText"/>
      </w:pPr>
      <w:hyperlink r:id="rId206">
        <w:r>
          <w:rPr>
            <w:rStyle w:val="Hyperlink"/>
          </w:rPr>
          <w:t xml:space="preserve">https://insights4vc.substack.com/p/q3-2025-results-robinhood-vs-coinbase</w:t>
        </w:r>
      </w:hyperlink>
    </w:p>
    <w:p>
      <w:pPr>
        <w:pStyle w:val="BodyText"/>
      </w:pPr>
      <w:hyperlink r:id="rId162">
        <w:r>
          <w:rPr>
            <w:rStyle w:val="Hyperlink"/>
          </w:rPr>
          <w:t xml:space="preserve">[141]</w:t>
        </w:r>
      </w:hyperlink>
      <w:r>
        <w:t xml:space="preserve"> </w:t>
      </w:r>
      <w:r>
        <w:t xml:space="preserve">Crystal (CRYSTAL) Price Today, News &amp; Live Chart | Forbes Crypto ...</w:t>
      </w:r>
    </w:p>
    <w:p>
      <w:pPr>
        <w:pStyle w:val="BodyText"/>
      </w:pPr>
      <w:hyperlink r:id="rId207">
        <w:r>
          <w:rPr>
            <w:rStyle w:val="Hyperlink"/>
          </w:rPr>
          <w:t xml:space="preserve">https://www.forbes.com/digital-assets/assets/crystal-crystal/</w:t>
        </w:r>
      </w:hyperlink>
    </w:p>
    <w:p>
      <w:pPr>
        <w:pStyle w:val="BodyText"/>
      </w:pPr>
      <w:hyperlink r:id="rId163">
        <w:r>
          <w:rPr>
            <w:rStyle w:val="Hyperlink"/>
          </w:rPr>
          <w:t xml:space="preserve">[142]</w:t>
        </w:r>
      </w:hyperlink>
      <w:r>
        <w:t xml:space="preserve"> </w:t>
      </w:r>
      <w:r>
        <w:t xml:space="preserve">Binance reveals proof of reserves for October, showing 21K Bitcoin ...</w:t>
      </w:r>
    </w:p>
    <w:p>
      <w:pPr>
        <w:pStyle w:val="BodyText"/>
      </w:pPr>
      <w:hyperlink r:id="rId208">
        <w:r>
          <w:rPr>
            <w:rStyle w:val="Hyperlink"/>
          </w:rPr>
          <w:t xml:space="preserve">https://cryptobriefing.com/binance-proof-of-reserves-october-2023-21000-btc/</w:t>
        </w:r>
      </w:hyperlink>
    </w:p>
    <w:p>
      <w:pPr>
        <w:pStyle w:val="BodyText"/>
      </w:pPr>
      <w:hyperlink r:id="rId164">
        <w:r>
          <w:rPr>
            <w:rStyle w:val="Hyperlink"/>
          </w:rPr>
          <w:t xml:space="preserve">[143]</w:t>
        </w:r>
      </w:hyperlink>
      <w:r>
        <w:t xml:space="preserve"> </w:t>
      </w:r>
      <w:r>
        <w:t xml:space="preserve">Binance Reveals Strong Proof of Reserves in Nov 1 UTC Snapshot</w:t>
      </w:r>
    </w:p>
    <w:p>
      <w:pPr>
        <w:pStyle w:val="BodyText"/>
      </w:pPr>
      <w:hyperlink r:id="rId209">
        <w:r>
          <w:rPr>
            <w:rStyle w:val="Hyperlink"/>
          </w:rPr>
          <w:t xml:space="preserve">https://www.altcoinbuzz.io/cryptocurrency-news/binance-reveals-strong-proof-of-reserves-in-nov-1-utc-snapshot/</w:t>
        </w:r>
      </w:hyperlink>
    </w:p>
    <w:p>
      <w:pPr>
        <w:pStyle w:val="BodyText"/>
      </w:pPr>
      <w:hyperlink r:id="rId166">
        <w:r>
          <w:rPr>
            <w:rStyle w:val="Hyperlink"/>
          </w:rPr>
          <w:t xml:space="preserve">[146]</w:t>
        </w:r>
      </w:hyperlink>
      <w:r>
        <w:t xml:space="preserve"> </w:t>
      </w:r>
      <w:r>
        <w:t xml:space="preserve">November 4, 2025 - EX-99.1 - 8-K: Current report - MARA Holdings</w:t>
      </w:r>
    </w:p>
    <w:p>
      <w:pPr>
        <w:pStyle w:val="BodyText"/>
      </w:pPr>
      <w:hyperlink r:id="rId210">
        <w:r>
          <w:rPr>
            <w:rStyle w:val="Hyperlink"/>
          </w:rPr>
          <w:t xml:space="preserve">https://ir.mara.com/sec-filings/all-sec-filings/content/0001507605-25-000026/q325shareholderletter.htm</w:t>
        </w:r>
      </w:hyperlink>
    </w:p>
    <w:p>
      <w:pPr>
        <w:pStyle w:val="BodyText"/>
      </w:pPr>
      <w:hyperlink r:id="rId167">
        <w:r>
          <w:rPr>
            <w:rStyle w:val="Hyperlink"/>
          </w:rPr>
          <w:t xml:space="preserve">[147]</w:t>
        </w:r>
      </w:hyperlink>
      <w:r>
        <w:t xml:space="preserve"> </w:t>
      </w:r>
      <w:r>
        <w:t xml:space="preserve">Bitcoin miner Riot posts net income of $104.5 million in Q3 ...</w:t>
      </w:r>
    </w:p>
    <w:p>
      <w:pPr>
        <w:pStyle w:val="BodyText"/>
      </w:pPr>
      <w:hyperlink r:id="rId211">
        <w:r>
          <w:rPr>
            <w:rStyle w:val="Hyperlink"/>
          </w:rPr>
          <w:t xml:space="preserve">https://www.theblock.co/post/377044/bitcoin-miner-riot-posts-net-income-of-104-5-million-in-q3-reversing-previous-quarters-losses</w:t>
        </w:r>
      </w:hyperlink>
    </w:p>
    <w:p>
      <w:pPr>
        <w:pStyle w:val="BodyText"/>
      </w:pPr>
      <w:hyperlink r:id="rId168">
        <w:r>
          <w:rPr>
            <w:rStyle w:val="Hyperlink"/>
          </w:rPr>
          <w:t xml:space="preserve">[148]</w:t>
        </w:r>
      </w:hyperlink>
      <w:r>
        <w:t xml:space="preserve"> </w:t>
      </w:r>
      <w:r>
        <w:t xml:space="preserve">Block, Inc. - Bitcoin Treasury Tracker - DroomDroom</w:t>
      </w:r>
    </w:p>
    <w:p>
      <w:pPr>
        <w:pStyle w:val="BodyText"/>
      </w:pPr>
      <w:hyperlink r:id="rId212">
        <w:r>
          <w:rPr>
            <w:rStyle w:val="Hyperlink"/>
          </w:rPr>
          <w:t xml:space="preserve">https://droomdroom.com/bitcoin-treasury-tracker/block</w:t>
        </w:r>
      </w:hyperlink>
    </w:p>
    <w:p>
      <w:pPr>
        <w:pStyle w:val="BodyText"/>
      </w:pPr>
      <w:hyperlink r:id="rId169">
        <w:r>
          <w:rPr>
            <w:rStyle w:val="Hyperlink"/>
          </w:rPr>
          <w:t xml:space="preserve">[149]</w:t>
        </w:r>
      </w:hyperlink>
      <w:r>
        <w:t xml:space="preserve"> </w:t>
      </w:r>
      <w:r>
        <w:t xml:space="preserve">How Much Bitcoin Does Block Own? - Bitbo</w:t>
      </w:r>
    </w:p>
    <w:p>
      <w:pPr>
        <w:pStyle w:val="BodyText"/>
      </w:pPr>
      <w:hyperlink r:id="rId213">
        <w:r>
          <w:rPr>
            <w:rStyle w:val="Hyperlink"/>
          </w:rPr>
          <w:t xml:space="preserve">https://bitbo.io/treasuries/block/</w:t>
        </w:r>
      </w:hyperlink>
    </w:p>
    <w:p>
      <w:pPr>
        <w:pStyle w:val="BodyText"/>
      </w:pPr>
      <w:hyperlink r:id="rId170">
        <w:r>
          <w:rPr>
            <w:rStyle w:val="Hyperlink"/>
          </w:rPr>
          <w:t xml:space="preserve">[150]</w:t>
        </w:r>
      </w:hyperlink>
      <w:r>
        <w:t xml:space="preserve"> </w:t>
      </w:r>
      <w:r>
        <w:t xml:space="preserve">Strategy (MSTR) Earnings News: BTC's Q3 Rise Boosts ...</w:t>
      </w:r>
    </w:p>
    <w:p>
      <w:pPr>
        <w:pStyle w:val="BodyText"/>
      </w:pPr>
      <w:hyperlink r:id="rId214">
        <w:r>
          <w:rPr>
            <w:rStyle w:val="Hyperlink"/>
          </w:rPr>
          <w:t xml:space="preserve">https://www.coindesk.com/markets/2025/10/29/strategy-posted-eps-of-usd8-42-in-q3-driven-by-mark-to-market-gains-on-bitcoin</w:t>
        </w:r>
      </w:hyperlink>
    </w:p>
    <w:p>
      <w:pPr>
        <w:pStyle w:val="BodyText"/>
      </w:pPr>
      <w:hyperlink r:id="rId171">
        <w:r>
          <w:rPr>
            <w:rStyle w:val="Hyperlink"/>
          </w:rPr>
          <w:t xml:space="preserve">[151]</w:t>
        </w:r>
      </w:hyperlink>
      <w:r>
        <w:t xml:space="preserve"> </w:t>
      </w:r>
      <w:hyperlink r:id="rId171">
        <w:r>
          <w:rPr>
            <w:rStyle w:val="Hyperlink"/>
          </w:rPr>
          <w:t xml:space="preserve">[152]</w:t>
        </w:r>
      </w:hyperlink>
      <w:r>
        <w:t xml:space="preserve"> </w:t>
      </w:r>
      <w:r>
        <w:t xml:space="preserve">Ranked: The Companies Who Own the Most Bitcoin in 2025</w:t>
      </w:r>
    </w:p>
    <w:p>
      <w:pPr>
        <w:pStyle w:val="BodyText"/>
      </w:pPr>
      <w:hyperlink r:id="rId215">
        <w:r>
          <w:rPr>
            <w:rStyle w:val="Hyperlink"/>
          </w:rPr>
          <w:t xml:space="preserve">https://www.visualcapitalist.com/ranked-the-companies-who-own-the-most-bitcoin-in-2025/</w:t>
        </w:r>
      </w:hyperlink>
    </w:p>
    <w:bookmarkEnd w:id="2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87" Target="https://bitbo.io/news/tesla-bitcoin-q3-profit/" TargetMode="External" /><Relationship Type="http://schemas.openxmlformats.org/officeDocument/2006/relationships/hyperlink" Id="rId61" Target="https://bitbo.io/news/tesla-bitcoin-q3-profit/#:~:text=,gains%20or%20losses%20each%20quarter" TargetMode="External" /><Relationship Type="http://schemas.openxmlformats.org/officeDocument/2006/relationships/hyperlink" Id="rId62" Target="https://bitbo.io/news/tesla-bitcoin-q3-profit/#:~:text=Tesla%20,35%20billion%20at%20quarter%E2%80%99s%20end" TargetMode="External" /><Relationship Type="http://schemas.openxmlformats.org/officeDocument/2006/relationships/hyperlink" Id="rId165" Target="https://bitbo.io/news/tesla-bitcoin-q3-profit/#:~:text=Tesla%20Reports%20%2480M%20Bitcoin%20Profit,in%20Q3%202025" TargetMode="External" /><Relationship Type="http://schemas.openxmlformats.org/officeDocument/2006/relationships/hyperlink" Id="rId213" Target="https://bitbo.io/treasuries/block/" TargetMode="External" /><Relationship Type="http://schemas.openxmlformats.org/officeDocument/2006/relationships/hyperlink" Id="rId169" Target="https://bitbo.io/treasuries/block/#:~:text=Block%20,bitcoin%20supply%20of%2021%20million" TargetMode="External" /><Relationship Type="http://schemas.openxmlformats.org/officeDocument/2006/relationships/hyperlink" Id="rId195" Target="https://bitcointreasuries.net/private-companies/tether-holdings" TargetMode="External" /><Relationship Type="http://schemas.openxmlformats.org/officeDocument/2006/relationships/hyperlink" Id="rId91" Target="https://bitcointreasuries.net/private-companies/tether-holdings#:~:text=Analysis%20bitcointreasuries,Bitcoin%20reserves%20to%2083%2C759%20BTC" TargetMode="External" /><Relationship Type="http://schemas.openxmlformats.org/officeDocument/2006/relationships/hyperlink" Id="rId196" Target="https://blockspace.media/insight/strategy-buys-10645-bitcoin-for-980-million-as-total-holdings-top-671000/" TargetMode="External" /><Relationship Type="http://schemas.openxmlformats.org/officeDocument/2006/relationships/hyperlink" Id="rId94" Target="https://blockspace.media/insight/strategy-buys-10645-bitcoin-for-980-million-as-total-holdings-top-671000/#:~:text=Strategy%20buys%2010%2C645%20bitcoin%20for,3%20million%2C" TargetMode="External" /><Relationship Type="http://schemas.openxmlformats.org/officeDocument/2006/relationships/hyperlink" Id="rId181" Target="https://blog.mexc.com/news/november-2025-crypto-correction-contained-shock-or-systemic-risk/" TargetMode="External" /><Relationship Type="http://schemas.openxmlformats.org/officeDocument/2006/relationships/hyperlink" Id="rId81" Target="https://blog.mexc.com/news/november-2025-crypto-correction-contained-shock-or-systemic-risk/#:~:text=,among%20counterparties%20and%20prime%20brokers" TargetMode="External" /><Relationship Type="http://schemas.openxmlformats.org/officeDocument/2006/relationships/hyperlink" Id="rId30" Target="https://blog.mexc.com/news/november-2025-crypto-correction-contained-shock-or-systemic-risk/#:~:text=,did%20not%20report%20cascading%20bankruptcies" TargetMode="External" /><Relationship Type="http://schemas.openxmlformats.org/officeDocument/2006/relationships/hyperlink" Id="rId73" Target="https://blog.mexc.com/news/november-2025-crypto-correction-contained-shock-or-systemic-risk/#:~:text=,testing%20among%20larger%20market%20participants" TargetMode="External" /><Relationship Type="http://schemas.openxmlformats.org/officeDocument/2006/relationships/hyperlink" Id="rId29" Target="https://blog.mexc.com/news/november-2025-crypto-correction-contained-shock-or-systemic-risk/#:~:text=Despite%20headline,risk%20transfers%20among%20leveraged%20participants" TargetMode="External" /><Relationship Type="http://schemas.openxmlformats.org/officeDocument/2006/relationships/hyperlink" Id="rId26" Target="https://blog.mexc.com/news/november-2025-crypto-correction-contained-shock-or-systemic-risk/#:~:text=In%20November%202025%20the%20cryptocurrency,altcoins%20posted%20steeper%20percentage%20losses" TargetMode="External" /><Relationship Type="http://schemas.openxmlformats.org/officeDocument/2006/relationships/hyperlink" Id="rId24" Target="https://blog.mexc.com/news/november-2025-crypto-correction-contained-shock-or-systemic-risk/#:~:text=Public%20Market%20and%20ETF%20Flows%3A,Orderly%20but%20Significant" TargetMode="External" /><Relationship Type="http://schemas.openxmlformats.org/officeDocument/2006/relationships/hyperlink" Id="rId96" Target="https://blog.mexc.com/news/november-2025-crypto-correction-contained-shock-or-systemic-risk/#:~:text=heightened%20risk%20aversion,operating%20rather%20than%20suspending%20redemptions" TargetMode="External" /><Relationship Type="http://schemas.openxmlformats.org/officeDocument/2006/relationships/hyperlink" Id="rId184" Target="https://bravenewcoin.com/insights/tethers-2025-profits-surpass-10-billion-as-stablecoin-dominance-grows" TargetMode="External" /><Relationship Type="http://schemas.openxmlformats.org/officeDocument/2006/relationships/hyperlink" Id="rId120" Target="https://bravenewcoin.com/insights/tethers-2025-profits-surpass-10-billion-as-stablecoin-dominance-grows#:~:text=Market%20Dominance%20and%20Financial%20Strength" TargetMode="External" /><Relationship Type="http://schemas.openxmlformats.org/officeDocument/2006/relationships/hyperlink" Id="rId56" Target="https://bravenewcoin.com/insights/tethers-2025-profits-surpass-10-billion-as-stablecoin-dominance-grows#:~:text=The%20company%20also%20profits%20from,investments%20added%20another%20%241%20billion" TargetMode="External" /><Relationship Type="http://schemas.openxmlformats.org/officeDocument/2006/relationships/hyperlink" Id="rId55" Target="https://bravenewcoin.com/insights/tethers-2025-profits-surpass-10-billion-as-stablecoin-dominance-grows#:~:text=The%20company%E2%80%99s%20financial%20resilience%20shows,the%20company%E2%80%99s%20strong%20financial%20position" TargetMode="External" /><Relationship Type="http://schemas.openxmlformats.org/officeDocument/2006/relationships/hyperlink" Id="rId158" Target="https://bravenewcoin.com/insights/tethers-2025-profits-surpass-10-billion-as-stablecoin-dominance-grows#:~:text=U,Treasuries" TargetMode="External" /><Relationship Type="http://schemas.openxmlformats.org/officeDocument/2006/relationships/hyperlink" Id="rId53" Target="https://bravenewcoin.com/insights/tethers-2025-profits-surpass-10-billion-as-stablecoin-dominance-grows#:~:text=USDT%20has%20become%20the%20dominant,7%20billion" TargetMode="External" /><Relationship Type="http://schemas.openxmlformats.org/officeDocument/2006/relationships/hyperlink" Id="rId58" Target="https://bravenewcoin.com/insights/tethers-2025-profits-surpass-10-billion-as-stablecoin-dominance-grows#:~:text=reaching%20%244,profitable%20privately%20controlled%20businesses%20globally" TargetMode="External" /><Relationship Type="http://schemas.openxmlformats.org/officeDocument/2006/relationships/hyperlink" Id="rId57" Target="https://bravenewcoin.com/insights/tethers-2025-profits-surpass-10-billion-as-stablecoin-dominance-grows#:~:text=the%20end%20of%20Q3%202025%2C,Treasuries" TargetMode="External" /><Relationship Type="http://schemas.openxmlformats.org/officeDocument/2006/relationships/hyperlink" Id="rId183" Target="https://coinstats.app/news/3135f27873a1c6db77c5a638030e8d16285fb5b5733a810a118e6ed9adaa564c_Bitcoin-ETFs-Bleed-187M-Despite-STH-Accumulation-BTC-Crashes-to-104K/" TargetMode="External" /><Relationship Type="http://schemas.openxmlformats.org/officeDocument/2006/relationships/hyperlink" Id="rId39" Target="https://coinstats.app/news/3135f27873a1c6db77c5a638030e8d16285fb5b5733a810a118e6ed9adaa564c_Bitcoin-ETFs-Bleed-187M-Despite-STH-Accumulation-BTC-Crashes-to-104K/#:~:text=Bitcoin%E2%80%99s%20%20BTC%20%24103%20783,responsible%20for%20the%20day%E2%80%99s%20withdrawals" TargetMode="External" /><Relationship Type="http://schemas.openxmlformats.org/officeDocument/2006/relationships/hyperlink" Id="rId90" Target="https://coinstats.app/news/3135f27873a1c6db77c5a638030e8d16285fb5b5733a810a118e6ed9adaa564c_Bitcoin-ETFs-Bleed-187M-Despite-STH-Accumulation-BTC-Crashes-to-104K/#:~:text=Meanwhile%2C%20coins%20held%20for%20longer,range%2C%20has%20begun%20accumulating%20again" TargetMode="External" /><Relationship Type="http://schemas.openxmlformats.org/officeDocument/2006/relationships/hyperlink" Id="rId88" Target="https://coinstats.app/news/3135f27873a1c6db77c5a638030e8d16285fb5b5733a810a118e6ed9adaa564c_Bitcoin-ETFs-Bleed-187M-Despite-STH-Accumulation-BTC-Crashes-to-104K/#:~:text=On,10" TargetMode="External" /><Relationship Type="http://schemas.openxmlformats.org/officeDocument/2006/relationships/hyperlink" Id="rId89" Target="https://coinstats.app/news/3135f27873a1c6db77c5a638030e8d16285fb5b5733a810a118e6ed9adaa564c_Bitcoin-ETFs-Bleed-187M-Despite-STH-Accumulation-BTC-Crashes-to-104K/#:~:text=The%20average%20cost%20basis%20of,dip%20below%20their%20cost%20basis" TargetMode="External" /><Relationship Type="http://schemas.openxmlformats.org/officeDocument/2006/relationships/hyperlink" Id="rId40" Target="https://coinstats.app/news/3135f27873a1c6db77c5a638030e8d16285fb5b5733a810a118e6ed9adaa564c_Bitcoin-ETFs-Bleed-187M-Despite-STH-Accumulation-BTC-Crashes-to-104K/#:~:text=This%20marks%20the%20fourth%20consecutive,over%20the%20past%20week" TargetMode="External" /><Relationship Type="http://schemas.openxmlformats.org/officeDocument/2006/relationships/hyperlink" Id="rId41" Target="https://coinstats.app/news/3135f27873a1c6db77c5a638030e8d16285fb5b5733a810a118e6ed9adaa564c_Bitcoin-ETFs-Bleed-187M-Despite-STH-Accumulation-BTC-Crashes-to-104K/#:~:text=exit%20from%20Bitcoin%20ETFs%20www,over%20the%20past%20week" TargetMode="External" /><Relationship Type="http://schemas.openxmlformats.org/officeDocument/2006/relationships/hyperlink" Id="rId208" Target="https://cryptobriefing.com/binance-proof-of-reserves-october-2023-21000-btc/" TargetMode="External" /><Relationship Type="http://schemas.openxmlformats.org/officeDocument/2006/relationships/hyperlink" Id="rId163" Target="https://cryptobriefing.com/binance-proof-of-reserves-october-2023-21000-btc/#:~:text=Binance%20reveals%20proof%20of%20reserves,holdings%20fully%20backed%20at%20100" TargetMode="External" /><Relationship Type="http://schemas.openxmlformats.org/officeDocument/2006/relationships/hyperlink" Id="rId179" Target="https://decrypt.co/352522/crypto-market-liquidity-shrinks-ahead-of-holidays" TargetMode="External" /><Relationship Type="http://schemas.openxmlformats.org/officeDocument/2006/relationships/hyperlink" Id="rId37" Target="https://decrypt.co/352522/crypto-market-liquidity-shrinks-ahead-of-holidays#:~:text=%E2%80%9COver%20the%20past%20month%2C%20stablecoin,%E2%80%9D" TargetMode="External" /><Relationship Type="http://schemas.openxmlformats.org/officeDocument/2006/relationships/hyperlink" Id="rId22" Target="https://decrypt.co/352522/crypto-market-liquidity-shrinks-ahead-of-holidays#:~:text=Cryptocurrency%20market%20liquidity%20is%20tightening,ahead%20of%20the%20holiday%20season" TargetMode="External" /><Relationship Type="http://schemas.openxmlformats.org/officeDocument/2006/relationships/hyperlink" Id="rId38" Target="https://decrypt.co/352522/crypto-market-liquidity-shrinks-ahead-of-holidays#:~:text=Patsira%20pointed%20to%20stablecoin%20exchange,off" TargetMode="External" /><Relationship Type="http://schemas.openxmlformats.org/officeDocument/2006/relationships/hyperlink" Id="rId66" Target="https://decrypt.co/352522/crypto-market-liquidity-shrinks-ahead-of-holidays#:~:text=The%2060,chain%20analytics%20platform%20CryptoQuant" TargetMode="External" /><Relationship Type="http://schemas.openxmlformats.org/officeDocument/2006/relationships/hyperlink" Id="rId28" Target="https://decrypt.co/352522/crypto-market-liquidity-shrinks-ahead-of-holidays#:~:text=While%20%E2%80%9Cdry%20powder%20exists%2C%E2%80%9D%20Patsira,term%20without%20significant%20commitment.%E2%80%9D" TargetMode="External" /><Relationship Type="http://schemas.openxmlformats.org/officeDocument/2006/relationships/hyperlink" Id="rId92" Target="https://decrypt.co/352522/crypto-market-liquidity-shrinks-ahead-of-holidays#:~:text=followed%20by%20a%20slight%20uptick,off" TargetMode="External" /><Relationship Type="http://schemas.openxmlformats.org/officeDocument/2006/relationships/hyperlink" Id="rId212" Target="https://droomdroom.com/bitcoin-treasury-tracker/block" TargetMode="External" /><Relationship Type="http://schemas.openxmlformats.org/officeDocument/2006/relationships/hyperlink" Id="rId168" Target="https://droomdroom.com/bitcoin-treasury-tracker/block#:~:text=Block%2C%20Inc.%20,BTC%20to%208584%20BTC" TargetMode="External" /><Relationship Type="http://schemas.openxmlformats.org/officeDocument/2006/relationships/hyperlink" Id="rId200" Target="https://finance.yahoo.com/news/coinbase-q3-earnings-beat-estimates-231648511.html" TargetMode="External" /><Relationship Type="http://schemas.openxmlformats.org/officeDocument/2006/relationships/hyperlink" Id="rId111" Target="https://finance.yahoo.com/news/coinbase-q3-earnings-beat-estimates-231648511.html#:~:text=Coinbase%20Q3%20earnings%20beat%20estimates,Following" TargetMode="External" /><Relationship Type="http://schemas.openxmlformats.org/officeDocument/2006/relationships/hyperlink" Id="rId185" Target="https://finance.yahoo.com/news/tether-reports-10b-ytd-profit-164323807.html" TargetMode="External" /><Relationship Type="http://schemas.openxmlformats.org/officeDocument/2006/relationships/hyperlink" Id="rId54" Target="https://finance.yahoo.com/news/tether-reports-10b-ytd-profit-164323807.html#:~:text=Tether%20Reports%20%2410B%2B%20YTD%20Profit,related%20to%20tokens%20in%20circulation" TargetMode="External" /><Relationship Type="http://schemas.openxmlformats.org/officeDocument/2006/relationships/hyperlink" Id="rId206" Target="https://insights4vc.substack.com/p/q3-2025-results-robinhood-vs-coinbase" TargetMode="External" /><Relationship Type="http://schemas.openxmlformats.org/officeDocument/2006/relationships/hyperlink" Id="rId161" Target="https://insights4vc.substack.com/p/q3-2025-results-robinhood-vs-coinbase#:~:text=Q3%202025%20Results%3A%20Robinhood%20vs,crypto%20ETF%20assets%2C%20remains" TargetMode="External" /><Relationship Type="http://schemas.openxmlformats.org/officeDocument/2006/relationships/hyperlink" Id="rId178" Target="https://investingnews.com/cryptocurrency-market-recap-12122025-rate-cut/" TargetMode="External" /><Relationship Type="http://schemas.openxmlformats.org/officeDocument/2006/relationships/hyperlink" Id="rId52" Target="https://investingnews.com/cryptocurrency-market-recap-12122025-rate-cut/#:~:text=,HTX%20to%20begin%20licensing%20process" TargetMode="External" /><Relationship Type="http://schemas.openxmlformats.org/officeDocument/2006/relationships/hyperlink" Id="rId51" Target="https://investingnews.com/cryptocurrency-market-recap-12122025-rate-cut/#:~:text=,bank%20approvals" TargetMode="External" /><Relationship Type="http://schemas.openxmlformats.org/officeDocument/2006/relationships/hyperlink" Id="rId35" Target="https://investingnews.com/cryptocurrency-market-recap-12122025-rate-cut/#:~:text=Bitcoin%20,reassessed%20risk%20sentiment%20across%20assets" TargetMode="External" /><Relationship Type="http://schemas.openxmlformats.org/officeDocument/2006/relationships/hyperlink" Id="rId36" Target="https://investingnews.com/cryptocurrency-market-recap-12122025-rate-cut/#:~:text=Bitcoin%20dipped%20to%20US%2489%2C000%20to,all%20three%20cuts%20since%20September" TargetMode="External" /><Relationship Type="http://schemas.openxmlformats.org/officeDocument/2006/relationships/hyperlink" Id="rId34" Target="https://investingnews.com/cryptocurrency-market-recap-12122025-rate-cut/#:~:text=Dec" TargetMode="External" /><Relationship Type="http://schemas.openxmlformats.org/officeDocument/2006/relationships/hyperlink" Id="rId43" Target="https://investingnews.com/cryptocurrency-market-recap-12122025-rate-cut/#:~:text=Fear%20and%20Greed%20Index%20snapshot" TargetMode="External" /><Relationship Type="http://schemas.openxmlformats.org/officeDocument/2006/relationships/hyperlink" Id="rId50" Target="https://investingnews.com/cryptocurrency-market-recap-12122025-rate-cut/#:~:text=If%20finalized%2C%20the%20policy%20would,deemed%20outdated%20or%20overly%20restrictive" TargetMode="External" /><Relationship Type="http://schemas.openxmlformats.org/officeDocument/2006/relationships/hyperlink" Id="rId21" Target="https://investingnews.com/cryptocurrency-market-recap-12122025-rate-cut/#:~:text=The%20Fed%20has%20now%20cut,75%20percent" TargetMode="External" /><Relationship Type="http://schemas.openxmlformats.org/officeDocument/2006/relationships/hyperlink" Id="rId125" Target="https://investingnews.com/cryptocurrency-market-recap-12122025-rate-cut/#:~:text=The%20Office%20of%20the%20Comptroller,Trust%20and%20Fidelity%20Digital%20Assets" TargetMode="External" /><Relationship Type="http://schemas.openxmlformats.org/officeDocument/2006/relationships/hyperlink" Id="rId49" Target="https://investingnews.com/cryptocurrency-market-recap-12122025-rate-cut/#:~:text=US%20Secretary%20of%20the%20Treasury,undermine%20stability%20by%20limiting%20innovation" TargetMode="External" /><Relationship Type="http://schemas.openxmlformats.org/officeDocument/2006/relationships/hyperlink" Id="rId64" Target="https://investingnews.com/cryptocurrency-market-recap-12122025-rate-cut/#:~:text=funding%20rates%20kept%20positioning%20balanced,expiry" TargetMode="External" /><Relationship Type="http://schemas.openxmlformats.org/officeDocument/2006/relationships/hyperlink" Id="rId188" Target="https://ir.mara.com/news-events/press-releases/detail/1413/mara-announcesthird-quarter-2025-results" TargetMode="External" /><Relationship Type="http://schemas.openxmlformats.org/officeDocument/2006/relationships/hyperlink" Id="rId63" Target="https://ir.mara.com/news-events/press-releases/detail/1413/mara-announcesthird-quarter-2025-results#:~:text=Bitcoin%20holdings%20increased%2098,MARA%20Holdings%2C%20Inc" TargetMode="External" /><Relationship Type="http://schemas.openxmlformats.org/officeDocument/2006/relationships/hyperlink" Id="rId210" Target="https://ir.mara.com/sec-filings/all-sec-filings/content/0001507605-25-000026/q325shareholderletter.htm" TargetMode="External" /><Relationship Type="http://schemas.openxmlformats.org/officeDocument/2006/relationships/hyperlink" Id="rId166" Target="https://ir.mara.com/sec-filings/all-sec-filings/content/0001507605-25-000026/q325shareholderletter.htm#:~:text=Holdings%20ir,on%20a%20spot%20price%20of" TargetMode="External" /><Relationship Type="http://schemas.openxmlformats.org/officeDocument/2006/relationships/hyperlink" Id="rId194" Target="https://papers.ssrn.com/sol3/papers.cfm?abstract_id=4175306" TargetMode="External" /><Relationship Type="http://schemas.openxmlformats.org/officeDocument/2006/relationships/hyperlink" Id="rId105" Target="https://papers.ssrn.com/sol3/papers.cfm?abstract_id=4175306#:~:text=spread%20as%20a%20proxy%20for,liquidity%2C%20market%20toxicity%2C%20and%20returns" TargetMode="External" /><Relationship Type="http://schemas.openxmlformats.org/officeDocument/2006/relationships/hyperlink" Id="rId84" Target="https://papers.ssrn.com/sol3/papers.cfm?abstract_id=4175306#:~:text=upon%20the%20future%20volatility%2C%20liquidity%2C,liquidity%2C%20market%20toxicity%2C%20and%20returns" TargetMode="External" /><Relationship Type="http://schemas.openxmlformats.org/officeDocument/2006/relationships/hyperlink" Id="rId192" Target="https://research.kaiko.com/insights/the-aftermath-what-happened-to-usdc" TargetMode="External" /><Relationship Type="http://schemas.openxmlformats.org/officeDocument/2006/relationships/hyperlink" Id="rId108" Target="https://research.kaiko.com/insights/the-aftermath-what-happened-to-usdc#:~:text=Now%2C%20let%E2%80%99s%20take%20a%20broader,offering%20liquidity%20in%20crypto%20markets" TargetMode="External" /><Relationship Type="http://schemas.openxmlformats.org/officeDocument/2006/relationships/hyperlink" Id="rId107" Target="https://research.kaiko.com/insights/the-aftermath-what-happened-to-usdc#:~:text=Over%20the%20weekend%2C%20Uniswap%20and,6911" TargetMode="External" /><Relationship Type="http://schemas.openxmlformats.org/officeDocument/2006/relationships/hyperlink" Id="rId109" Target="https://research.kaiko.com/insights/the-aftermath-what-happened-to-usdc#:~:text=While%20price%20certainly%20had%20an,liquidity%20for%20USDC%20pairs%20again" TargetMode="External" /><Relationship Type="http://schemas.openxmlformats.org/officeDocument/2006/relationships/hyperlink" Id="rId80" Target="https://research.kaiko.com/insights/the-aftermath-what-happened-to-usdc#:~:text=closures,offering%20liquidity%20in%20crypto%20markets" TargetMode="External" /><Relationship Type="http://schemas.openxmlformats.org/officeDocument/2006/relationships/hyperlink" Id="rId182" Target="https://t.me/s/glassnode?before=1458" TargetMode="External" /><Relationship Type="http://schemas.openxmlformats.org/officeDocument/2006/relationships/hyperlink" Id="rId85" Target="https://t.me/s/glassnode?before=1458#:~:text=,driven%20bearish%20pressure%20persists" TargetMode="External" /><Relationship Type="http://schemas.openxmlformats.org/officeDocument/2006/relationships/hyperlink" Id="rId44" Target="https://t.me/s/glassnode?before=1458#:~:text=,macro%20shocks%20break%20the%20balance" TargetMode="External" /><Relationship Type="http://schemas.openxmlformats.org/officeDocument/2006/relationships/hyperlink" Id="rId65" Target="https://t.me/s/glassnode?before=1458#:~:text=,rolls%20over%2C%20signalling%20weakening%20demand" TargetMode="External" /><Relationship Type="http://schemas.openxmlformats.org/officeDocument/2006/relationships/hyperlink" Id="rId87" Target="https://t.me/s/glassnode?before=1458#:~:text=Executive%20Summary%20,possible%20if%20seller%20exhaustion%20emerges" TargetMode="External" /><Relationship Type="http://schemas.openxmlformats.org/officeDocument/2006/relationships/hyperlink" Id="rId67" Target="https://t.me/s/glassnode?before=1458#:~:text=Executive%20Summary%20,rolls%20over%2C%20signalling%20weakening%20demand" TargetMode="External" /><Relationship Type="http://schemas.openxmlformats.org/officeDocument/2006/relationships/hyperlink" Id="rId83" Target="https://t.me/s/glassnode?before=1458#:~:text=Liquidity%20can%20be%20assessed%20through,seen%20in%20deep%20bear%20markets" TargetMode="External" /><Relationship Type="http://schemas.openxmlformats.org/officeDocument/2006/relationships/hyperlink" Id="rId175" Target="https://t.me/s/glassnode?before=1458#:~:text=possible%20if%20seller%20exhaustion%20emerges,catalyst%20of%20the%20year%2C%20implied" TargetMode="External" /><Relationship Type="http://schemas.openxmlformats.org/officeDocument/2006/relationships/hyperlink" Id="rId68" Target="https://t.me/s/glassnode?before=1458#:~:text=supply%20underwater,106.2K" TargetMode="External" /><Relationship Type="http://schemas.openxmlformats.org/officeDocument/2006/relationships/hyperlink" Id="rId33" Target="https://t.me/s/glassnode?before=1458#:~:text=thin%2C%20and%20futures%20positioning%20shows,or%20whether%20the%20current%20time" TargetMode="External" /><Relationship Type="http://schemas.openxmlformats.org/officeDocument/2006/relationships/hyperlink" Id="rId209" Target="https://www.altcoinbuzz.io/cryptocurrency-news/binance-reveals-strong-proof-of-reserves-in-nov-1-utc-snapshot/" TargetMode="External" /><Relationship Type="http://schemas.openxmlformats.org/officeDocument/2006/relationships/hyperlink" Id="rId164" Target="https://www.altcoinbuzz.io/cryptocurrency-news/binance-reveals-strong-proof-of-reserves-in-nov-1-utc-snapshot/#:~:text=Binance%20Reveals%20Strong%20Proof%20of," TargetMode="External" /><Relationship Type="http://schemas.openxmlformats.org/officeDocument/2006/relationships/hyperlink" Id="rId203" Target="https://www.armstrongteasdale.com/thought-leadership/key-sec-updates-new-examination-priorities-no-action-relief-for-brokerage-payments-to-unregistered-entities-and-expanding-permissible-crypto-custodians/" TargetMode="External" /><Relationship Type="http://schemas.openxmlformats.org/officeDocument/2006/relationships/hyperlink" Id="rId124" Target="https://www.armstrongteasdale.com/thought-leadership/key-sec-updates-new-examination-priorities-no-action-relief-for-brokerage-payments-to-unregistered-entities-and-expanding-permissible-crypto-custodians/#:~:text=Key%20SEC%20Updates%3A%20New%20Examination,Investment%20Management%20issued%20a" TargetMode="External" /><Relationship Type="http://schemas.openxmlformats.org/officeDocument/2006/relationships/hyperlink" Id="rId191" Target="https://www.binance.com/en/square/post/2024-11-07-binance-s-proof-of-reserves-hits-two-years-backed-by-120b-in-34-assets-15923046320705" TargetMode="External" /><Relationship Type="http://schemas.openxmlformats.org/officeDocument/2006/relationships/hyperlink" Id="rId79" Target="https://www.binance.com/en/square/post/2024-11-07-binance-s-proof-of-reserves-hits-two-years-backed-by-120b-in-34-assets-15923046320705#:~:text=Binance%27s%20Proof%20of%20Reserves%20Hits,reserves%20totaling%20over%20%24120%20billion" TargetMode="External" /><Relationship Type="http://schemas.openxmlformats.org/officeDocument/2006/relationships/hyperlink" Id="rId186" Target="https://www.businesswire.com/news/home/20251030699813/en/Strategy-Announces-Third-Quarter-2025-Financial-Results-Net-Income-of-%242.8-Billion-and-Diluted-EPS-of-%248.42" TargetMode="External" /><Relationship Type="http://schemas.openxmlformats.org/officeDocument/2006/relationships/hyperlink" Id="rId93" Target="https://www.businesswire.com/news/home/20251030699813/en/Strategy-Announces-Third-Quarter-2025-Financial-Results-Net-Income-of-%242.8-Billion-and-Diluted-EPS-of-%248.42#:~:text=%E2%80%9CIn%20the%20third%20quarter%20and,this%20momentum%2C%20we%20are%20reaffirming" TargetMode="External" /><Relationship Type="http://schemas.openxmlformats.org/officeDocument/2006/relationships/hyperlink" Id="rId173" Target="https://www.businesswire.com/news/home/20251030699813/en/Strategy-Announces-Third-Quarter-2025-Financial-Results-Net-Income-of-%242.8-Billion-and-Diluted-EPS-of-%248.42#:~:text=,over" TargetMode="External" /><Relationship Type="http://schemas.openxmlformats.org/officeDocument/2006/relationships/hyperlink" Id="rId59" Target="https://www.businesswire.com/news/home/20251030699813/en/Strategy-Announces-Third-Quarter-2025-Financial-Results-Net-Income-of-%242.8-Billion-and-Diluted-EPS-of-%248.42#:~:text=Bitcoin%20Highlights%20,26%2C%202025" TargetMode="External" /><Relationship Type="http://schemas.openxmlformats.org/officeDocument/2006/relationships/hyperlink" Id="rId172" Target="https://www.businesswire.com/news/home/20251030699813/en/Strategy-Announces-Third-Quarter-2025-Financial-Results-Net-Income-of-%242.8-Billion-and-Diluted-EPS-of-%248.42#:~:text=accordance%20with%20the%20cost,2025%2C%20the%20Company%20had%20cash" TargetMode="External" /><Relationship Type="http://schemas.openxmlformats.org/officeDocument/2006/relationships/hyperlink" Id="rId214" Target="https://www.coindesk.com/markets/2025/10/29/strategy-posted-eps-of-usd8-42-in-q3-driven-by-mark-to-market-gains-on-bitcoin" TargetMode="External" /><Relationship Type="http://schemas.openxmlformats.org/officeDocument/2006/relationships/hyperlink" Id="rId170" Target="https://www.coindesk.com/markets/2025/10/29/strategy-posted-eps-of-usd8-42-in-q3-driven-by-mark-to-market-gains-on-bitcoin#:~:text=Oct%2030%2C%202025%20%E2%80%94%20Strategy,See%20more" TargetMode="External" /><Relationship Type="http://schemas.openxmlformats.org/officeDocument/2006/relationships/hyperlink" Id="rId198" Target="https://www.dwf-labs.com/news/4-common-strategies-that-crypto-market-makers-use" TargetMode="External" /><Relationship Type="http://schemas.openxmlformats.org/officeDocument/2006/relationships/hyperlink" Id="rId102" Target="https://www.dwf-labs.com/news/4-common-strategies-that-crypto-market-makers-use#:~:text=Dynamic%20Spread%20is%20a%20quantitative,trading%20flow%20and%20maintain%20competitiveness" TargetMode="External" /><Relationship Type="http://schemas.openxmlformats.org/officeDocument/2006/relationships/hyperlink" Id="rId101" Target="https://www.dwf-labs.com/news/4-common-strategies-that-crypto-market-makers-use#:~:text=However%2C%20Bid,quoting%20during%20volatile%20market%20conditions" TargetMode="External" /><Relationship Type="http://schemas.openxmlformats.org/officeDocument/2006/relationships/hyperlink" Id="rId103" Target="https://www.dwf-labs.com/news/4-common-strategies-that-crypto-market-makers-use#:~:text=Unlike%20static%20quoting%2C%20it%20dynamically,trading%20flow%20and%20maintain%20competitiveness" TargetMode="External" /><Relationship Type="http://schemas.openxmlformats.org/officeDocument/2006/relationships/hyperlink" Id="rId104" Target="https://www.dwf-labs.com/news/4-common-strategies-that-crypto-market-makers-use#:~:text=While%20this%20crypto%20market%20making,impact%20can%20further%20erode%20profitability" TargetMode="External" /><Relationship Type="http://schemas.openxmlformats.org/officeDocument/2006/relationships/hyperlink" Id="rId100" Target="https://www.dwf-labs.com/news/4-common-strategies-that-crypto-market-makers-use#:~:text=particular%20risk%20for%20crypto%20market,rebalance%20inventory%20to%20neutral%20levels" TargetMode="External" /><Relationship Type="http://schemas.openxmlformats.org/officeDocument/2006/relationships/hyperlink" Id="rId201" Target="https://www.elliptic.co/blog/how-crypto-regulation-changed-in-2025" TargetMode="External" /><Relationship Type="http://schemas.openxmlformats.org/officeDocument/2006/relationships/hyperlink" Id="rId116" Target="https://www.elliptic.co/blog/how-crypto-regulation-changed-in-2025#:~:text=How%20crypto%20regulation%20changed%20in,and%20major%20regulatory%20developments" TargetMode="External" /><Relationship Type="http://schemas.openxmlformats.org/officeDocument/2006/relationships/hyperlink" Id="rId204" Target="https://www.fool.com/earnings/call-transcripts/2025/11/27/coinbase-coin-q3-2025-earnings-call-transcript/" TargetMode="External" /><Relationship Type="http://schemas.openxmlformats.org/officeDocument/2006/relationships/hyperlink" Id="rId159" Target="https://www.fool.com/earnings/call-transcripts/2025/11/27/coinbase-coin-q3-2025-earnings-call-transcript/#:~:text=Fool%20www,to%20%241.4%20billion" TargetMode="External" /><Relationship Type="http://schemas.openxmlformats.org/officeDocument/2006/relationships/hyperlink" Id="rId207" Target="https://www.forbes.com/digital-assets/assets/crystal-crystal/" TargetMode="External" /><Relationship Type="http://schemas.openxmlformats.org/officeDocument/2006/relationships/hyperlink" Id="rId162" Target="https://www.forbes.com/digital-assets/assets/crystal-crystal/#:~:text=,subdued%20compared%20to%20late" TargetMode="External" /><Relationship Type="http://schemas.openxmlformats.org/officeDocument/2006/relationships/hyperlink" Id="rId205" Target="https://www.forbes.com/sites/boazsobrado/2025/10/30/coinbase-reports-bitcoin-purchase-growing-stablecoin-revenue-in-q3/" TargetMode="External" /><Relationship Type="http://schemas.openxmlformats.org/officeDocument/2006/relationships/hyperlink" Id="rId160" Target="https://www.forbes.com/sites/boazsobrado/2025/10/30/coinbase-reports-bitcoin-purchase-growing-stablecoin-revenue-in-q3/#:~:text=Coinbase%20Reports%20Bitcoin%20Purchase%2C%20Growing,transaction%20revenue%20remains%20subdued" TargetMode="External" /><Relationship Type="http://schemas.openxmlformats.org/officeDocument/2006/relationships/hyperlink" Id="rId202" Target="https://www.lw.com/en/us-crypto-policy-tracker/regulatory-developments" TargetMode="External" /><Relationship Type="http://schemas.openxmlformats.org/officeDocument/2006/relationships/hyperlink" Id="rId117" Target="https://www.lw.com/en/us-crypto-policy-tracker/regulatory-developments#:~:text=US%20Crypto%20Policy%20Tracker%20Regulatory,Read%20more%20on%20Latham%27s" TargetMode="External" /><Relationship Type="http://schemas.openxmlformats.org/officeDocument/2006/relationships/hyperlink" Id="rId193" Target="https://www.mexc.co/en-NG/news/223991" TargetMode="External" /><Relationship Type="http://schemas.openxmlformats.org/officeDocument/2006/relationships/hyperlink" Id="rId82" Target="https://www.mexc.co/en-NG/news/223991#:~:text=High%20Level%20of%20Backwardation%20Hints,FTX%20collapse%20in%20November" TargetMode="External" /><Relationship Type="http://schemas.openxmlformats.org/officeDocument/2006/relationships/hyperlink" Id="rId199" Target="https://www.paradigm.co/blog/options-market-making" TargetMode="External" /><Relationship Type="http://schemas.openxmlformats.org/officeDocument/2006/relationships/hyperlink" Id="rId106" Target="https://www.paradigm.co/blog/options-market-making#:~:text=Market%20makers%20are%20like%20croupiers,driven%20by%20statistics%20and%20probability" TargetMode="External" /><Relationship Type="http://schemas.openxmlformats.org/officeDocument/2006/relationships/hyperlink" Id="rId180" Target="https://www.reuters.com/business/finance/bitcoins-2025-rollercoaster-may-end-low-2025-12-09/" TargetMode="External" /><Relationship Type="http://schemas.openxmlformats.org/officeDocument/2006/relationships/hyperlink" Id="rId25" Target="https://www.reuters.com/business/finance/bitcoins-2025-rollercoaster-may-end-low-2025-12-09/#:~:text=After%20soaring%20earlier%20this%20year,above%20%24126%2C000%20in%20early%20October" TargetMode="External" /><Relationship Type="http://schemas.openxmlformats.org/officeDocument/2006/relationships/hyperlink" Id="rId76" Target="https://www.reuters.com/business/finance/bitcoins-2025-rollercoaster-may-end-low-2025-12-09/#:~:text=Analysts%20say%20bitcoin%27s%20gyrations%20increasingly,nervousness%20over%20the%20%20110" TargetMode="External" /><Relationship Type="http://schemas.openxmlformats.org/officeDocument/2006/relationships/hyperlink" Id="rId23" Target="https://www.reuters.com/business/finance/bitcoins-2025-rollercoaster-may-end-low-2025-12-09/#:~:text=Bitcoin%20has%20struggled%20to%20regain,xyz" TargetMode="External" /><Relationship Type="http://schemas.openxmlformats.org/officeDocument/2006/relationships/hyperlink" Id="rId42" Target="https://www.reuters.com/business/finance/bitcoins-2025-rollercoaster-may-end-low-2025-12-09/#:~:text=But%20just%20days%20later%2C%20on,largest%20liquidation%20in%20crypto%20history" TargetMode="External" /><Relationship Type="http://schemas.openxmlformats.org/officeDocument/2006/relationships/hyperlink" Id="rId45" Target="https://www.reuters.com/business/finance/bitcoins-2025-rollercoaster-may-end-low-2025-12-09/#:~:text=Correlation%20is%20measured%20from%20,29%2C%20LSEG%20data%20shows" TargetMode="External" /><Relationship Type="http://schemas.openxmlformats.org/officeDocument/2006/relationships/hyperlink" Id="rId48" Target="https://www.reuters.com/business/finance/bitcoins-2025-rollercoaster-may-end-low-2025-12-09/#:~:text=Crypto%20has%20grown%20especially%20sensitive,and%20risk%20appetite%2C%20analysts%20said" TargetMode="External" /><Relationship Type="http://schemas.openxmlformats.org/officeDocument/2006/relationships/hyperlink" Id="rId27" Target="https://www.reuters.com/business/finance/bitcoins-2025-rollercoaster-may-end-low-2025-12-09/#:~:text=Dec%209%20%28Reuters%29%20,first%20annual%20decline%20since%202022" TargetMode="External" /><Relationship Type="http://schemas.openxmlformats.org/officeDocument/2006/relationships/hyperlink" Id="rId46" Target="https://www.reuters.com/business/finance/bitcoins-2025-rollercoaster-may-end-low-2025-12-09/#:~:text=For%20the%20tech,2024%2C%20according%20to%20LSEG%20data" TargetMode="External" /><Relationship Type="http://schemas.openxmlformats.org/officeDocument/2006/relationships/hyperlink" Id="rId60" Target="https://www.reuters.com/business/finance/bitcoins-2025-rollercoaster-may-end-low-2025-12-09/#:~:text=In%20a%20change%20of%20tune%2C,low%2C%20according%20to%20media%20reports" TargetMode="External" /><Relationship Type="http://schemas.openxmlformats.org/officeDocument/2006/relationships/hyperlink" Id="rId31" Target="https://www.reuters.com/business/finance/bitcoins-2025-rollercoaster-may-end-low-2025-12-09/#:~:text=RATE%20CUT%20QUESTIONS" TargetMode="External" /><Relationship Type="http://schemas.openxmlformats.org/officeDocument/2006/relationships/hyperlink" Id="rId69" Target="https://www.reuters.com/business/finance/bitcoins-2025-rollercoaster-may-end-low-2025-12-09/#:~:text=That%20rate%20decision%2C%20along%20with,the%20near%20term%2C%20analysts%20said" TargetMode="External" /><Relationship Type="http://schemas.openxmlformats.org/officeDocument/2006/relationships/hyperlink" Id="rId74" Target="https://www.reuters.com/business/finance/bitcoins-2025-rollercoaster-may-end-low-2025-12-09/#:~:text=That%27s%20still%20a%20blow%20for,traded%20funds" TargetMode="External" /><Relationship Type="http://schemas.openxmlformats.org/officeDocument/2006/relationships/hyperlink" Id="rId47" Target="https://www.reuters.com/business/finance/bitcoins-2025-rollercoaster-may-end-low-2025-12-09/#:~:text=Those%20April%20and%20October%20plunges,valuations%20are%20in%20bubble%20territory" TargetMode="External" /><Relationship Type="http://schemas.openxmlformats.org/officeDocument/2006/relationships/hyperlink" Id="rId77" Target="https://www.reuters.com/business/finance/bitcoins-2025-rollercoaster-may-end-low-2025-12-09/#:~:text=rally%20in%20line%20with%20dovish,signals%20from%20the%20central%20bank" TargetMode="External" /><Relationship Type="http://schemas.openxmlformats.org/officeDocument/2006/relationships/hyperlink" Id="rId32" Target="https://www.reuters.com/business/finance/bitcoins-2025-rollercoaster-may-end-low-2025-12-09/#:~:text=strengthening%2C%20analysts%20said" TargetMode="External" /><Relationship Type="http://schemas.openxmlformats.org/officeDocument/2006/relationships/hyperlink" Id="rId197" Target="https://www.sec.gov/Archives/edgar/data/1167419/000110465925104461/riot-20251030xex99d2.htm" TargetMode="External" /><Relationship Type="http://schemas.openxmlformats.org/officeDocument/2006/relationships/hyperlink" Id="rId95" Target="https://www.sec.gov/Archives/edgar/data/1167419/000110465925104461/riot-20251030xex99d2.htm#:~:text=Q3%202025%20Earnings%20Deck%2C%20dated,SNAPSHOT%2019%2C287%20BTC%20Held" TargetMode="External" /><Relationship Type="http://schemas.openxmlformats.org/officeDocument/2006/relationships/hyperlink" Id="rId211" Target="https://www.theblock.co/post/377044/bitcoin-miner-riot-posts-net-income-of-104-5-million-in-q3-reversing-previous-quarters-losses" TargetMode="External" /><Relationship Type="http://schemas.openxmlformats.org/officeDocument/2006/relationships/hyperlink" Id="rId167" Target="https://www.theblock.co/post/377044/bitcoin-miner-riot-posts-net-income-of-104-5-million-in-q3-reversing-previous-quarters-losses#:~:text=Bitcoin%20miner%20Riot%20posts%20net,day%20as%20of%20market%20close" TargetMode="External" /><Relationship Type="http://schemas.openxmlformats.org/officeDocument/2006/relationships/hyperlink" Id="rId189" Target="https://www.todayonchain.com/news/article/01K972FM817B96CDBCSSG9MXYG/" TargetMode="External" /><Relationship Type="http://schemas.openxmlformats.org/officeDocument/2006/relationships/hyperlink" Id="rId70" Target="https://www.todayonchain.com/news/article/01K972FM817B96CDBCSSG9MXYG/#:~:text=Bitcoin%20historically%20exhibits%20a%20negative,term%20relief%20for%20crypto%20markets" TargetMode="External" /><Relationship Type="http://schemas.openxmlformats.org/officeDocument/2006/relationships/hyperlink" Id="rId190" Target="https://www.trmlabs.com/reports-and-whitepapers/global-crypto-policy-review-outlook-2025-26" TargetMode="External" /><Relationship Type="http://schemas.openxmlformats.org/officeDocument/2006/relationships/hyperlink" Id="rId133" Target="https://www.trmlabs.com/reports-and-whitepapers/global-crypto-policy-review-outlook-2025-26#:~:text=%E2%80%9CMARC%E2%80%9D%20,London%20competitive%20in%20asset%20management" TargetMode="External" /><Relationship Type="http://schemas.openxmlformats.org/officeDocument/2006/relationships/hyperlink" Id="rId155" Target="https://www.trmlabs.com/reports-and-whitepapers/global-crypto-policy-review-outlook-2025-26#:~:text=,regulation" TargetMode="External" /><Relationship Type="http://schemas.openxmlformats.org/officeDocument/2006/relationships/hyperlink" Id="rId112" Target="https://www.trmlabs.com/reports-and-whitepapers/global-crypto-policy-review-outlook-2025-26#:~:text=2025%20crypto%20adoption%20ranking%3A%2043" TargetMode="External" /><Relationship Type="http://schemas.openxmlformats.org/officeDocument/2006/relationships/hyperlink" Id="rId71" Target="https://www.trmlabs.com/reports-and-whitepapers/global-crypto-policy-review-outlook-2025-26#:~:text=2025%20has%20brought%20the%20most,market%20structure%20bill%20that%20divides" TargetMode="External" /><Relationship Type="http://schemas.openxmlformats.org/officeDocument/2006/relationships/hyperlink" Id="rId150" Target="https://www.trmlabs.com/reports-and-whitepapers/global-crypto-policy-review-outlook-2025-26#:~:text=2025%20saw%20Singapore%20expand%20the,MAS%E2%80%99%20regulatory%20powers%20across%20the" TargetMode="External" /><Relationship Type="http://schemas.openxmlformats.org/officeDocument/2006/relationships/hyperlink" Id="rId146" Target="https://www.trmlabs.com/reports-and-whitepapers/global-crypto-policy-review-outlook-2025-26#:~:text=2025%20was%20another%20busy%20year,approved%20external%20assessor%20under%20SFC" TargetMode="External" /><Relationship Type="http://schemas.openxmlformats.org/officeDocument/2006/relationships/hyperlink" Id="rId122" Target="https://www.trmlabs.com/reports-and-whitepapers/global-crypto-policy-review-outlook-2025-26#:~:text=7%20Specifically%20the%20recession%20of,between%20March%20and%20April%202025" TargetMode="External" /><Relationship Type="http://schemas.openxmlformats.org/officeDocument/2006/relationships/hyperlink" Id="rId140" Target="https://www.trmlabs.com/reports-and-whitepapers/global-crypto-policy-review-outlook-2025-26#:~:text=As%20summer%20gave%20way%20to,collaboration%20between%20the%20two%20nations" TargetMode="External" /><Relationship Type="http://schemas.openxmlformats.org/officeDocument/2006/relationships/hyperlink" Id="rId126" Target="https://www.trmlabs.com/reports-and-whitepapers/global-crypto-policy-review-outlook-2025-26#:~:text=Authority%20of%20Singapore%20announced%20that,different%20approach" TargetMode="External" /><Relationship Type="http://schemas.openxmlformats.org/officeDocument/2006/relationships/hyperlink" Id="rId129" Target="https://www.trmlabs.com/reports-and-whitepapers/global-crypto-policy-review-outlook-2025-26#:~:text=Europe%2C%20Middle%20East%2C%20and%20Africa,wide" TargetMode="External" /><Relationship Type="http://schemas.openxmlformats.org/officeDocument/2006/relationships/hyperlink" Id="rId145" Target="https://www.trmlabs.com/reports-and-whitepapers/global-crypto-policy-review-outlook-2025-26#:~:text=Hong%20Kong%20as%20a%20global,bugbear%20for%20many%20industry%20players" TargetMode="External" /><Relationship Type="http://schemas.openxmlformats.org/officeDocument/2006/relationships/hyperlink" Id="rId147" Target="https://www.trmlabs.com/reports-and-whitepapers/global-crypto-policy-review-outlook-2025-26#:~:text=Hong%20Kong%E2%80%99s%20stablecoin%20scene%20was,in%20Hong%20Kong%2C%20under" TargetMode="External" /><Relationship Type="http://schemas.openxmlformats.org/officeDocument/2006/relationships/hyperlink" Id="rId153" Target="https://www.trmlabs.com/reports-and-whitepapers/global-crypto-policy-review-outlook-2025-26#:~:text=However%2C%20MAS%20has%20no%20intention,Instead%2C%20the" TargetMode="External" /><Relationship Type="http://schemas.openxmlformats.org/officeDocument/2006/relationships/hyperlink" Id="rId136" Target="https://www.trmlabs.com/reports-and-whitepapers/global-crypto-policy-review-outlook-2025-26#:~:text=In%20November%2C%20the%20Bank%20of,into%20stablecoins%20during%20the%20transition" TargetMode="External" /><Relationship Type="http://schemas.openxmlformats.org/officeDocument/2006/relationships/hyperlink" Id="rId135" Target="https://www.trmlabs.com/reports-and-whitepapers/global-crypto-policy-review-outlook-2025-26#:~:text=In%20November%2C%20the%20Bank%20of,per%20individual%20and%20GBP%2010" TargetMode="External" /><Relationship Type="http://schemas.openxmlformats.org/officeDocument/2006/relationships/hyperlink" Id="rId156" Target="https://www.trmlabs.com/reports-and-whitepapers/global-crypto-policy-review-outlook-2025-26#:~:text=In%20a%20nod%20to%20the,service%20providers%20require%20an%20AFSL" TargetMode="External" /><Relationship Type="http://schemas.openxmlformats.org/officeDocument/2006/relationships/hyperlink" Id="rId134" Target="https://www.trmlabs.com/reports-and-whitepapers/global-crypto-policy-review-outlook-2025-26#:~:text=In%20parallel%2C%20HM%20Treasury%20published,out%20by%20FCA%20authorized%20entities" TargetMode="External" /><Relationship Type="http://schemas.openxmlformats.org/officeDocument/2006/relationships/hyperlink" Id="rId127" Target="https://www.trmlabs.com/reports-and-whitepapers/global-crypto-policy-review-outlook-2025-26#:~:text=Main%20regulator,DNB" TargetMode="External" /><Relationship Type="http://schemas.openxmlformats.org/officeDocument/2006/relationships/hyperlink" Id="rId141" Target="https://www.trmlabs.com/reports-and-whitepapers/global-crypto-policy-review-outlook-2025-26#:~:text=On%20the%20AML%20front%2C%20the,chain%20use%20in%20UK%20intelligence" TargetMode="External" /><Relationship Type="http://schemas.openxmlformats.org/officeDocument/2006/relationships/hyperlink" Id="rId114" Target="https://www.trmlabs.com/reports-and-whitepapers/global-crypto-policy-review-outlook-2025-26#:~:text=Some%20key%20regulators%20had%20also,different%20approach" TargetMode="External" /><Relationship Type="http://schemas.openxmlformats.org/officeDocument/2006/relationships/hyperlink" Id="rId128" Target="https://www.trmlabs.com/reports-and-whitepapers/global-crypto-policy-review-outlook-2025-26#:~:text=Status%3A%20MiCA%20regime%20for%20stablecoin,CASPs%29%20since%20December%202024" TargetMode="External" /><Relationship Type="http://schemas.openxmlformats.org/officeDocument/2006/relationships/hyperlink" Id="rId131" Target="https://www.trmlabs.com/reports-and-whitepapers/global-crypto-policy-review-outlook-2025-26#:~:text=The%20FCA%20ran%20a%20packed,And%2C%20in" TargetMode="External" /><Relationship Type="http://schemas.openxmlformats.org/officeDocument/2006/relationships/hyperlink" Id="rId142" Target="https://www.trmlabs.com/reports-and-whitepapers/global-crypto-policy-review-outlook-2025-26#:~:text=The%20Office%20of%20Financial%20Sanctions,firms%20to%20Garantex%20since%202022" TargetMode="External" /><Relationship Type="http://schemas.openxmlformats.org/officeDocument/2006/relationships/hyperlink" Id="rId130" Target="https://www.trmlabs.com/reports-and-whitepapers/global-crypto-policy-review-outlook-2025-26#:~:text=The%20UK%20spent%202025%20building,And%2C%20in" TargetMode="External" /><Relationship Type="http://schemas.openxmlformats.org/officeDocument/2006/relationships/hyperlink" Id="rId113" Target="https://www.trmlabs.com/reports-and-whitepapers/global-crypto-policy-review-outlook-2025-26#:~:text=The%20standards%20were%20originally%20finalized,generally%20be%20lower%20than%201" TargetMode="External" /><Relationship Type="http://schemas.openxmlformats.org/officeDocument/2006/relationships/hyperlink" Id="rId72" Target="https://www.trmlabs.com/reports-and-whitepapers/global-crypto-policy-review-outlook-2025-26#:~:text=United%20States%20,wide" TargetMode="External" /><Relationship Type="http://schemas.openxmlformats.org/officeDocument/2006/relationships/hyperlink" Id="rId144" Target="https://www.trmlabs.com/reports-and-whitepapers/global-crypto-policy-review-outlook-2025-26#:~:text=We%20also%20saw%20quite%20a,month%20span" TargetMode="External" /><Relationship Type="http://schemas.openxmlformats.org/officeDocument/2006/relationships/hyperlink" Id="rId123" Target="https://www.trmlabs.com/reports-and-whitepapers/global-crypto-policy-review-outlook-2025-26#:~:text=actively%20working%20on%20final%20regulations,a%20period%20of%20industry%20engagement" TargetMode="External" /><Relationship Type="http://schemas.openxmlformats.org/officeDocument/2006/relationships/hyperlink" Id="rId139" Target="https://www.trmlabs.com/reports-and-whitepapers/global-crypto-policy-review-outlook-2025-26#:~:text=adoption%20or%20push%20issuers%20offshore%2C,and%20systemic%20risks%20are%20understood" TargetMode="External" /><Relationship Type="http://schemas.openxmlformats.org/officeDocument/2006/relationships/hyperlink" Id="rId152" Target="https://www.trmlabs.com/reports-and-whitepapers/global-crypto-policy-review-outlook-2025-26#:~:text=entity%20to%20provide%20DT%20services,which%20could%20be%20attempting%20to" TargetMode="External" /><Relationship Type="http://schemas.openxmlformats.org/officeDocument/2006/relationships/hyperlink" Id="rId148" Target="https://www.trmlabs.com/reports-and-whitepapers/global-crypto-policy-review-outlook-2025-26#:~:text=match%20at%20L1375%20must%20be,Issuers%20with%20a%20%E2%80%9Creasonable%20prospect%E2%80%9D" TargetMode="External" /><Relationship Type="http://schemas.openxmlformats.org/officeDocument/2006/relationships/hyperlink" Id="rId149" Target="https://www.trmlabs.com/reports-and-whitepapers/global-crypto-policy-review-outlook-2025-26#:~:text=match%20at%20L1388%202025%20has,policy%20moves%20will%20indeed%20fuel" TargetMode="External" /><Relationship Type="http://schemas.openxmlformats.org/officeDocument/2006/relationships/hyperlink" Id="rId154" Target="https://www.trmlabs.com/reports-and-whitepapers/global-crypto-policy-review-outlook-2025-26#:~:text=match%20at%20L1700%20rules%20threw,their%20Singapore%20teams%2C%20but%20staff" TargetMode="External" /><Relationship Type="http://schemas.openxmlformats.org/officeDocument/2006/relationships/hyperlink" Id="rId118" Target="https://www.trmlabs.com/reports-and-whitepapers/global-crypto-policy-review-outlook-2025-26#:~:text=match%20at%20L671%202025%20has,market%20structure%20bill%20that%20divides" TargetMode="External" /><Relationship Type="http://schemas.openxmlformats.org/officeDocument/2006/relationships/hyperlink" Id="rId137" Target="https://www.trmlabs.com/reports-and-whitepapers/global-crypto-policy-review-outlook-2025-26#:~:text=money%20arrangements%20will%20face%20oversight,fully%20embedded%20and%20systemic%20risks" TargetMode="External" /><Relationship Type="http://schemas.openxmlformats.org/officeDocument/2006/relationships/hyperlink" Id="rId151" Target="https://www.trmlabs.com/reports-and-whitepapers/global-crypto-policy-review-outlook-2025-26#:~:text=service%20providers%20,June%2030%2C%20DTSPs%20with%20a" TargetMode="External" /><Relationship Type="http://schemas.openxmlformats.org/officeDocument/2006/relationships/hyperlink" Id="rId132" Target="https://www.trmlabs.com/reports-and-whitepapers/global-crypto-policy-review-outlook-2025-26#:~:text=set%20out%20the%20spine%20of,London%20competitive%20in%20asset%20management" TargetMode="External" /><Relationship Type="http://schemas.openxmlformats.org/officeDocument/2006/relationships/hyperlink" Id="rId119" Target="https://www.trmlabs.com/reports-and-whitepapers/global-crypto-policy-review-outlook-2025-26#:~:text=spot,The%20US%20Treasury%20Department%20is" TargetMode="External" /><Relationship Type="http://schemas.openxmlformats.org/officeDocument/2006/relationships/hyperlink" Id="rId121" Target="https://www.trmlabs.com/reports-and-whitepapers/global-crypto-policy-review-outlook-2025-26#:~:text=stablecoins,approach" TargetMode="External" /><Relationship Type="http://schemas.openxmlformats.org/officeDocument/2006/relationships/hyperlink" Id="rId138" Target="https://www.trmlabs.com/reports-and-whitepapers/global-crypto-policy-review-outlook-2025-26#:~:text=temporary%20holding%20caps%3A%20GBP%2020%2C000,and%20systemic%20risks%20are%20understood" TargetMode="External" /><Relationship Type="http://schemas.openxmlformats.org/officeDocument/2006/relationships/hyperlink" Id="rId143" Target="https://www.trmlabs.com/reports-and-whitepapers/global-crypto-policy-review-outlook-2025-26#:~:text=until%20funds%20hit%20an%20attributed,firms%20to%20Garantex%20since%202022" TargetMode="External" /><Relationship Type="http://schemas.openxmlformats.org/officeDocument/2006/relationships/hyperlink" Id="rId215" Target="https://www.visualcapitalist.com/ranked-the-companies-who-own-the-most-bitcoin-in-2025/" TargetMode="External" /><Relationship Type="http://schemas.openxmlformats.org/officeDocument/2006/relationships/hyperlink" Id="rId171" Target="https://www.visualcapitalist.com/ranked-the-companies-who-own-the-most-bitcoin-in-2025/#:~:text=Ranked%3A%20The%20Companies%20Who%20Own,MARA%20dominate%20corporate%20BTC%20treasuries" TargetMode="External" /></Relationships>
</file>

<file path=word/_rels/footnotes.xml.rels><?xml version="1.0" encoding="UTF-8"?><Relationships xmlns="http://schemas.openxmlformats.org/package/2006/relationships"><Relationship Type="http://schemas.openxmlformats.org/officeDocument/2006/relationships/hyperlink" Id="rId187" Target="https://bitbo.io/news/tesla-bitcoin-q3-profit/" TargetMode="External" /><Relationship Type="http://schemas.openxmlformats.org/officeDocument/2006/relationships/hyperlink" Id="rId61" Target="https://bitbo.io/news/tesla-bitcoin-q3-profit/#:~:text=,gains%20or%20losses%20each%20quarter" TargetMode="External" /><Relationship Type="http://schemas.openxmlformats.org/officeDocument/2006/relationships/hyperlink" Id="rId62" Target="https://bitbo.io/news/tesla-bitcoin-q3-profit/#:~:text=Tesla%20,35%20billion%20at%20quarter%E2%80%99s%20end" TargetMode="External" /><Relationship Type="http://schemas.openxmlformats.org/officeDocument/2006/relationships/hyperlink" Id="rId165" Target="https://bitbo.io/news/tesla-bitcoin-q3-profit/#:~:text=Tesla%20Reports%20%2480M%20Bitcoin%20Profit,in%20Q3%202025" TargetMode="External" /><Relationship Type="http://schemas.openxmlformats.org/officeDocument/2006/relationships/hyperlink" Id="rId213" Target="https://bitbo.io/treasuries/block/" TargetMode="External" /><Relationship Type="http://schemas.openxmlformats.org/officeDocument/2006/relationships/hyperlink" Id="rId169" Target="https://bitbo.io/treasuries/block/#:~:text=Block%20,bitcoin%20supply%20of%2021%20million" TargetMode="External" /><Relationship Type="http://schemas.openxmlformats.org/officeDocument/2006/relationships/hyperlink" Id="rId195" Target="https://bitcointreasuries.net/private-companies/tether-holdings" TargetMode="External" /><Relationship Type="http://schemas.openxmlformats.org/officeDocument/2006/relationships/hyperlink" Id="rId91" Target="https://bitcointreasuries.net/private-companies/tether-holdings#:~:text=Analysis%20bitcointreasuries,Bitcoin%20reserves%20to%2083%2C759%20BTC" TargetMode="External" /><Relationship Type="http://schemas.openxmlformats.org/officeDocument/2006/relationships/hyperlink" Id="rId196" Target="https://blockspace.media/insight/strategy-buys-10645-bitcoin-for-980-million-as-total-holdings-top-671000/" TargetMode="External" /><Relationship Type="http://schemas.openxmlformats.org/officeDocument/2006/relationships/hyperlink" Id="rId94" Target="https://blockspace.media/insight/strategy-buys-10645-bitcoin-for-980-million-as-total-holdings-top-671000/#:~:text=Strategy%20buys%2010%2C645%20bitcoin%20for,3%20million%2C" TargetMode="External" /><Relationship Type="http://schemas.openxmlformats.org/officeDocument/2006/relationships/hyperlink" Id="rId181" Target="https://blog.mexc.com/news/november-2025-crypto-correction-contained-shock-or-systemic-risk/" TargetMode="External" /><Relationship Type="http://schemas.openxmlformats.org/officeDocument/2006/relationships/hyperlink" Id="rId81" Target="https://blog.mexc.com/news/november-2025-crypto-correction-contained-shock-or-systemic-risk/#:~:text=,among%20counterparties%20and%20prime%20brokers" TargetMode="External" /><Relationship Type="http://schemas.openxmlformats.org/officeDocument/2006/relationships/hyperlink" Id="rId30" Target="https://blog.mexc.com/news/november-2025-crypto-correction-contained-shock-or-systemic-risk/#:~:text=,did%20not%20report%20cascading%20bankruptcies" TargetMode="External" /><Relationship Type="http://schemas.openxmlformats.org/officeDocument/2006/relationships/hyperlink" Id="rId73" Target="https://blog.mexc.com/news/november-2025-crypto-correction-contained-shock-or-systemic-risk/#:~:text=,testing%20among%20larger%20market%20participants" TargetMode="External" /><Relationship Type="http://schemas.openxmlformats.org/officeDocument/2006/relationships/hyperlink" Id="rId29" Target="https://blog.mexc.com/news/november-2025-crypto-correction-contained-shock-or-systemic-risk/#:~:text=Despite%20headline,risk%20transfers%20among%20leveraged%20participants" TargetMode="External" /><Relationship Type="http://schemas.openxmlformats.org/officeDocument/2006/relationships/hyperlink" Id="rId26" Target="https://blog.mexc.com/news/november-2025-crypto-correction-contained-shock-or-systemic-risk/#:~:text=In%20November%202025%20the%20cryptocurrency,altcoins%20posted%20steeper%20percentage%20losses" TargetMode="External" /><Relationship Type="http://schemas.openxmlformats.org/officeDocument/2006/relationships/hyperlink" Id="rId24" Target="https://blog.mexc.com/news/november-2025-crypto-correction-contained-shock-or-systemic-risk/#:~:text=Public%20Market%20and%20ETF%20Flows%3A,Orderly%20but%20Significant" TargetMode="External" /><Relationship Type="http://schemas.openxmlformats.org/officeDocument/2006/relationships/hyperlink" Id="rId96" Target="https://blog.mexc.com/news/november-2025-crypto-correction-contained-shock-or-systemic-risk/#:~:text=heightened%20risk%20aversion,operating%20rather%20than%20suspending%20redemptions" TargetMode="External" /><Relationship Type="http://schemas.openxmlformats.org/officeDocument/2006/relationships/hyperlink" Id="rId184" Target="https://bravenewcoin.com/insights/tethers-2025-profits-surpass-10-billion-as-stablecoin-dominance-grows" TargetMode="External" /><Relationship Type="http://schemas.openxmlformats.org/officeDocument/2006/relationships/hyperlink" Id="rId120" Target="https://bravenewcoin.com/insights/tethers-2025-profits-surpass-10-billion-as-stablecoin-dominance-grows#:~:text=Market%20Dominance%20and%20Financial%20Strength" TargetMode="External" /><Relationship Type="http://schemas.openxmlformats.org/officeDocument/2006/relationships/hyperlink" Id="rId56" Target="https://bravenewcoin.com/insights/tethers-2025-profits-surpass-10-billion-as-stablecoin-dominance-grows#:~:text=The%20company%20also%20profits%20from,investments%20added%20another%20%241%20billion" TargetMode="External" /><Relationship Type="http://schemas.openxmlformats.org/officeDocument/2006/relationships/hyperlink" Id="rId55" Target="https://bravenewcoin.com/insights/tethers-2025-profits-surpass-10-billion-as-stablecoin-dominance-grows#:~:text=The%20company%E2%80%99s%20financial%20resilience%20shows,the%20company%E2%80%99s%20strong%20financial%20position" TargetMode="External" /><Relationship Type="http://schemas.openxmlformats.org/officeDocument/2006/relationships/hyperlink" Id="rId158" Target="https://bravenewcoin.com/insights/tethers-2025-profits-surpass-10-billion-as-stablecoin-dominance-grows#:~:text=U,Treasuries" TargetMode="External" /><Relationship Type="http://schemas.openxmlformats.org/officeDocument/2006/relationships/hyperlink" Id="rId53" Target="https://bravenewcoin.com/insights/tethers-2025-profits-surpass-10-billion-as-stablecoin-dominance-grows#:~:text=USDT%20has%20become%20the%20dominant,7%20billion" TargetMode="External" /><Relationship Type="http://schemas.openxmlformats.org/officeDocument/2006/relationships/hyperlink" Id="rId58" Target="https://bravenewcoin.com/insights/tethers-2025-profits-surpass-10-billion-as-stablecoin-dominance-grows#:~:text=reaching%20%244,profitable%20privately%20controlled%20businesses%20globally" TargetMode="External" /><Relationship Type="http://schemas.openxmlformats.org/officeDocument/2006/relationships/hyperlink" Id="rId57" Target="https://bravenewcoin.com/insights/tethers-2025-profits-surpass-10-billion-as-stablecoin-dominance-grows#:~:text=the%20end%20of%20Q3%202025%2C,Treasuries" TargetMode="External" /><Relationship Type="http://schemas.openxmlformats.org/officeDocument/2006/relationships/hyperlink" Id="rId183" Target="https://coinstats.app/news/3135f27873a1c6db77c5a638030e8d16285fb5b5733a810a118e6ed9adaa564c_Bitcoin-ETFs-Bleed-187M-Despite-STH-Accumulation-BTC-Crashes-to-104K/" TargetMode="External" /><Relationship Type="http://schemas.openxmlformats.org/officeDocument/2006/relationships/hyperlink" Id="rId39" Target="https://coinstats.app/news/3135f27873a1c6db77c5a638030e8d16285fb5b5733a810a118e6ed9adaa564c_Bitcoin-ETFs-Bleed-187M-Despite-STH-Accumulation-BTC-Crashes-to-104K/#:~:text=Bitcoin%E2%80%99s%20%20BTC%20%24103%20783,responsible%20for%20the%20day%E2%80%99s%20withdrawals" TargetMode="External" /><Relationship Type="http://schemas.openxmlformats.org/officeDocument/2006/relationships/hyperlink" Id="rId90" Target="https://coinstats.app/news/3135f27873a1c6db77c5a638030e8d16285fb5b5733a810a118e6ed9adaa564c_Bitcoin-ETFs-Bleed-187M-Despite-STH-Accumulation-BTC-Crashes-to-104K/#:~:text=Meanwhile%2C%20coins%20held%20for%20longer,range%2C%20has%20begun%20accumulating%20again" TargetMode="External" /><Relationship Type="http://schemas.openxmlformats.org/officeDocument/2006/relationships/hyperlink" Id="rId88" Target="https://coinstats.app/news/3135f27873a1c6db77c5a638030e8d16285fb5b5733a810a118e6ed9adaa564c_Bitcoin-ETFs-Bleed-187M-Despite-STH-Accumulation-BTC-Crashes-to-104K/#:~:text=On,10" TargetMode="External" /><Relationship Type="http://schemas.openxmlformats.org/officeDocument/2006/relationships/hyperlink" Id="rId89" Target="https://coinstats.app/news/3135f27873a1c6db77c5a638030e8d16285fb5b5733a810a118e6ed9adaa564c_Bitcoin-ETFs-Bleed-187M-Despite-STH-Accumulation-BTC-Crashes-to-104K/#:~:text=The%20average%20cost%20basis%20of,dip%20below%20their%20cost%20basis" TargetMode="External" /><Relationship Type="http://schemas.openxmlformats.org/officeDocument/2006/relationships/hyperlink" Id="rId40" Target="https://coinstats.app/news/3135f27873a1c6db77c5a638030e8d16285fb5b5733a810a118e6ed9adaa564c_Bitcoin-ETFs-Bleed-187M-Despite-STH-Accumulation-BTC-Crashes-to-104K/#:~:text=This%20marks%20the%20fourth%20consecutive,over%20the%20past%20week" TargetMode="External" /><Relationship Type="http://schemas.openxmlformats.org/officeDocument/2006/relationships/hyperlink" Id="rId41" Target="https://coinstats.app/news/3135f27873a1c6db77c5a638030e8d16285fb5b5733a810a118e6ed9adaa564c_Bitcoin-ETFs-Bleed-187M-Despite-STH-Accumulation-BTC-Crashes-to-104K/#:~:text=exit%20from%20Bitcoin%20ETFs%20www,over%20the%20past%20week" TargetMode="External" /><Relationship Type="http://schemas.openxmlformats.org/officeDocument/2006/relationships/hyperlink" Id="rId208" Target="https://cryptobriefing.com/binance-proof-of-reserves-october-2023-21000-btc/" TargetMode="External" /><Relationship Type="http://schemas.openxmlformats.org/officeDocument/2006/relationships/hyperlink" Id="rId163" Target="https://cryptobriefing.com/binance-proof-of-reserves-october-2023-21000-btc/#:~:text=Binance%20reveals%20proof%20of%20reserves,holdings%20fully%20backed%20at%20100" TargetMode="External" /><Relationship Type="http://schemas.openxmlformats.org/officeDocument/2006/relationships/hyperlink" Id="rId179" Target="https://decrypt.co/352522/crypto-market-liquidity-shrinks-ahead-of-holidays" TargetMode="External" /><Relationship Type="http://schemas.openxmlformats.org/officeDocument/2006/relationships/hyperlink" Id="rId37" Target="https://decrypt.co/352522/crypto-market-liquidity-shrinks-ahead-of-holidays#:~:text=%E2%80%9COver%20the%20past%20month%2C%20stablecoin,%E2%80%9D" TargetMode="External" /><Relationship Type="http://schemas.openxmlformats.org/officeDocument/2006/relationships/hyperlink" Id="rId22" Target="https://decrypt.co/352522/crypto-market-liquidity-shrinks-ahead-of-holidays#:~:text=Cryptocurrency%20market%20liquidity%20is%20tightening,ahead%20of%20the%20holiday%20season" TargetMode="External" /><Relationship Type="http://schemas.openxmlformats.org/officeDocument/2006/relationships/hyperlink" Id="rId38" Target="https://decrypt.co/352522/crypto-market-liquidity-shrinks-ahead-of-holidays#:~:text=Patsira%20pointed%20to%20stablecoin%20exchange,off" TargetMode="External" /><Relationship Type="http://schemas.openxmlformats.org/officeDocument/2006/relationships/hyperlink" Id="rId66" Target="https://decrypt.co/352522/crypto-market-liquidity-shrinks-ahead-of-holidays#:~:text=The%2060,chain%20analytics%20platform%20CryptoQuant" TargetMode="External" /><Relationship Type="http://schemas.openxmlformats.org/officeDocument/2006/relationships/hyperlink" Id="rId28" Target="https://decrypt.co/352522/crypto-market-liquidity-shrinks-ahead-of-holidays#:~:text=While%20%E2%80%9Cdry%20powder%20exists%2C%E2%80%9D%20Patsira,term%20without%20significant%20commitment.%E2%80%9D" TargetMode="External" /><Relationship Type="http://schemas.openxmlformats.org/officeDocument/2006/relationships/hyperlink" Id="rId92" Target="https://decrypt.co/352522/crypto-market-liquidity-shrinks-ahead-of-holidays#:~:text=followed%20by%20a%20slight%20uptick,off" TargetMode="External" /><Relationship Type="http://schemas.openxmlformats.org/officeDocument/2006/relationships/hyperlink" Id="rId212" Target="https://droomdroom.com/bitcoin-treasury-tracker/block" TargetMode="External" /><Relationship Type="http://schemas.openxmlformats.org/officeDocument/2006/relationships/hyperlink" Id="rId168" Target="https://droomdroom.com/bitcoin-treasury-tracker/block#:~:text=Block%2C%20Inc.%20,BTC%20to%208584%20BTC" TargetMode="External" /><Relationship Type="http://schemas.openxmlformats.org/officeDocument/2006/relationships/hyperlink" Id="rId200" Target="https://finance.yahoo.com/news/coinbase-q3-earnings-beat-estimates-231648511.html" TargetMode="External" /><Relationship Type="http://schemas.openxmlformats.org/officeDocument/2006/relationships/hyperlink" Id="rId111" Target="https://finance.yahoo.com/news/coinbase-q3-earnings-beat-estimates-231648511.html#:~:text=Coinbase%20Q3%20earnings%20beat%20estimates,Following" TargetMode="External" /><Relationship Type="http://schemas.openxmlformats.org/officeDocument/2006/relationships/hyperlink" Id="rId185" Target="https://finance.yahoo.com/news/tether-reports-10b-ytd-profit-164323807.html" TargetMode="External" /><Relationship Type="http://schemas.openxmlformats.org/officeDocument/2006/relationships/hyperlink" Id="rId54" Target="https://finance.yahoo.com/news/tether-reports-10b-ytd-profit-164323807.html#:~:text=Tether%20Reports%20%2410B%2B%20YTD%20Profit,related%20to%20tokens%20in%20circulation" TargetMode="External" /><Relationship Type="http://schemas.openxmlformats.org/officeDocument/2006/relationships/hyperlink" Id="rId206" Target="https://insights4vc.substack.com/p/q3-2025-results-robinhood-vs-coinbase" TargetMode="External" /><Relationship Type="http://schemas.openxmlformats.org/officeDocument/2006/relationships/hyperlink" Id="rId161" Target="https://insights4vc.substack.com/p/q3-2025-results-robinhood-vs-coinbase#:~:text=Q3%202025%20Results%3A%20Robinhood%20vs,crypto%20ETF%20assets%2C%20remains" TargetMode="External" /><Relationship Type="http://schemas.openxmlformats.org/officeDocument/2006/relationships/hyperlink" Id="rId178" Target="https://investingnews.com/cryptocurrency-market-recap-12122025-rate-cut/" TargetMode="External" /><Relationship Type="http://schemas.openxmlformats.org/officeDocument/2006/relationships/hyperlink" Id="rId52" Target="https://investingnews.com/cryptocurrency-market-recap-12122025-rate-cut/#:~:text=,HTX%20to%20begin%20licensing%20process" TargetMode="External" /><Relationship Type="http://schemas.openxmlformats.org/officeDocument/2006/relationships/hyperlink" Id="rId51" Target="https://investingnews.com/cryptocurrency-market-recap-12122025-rate-cut/#:~:text=,bank%20approvals" TargetMode="External" /><Relationship Type="http://schemas.openxmlformats.org/officeDocument/2006/relationships/hyperlink" Id="rId35" Target="https://investingnews.com/cryptocurrency-market-recap-12122025-rate-cut/#:~:text=Bitcoin%20,reassessed%20risk%20sentiment%20across%20assets" TargetMode="External" /><Relationship Type="http://schemas.openxmlformats.org/officeDocument/2006/relationships/hyperlink" Id="rId36" Target="https://investingnews.com/cryptocurrency-market-recap-12122025-rate-cut/#:~:text=Bitcoin%20dipped%20to%20US%2489%2C000%20to,all%20three%20cuts%20since%20September" TargetMode="External" /><Relationship Type="http://schemas.openxmlformats.org/officeDocument/2006/relationships/hyperlink" Id="rId34" Target="https://investingnews.com/cryptocurrency-market-recap-12122025-rate-cut/#:~:text=Dec" TargetMode="External" /><Relationship Type="http://schemas.openxmlformats.org/officeDocument/2006/relationships/hyperlink" Id="rId43" Target="https://investingnews.com/cryptocurrency-market-recap-12122025-rate-cut/#:~:text=Fear%20and%20Greed%20Index%20snapshot" TargetMode="External" /><Relationship Type="http://schemas.openxmlformats.org/officeDocument/2006/relationships/hyperlink" Id="rId50" Target="https://investingnews.com/cryptocurrency-market-recap-12122025-rate-cut/#:~:text=If%20finalized%2C%20the%20policy%20would,deemed%20outdated%20or%20overly%20restrictive" TargetMode="External" /><Relationship Type="http://schemas.openxmlformats.org/officeDocument/2006/relationships/hyperlink" Id="rId21" Target="https://investingnews.com/cryptocurrency-market-recap-12122025-rate-cut/#:~:text=The%20Fed%20has%20now%20cut,75%20percent" TargetMode="External" /><Relationship Type="http://schemas.openxmlformats.org/officeDocument/2006/relationships/hyperlink" Id="rId125" Target="https://investingnews.com/cryptocurrency-market-recap-12122025-rate-cut/#:~:text=The%20Office%20of%20the%20Comptroller,Trust%20and%20Fidelity%20Digital%20Assets" TargetMode="External" /><Relationship Type="http://schemas.openxmlformats.org/officeDocument/2006/relationships/hyperlink" Id="rId49" Target="https://investingnews.com/cryptocurrency-market-recap-12122025-rate-cut/#:~:text=US%20Secretary%20of%20the%20Treasury,undermine%20stability%20by%20limiting%20innovation" TargetMode="External" /><Relationship Type="http://schemas.openxmlformats.org/officeDocument/2006/relationships/hyperlink" Id="rId64" Target="https://investingnews.com/cryptocurrency-market-recap-12122025-rate-cut/#:~:text=funding%20rates%20kept%20positioning%20balanced,expiry" TargetMode="External" /><Relationship Type="http://schemas.openxmlformats.org/officeDocument/2006/relationships/hyperlink" Id="rId188" Target="https://ir.mara.com/news-events/press-releases/detail/1413/mara-announcesthird-quarter-2025-results" TargetMode="External" /><Relationship Type="http://schemas.openxmlformats.org/officeDocument/2006/relationships/hyperlink" Id="rId63" Target="https://ir.mara.com/news-events/press-releases/detail/1413/mara-announcesthird-quarter-2025-results#:~:text=Bitcoin%20holdings%20increased%2098,MARA%20Holdings%2C%20Inc" TargetMode="External" /><Relationship Type="http://schemas.openxmlformats.org/officeDocument/2006/relationships/hyperlink" Id="rId210" Target="https://ir.mara.com/sec-filings/all-sec-filings/content/0001507605-25-000026/q325shareholderletter.htm" TargetMode="External" /><Relationship Type="http://schemas.openxmlformats.org/officeDocument/2006/relationships/hyperlink" Id="rId166" Target="https://ir.mara.com/sec-filings/all-sec-filings/content/0001507605-25-000026/q325shareholderletter.htm#:~:text=Holdings%20ir,on%20a%20spot%20price%20of" TargetMode="External" /><Relationship Type="http://schemas.openxmlformats.org/officeDocument/2006/relationships/hyperlink" Id="rId194" Target="https://papers.ssrn.com/sol3/papers.cfm?abstract_id=4175306" TargetMode="External" /><Relationship Type="http://schemas.openxmlformats.org/officeDocument/2006/relationships/hyperlink" Id="rId105" Target="https://papers.ssrn.com/sol3/papers.cfm?abstract_id=4175306#:~:text=spread%20as%20a%20proxy%20for,liquidity%2C%20market%20toxicity%2C%20and%20returns" TargetMode="External" /><Relationship Type="http://schemas.openxmlformats.org/officeDocument/2006/relationships/hyperlink" Id="rId84" Target="https://papers.ssrn.com/sol3/papers.cfm?abstract_id=4175306#:~:text=upon%20the%20future%20volatility%2C%20liquidity%2C,liquidity%2C%20market%20toxicity%2C%20and%20returns" TargetMode="External" /><Relationship Type="http://schemas.openxmlformats.org/officeDocument/2006/relationships/hyperlink" Id="rId192" Target="https://research.kaiko.com/insights/the-aftermath-what-happened-to-usdc" TargetMode="External" /><Relationship Type="http://schemas.openxmlformats.org/officeDocument/2006/relationships/hyperlink" Id="rId108" Target="https://research.kaiko.com/insights/the-aftermath-what-happened-to-usdc#:~:text=Now%2C%20let%E2%80%99s%20take%20a%20broader,offering%20liquidity%20in%20crypto%20markets" TargetMode="External" /><Relationship Type="http://schemas.openxmlformats.org/officeDocument/2006/relationships/hyperlink" Id="rId107" Target="https://research.kaiko.com/insights/the-aftermath-what-happened-to-usdc#:~:text=Over%20the%20weekend%2C%20Uniswap%20and,6911" TargetMode="External" /><Relationship Type="http://schemas.openxmlformats.org/officeDocument/2006/relationships/hyperlink" Id="rId109" Target="https://research.kaiko.com/insights/the-aftermath-what-happened-to-usdc#:~:text=While%20price%20certainly%20had%20an,liquidity%20for%20USDC%20pairs%20again" TargetMode="External" /><Relationship Type="http://schemas.openxmlformats.org/officeDocument/2006/relationships/hyperlink" Id="rId80" Target="https://research.kaiko.com/insights/the-aftermath-what-happened-to-usdc#:~:text=closures,offering%20liquidity%20in%20crypto%20markets" TargetMode="External" /><Relationship Type="http://schemas.openxmlformats.org/officeDocument/2006/relationships/hyperlink" Id="rId182" Target="https://t.me/s/glassnode?before=1458" TargetMode="External" /><Relationship Type="http://schemas.openxmlformats.org/officeDocument/2006/relationships/hyperlink" Id="rId85" Target="https://t.me/s/glassnode?before=1458#:~:text=,driven%20bearish%20pressure%20persists" TargetMode="External" /><Relationship Type="http://schemas.openxmlformats.org/officeDocument/2006/relationships/hyperlink" Id="rId44" Target="https://t.me/s/glassnode?before=1458#:~:text=,macro%20shocks%20break%20the%20balance" TargetMode="External" /><Relationship Type="http://schemas.openxmlformats.org/officeDocument/2006/relationships/hyperlink" Id="rId65" Target="https://t.me/s/glassnode?before=1458#:~:text=,rolls%20over%2C%20signalling%20weakening%20demand" TargetMode="External" /><Relationship Type="http://schemas.openxmlformats.org/officeDocument/2006/relationships/hyperlink" Id="rId87" Target="https://t.me/s/glassnode?before=1458#:~:text=Executive%20Summary%20,possible%20if%20seller%20exhaustion%20emerges" TargetMode="External" /><Relationship Type="http://schemas.openxmlformats.org/officeDocument/2006/relationships/hyperlink" Id="rId67" Target="https://t.me/s/glassnode?before=1458#:~:text=Executive%20Summary%20,rolls%20over%2C%20signalling%20weakening%20demand" TargetMode="External" /><Relationship Type="http://schemas.openxmlformats.org/officeDocument/2006/relationships/hyperlink" Id="rId83" Target="https://t.me/s/glassnode?before=1458#:~:text=Liquidity%20can%20be%20assessed%20through,seen%20in%20deep%20bear%20markets" TargetMode="External" /><Relationship Type="http://schemas.openxmlformats.org/officeDocument/2006/relationships/hyperlink" Id="rId175" Target="https://t.me/s/glassnode?before=1458#:~:text=possible%20if%20seller%20exhaustion%20emerges,catalyst%20of%20the%20year%2C%20implied" TargetMode="External" /><Relationship Type="http://schemas.openxmlformats.org/officeDocument/2006/relationships/hyperlink" Id="rId68" Target="https://t.me/s/glassnode?before=1458#:~:text=supply%20underwater,106.2K" TargetMode="External" /><Relationship Type="http://schemas.openxmlformats.org/officeDocument/2006/relationships/hyperlink" Id="rId33" Target="https://t.me/s/glassnode?before=1458#:~:text=thin%2C%20and%20futures%20positioning%20shows,or%20whether%20the%20current%20time" TargetMode="External" /><Relationship Type="http://schemas.openxmlformats.org/officeDocument/2006/relationships/hyperlink" Id="rId209" Target="https://www.altcoinbuzz.io/cryptocurrency-news/binance-reveals-strong-proof-of-reserves-in-nov-1-utc-snapshot/" TargetMode="External" /><Relationship Type="http://schemas.openxmlformats.org/officeDocument/2006/relationships/hyperlink" Id="rId164" Target="https://www.altcoinbuzz.io/cryptocurrency-news/binance-reveals-strong-proof-of-reserves-in-nov-1-utc-snapshot/#:~:text=Binance%20Reveals%20Strong%20Proof%20of," TargetMode="External" /><Relationship Type="http://schemas.openxmlformats.org/officeDocument/2006/relationships/hyperlink" Id="rId203" Target="https://www.armstrongteasdale.com/thought-leadership/key-sec-updates-new-examination-priorities-no-action-relief-for-brokerage-payments-to-unregistered-entities-and-expanding-permissible-crypto-custodians/" TargetMode="External" /><Relationship Type="http://schemas.openxmlformats.org/officeDocument/2006/relationships/hyperlink" Id="rId124" Target="https://www.armstrongteasdale.com/thought-leadership/key-sec-updates-new-examination-priorities-no-action-relief-for-brokerage-payments-to-unregistered-entities-and-expanding-permissible-crypto-custodians/#:~:text=Key%20SEC%20Updates%3A%20New%20Examination,Investment%20Management%20issued%20a" TargetMode="External" /><Relationship Type="http://schemas.openxmlformats.org/officeDocument/2006/relationships/hyperlink" Id="rId191" Target="https://www.binance.com/en/square/post/2024-11-07-binance-s-proof-of-reserves-hits-two-years-backed-by-120b-in-34-assets-15923046320705" TargetMode="External" /><Relationship Type="http://schemas.openxmlformats.org/officeDocument/2006/relationships/hyperlink" Id="rId79" Target="https://www.binance.com/en/square/post/2024-11-07-binance-s-proof-of-reserves-hits-two-years-backed-by-120b-in-34-assets-15923046320705#:~:text=Binance%27s%20Proof%20of%20Reserves%20Hits,reserves%20totaling%20over%20%24120%20billion" TargetMode="External" /><Relationship Type="http://schemas.openxmlformats.org/officeDocument/2006/relationships/hyperlink" Id="rId186" Target="https://www.businesswire.com/news/home/20251030699813/en/Strategy-Announces-Third-Quarter-2025-Financial-Results-Net-Income-of-%242.8-Billion-and-Diluted-EPS-of-%248.42" TargetMode="External" /><Relationship Type="http://schemas.openxmlformats.org/officeDocument/2006/relationships/hyperlink" Id="rId93" Target="https://www.businesswire.com/news/home/20251030699813/en/Strategy-Announces-Third-Quarter-2025-Financial-Results-Net-Income-of-%242.8-Billion-and-Diluted-EPS-of-%248.42#:~:text=%E2%80%9CIn%20the%20third%20quarter%20and,this%20momentum%2C%20we%20are%20reaffirming" TargetMode="External" /><Relationship Type="http://schemas.openxmlformats.org/officeDocument/2006/relationships/hyperlink" Id="rId173" Target="https://www.businesswire.com/news/home/20251030699813/en/Strategy-Announces-Third-Quarter-2025-Financial-Results-Net-Income-of-%242.8-Billion-and-Diluted-EPS-of-%248.42#:~:text=,over" TargetMode="External" /><Relationship Type="http://schemas.openxmlformats.org/officeDocument/2006/relationships/hyperlink" Id="rId59" Target="https://www.businesswire.com/news/home/20251030699813/en/Strategy-Announces-Third-Quarter-2025-Financial-Results-Net-Income-of-%242.8-Billion-and-Diluted-EPS-of-%248.42#:~:text=Bitcoin%20Highlights%20,26%2C%202025" TargetMode="External" /><Relationship Type="http://schemas.openxmlformats.org/officeDocument/2006/relationships/hyperlink" Id="rId172" Target="https://www.businesswire.com/news/home/20251030699813/en/Strategy-Announces-Third-Quarter-2025-Financial-Results-Net-Income-of-%242.8-Billion-and-Diluted-EPS-of-%248.42#:~:text=accordance%20with%20the%20cost,2025%2C%20the%20Company%20had%20cash" TargetMode="External" /><Relationship Type="http://schemas.openxmlformats.org/officeDocument/2006/relationships/hyperlink" Id="rId214" Target="https://www.coindesk.com/markets/2025/10/29/strategy-posted-eps-of-usd8-42-in-q3-driven-by-mark-to-market-gains-on-bitcoin" TargetMode="External" /><Relationship Type="http://schemas.openxmlformats.org/officeDocument/2006/relationships/hyperlink" Id="rId170" Target="https://www.coindesk.com/markets/2025/10/29/strategy-posted-eps-of-usd8-42-in-q3-driven-by-mark-to-market-gains-on-bitcoin#:~:text=Oct%2030%2C%202025%20%E2%80%94%20Strategy,See%20more" TargetMode="External" /><Relationship Type="http://schemas.openxmlformats.org/officeDocument/2006/relationships/hyperlink" Id="rId198" Target="https://www.dwf-labs.com/news/4-common-strategies-that-crypto-market-makers-use" TargetMode="External" /><Relationship Type="http://schemas.openxmlformats.org/officeDocument/2006/relationships/hyperlink" Id="rId102" Target="https://www.dwf-labs.com/news/4-common-strategies-that-crypto-market-makers-use#:~:text=Dynamic%20Spread%20is%20a%20quantitative,trading%20flow%20and%20maintain%20competitiveness" TargetMode="External" /><Relationship Type="http://schemas.openxmlformats.org/officeDocument/2006/relationships/hyperlink" Id="rId101" Target="https://www.dwf-labs.com/news/4-common-strategies-that-crypto-market-makers-use#:~:text=However%2C%20Bid,quoting%20during%20volatile%20market%20conditions" TargetMode="External" /><Relationship Type="http://schemas.openxmlformats.org/officeDocument/2006/relationships/hyperlink" Id="rId103" Target="https://www.dwf-labs.com/news/4-common-strategies-that-crypto-market-makers-use#:~:text=Unlike%20static%20quoting%2C%20it%20dynamically,trading%20flow%20and%20maintain%20competitiveness" TargetMode="External" /><Relationship Type="http://schemas.openxmlformats.org/officeDocument/2006/relationships/hyperlink" Id="rId104" Target="https://www.dwf-labs.com/news/4-common-strategies-that-crypto-market-makers-use#:~:text=While%20this%20crypto%20market%20making,impact%20can%20further%20erode%20profitability" TargetMode="External" /><Relationship Type="http://schemas.openxmlformats.org/officeDocument/2006/relationships/hyperlink" Id="rId100" Target="https://www.dwf-labs.com/news/4-common-strategies-that-crypto-market-makers-use#:~:text=particular%20risk%20for%20crypto%20market,rebalance%20inventory%20to%20neutral%20levels" TargetMode="External" /><Relationship Type="http://schemas.openxmlformats.org/officeDocument/2006/relationships/hyperlink" Id="rId201" Target="https://www.elliptic.co/blog/how-crypto-regulation-changed-in-2025" TargetMode="External" /><Relationship Type="http://schemas.openxmlformats.org/officeDocument/2006/relationships/hyperlink" Id="rId116" Target="https://www.elliptic.co/blog/how-crypto-regulation-changed-in-2025#:~:text=How%20crypto%20regulation%20changed%20in,and%20major%20regulatory%20developments" TargetMode="External" /><Relationship Type="http://schemas.openxmlformats.org/officeDocument/2006/relationships/hyperlink" Id="rId204" Target="https://www.fool.com/earnings/call-transcripts/2025/11/27/coinbase-coin-q3-2025-earnings-call-transcript/" TargetMode="External" /><Relationship Type="http://schemas.openxmlformats.org/officeDocument/2006/relationships/hyperlink" Id="rId159" Target="https://www.fool.com/earnings/call-transcripts/2025/11/27/coinbase-coin-q3-2025-earnings-call-transcript/#:~:text=Fool%20www,to%20%241.4%20billion" TargetMode="External" /><Relationship Type="http://schemas.openxmlformats.org/officeDocument/2006/relationships/hyperlink" Id="rId207" Target="https://www.forbes.com/digital-assets/assets/crystal-crystal/" TargetMode="External" /><Relationship Type="http://schemas.openxmlformats.org/officeDocument/2006/relationships/hyperlink" Id="rId162" Target="https://www.forbes.com/digital-assets/assets/crystal-crystal/#:~:text=,subdued%20compared%20to%20late" TargetMode="External" /><Relationship Type="http://schemas.openxmlformats.org/officeDocument/2006/relationships/hyperlink" Id="rId205" Target="https://www.forbes.com/sites/boazsobrado/2025/10/30/coinbase-reports-bitcoin-purchase-growing-stablecoin-revenue-in-q3/" TargetMode="External" /><Relationship Type="http://schemas.openxmlformats.org/officeDocument/2006/relationships/hyperlink" Id="rId160" Target="https://www.forbes.com/sites/boazsobrado/2025/10/30/coinbase-reports-bitcoin-purchase-growing-stablecoin-revenue-in-q3/#:~:text=Coinbase%20Reports%20Bitcoin%20Purchase%2C%20Growing,transaction%20revenue%20remains%20subdued" TargetMode="External" /><Relationship Type="http://schemas.openxmlformats.org/officeDocument/2006/relationships/hyperlink" Id="rId202" Target="https://www.lw.com/en/us-crypto-policy-tracker/regulatory-developments" TargetMode="External" /><Relationship Type="http://schemas.openxmlformats.org/officeDocument/2006/relationships/hyperlink" Id="rId117" Target="https://www.lw.com/en/us-crypto-policy-tracker/regulatory-developments#:~:text=US%20Crypto%20Policy%20Tracker%20Regulatory,Read%20more%20on%20Latham%27s" TargetMode="External" /><Relationship Type="http://schemas.openxmlformats.org/officeDocument/2006/relationships/hyperlink" Id="rId193" Target="https://www.mexc.co/en-NG/news/223991" TargetMode="External" /><Relationship Type="http://schemas.openxmlformats.org/officeDocument/2006/relationships/hyperlink" Id="rId82" Target="https://www.mexc.co/en-NG/news/223991#:~:text=High%20Level%20of%20Backwardation%20Hints,FTX%20collapse%20in%20November" TargetMode="External" /><Relationship Type="http://schemas.openxmlformats.org/officeDocument/2006/relationships/hyperlink" Id="rId199" Target="https://www.paradigm.co/blog/options-market-making" TargetMode="External" /><Relationship Type="http://schemas.openxmlformats.org/officeDocument/2006/relationships/hyperlink" Id="rId106" Target="https://www.paradigm.co/blog/options-market-making#:~:text=Market%20makers%20are%20like%20croupiers,driven%20by%20statistics%20and%20probability" TargetMode="External" /><Relationship Type="http://schemas.openxmlformats.org/officeDocument/2006/relationships/hyperlink" Id="rId180" Target="https://www.reuters.com/business/finance/bitcoins-2025-rollercoaster-may-end-low-2025-12-09/" TargetMode="External" /><Relationship Type="http://schemas.openxmlformats.org/officeDocument/2006/relationships/hyperlink" Id="rId25" Target="https://www.reuters.com/business/finance/bitcoins-2025-rollercoaster-may-end-low-2025-12-09/#:~:text=After%20soaring%20earlier%20this%20year,above%20%24126%2C000%20in%20early%20October" TargetMode="External" /><Relationship Type="http://schemas.openxmlformats.org/officeDocument/2006/relationships/hyperlink" Id="rId76" Target="https://www.reuters.com/business/finance/bitcoins-2025-rollercoaster-may-end-low-2025-12-09/#:~:text=Analysts%20say%20bitcoin%27s%20gyrations%20increasingly,nervousness%20over%20the%20%20110" TargetMode="External" /><Relationship Type="http://schemas.openxmlformats.org/officeDocument/2006/relationships/hyperlink" Id="rId23" Target="https://www.reuters.com/business/finance/bitcoins-2025-rollercoaster-may-end-low-2025-12-09/#:~:text=Bitcoin%20has%20struggled%20to%20regain,xyz" TargetMode="External" /><Relationship Type="http://schemas.openxmlformats.org/officeDocument/2006/relationships/hyperlink" Id="rId42" Target="https://www.reuters.com/business/finance/bitcoins-2025-rollercoaster-may-end-low-2025-12-09/#:~:text=But%20just%20days%20later%2C%20on,largest%20liquidation%20in%20crypto%20history" TargetMode="External" /><Relationship Type="http://schemas.openxmlformats.org/officeDocument/2006/relationships/hyperlink" Id="rId45" Target="https://www.reuters.com/business/finance/bitcoins-2025-rollercoaster-may-end-low-2025-12-09/#:~:text=Correlation%20is%20measured%20from%20,29%2C%20LSEG%20data%20shows" TargetMode="External" /><Relationship Type="http://schemas.openxmlformats.org/officeDocument/2006/relationships/hyperlink" Id="rId48" Target="https://www.reuters.com/business/finance/bitcoins-2025-rollercoaster-may-end-low-2025-12-09/#:~:text=Crypto%20has%20grown%20especially%20sensitive,and%20risk%20appetite%2C%20analysts%20said" TargetMode="External" /><Relationship Type="http://schemas.openxmlformats.org/officeDocument/2006/relationships/hyperlink" Id="rId27" Target="https://www.reuters.com/business/finance/bitcoins-2025-rollercoaster-may-end-low-2025-12-09/#:~:text=Dec%209%20%28Reuters%29%20,first%20annual%20decline%20since%202022" TargetMode="External" /><Relationship Type="http://schemas.openxmlformats.org/officeDocument/2006/relationships/hyperlink" Id="rId46" Target="https://www.reuters.com/business/finance/bitcoins-2025-rollercoaster-may-end-low-2025-12-09/#:~:text=For%20the%20tech,2024%2C%20according%20to%20LSEG%20data" TargetMode="External" /><Relationship Type="http://schemas.openxmlformats.org/officeDocument/2006/relationships/hyperlink" Id="rId60" Target="https://www.reuters.com/business/finance/bitcoins-2025-rollercoaster-may-end-low-2025-12-09/#:~:text=In%20a%20change%20of%20tune%2C,low%2C%20according%20to%20media%20reports" TargetMode="External" /><Relationship Type="http://schemas.openxmlformats.org/officeDocument/2006/relationships/hyperlink" Id="rId31" Target="https://www.reuters.com/business/finance/bitcoins-2025-rollercoaster-may-end-low-2025-12-09/#:~:text=RATE%20CUT%20QUESTIONS" TargetMode="External" /><Relationship Type="http://schemas.openxmlformats.org/officeDocument/2006/relationships/hyperlink" Id="rId69" Target="https://www.reuters.com/business/finance/bitcoins-2025-rollercoaster-may-end-low-2025-12-09/#:~:text=That%20rate%20decision%2C%20along%20with,the%20near%20term%2C%20analysts%20said" TargetMode="External" /><Relationship Type="http://schemas.openxmlformats.org/officeDocument/2006/relationships/hyperlink" Id="rId74" Target="https://www.reuters.com/business/finance/bitcoins-2025-rollercoaster-may-end-low-2025-12-09/#:~:text=That%27s%20still%20a%20blow%20for,traded%20funds" TargetMode="External" /><Relationship Type="http://schemas.openxmlformats.org/officeDocument/2006/relationships/hyperlink" Id="rId47" Target="https://www.reuters.com/business/finance/bitcoins-2025-rollercoaster-may-end-low-2025-12-09/#:~:text=Those%20April%20and%20October%20plunges,valuations%20are%20in%20bubble%20territory" TargetMode="External" /><Relationship Type="http://schemas.openxmlformats.org/officeDocument/2006/relationships/hyperlink" Id="rId77" Target="https://www.reuters.com/business/finance/bitcoins-2025-rollercoaster-may-end-low-2025-12-09/#:~:text=rally%20in%20line%20with%20dovish,signals%20from%20the%20central%20bank" TargetMode="External" /><Relationship Type="http://schemas.openxmlformats.org/officeDocument/2006/relationships/hyperlink" Id="rId32" Target="https://www.reuters.com/business/finance/bitcoins-2025-rollercoaster-may-end-low-2025-12-09/#:~:text=strengthening%2C%20analysts%20said" TargetMode="External" /><Relationship Type="http://schemas.openxmlformats.org/officeDocument/2006/relationships/hyperlink" Id="rId197" Target="https://www.sec.gov/Archives/edgar/data/1167419/000110465925104461/riot-20251030xex99d2.htm" TargetMode="External" /><Relationship Type="http://schemas.openxmlformats.org/officeDocument/2006/relationships/hyperlink" Id="rId95" Target="https://www.sec.gov/Archives/edgar/data/1167419/000110465925104461/riot-20251030xex99d2.htm#:~:text=Q3%202025%20Earnings%20Deck%2C%20dated,SNAPSHOT%2019%2C287%20BTC%20Held" TargetMode="External" /><Relationship Type="http://schemas.openxmlformats.org/officeDocument/2006/relationships/hyperlink" Id="rId211" Target="https://www.theblock.co/post/377044/bitcoin-miner-riot-posts-net-income-of-104-5-million-in-q3-reversing-previous-quarters-losses" TargetMode="External" /><Relationship Type="http://schemas.openxmlformats.org/officeDocument/2006/relationships/hyperlink" Id="rId167" Target="https://www.theblock.co/post/377044/bitcoin-miner-riot-posts-net-income-of-104-5-million-in-q3-reversing-previous-quarters-losses#:~:text=Bitcoin%20miner%20Riot%20posts%20net,day%20as%20of%20market%20close" TargetMode="External" /><Relationship Type="http://schemas.openxmlformats.org/officeDocument/2006/relationships/hyperlink" Id="rId189" Target="https://www.todayonchain.com/news/article/01K972FM817B96CDBCSSG9MXYG/" TargetMode="External" /><Relationship Type="http://schemas.openxmlformats.org/officeDocument/2006/relationships/hyperlink" Id="rId70" Target="https://www.todayonchain.com/news/article/01K972FM817B96CDBCSSG9MXYG/#:~:text=Bitcoin%20historically%20exhibits%20a%20negative,term%20relief%20for%20crypto%20markets" TargetMode="External" /><Relationship Type="http://schemas.openxmlformats.org/officeDocument/2006/relationships/hyperlink" Id="rId190" Target="https://www.trmlabs.com/reports-and-whitepapers/global-crypto-policy-review-outlook-2025-26" TargetMode="External" /><Relationship Type="http://schemas.openxmlformats.org/officeDocument/2006/relationships/hyperlink" Id="rId133" Target="https://www.trmlabs.com/reports-and-whitepapers/global-crypto-policy-review-outlook-2025-26#:~:text=%E2%80%9CMARC%E2%80%9D%20,London%20competitive%20in%20asset%20management" TargetMode="External" /><Relationship Type="http://schemas.openxmlformats.org/officeDocument/2006/relationships/hyperlink" Id="rId155" Target="https://www.trmlabs.com/reports-and-whitepapers/global-crypto-policy-review-outlook-2025-26#:~:text=,regulation" TargetMode="External" /><Relationship Type="http://schemas.openxmlformats.org/officeDocument/2006/relationships/hyperlink" Id="rId112" Target="https://www.trmlabs.com/reports-and-whitepapers/global-crypto-policy-review-outlook-2025-26#:~:text=2025%20crypto%20adoption%20ranking%3A%2043" TargetMode="External" /><Relationship Type="http://schemas.openxmlformats.org/officeDocument/2006/relationships/hyperlink" Id="rId71" Target="https://www.trmlabs.com/reports-and-whitepapers/global-crypto-policy-review-outlook-2025-26#:~:text=2025%20has%20brought%20the%20most,market%20structure%20bill%20that%20divides" TargetMode="External" /><Relationship Type="http://schemas.openxmlformats.org/officeDocument/2006/relationships/hyperlink" Id="rId150" Target="https://www.trmlabs.com/reports-and-whitepapers/global-crypto-policy-review-outlook-2025-26#:~:text=2025%20saw%20Singapore%20expand%20the,MAS%E2%80%99%20regulatory%20powers%20across%20the" TargetMode="External" /><Relationship Type="http://schemas.openxmlformats.org/officeDocument/2006/relationships/hyperlink" Id="rId146" Target="https://www.trmlabs.com/reports-and-whitepapers/global-crypto-policy-review-outlook-2025-26#:~:text=2025%20was%20another%20busy%20year,approved%20external%20assessor%20under%20SFC" TargetMode="External" /><Relationship Type="http://schemas.openxmlformats.org/officeDocument/2006/relationships/hyperlink" Id="rId122" Target="https://www.trmlabs.com/reports-and-whitepapers/global-crypto-policy-review-outlook-2025-26#:~:text=7%20Specifically%20the%20recession%20of,between%20March%20and%20April%202025" TargetMode="External" /><Relationship Type="http://schemas.openxmlformats.org/officeDocument/2006/relationships/hyperlink" Id="rId140" Target="https://www.trmlabs.com/reports-and-whitepapers/global-crypto-policy-review-outlook-2025-26#:~:text=As%20summer%20gave%20way%20to,collaboration%20between%20the%20two%20nations" TargetMode="External" /><Relationship Type="http://schemas.openxmlformats.org/officeDocument/2006/relationships/hyperlink" Id="rId126" Target="https://www.trmlabs.com/reports-and-whitepapers/global-crypto-policy-review-outlook-2025-26#:~:text=Authority%20of%20Singapore%20announced%20that,different%20approach" TargetMode="External" /><Relationship Type="http://schemas.openxmlformats.org/officeDocument/2006/relationships/hyperlink" Id="rId129" Target="https://www.trmlabs.com/reports-and-whitepapers/global-crypto-policy-review-outlook-2025-26#:~:text=Europe%2C%20Middle%20East%2C%20and%20Africa,wide" TargetMode="External" /><Relationship Type="http://schemas.openxmlformats.org/officeDocument/2006/relationships/hyperlink" Id="rId145" Target="https://www.trmlabs.com/reports-and-whitepapers/global-crypto-policy-review-outlook-2025-26#:~:text=Hong%20Kong%20as%20a%20global,bugbear%20for%20many%20industry%20players" TargetMode="External" /><Relationship Type="http://schemas.openxmlformats.org/officeDocument/2006/relationships/hyperlink" Id="rId147" Target="https://www.trmlabs.com/reports-and-whitepapers/global-crypto-policy-review-outlook-2025-26#:~:text=Hong%20Kong%E2%80%99s%20stablecoin%20scene%20was,in%20Hong%20Kong%2C%20under" TargetMode="External" /><Relationship Type="http://schemas.openxmlformats.org/officeDocument/2006/relationships/hyperlink" Id="rId153" Target="https://www.trmlabs.com/reports-and-whitepapers/global-crypto-policy-review-outlook-2025-26#:~:text=However%2C%20MAS%20has%20no%20intention,Instead%2C%20the" TargetMode="External" /><Relationship Type="http://schemas.openxmlformats.org/officeDocument/2006/relationships/hyperlink" Id="rId136" Target="https://www.trmlabs.com/reports-and-whitepapers/global-crypto-policy-review-outlook-2025-26#:~:text=In%20November%2C%20the%20Bank%20of,into%20stablecoins%20during%20the%20transition" TargetMode="External" /><Relationship Type="http://schemas.openxmlformats.org/officeDocument/2006/relationships/hyperlink" Id="rId135" Target="https://www.trmlabs.com/reports-and-whitepapers/global-crypto-policy-review-outlook-2025-26#:~:text=In%20November%2C%20the%20Bank%20of,per%20individual%20and%20GBP%2010" TargetMode="External" /><Relationship Type="http://schemas.openxmlformats.org/officeDocument/2006/relationships/hyperlink" Id="rId156" Target="https://www.trmlabs.com/reports-and-whitepapers/global-crypto-policy-review-outlook-2025-26#:~:text=In%20a%20nod%20to%20the,service%20providers%20require%20an%20AFSL" TargetMode="External" /><Relationship Type="http://schemas.openxmlformats.org/officeDocument/2006/relationships/hyperlink" Id="rId134" Target="https://www.trmlabs.com/reports-and-whitepapers/global-crypto-policy-review-outlook-2025-26#:~:text=In%20parallel%2C%20HM%20Treasury%20published,out%20by%20FCA%20authorized%20entities" TargetMode="External" /><Relationship Type="http://schemas.openxmlformats.org/officeDocument/2006/relationships/hyperlink" Id="rId127" Target="https://www.trmlabs.com/reports-and-whitepapers/global-crypto-policy-review-outlook-2025-26#:~:text=Main%20regulator,DNB" TargetMode="External" /><Relationship Type="http://schemas.openxmlformats.org/officeDocument/2006/relationships/hyperlink" Id="rId141" Target="https://www.trmlabs.com/reports-and-whitepapers/global-crypto-policy-review-outlook-2025-26#:~:text=On%20the%20AML%20front%2C%20the,chain%20use%20in%20UK%20intelligence" TargetMode="External" /><Relationship Type="http://schemas.openxmlformats.org/officeDocument/2006/relationships/hyperlink" Id="rId114" Target="https://www.trmlabs.com/reports-and-whitepapers/global-crypto-policy-review-outlook-2025-26#:~:text=Some%20key%20regulators%20had%20also,different%20approach" TargetMode="External" /><Relationship Type="http://schemas.openxmlformats.org/officeDocument/2006/relationships/hyperlink" Id="rId128" Target="https://www.trmlabs.com/reports-and-whitepapers/global-crypto-policy-review-outlook-2025-26#:~:text=Status%3A%20MiCA%20regime%20for%20stablecoin,CASPs%29%20since%20December%202024" TargetMode="External" /><Relationship Type="http://schemas.openxmlformats.org/officeDocument/2006/relationships/hyperlink" Id="rId131" Target="https://www.trmlabs.com/reports-and-whitepapers/global-crypto-policy-review-outlook-2025-26#:~:text=The%20FCA%20ran%20a%20packed,And%2C%20in" TargetMode="External" /><Relationship Type="http://schemas.openxmlformats.org/officeDocument/2006/relationships/hyperlink" Id="rId142" Target="https://www.trmlabs.com/reports-and-whitepapers/global-crypto-policy-review-outlook-2025-26#:~:text=The%20Office%20of%20Financial%20Sanctions,firms%20to%20Garantex%20since%202022" TargetMode="External" /><Relationship Type="http://schemas.openxmlformats.org/officeDocument/2006/relationships/hyperlink" Id="rId130" Target="https://www.trmlabs.com/reports-and-whitepapers/global-crypto-policy-review-outlook-2025-26#:~:text=The%20UK%20spent%202025%20building,And%2C%20in" TargetMode="External" /><Relationship Type="http://schemas.openxmlformats.org/officeDocument/2006/relationships/hyperlink" Id="rId113" Target="https://www.trmlabs.com/reports-and-whitepapers/global-crypto-policy-review-outlook-2025-26#:~:text=The%20standards%20were%20originally%20finalized,generally%20be%20lower%20than%201" TargetMode="External" /><Relationship Type="http://schemas.openxmlformats.org/officeDocument/2006/relationships/hyperlink" Id="rId72" Target="https://www.trmlabs.com/reports-and-whitepapers/global-crypto-policy-review-outlook-2025-26#:~:text=United%20States%20,wide" TargetMode="External" /><Relationship Type="http://schemas.openxmlformats.org/officeDocument/2006/relationships/hyperlink" Id="rId144" Target="https://www.trmlabs.com/reports-and-whitepapers/global-crypto-policy-review-outlook-2025-26#:~:text=We%20also%20saw%20quite%20a,month%20span" TargetMode="External" /><Relationship Type="http://schemas.openxmlformats.org/officeDocument/2006/relationships/hyperlink" Id="rId123" Target="https://www.trmlabs.com/reports-and-whitepapers/global-crypto-policy-review-outlook-2025-26#:~:text=actively%20working%20on%20final%20regulations,a%20period%20of%20industry%20engagement" TargetMode="External" /><Relationship Type="http://schemas.openxmlformats.org/officeDocument/2006/relationships/hyperlink" Id="rId139" Target="https://www.trmlabs.com/reports-and-whitepapers/global-crypto-policy-review-outlook-2025-26#:~:text=adoption%20or%20push%20issuers%20offshore%2C,and%20systemic%20risks%20are%20understood" TargetMode="External" /><Relationship Type="http://schemas.openxmlformats.org/officeDocument/2006/relationships/hyperlink" Id="rId152" Target="https://www.trmlabs.com/reports-and-whitepapers/global-crypto-policy-review-outlook-2025-26#:~:text=entity%20to%20provide%20DT%20services,which%20could%20be%20attempting%20to" TargetMode="External" /><Relationship Type="http://schemas.openxmlformats.org/officeDocument/2006/relationships/hyperlink" Id="rId148" Target="https://www.trmlabs.com/reports-and-whitepapers/global-crypto-policy-review-outlook-2025-26#:~:text=match%20at%20L1375%20must%20be,Issuers%20with%20a%20%E2%80%9Creasonable%20prospect%E2%80%9D" TargetMode="External" /><Relationship Type="http://schemas.openxmlformats.org/officeDocument/2006/relationships/hyperlink" Id="rId149" Target="https://www.trmlabs.com/reports-and-whitepapers/global-crypto-policy-review-outlook-2025-26#:~:text=match%20at%20L1388%202025%20has,policy%20moves%20will%20indeed%20fuel" TargetMode="External" /><Relationship Type="http://schemas.openxmlformats.org/officeDocument/2006/relationships/hyperlink" Id="rId154" Target="https://www.trmlabs.com/reports-and-whitepapers/global-crypto-policy-review-outlook-2025-26#:~:text=match%20at%20L1700%20rules%20threw,their%20Singapore%20teams%2C%20but%20staff" TargetMode="External" /><Relationship Type="http://schemas.openxmlformats.org/officeDocument/2006/relationships/hyperlink" Id="rId118" Target="https://www.trmlabs.com/reports-and-whitepapers/global-crypto-policy-review-outlook-2025-26#:~:text=match%20at%20L671%202025%20has,market%20structure%20bill%20that%20divides" TargetMode="External" /><Relationship Type="http://schemas.openxmlformats.org/officeDocument/2006/relationships/hyperlink" Id="rId137" Target="https://www.trmlabs.com/reports-and-whitepapers/global-crypto-policy-review-outlook-2025-26#:~:text=money%20arrangements%20will%20face%20oversight,fully%20embedded%20and%20systemic%20risks" TargetMode="External" /><Relationship Type="http://schemas.openxmlformats.org/officeDocument/2006/relationships/hyperlink" Id="rId151" Target="https://www.trmlabs.com/reports-and-whitepapers/global-crypto-policy-review-outlook-2025-26#:~:text=service%20providers%20,June%2030%2C%20DTSPs%20with%20a" TargetMode="External" /><Relationship Type="http://schemas.openxmlformats.org/officeDocument/2006/relationships/hyperlink" Id="rId132" Target="https://www.trmlabs.com/reports-and-whitepapers/global-crypto-policy-review-outlook-2025-26#:~:text=set%20out%20the%20spine%20of,London%20competitive%20in%20asset%20management" TargetMode="External" /><Relationship Type="http://schemas.openxmlformats.org/officeDocument/2006/relationships/hyperlink" Id="rId119" Target="https://www.trmlabs.com/reports-and-whitepapers/global-crypto-policy-review-outlook-2025-26#:~:text=spot,The%20US%20Treasury%20Department%20is" TargetMode="External" /><Relationship Type="http://schemas.openxmlformats.org/officeDocument/2006/relationships/hyperlink" Id="rId121" Target="https://www.trmlabs.com/reports-and-whitepapers/global-crypto-policy-review-outlook-2025-26#:~:text=stablecoins,approach" TargetMode="External" /><Relationship Type="http://schemas.openxmlformats.org/officeDocument/2006/relationships/hyperlink" Id="rId138" Target="https://www.trmlabs.com/reports-and-whitepapers/global-crypto-policy-review-outlook-2025-26#:~:text=temporary%20holding%20caps%3A%20GBP%2020%2C000,and%20systemic%20risks%20are%20understood" TargetMode="External" /><Relationship Type="http://schemas.openxmlformats.org/officeDocument/2006/relationships/hyperlink" Id="rId143" Target="https://www.trmlabs.com/reports-and-whitepapers/global-crypto-policy-review-outlook-2025-26#:~:text=until%20funds%20hit%20an%20attributed,firms%20to%20Garantex%20since%202022" TargetMode="External" /><Relationship Type="http://schemas.openxmlformats.org/officeDocument/2006/relationships/hyperlink" Id="rId215" Target="https://www.visualcapitalist.com/ranked-the-companies-who-own-the-most-bitcoin-in-2025/" TargetMode="External" /><Relationship Type="http://schemas.openxmlformats.org/officeDocument/2006/relationships/hyperlink" Id="rId171" Target="https://www.visualcapitalist.com/ranked-the-companies-who-own-the-most-bitcoin-in-2025/#:~:text=Ranked%3A%20The%20Companies%20Who%20Own,MARA%20dominate%20corporate%20BTC%20treasu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2025-12-16T12:49:48Z</dcterms:created>
  <dcterms:modified xsi:type="dcterms:W3CDTF">2025-12-16T12:49:48Z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