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6"/>
          <w:szCs w:val="56"/>
        </w:rPr>
        <w:t xml:space="preserve">IRAN GEOPOLITICAL CRISIS</w:t>
      </w:r>
    </w:p>
    <w:p>
      <w:pPr>
        <w:spacing w:before="200"/>
        <w:jc w:val="center"/>
      </w:pPr>
      <w:r>
        <w:rPr>
          <w:rFonts w:ascii="Arial" w:cs="Arial" w:eastAsia="Arial" w:hAnsi="Arial"/>
          <w:b/>
          <w:bCs/>
          <w:color w:val="2E75B6"/>
          <w:sz w:val="44"/>
          <w:szCs w:val="44"/>
        </w:rPr>
        <w:t xml:space="preserve">STRESS SCENARIO FRAMEWORK</w:t>
      </w:r>
    </w:p>
    <w:p>
      <w:pPr>
        <w:spacing w:before="600"/>
        <w:jc w:val="center"/>
      </w:pPr>
      <w:r>
        <w:rPr>
          <w:rFonts w:ascii="Arial" w:cs="Arial" w:eastAsia="Arial" w:hAnsi="Arial"/>
          <w:color w:val="404040"/>
          <w:sz w:val="28"/>
          <w:szCs w:val="28"/>
        </w:rPr>
        <w:t xml:space="preserve">January 2026 Market Risk Assessment</w:t>
      </w:r>
    </w:p>
    <w:p>
      <w:pPr>
        <w:spacing w:before="200"/>
        <w:jc w:val="center"/>
      </w:pPr>
      <w:r>
        <w:rPr>
          <w:rFonts w:ascii="Arial" w:cs="Arial" w:eastAsia="Arial" w:hAnsi="Arial"/>
          <w:color w:val="666666"/>
          <w:sz w:val="24"/>
          <w:szCs w:val="24"/>
        </w:rPr>
        <w:t xml:space="preserve">Version 1.0 | As of January 14, 2026</w:t>
      </w:r>
    </w:p>
    <w:p>
      <w:pPr>
        <w:spacing w:before="1500"/>
      </w:pPr>
    </w:p>
    <w:p>
      <w:pPr>
        <w:jc w:val="center"/>
      </w:pPr>
      <w:r>
        <w:rPr>
          <w:rFonts w:ascii="Arial" w:cs="Arial" w:eastAsia="Arial" w:hAnsi="Arial"/>
          <w:sz w:val="24"/>
          <w:szCs w:val="24"/>
        </w:rPr>
        <w:t xml:space="preserve">Corporate &amp; Investment Banking</w:t>
      </w:r>
    </w:p>
    <w:p>
      <w:pPr>
        <w:spacing w:before="100"/>
        <w:jc w:val="center"/>
      </w:pPr>
      <w:r>
        <w:rPr>
          <w:rFonts w:ascii="Arial" w:cs="Arial" w:eastAsia="Arial" w:hAnsi="Arial"/>
          <w:sz w:val="24"/>
          <w:szCs w:val="24"/>
        </w:rPr>
        <w:t xml:space="preserve">Market Risk Management</w:t>
      </w:r>
    </w:p>
    <w:p>
      <w:r>
        <w:br w:type="page"/>
      </w:r>
    </w:p>
    <w:p>
      <w:pPr>
        <w:pStyle w:val="Heading1"/>
      </w:pPr>
      <w:r>
        <w:t xml:space="preserve">EXECUTIVE SUMMARY</w:t>
      </w:r>
    </w:p>
    <w:p>
      <w:pPr>
        <w:spacing w:after="200"/>
      </w:pPr>
      <w:r>
        <w:rPr>
          <w:rFonts w:ascii="Arial" w:cs="Arial" w:eastAsia="Arial" w:hAnsi="Arial"/>
          <w:sz w:val="22"/>
          <w:szCs w:val="22"/>
        </w:rPr>
        <w:t xml:space="preserve">This framework provides a comprehensive stress scenario analysis for the ongoing Iran geopolitical crisis as of January 2026. The scenario incorporates multiple concurrent risk factors including nationwide civil unrest across all 31 Iranian provinces, potential US military intervention, UN snapback sanctions, and the cascading effects from the June 2025 US/Israel strikes on Iranian nuclear facilities.</w:t>
      </w:r>
    </w:p>
    <w:p>
      <w:pPr>
        <w:spacing w:after="200"/>
      </w:pPr>
      <w:r>
        <w:rPr>
          <w:rFonts w:ascii="Arial" w:cs="Arial" w:eastAsia="Arial" w:hAnsi="Arial"/>
          <w:sz w:val="22"/>
          <w:szCs w:val="22"/>
        </w:rPr>
        <w:t xml:space="preserve">The crisis represents the most significant challenge to the Islamic Republic since the 1979 revolution, with protests that began December 28, 2025 evolving from economic grievances into explicit regime-change demands. As of January 13, 2026, casualty estimates range from 2,400 to potentially 12,000+ protesters killed, with an internet blackout severely limiting information flow.</w:t>
      </w:r>
    </w:p>
    <w:p>
      <w:pPr>
        <w:pStyle w:val="Heading2"/>
      </w:pPr>
      <w:r>
        <w:t xml:space="preserve">Current Situation Assessment (as of January 14,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Protest 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31 provinces; largest uprising since 1979 Revolution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Casualty Estimates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2,400-12,000+ killed (HRANA/Iran International); 18,000+ arrested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Iranian Rial at 1.4M/USD (100% YoY depreciation)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Inflation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 annual (World Bank); 40%+ official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 Posture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Trump: "locked and loaded"; 25% tariff on Iran trading partners (Jan 13)</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Nuclear 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Facilities severely damaged (June 2025); 1-2 year setback estimated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Regional Proxies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Hezbollah/Hamas degraded but not neutralized; ceasefire constraints</w:t>
            </w:r>
          </w:p>
        </w:tc>
      </w:tr>
    </w:tbl>
    <w:p>
      <w:r>
        <w:br w:type="page"/>
      </w:r>
    </w:p>
    <w:p>
      <w:pPr>
        <w:pStyle w:val="Heading1"/>
      </w:pPr>
      <w:r>
        <w:t xml:space="preserve">SECTION 1: SCENARIO TIER DEFINITIONS</w:t>
      </w:r>
    </w:p>
    <w:p>
      <w:pPr>
        <w:pStyle w:val="Heading2"/>
      </w:pPr>
      <w:r>
        <w:t xml:space="preserve">Tier 1: Base Case (Probability: 50-55%)</w:t>
      </w:r>
    </w:p>
    <w:p>
      <w:pPr>
        <w:pStyle w:val="Heading3"/>
      </w:pPr>
      <w:r>
        <w:t xml:space="preserve">Scenario Narrative</w:t>
      </w:r>
    </w:p>
    <w:p>
      <w:pPr>
        <w:spacing w:after="200"/>
      </w:pPr>
      <w:r>
        <w:rPr>
          <w:rFonts w:ascii="Arial" w:cs="Arial" w:eastAsia="Arial" w:hAnsi="Arial"/>
          <w:sz w:val="22"/>
          <w:szCs w:val="22"/>
        </w:rPr>
        <w:t xml:space="preserve">Protests are gradually contained through a combination of brutal crackdown and limited economic concessions. The regime maintains power with IRGC loyalty intact, though significantly weakened internationally. Sanctions pressure continues but no military escalation occurs. The internet blackout is partially lifted within 2-4 weeks. Oil production remains disrupted at approximately 10-15% below pre-crisis levels due to internal unrest but no external interference.</w:t>
      </w:r>
    </w:p>
    <w:p>
      <w:pPr>
        <w:pStyle w:val="Heading3"/>
      </w:pPr>
      <w:r>
        <w:t xml:space="preserve">Key Assumptions</w:t>
      </w:r>
    </w:p>
    <w:p>
      <w:pPr>
        <w:spacing w:after="100"/>
      </w:pPr>
      <w:r>
        <w:rPr>
          <w:rFonts w:ascii="Arial" w:cs="Arial" w:eastAsia="Arial" w:hAnsi="Arial"/>
          <w:sz w:val="22"/>
          <w:szCs w:val="22"/>
        </w:rPr>
        <w:t xml:space="preserve">1. IRGC maintains cohesion and loyalty to supreme leader</w:t>
      </w:r>
    </w:p>
    <w:p>
      <w:pPr>
        <w:spacing w:after="100"/>
      </w:pPr>
      <w:r>
        <w:rPr>
          <w:rFonts w:ascii="Arial" w:cs="Arial" w:eastAsia="Arial" w:hAnsi="Arial"/>
          <w:sz w:val="22"/>
          <w:szCs w:val="22"/>
        </w:rPr>
        <w:t xml:space="preserve">2. Trump administration limits response to economic sanctions and rhetoric</w:t>
      </w:r>
    </w:p>
    <w:p>
      <w:pPr>
        <w:spacing w:after="100"/>
      </w:pPr>
      <w:r>
        <w:rPr>
          <w:rFonts w:ascii="Arial" w:cs="Arial" w:eastAsia="Arial" w:hAnsi="Arial"/>
          <w:sz w:val="22"/>
          <w:szCs w:val="22"/>
        </w:rPr>
        <w:t xml:space="preserve">3. No significant military provocations in Strait of Hormuz</w:t>
      </w:r>
    </w:p>
    <w:p>
      <w:pPr>
        <w:spacing w:after="200"/>
      </w:pPr>
      <w:r>
        <w:rPr>
          <w:rFonts w:ascii="Arial" w:cs="Arial" w:eastAsia="Arial" w:hAnsi="Arial"/>
          <w:sz w:val="22"/>
          <w:szCs w:val="22"/>
        </w:rPr>
        <w:t xml:space="preserve">4. Regional actors (Israel, GCC) maintain current posture</w:t>
      </w:r>
    </w:p>
    <w:p>
      <w:pPr>
        <w:pStyle w:val="Heading2"/>
      </w:pPr>
      <w:r>
        <w:t xml:space="preserve">Tier 2: Adverse Case (Probability: 30-35%)</w:t>
      </w:r>
    </w:p>
    <w:p>
      <w:pPr>
        <w:pStyle w:val="Heading3"/>
      </w:pPr>
      <w:r>
        <w:t xml:space="preserve">Scenario Narrative</w:t>
      </w:r>
    </w:p>
    <w:p>
      <w:pPr>
        <w:spacing w:after="200"/>
      </w:pPr>
      <w:r>
        <w:rPr>
          <w:rFonts w:ascii="Arial" w:cs="Arial" w:eastAsia="Arial" w:hAnsi="Arial"/>
          <w:sz w:val="22"/>
          <w:szCs w:val="22"/>
        </w:rPr>
        <w:t xml:space="preserve">Regime crackdown intensifies with mass casualties exceeding 20,000, triggering limited US military response targeting IRGC command infrastructure and air defense systems. Iran responds with asymmetric attacks on US assets in Iraq/Syria and harassment of commercial shipping in the Gulf. Significant but not complete disruption to Strait of Hormuz transit. Iranian oil exports drop by 40-60% as shadow fleet operations become untenable under expanded US interdiction. GCC states increase security posture but avoid direct involvement.</w:t>
      </w:r>
    </w:p>
    <w:p>
      <w:pPr>
        <w:pStyle w:val="Heading3"/>
      </w:pPr>
      <w:r>
        <w:t xml:space="preserve">Key Assumptions</w:t>
      </w:r>
    </w:p>
    <w:p>
      <w:pPr>
        <w:spacing w:after="100"/>
      </w:pPr>
      <w:r>
        <w:rPr>
          <w:rFonts w:ascii="Arial" w:cs="Arial" w:eastAsia="Arial" w:hAnsi="Arial"/>
          <w:sz w:val="22"/>
          <w:szCs w:val="22"/>
        </w:rPr>
        <w:t xml:space="preserve">1. US conducts precision strikes on IRGC/Quds Force targets (similar scope to June 2025)</w:t>
      </w:r>
    </w:p>
    <w:p>
      <w:pPr>
        <w:spacing w:after="100"/>
      </w:pPr>
      <w:r>
        <w:rPr>
          <w:rFonts w:ascii="Arial" w:cs="Arial" w:eastAsia="Arial" w:hAnsi="Arial"/>
          <w:sz w:val="22"/>
          <w:szCs w:val="22"/>
        </w:rPr>
        <w:t xml:space="preserve">2. Iran retaliates asymmetrically but avoids major escalation triggers</w:t>
      </w:r>
    </w:p>
    <w:p>
      <w:pPr>
        <w:spacing w:after="100"/>
      </w:pPr>
      <w:r>
        <w:rPr>
          <w:rFonts w:ascii="Arial" w:cs="Arial" w:eastAsia="Arial" w:hAnsi="Arial"/>
          <w:sz w:val="22"/>
          <w:szCs w:val="22"/>
        </w:rPr>
        <w:t xml:space="preserve">3. Strait of Hormuz partially disrupted (20-30% traffic reduction)</w:t>
      </w:r>
    </w:p>
    <w:p>
      <w:pPr>
        <w:spacing w:after="200"/>
      </w:pPr>
      <w:r>
        <w:rPr>
          <w:rFonts w:ascii="Arial" w:cs="Arial" w:eastAsia="Arial" w:hAnsi="Arial"/>
          <w:sz w:val="22"/>
          <w:szCs w:val="22"/>
        </w:rPr>
        <w:t xml:space="preserve">4. Israel conducts follow-up strikes on reconstituted nuclear facilities</w:t>
      </w:r>
    </w:p>
    <w:p>
      <w:pPr>
        <w:pStyle w:val="Heading2"/>
      </w:pPr>
      <w:r>
        <w:t xml:space="preserve">Tier 3: Severely Adverse (Probability: 10-15%)</w:t>
      </w:r>
    </w:p>
    <w:p>
      <w:pPr>
        <w:pStyle w:val="Heading3"/>
      </w:pPr>
      <w:r>
        <w:t xml:space="preserve">Scenario Narrative</w:t>
      </w:r>
    </w:p>
    <w:p>
      <w:pPr>
        <w:spacing w:after="200"/>
      </w:pPr>
      <w:r>
        <w:rPr>
          <w:rFonts w:ascii="Arial" w:cs="Arial" w:eastAsia="Arial" w:hAnsi="Arial"/>
          <w:sz w:val="22"/>
          <w:szCs w:val="22"/>
        </w:rPr>
        <w:t xml:space="preserve">Full military confrontation between US/Israel and Iran. Following massive civilian casualties or a preemptive Iranian strike on US assets, sustained US air campaign targets Iranian military infrastructure, energy facilities, and regime leadership. Iran attempts to close Strait of Hormuz through mine-laying, coastal missile batteries, and fast attack craft. Regional contagion as Houthi attacks on Saudi infrastructure resume intensively. Potential IRGC fragmentation leads to internal power struggle. Complete cessation of Iranian oil exports and 50-70% disruption to Strait transit for 60-90 days.</w:t>
      </w:r>
    </w:p>
    <w:p>
      <w:pPr>
        <w:pStyle w:val="Heading3"/>
      </w:pPr>
      <w:r>
        <w:t xml:space="preserve">Key Assumptions</w:t>
      </w:r>
    </w:p>
    <w:p>
      <w:pPr>
        <w:spacing w:after="100"/>
      </w:pPr>
      <w:r>
        <w:rPr>
          <w:rFonts w:ascii="Arial" w:cs="Arial" w:eastAsia="Arial" w:hAnsi="Arial"/>
          <w:sz w:val="22"/>
          <w:szCs w:val="22"/>
        </w:rPr>
        <w:t xml:space="preserve">1. Extended US/Israel military campaign (weeks, not days)</w:t>
      </w:r>
    </w:p>
    <w:p>
      <w:pPr>
        <w:spacing w:after="100"/>
      </w:pPr>
      <w:r>
        <w:rPr>
          <w:rFonts w:ascii="Arial" w:cs="Arial" w:eastAsia="Arial" w:hAnsi="Arial"/>
          <w:sz w:val="22"/>
          <w:szCs w:val="22"/>
        </w:rPr>
        <w:t xml:space="preserve">2. Iran attempts Strait of Hormuz closure or major infrastructure attack</w:t>
      </w:r>
    </w:p>
    <w:p>
      <w:pPr>
        <w:spacing w:after="100"/>
      </w:pPr>
      <w:r>
        <w:rPr>
          <w:rFonts w:ascii="Arial" w:cs="Arial" w:eastAsia="Arial" w:hAnsi="Arial"/>
          <w:sz w:val="22"/>
          <w:szCs w:val="22"/>
        </w:rPr>
        <w:t xml:space="preserve">3. Houthi/proxy attacks on Saudi Aramco facilities resume</w:t>
      </w:r>
    </w:p>
    <w:p>
      <w:pPr>
        <w:spacing w:after="200"/>
      </w:pPr>
      <w:r>
        <w:rPr>
          <w:rFonts w:ascii="Arial" w:cs="Arial" w:eastAsia="Arial" w:hAnsi="Arial"/>
          <w:sz w:val="22"/>
          <w:szCs w:val="22"/>
        </w:rPr>
        <w:t xml:space="preserve">4. Potential regime collapse or civil war conditions in Iran</w:t>
      </w:r>
    </w:p>
    <w:p>
      <w:r>
        <w:br w:type="page"/>
      </w:r>
    </w:p>
    <w:p>
      <w:pPr>
        <w:pStyle w:val="Heading1"/>
      </w:pPr>
      <w:r>
        <w:t xml:space="preserve">SECTION 2: SHOCK PARAMETERS BY ASSET CLASS</w:t>
      </w:r>
    </w:p>
    <w:p>
      <w:pPr>
        <w:spacing w:after="200"/>
      </w:pPr>
      <w:r>
        <w:rPr>
          <w:rFonts w:ascii="Arial" w:cs="Arial" w:eastAsia="Arial" w:hAnsi="Arial"/>
          <w:i/>
          <w:iCs/>
          <w:sz w:val="22"/>
          <w:szCs w:val="22"/>
        </w:rPr>
        <w:t xml:space="preserve">All shocks calibrated against current market levels as of January 14, 2026, and historical analogs. Current baseline: Brent $65/bbl, WTI $60/bbl, Gold $4,600/oz, VIX 16.5, UST 10Y ~4.4%.</w:t>
      </w:r>
    </w:p>
    <w:p>
      <w:pPr>
        <w:pStyle w:val="Heading2"/>
      </w:pPr>
      <w:r>
        <w:t xml:space="preserve">2.1 Energy Commodities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Adverse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 Adverse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Historical Ref</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Brent Crude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to +35%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to +100%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Aramco '19: +15%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WTI Crude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to +8%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to +30%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to +85%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Gulf War '90: +130%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Natural Gas (HH)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to +25%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to +60%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Rus-Ukr '22: +100%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3-2-1 Crack Spread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to +$4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to +$12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to +$30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Aramco '19: +$8</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LNG (JKM)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to +35%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to +80%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Qatar exposure</w:t>
            </w:r>
          </w:p>
        </w:tc>
      </w:tr>
    </w:tbl>
    <w:p>
      <w:pPr>
        <w:spacing w:before="150" w:after="200"/>
      </w:pPr>
      <w:r>
        <w:rPr>
          <w:rFonts w:ascii="Arial" w:cs="Arial" w:eastAsia="Arial" w:hAnsi="Arial"/>
          <w:i/>
          <w:iCs/>
          <w:sz w:val="20"/>
          <w:szCs w:val="20"/>
        </w:rPr>
        <w:t xml:space="preserve">Calibration Note: Severely Adverse assumes Strait of Hormuz closure affecting 13+ million bpd crude and 20% global LNG. Historical reference: 1979 Iranian Revolution saw oil triple over 18 months.</w:t>
      </w:r>
    </w:p>
    <w:p>
      <w:pPr>
        <w:pStyle w:val="Heading2"/>
      </w:pPr>
      <w:r>
        <w:t xml:space="preserve">2.2 Equities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Sector/Index</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Adverse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 Adverse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Historical Ref</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S&amp;P 500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to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to -25%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Rus-Ukr '22: -13%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Defense/Aerospace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to +8%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to +18%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to +25%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 '25: RTX +12%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Airlines (XAL)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to -25%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to -45%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Gulf War '90: -35%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Energy Majors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to +10%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to +20%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to +35%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CVX +5.5% Jan '26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Tanker/Shipping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 +15%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to +40%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to +100%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 Sea '24: +80%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MSCI Turkey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to -10%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to -25%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to -45%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Rus-Ukr '22: -28%</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GCC Equities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 -8%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to -18%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to -35%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Aramco '19: -8%</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MSCI EM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to -8%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to -18%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 to -30%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Rus-Ukr '22: -18%</w:t>
            </w:r>
          </w:p>
        </w:tc>
      </w:tr>
    </w:tbl>
    <w:p>
      <w:r>
        <w:br w:type="page"/>
      </w:r>
    </w:p>
    <w:p>
      <w:pPr>
        <w:pStyle w:val="Heading2"/>
      </w:pPr>
      <w:r>
        <w:t xml:space="preserve">2.3 Foreign Exchange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Currency Pair</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Adverse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 Adverse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Historical Ref</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DXY Index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to +2%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+8%</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Flight to safety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EUR/USD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to -2%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to -5%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to -10%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Rus-Ukr '22: -8%</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GBP/USD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to -2%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-8%</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Similar to EUR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USD/TRY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to +10%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to +25%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to +50%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 contagion risk</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USD/AED (stress)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Peg maintained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Peg maintained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Peg stress test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Never broken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EM FX Basket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to -4%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to -10%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to -20%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Oil importers hit</w:t>
            </w:r>
          </w:p>
        </w:tc>
      </w:tr>
    </w:tbl>
    <w:p>
      <w:pPr>
        <w:pStyle w:val="Heading2"/>
        <w:spacing w:before="300"/>
      </w:pPr>
      <w:r>
        <w:t xml:space="preserve">2.4 Interest Rates &amp;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Adverse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 Adverse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Historical Ref</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UST 10Y Yield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to -20 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to -50 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to -100 bps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Flight to quality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UST 2Y Yield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to -15 bps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to -35 bps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 to -70 bps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Curve steepening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IG Credit Spreads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to +20 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to +50 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to +120 bps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Rus-Ukr '22: +50bp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HY Credit Spreads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to +50 bps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 to +150 bps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to +350 bps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Rus-Ukr '22: +180bp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EM Sov Spreads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to +50 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to +125 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to +300 bps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MENA worst hit</w:t>
            </w:r>
          </w:p>
        </w:tc>
      </w:tr>
    </w:tbl>
    <w:p>
      <w:pPr>
        <w:pStyle w:val="Heading2"/>
        <w:spacing w:before="300"/>
      </w:pPr>
      <w:r>
        <w:t xml:space="preserve">2.5 Commodities &amp; Volatility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Adverse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 Adverse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Historical Ref</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Gold (XAU)</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 +6%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 +15%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to +35%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1979: +160% in 2Y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Silver (XAG)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to +8%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to +18%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to +45%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beta to Au</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Copper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to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to -25%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Growth concern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Aluminum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to -3%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to +10%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to +30%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Gulf 23% of prod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VIX Index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to 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to 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to 60+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Rus-Ukr '22: 37</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OVX (Oil Vol)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 to 45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to 70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 to 120+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'26: peaked 68</w:t>
            </w:r>
          </w:p>
        </w:tc>
      </w:tr>
    </w:tbl>
    <w:p>
      <w:r>
        <w:br w:type="page"/>
      </w:r>
    </w:p>
    <w:p>
      <w:pPr>
        <w:pStyle w:val="Heading1"/>
      </w:pPr>
      <w:r>
        <w:t xml:space="preserve">SECTION 3: HIERARCHICAL PROPAGATION LOGIC</w:t>
      </w:r>
    </w:p>
    <w:p>
      <w:pPr>
        <w:pStyle w:val="Heading2"/>
      </w:pPr>
      <w:r>
        <w:t xml:space="preserve">3.1 Top-Level Macro Drivers</w:t>
      </w:r>
    </w:p>
    <w:p>
      <w:pPr>
        <w:spacing w:after="150"/>
      </w:pPr>
      <w:r>
        <w:rPr>
          <w:rFonts w:ascii="Arial" w:cs="Arial" w:eastAsia="Arial" w:hAnsi="Arial"/>
          <w:sz w:val="22"/>
          <w:szCs w:val="22"/>
        </w:rPr>
        <w:t xml:space="preserve">The scenario propagates from three primary macro drivers that cascade through the risk factor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Shock Range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Transmission Mechanism</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Brent Crude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+100%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driver for energy sector, inflation expectations, EM currencies, airline costs, consumer discretionary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VIX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16→60 (max)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Cross-asset correlation driver, equity risk premia, options pricing, margin requirements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UST 10Y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to -100 bps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Risk-free rate for DCF models, credit spread reference, duration exposure, mortgage rates</w:t>
            </w:r>
          </w:p>
        </w:tc>
      </w:tr>
    </w:tbl>
    <w:p>
      <w:pPr>
        <w:pStyle w:val="Heading2"/>
        <w:spacing w:before="300"/>
      </w:pPr>
      <w:r>
        <w:t xml:space="preserve">3.2 Sector Transmission Matrix</w:t>
      </w:r>
    </w:p>
    <w:p>
      <w:pPr>
        <w:spacing w:after="150"/>
      </w:pPr>
      <w:r>
        <w:rPr>
          <w:rFonts w:ascii="Arial" w:cs="Arial" w:eastAsia="Arial" w:hAnsi="Arial"/>
          <w:sz w:val="22"/>
          <w:szCs w:val="22"/>
        </w:rPr>
        <w:t xml:space="preserve">Second-order effects propagate from macro drivers to sector indices based on empirical sensitivities: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Oil Beta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VIX Beta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Rates Beta</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Driver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Energy (XLE)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Oil price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Airlines (XAL)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Oil/demand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Defense (ITA)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Geopolitical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Financials (XLF)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Rates/vol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Consumer Disc (XLY)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Risk-off</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Utilities (XLU)</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Rates</w:t>
            </w:r>
          </w:p>
        </w:tc>
      </w:tr>
    </w:tbl>
    <w:p>
      <w:pPr>
        <w:pStyle w:val="Heading2"/>
        <w:spacing w:before="300"/>
      </w:pPr>
      <w:r>
        <w:t xml:space="preserve">3.3 Correlation Regime Shifts</w:t>
      </w:r>
    </w:p>
    <w:p>
      <w:pPr>
        <w:spacing w:after="150"/>
      </w:pPr>
      <w:r>
        <w:rPr>
          <w:rFonts w:ascii="Arial" w:cs="Arial" w:eastAsia="Arial" w:hAnsi="Arial"/>
          <w:sz w:val="22"/>
          <w:szCs w:val="22"/>
        </w:rPr>
        <w:t xml:space="preserve">During crisis periods, correlations shift significantly from business-as-usual (BAU)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Correlation Pair</w:t>
            </w:r>
          </w:p>
        </w:tc>
        <w:tc>
          <w:tcPr>
            <w:tcW w:type="dxa" w:w="2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BAU</w:t>
            </w:r>
          </w:p>
        </w:tc>
        <w:tc>
          <w:tcPr>
            <w:tcW w:type="dxa" w:w="2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Crisis Mode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Regime Factor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Equity-Equity (cross-sector)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 to 0.55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to 0.90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1.6x</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Equity-Treasury</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 to -0.30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-0.50 to -0.70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Equity-Gold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 to 0.00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 to -0.50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4x+</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Oil-EM Equities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 to +0.30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 to -0.40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flip</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Credit-Equity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 to -0.45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 to -0.85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1.9x</w:t>
            </w:r>
          </w:p>
        </w:tc>
      </w:tr>
    </w:tbl>
    <w:p>
      <w:pPr>
        <w:spacing w:before="150" w:after="200"/>
      </w:pPr>
      <w:r>
        <w:rPr>
          <w:rFonts w:ascii="Arial" w:cs="Arial" w:eastAsia="Arial" w:hAnsi="Arial"/>
          <w:i/>
          <w:iCs/>
          <w:sz w:val="20"/>
          <w:szCs w:val="20"/>
        </w:rPr>
        <w:t xml:space="preserve">Critical Note: Apply Severely Adverse correlation regime (1.5x-2x multiplier) when VIX exceeds 35. Standard stress correlation matrices underestimate tail risk diversification failure.</w:t>
      </w:r>
    </w:p>
    <w:p>
      <w:r>
        <w:br w:type="page"/>
      </w:r>
    </w:p>
    <w:p>
      <w:pPr>
        <w:pStyle w:val="Heading1"/>
      </w:pPr>
      <w:r>
        <w:t xml:space="preserve">SECTION 4: TIME HORIZON PATHS</w:t>
      </w:r>
    </w:p>
    <w:p>
      <w:pPr>
        <w:pStyle w:val="Heading2"/>
      </w:pPr>
      <w:r>
        <w:t xml:space="preserve">4.1 Instantaneous Shock (T+0)</w:t>
      </w:r>
    </w:p>
    <w:p>
      <w:pPr>
        <w:spacing w:after="200"/>
      </w:pPr>
      <w:r>
        <w:rPr>
          <w:rFonts w:ascii="Arial" w:cs="Arial" w:eastAsia="Arial" w:hAnsi="Arial"/>
          <w:sz w:val="22"/>
          <w:szCs w:val="22"/>
        </w:rPr>
        <w:t xml:space="preserve">Represents immediate market reaction to trigger event (major massacre, US strike announcement, Strait closure). Apply full shock magnitude to liquid instruments; illiquid positions gap wider. Assume 2-3 standard deviation moves in first 24-48 hours with bid-ask spreads widening 3-5x normal in EM and HY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T+0 (Instant)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Peak Impact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Case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of shock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Adverse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 of shock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7-10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weeks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Severely Adverse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of shock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14-21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8-12 weeks</w:t>
            </w:r>
          </w:p>
        </w:tc>
      </w:tr>
    </w:tbl>
    <w:p>
      <w:pPr>
        <w:pStyle w:val="Heading2"/>
        <w:spacing w:before="300"/>
      </w:pPr>
      <w:r>
        <w:t xml:space="preserve">4.2 Sustained Stress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gridCol w:w="14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Oil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 Oil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 Oil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VIX Path</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Credit Path</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T+30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20/30/50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+15/+40/+120bp</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T+60 Days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18/25/40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+12/+35/+100bp</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T+90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17/22/35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+10/+30/+80bp</w:t>
            </w:r>
          </w:p>
        </w:tc>
      </w:tr>
    </w:tbl>
    <w:p>
      <w:pPr>
        <w:spacing w:before="150" w:after="200"/>
      </w:pPr>
      <w:r>
        <w:rPr>
          <w:rFonts w:ascii="Arial" w:cs="Arial" w:eastAsia="Arial" w:hAnsi="Arial"/>
          <w:i/>
          <w:iCs/>
          <w:sz w:val="20"/>
          <w:szCs w:val="20"/>
        </w:rPr>
        <w:t xml:space="preserve">Decay Assumption: Base case assumes 70% mean reversion by T+90; Adverse 50% reversion; Severely Adverse only 30% reversion as structural damage persists.</w:t>
      </w:r>
    </w:p>
    <w:p>
      <w:r>
        <w:br w:type="page"/>
      </w:r>
    </w:p>
    <w:p>
      <w:pPr>
        <w:pStyle w:val="Heading1"/>
      </w:pPr>
      <w:r>
        <w:t xml:space="preserve">SECTION 5: P&amp;L IMPACT MAPPING FRAMEWORK</w:t>
      </w:r>
    </w:p>
    <w:p>
      <w:pPr>
        <w:pStyle w:val="Heading2"/>
      </w:pPr>
      <w:r>
        <w:t xml:space="preserve">5.1 Desk-Level Aggregation Structure</w:t>
      </w:r>
    </w:p>
    <w:p>
      <w:pPr>
        <w:spacing w:after="150"/>
      </w:pPr>
      <w:r>
        <w:rPr>
          <w:rFonts w:ascii="Arial" w:cs="Arial" w:eastAsia="Arial" w:hAnsi="Arial"/>
          <w:sz w:val="22"/>
          <w:szCs w:val="22"/>
        </w:rPr>
        <w:t xml:space="preserve">The following framework maps stress shocks across the 19 trading desks and 300,000+ risk drivers: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Desk Category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Exposure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Intensity</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Drivers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Commodities Trading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derivatives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Oil, Nat Gas, Cracks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EM Rates/FX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MENA, Turkey, GCC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 EM sov spreads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Credit Trading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 EM corporates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 spreads, defaults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Equity Derivatives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Vol products, ETFs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VIX, sector indices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Cash Equities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defense, 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stocks, ETFs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G10 Rates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UST, duration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Flight to quality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G10 FX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 GBP, JPY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LOW-MOD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DXY, safe haven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Precious Metals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Gold, silver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POSITIVE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haven inflows</w:t>
            </w:r>
          </w:p>
        </w:tc>
      </w:tr>
    </w:tbl>
    <w:p>
      <w:pPr>
        <w:pStyle w:val="Heading2"/>
        <w:spacing w:before="300"/>
      </w:pPr>
      <w:r>
        <w:t xml:space="preserve">5.2 Risk Driver Hierarchy</w:t>
      </w:r>
    </w:p>
    <w:p>
      <w:pPr>
        <w:spacing w:after="150"/>
      </w:pPr>
      <w:r>
        <w:rPr>
          <w:rFonts w:ascii="Arial" w:cs="Arial" w:eastAsia="Arial" w:hAnsi="Arial"/>
          <w:sz w:val="22"/>
          <w:szCs w:val="22"/>
        </w:rPr>
        <w:t xml:space="preserve">Efficient propagation of manual shocks across 300,000+ risk drivers via hierarchical mapping:</w:t>
      </w:r>
    </w:p>
    <w:p>
      <w:pPr>
        <w:spacing w:after="100"/>
      </w:pPr>
      <w:r>
        <w:rPr>
          <w:rFonts w:ascii="Arial" w:cs="Arial" w:eastAsia="Arial" w:hAnsi="Arial"/>
          <w:b/>
          <w:bCs/>
          <w:sz w:val="22"/>
          <w:szCs w:val="22"/>
        </w:rPr>
        <w:t xml:space="preserve">Level 1 - Macro Factors (3 inputs): Brent crude, VIX, UST 10Y yield</w:t>
      </w:r>
    </w:p>
    <w:p>
      <w:pPr>
        <w:spacing w:after="100"/>
      </w:pPr>
      <w:r>
        <w:rPr>
          <w:rFonts w:ascii="Arial" w:cs="Arial" w:eastAsia="Arial" w:hAnsi="Arial"/>
          <w:sz w:val="22"/>
          <w:szCs w:val="22"/>
        </w:rPr>
        <w:t xml:space="preserve">Level 2 - Asset Class Indices (15-20 inputs): Sector ETFs, regional indices, credit indices</w:t>
      </w:r>
    </w:p>
    <w:p>
      <w:pPr>
        <w:spacing w:after="100"/>
      </w:pPr>
      <w:r>
        <w:rPr>
          <w:rFonts w:ascii="Arial" w:cs="Arial" w:eastAsia="Arial" w:hAnsi="Arial"/>
          <w:sz w:val="22"/>
          <w:szCs w:val="22"/>
        </w:rPr>
        <w:t xml:space="preserve">Level 3 - Sub-Sector/Geography (50-100 inputs): Country indices, industry groups, curve points</w:t>
      </w:r>
    </w:p>
    <w:p>
      <w:pPr>
        <w:spacing w:after="200"/>
      </w:pPr>
      <w:r>
        <w:rPr>
          <w:rFonts w:ascii="Arial" w:cs="Arial" w:eastAsia="Arial" w:hAnsi="Arial"/>
          <w:sz w:val="22"/>
          <w:szCs w:val="22"/>
        </w:rPr>
        <w:t xml:space="preserve">Level 4 - Single Names/Instruments (300,000+ derived): Auto-propagated via factor loadings and historical betas</w:t>
      </w:r>
    </w:p>
    <w:p>
      <w:pPr>
        <w:pStyle w:val="Heading2"/>
        <w:spacing w:before="200"/>
      </w:pPr>
      <w:r>
        <w:t xml:space="preserve">5.3 Implementation Guidance</w:t>
      </w:r>
    </w:p>
    <w:p>
      <w:pPr>
        <w:spacing w:after="100"/>
      </w:pPr>
      <w:r>
        <w:rPr>
          <w:rFonts w:ascii="Arial" w:cs="Arial" w:eastAsia="Arial" w:hAnsi="Arial"/>
          <w:sz w:val="22"/>
          <w:szCs w:val="22"/>
        </w:rPr>
        <w:t xml:space="preserve">1. Input Level 1 shocks based on scenario tier selection</w:t>
      </w:r>
    </w:p>
    <w:p>
      <w:pPr>
        <w:spacing w:after="100"/>
      </w:pPr>
      <w:r>
        <w:rPr>
          <w:rFonts w:ascii="Arial" w:cs="Arial" w:eastAsia="Arial" w:hAnsi="Arial"/>
          <w:sz w:val="22"/>
          <w:szCs w:val="22"/>
        </w:rPr>
        <w:t xml:space="preserve">2. Apply sector transmission betas to derive Level 2 indices</w:t>
      </w:r>
    </w:p>
    <w:p>
      <w:pPr>
        <w:spacing w:after="100"/>
      </w:pPr>
      <w:r>
        <w:rPr>
          <w:rFonts w:ascii="Arial" w:cs="Arial" w:eastAsia="Arial" w:hAnsi="Arial"/>
          <w:sz w:val="22"/>
          <w:szCs w:val="22"/>
        </w:rPr>
        <w:t xml:space="preserve">3. Override Level 2/3 with explicit scenario values where provided</w:t>
      </w:r>
    </w:p>
    <w:p>
      <w:pPr>
        <w:spacing w:after="100"/>
      </w:pPr>
      <w:r>
        <w:rPr>
          <w:rFonts w:ascii="Arial" w:cs="Arial" w:eastAsia="Arial" w:hAnsi="Arial"/>
          <w:sz w:val="22"/>
          <w:szCs w:val="22"/>
        </w:rPr>
        <w:t xml:space="preserve">4. Apply crisis correlation regime shift multipliers (Section 3.3)</w:t>
      </w:r>
    </w:p>
    <w:p>
      <w:pPr>
        <w:spacing w:after="100"/>
      </w:pPr>
      <w:r>
        <w:rPr>
          <w:rFonts w:ascii="Arial" w:cs="Arial" w:eastAsia="Arial" w:hAnsi="Arial"/>
          <w:sz w:val="22"/>
          <w:szCs w:val="22"/>
        </w:rPr>
        <w:t xml:space="preserve">5. Propagate to Level 4 single names via factor model</w:t>
      </w:r>
    </w:p>
    <w:p>
      <w:pPr>
        <w:spacing w:after="200"/>
      </w:pPr>
      <w:r>
        <w:rPr>
          <w:rFonts w:ascii="Arial" w:cs="Arial" w:eastAsia="Arial" w:hAnsi="Arial"/>
          <w:sz w:val="22"/>
          <w:szCs w:val="22"/>
        </w:rPr>
        <w:t xml:space="preserve">6. Aggregate desk-level P&amp;L impacts using position sensitivities</w:t>
      </w:r>
    </w:p>
    <w:p>
      <w:r>
        <w:br w:type="page"/>
      </w:r>
    </w:p>
    <w:p>
      <w:pPr>
        <w:pStyle w:val="Heading1"/>
      </w:pPr>
      <w:r>
        <w:t xml:space="preserve">APPENDIX A: HISTORICAL CALIBRATION RATIONALE</w:t>
      </w:r>
    </w:p>
    <w:p>
      <w:pPr>
        <w:pStyle w:val="Heading2"/>
      </w:pPr>
      <w:r>
        <w:t xml:space="preserve">A.1 Analog Event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Oil Impact</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Equity Impact</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1979 Iran Rev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(18 mo)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S&amp;P -17% (1980)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Regime change, supply shock</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1990 Gulf War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+130% (3 mo)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S&amp;P -20% (Aug-Oct)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war, Hormuz fears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2019 Aramco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(1 day)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+3%</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Infrastructure attack</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2022 Rus-Ukr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(2 mo)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S&amp;P -13%, EM -18%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Sanctions, supply disruption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Jun 2025 Iran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(12 days)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 -8%, Defense +12%</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Most recent analog</w:t>
            </w:r>
          </w:p>
        </w:tc>
      </w:tr>
    </w:tbl>
    <w:p>
      <w:pPr>
        <w:pStyle w:val="Heading2"/>
        <w:spacing w:before="300"/>
      </w:pPr>
      <w:r>
        <w:t xml:space="preserve">A.2 Key Differentiators - January 2026 Scenario</w:t>
      </w:r>
    </w:p>
    <w:p>
      <w:pPr>
        <w:spacing w:after="100"/>
      </w:pPr>
      <w:r>
        <w:rPr>
          <w:rFonts w:ascii="Arial" w:cs="Arial" w:eastAsia="Arial" w:hAnsi="Arial"/>
          <w:sz w:val="22"/>
          <w:szCs w:val="22"/>
        </w:rPr>
        <w:t xml:space="preserve">1. Concurrent internal instability: Unlike prior external conflicts, regime faces existential domestic threat</w:t>
      </w:r>
    </w:p>
    <w:p>
      <w:pPr>
        <w:spacing w:after="100"/>
      </w:pPr>
      <w:r>
        <w:rPr>
          <w:rFonts w:ascii="Arial" w:cs="Arial" w:eastAsia="Arial" w:hAnsi="Arial"/>
          <w:sz w:val="22"/>
          <w:szCs w:val="22"/>
        </w:rPr>
        <w:t xml:space="preserve">2. Nuclear facilities already degraded: June 2025 strikes reduced escalation ceiling but increased regime desperation</w:t>
      </w:r>
    </w:p>
    <w:p>
      <w:pPr>
        <w:spacing w:after="100"/>
      </w:pPr>
      <w:r>
        <w:rPr>
          <w:rFonts w:ascii="Arial" w:cs="Arial" w:eastAsia="Arial" w:hAnsi="Arial"/>
          <w:sz w:val="22"/>
          <w:szCs w:val="22"/>
        </w:rPr>
        <w:t xml:space="preserve">3. Proxy network weakened: Hezbollah/Hamas degradation limits asymmetric retaliation options</w:t>
      </w:r>
    </w:p>
    <w:p>
      <w:pPr>
        <w:spacing w:after="100"/>
      </w:pPr>
      <w:r>
        <w:rPr>
          <w:rFonts w:ascii="Arial" w:cs="Arial" w:eastAsia="Arial" w:hAnsi="Arial"/>
          <w:sz w:val="22"/>
          <w:szCs w:val="22"/>
        </w:rPr>
        <w:t xml:space="preserve">4. Demonstrated US willingness: Venezuela operation (Jan 3, 2026) signals credible intervention threat</w:t>
      </w:r>
    </w:p>
    <w:p>
      <w:pPr>
        <w:spacing w:after="100"/>
      </w:pPr>
      <w:r>
        <w:rPr>
          <w:rFonts w:ascii="Arial" w:cs="Arial" w:eastAsia="Arial" w:hAnsi="Arial"/>
          <w:sz w:val="22"/>
          <w:szCs w:val="22"/>
        </w:rPr>
        <w:t xml:space="preserve">5. Global supply glut context: 2026 oil surplus (~1.5-2.5 mbpd) may cap upside vs. prior tight markets</w:t>
      </w:r>
    </w:p>
    <w:p>
      <w:pPr>
        <w:spacing w:after="200"/>
      </w:pPr>
      <w:r>
        <w:rPr>
          <w:rFonts w:ascii="Arial" w:cs="Arial" w:eastAsia="Arial" w:hAnsi="Arial"/>
          <w:sz w:val="22"/>
          <w:szCs w:val="22"/>
        </w:rPr>
        <w:t xml:space="preserve">6. Shadow fleet interdiction: US/UK action against Bella 1 vessel signals enforcement of Iran-Venezuela sanctions</w:t>
      </w:r>
    </w:p>
    <w:p>
      <w:pPr>
        <w:pStyle w:val="Heading2"/>
        <w:spacing w:before="200"/>
      </w:pPr>
      <w:r>
        <w:t xml:space="preserve">A.3 Strait of Hormuz Critical Data Points</w:t>
      </w:r>
    </w:p>
    <w:p>
      <w:pPr>
        <w:spacing w:after="100"/>
      </w:pPr>
      <w:r>
        <w:rPr>
          <w:rFonts w:ascii="Arial" w:cs="Arial" w:eastAsia="Arial" w:hAnsi="Arial"/>
          <w:sz w:val="22"/>
          <w:szCs w:val="22"/>
        </w:rPr>
        <w:t xml:space="preserve">Daily transit volume: ~13 million bpd crude (31% of global seaborne crude)</w:t>
      </w:r>
    </w:p>
    <w:p>
      <w:pPr>
        <w:spacing w:after="100"/>
      </w:pPr>
      <w:r>
        <w:rPr>
          <w:rFonts w:ascii="Arial" w:cs="Arial" w:eastAsia="Arial" w:hAnsi="Arial"/>
          <w:sz w:val="22"/>
          <w:szCs w:val="22"/>
        </w:rPr>
        <w:t xml:space="preserve">LNG exposure: ~20% of global LNG exports (Qatar)</w:t>
      </w:r>
    </w:p>
    <w:p>
      <w:pPr>
        <w:spacing w:after="100"/>
      </w:pPr>
      <w:r>
        <w:rPr>
          <w:rFonts w:ascii="Arial" w:cs="Arial" w:eastAsia="Arial" w:hAnsi="Arial"/>
          <w:sz w:val="22"/>
          <w:szCs w:val="22"/>
        </w:rPr>
        <w:t xml:space="preserve">Historical precedent: Strait has NEVER been fully closed</w:t>
      </w:r>
    </w:p>
    <w:p>
      <w:pPr>
        <w:spacing w:after="100"/>
      </w:pPr>
      <w:r>
        <w:rPr>
          <w:rFonts w:ascii="Arial" w:cs="Arial" w:eastAsia="Arial" w:hAnsi="Arial"/>
          <w:sz w:val="22"/>
          <w:szCs w:val="22"/>
        </w:rPr>
        <w:t xml:space="preserve">Bypass capacity: Only Saudi Arabia and UAE have operational pipelines (~7 mbpd combined)</w:t>
      </w:r>
    </w:p>
    <w:p>
      <w:pPr>
        <w:spacing w:after="200"/>
      </w:pPr>
      <w:r>
        <w:rPr>
          <w:rFonts w:ascii="Arial" w:cs="Arial" w:eastAsia="Arial" w:hAnsi="Arial"/>
          <w:sz w:val="22"/>
          <w:szCs w:val="22"/>
        </w:rPr>
        <w:t xml:space="preserve">Analyst consensus: Full closure probability 5-10% even in severely adverse scenario due to US naval deterrence</w:t>
      </w:r>
    </w:p>
    <w:p>
      <w:pPr>
        <w:spacing w:before="600"/>
        <w:jc w:val="center"/>
      </w:pPr>
      <w:r>
        <w:rPr>
          <w:rFonts w:ascii="Arial" w:cs="Arial" w:eastAsia="Arial" w:hAnsi="Arial"/>
          <w:color w:val="666666"/>
          <w:sz w:val="20"/>
          <w:szCs w:val="20"/>
        </w:rPr>
        <w:t xml:space="preserve">--- END OF DOCUMENT ---</w:t>
      </w:r>
    </w:p>
    <w:p>
      <w:pPr>
        <w:spacing w:before="100"/>
        <w:jc w:val="center"/>
      </w:pPr>
      <w:r>
        <w:rPr>
          <w:rFonts w:ascii="Arial" w:cs="Arial" w:eastAsia="Arial" w:hAnsi="Arial"/>
          <w:i/>
          <w:iCs/>
          <w:color w:val="666666"/>
          <w:sz w:val="18"/>
          <w:szCs w:val="18"/>
        </w:rPr>
        <w:t xml:space="preserve">Prepared by Market Risk Management | For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Wells Fargo CIB Market Risk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CONFIDENTIAL - Market Risk Stress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2026-01-14T21:43:00.516Z</dcterms:created>
  <dcterms:modified xsi:type="dcterms:W3CDTF">2026-01-14T21:43:00.517Z</dcterms:modified>
</cp:coreProperties>
</file>

<file path=docProps/custom.xml><?xml version="1.0" encoding="utf-8"?>
<Properties xmlns="http://schemas.openxmlformats.org/officeDocument/2006/custom-properties" xmlns:vt="http://schemas.openxmlformats.org/officeDocument/2006/docPropsVTypes"/>
</file>