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2026 MARKET OUTLOOK</w:t>
      </w:r>
    </w:p>
    <w:p>
      <w:pPr>
        <w:spacing w:after="400"/>
        <w:jc w:val="center"/>
      </w:pPr>
      <w:r>
        <w:rPr>
          <w:color w:val="4A4A4A"/>
          <w:sz w:val="32"/>
          <w:szCs w:val="32"/>
        </w:rPr>
        <w:t xml:space="preserve">Consolidated Wall Street Intelligence Report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Goldman Sachs | JPMorgan | Morgan Stanley | Bank of America | UBS | Deutsche Bank | Citi</w:t>
      </w:r>
    </w:p>
    <w:p>
      <w:pPr>
        <w:spacing w:after="600"/>
        <w:jc w:val="center"/>
      </w:pPr>
      <w:r>
        <w:rPr>
          <w:b/>
          <w:bCs/>
          <w:color w:val="1B365D"/>
          <w:sz w:val="24"/>
          <w:szCs w:val="24"/>
        </w:rPr>
        <w:t xml:space="preserve">December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pPr>
              <w:spacing w:before="120" w:after="120"/>
              <w:jc w:val="center"/>
            </w:pPr>
            <w:r>
              <w:rPr>
                <w:b/>
                <w:bCs/>
                <w:color w:val="1B365D"/>
                <w:sz w:val="26"/>
                <w:szCs w:val="26"/>
              </w:rPr>
              <w:t xml:space="preserve">EXECUTIVE SNAPSHOT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Consensus View: </w:t>
            </w:r>
            <w:r>
              <w:t xml:space="preserve">Constructive risk-on tilt with U.S. equities outperforming. Bull market extends into Year 4.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S&amp;P 500 Targets: </w:t>
            </w:r>
            <w:r>
              <w:t xml:space="preserve">7,100 (BofA) to 8,100 (Oppenheimer) | Consensus ~7,500 (+10-12%)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Key Drivers: </w:t>
            </w:r>
            <w:r>
              <w:t xml:space="preserve">AI capex supercycle, Fed cuts, fiscal stimulus (OBBBA), deregulation, earnings growth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Primary Risks: </w:t>
            </w:r>
            <w:r>
              <w:t xml:space="preserve">AI bubble/valuation compression, K-shaped economy, inflation persistence, labor weakness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Fed Path: </w:t>
            </w:r>
            <w:r>
              <w:t xml:space="preserve">2-3 cuts expected in 2026, terminal rate ~3.00-3.25%, December '25 cut priced at 80%+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MACRO THEMES &amp; MARKET REGIME</w:t>
      </w:r>
    </w:p>
    <w:p>
      <w:pPr>
        <w:pStyle w:val="Heading2"/>
      </w:pPr>
      <w:r>
        <w:t xml:space="preserve">Three Defining Forces (JPM Framework)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Artificial Intelligence: </w:t>
      </w:r>
      <w:r>
        <w:t xml:space="preserve">Hyperscaler capex driving 75-80% of S&amp;P earnings growth since ChatGPT launch. AI capex up 67% to $375B in 2025, projected $500B in 2026.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Fragmentation: </w:t>
      </w:r>
      <w:r>
        <w:t xml:space="preserve">Reshoring, supply chain restructuring, trade policy volatility. Creates tradeable dislocations across rates, FX, and commodities.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Persistent Inflation: </w:t>
      </w:r>
      <w:r>
        <w:t xml:space="preserve">Core PCE trending toward 2.8%, tariff pass-through ending mid-2026. Services and housing remain sticky.</w:t>
      </w:r>
    </w:p>
    <w:p>
      <w:pPr>
        <w:pStyle w:val="Heading2"/>
      </w:pPr>
      <w:r>
        <w:t xml:space="preserve">Policy Triumvirate (Morgan Stanley)</w:t>
      </w:r>
    </w:p>
    <w:p>
      <w:pPr>
        <w:spacing w:after="120"/>
      </w:pPr>
      <w:r>
        <w:t xml:space="preserve">"The triumvirate of fiscal policy, monetary policy and deregulation are all working together in a way that rarely happens outside of a recession." This unusually favorable mix supports asset-specific narratives, particularly AI investments.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Fiscal: </w:t>
      </w:r>
      <w:r>
        <w:t xml:space="preserve">One Big Beautiful Bill Act delivers ~$129B corporate tax reduction through 2026-27, front-loaded benefits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Monetary: </w:t>
      </w:r>
      <w:r>
        <w:t xml:space="preserve">Fed easing cycle continues with 2-3 cuts, shifting from inflation control to equilibrium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Regulatory: </w:t>
      </w:r>
      <w:r>
        <w:t xml:space="preserve">Deregulation benefits underappreciated; productivity gains from AI adoption remain early-stage</w:t>
      </w:r>
    </w:p>
    <w:p>
      <w:pPr>
        <w:pStyle w:val="Heading2"/>
      </w:pPr>
      <w:r>
        <w:t xml:space="preserve">Economic Outlook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U.S. GDP: </w:t>
      </w:r>
      <w:r>
        <w:t xml:space="preserve">Re-acceleration expected in H1 2026, growth converging to potential by 2027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Labor Market: </w:t>
      </w:r>
      <w:r>
        <w:t xml:space="preserve">Unemployment peaking at 4.5% in early 2026, improvement in H2 from tax cuts and rate reductions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Inflation: </w:t>
      </w:r>
      <w:r>
        <w:t xml:space="preserve">Tariff effects fade mid-2026, underlying inflation ~2%, but may stay "warm" longer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China: </w:t>
      </w:r>
      <w:r>
        <w:t xml:space="preserve">BofA raised GDP to 4.7% (2026), 4.5% (2027) on stimulus and trade talk progress</w:t>
      </w:r>
    </w:p>
    <w:p>
      <w:r>
        <w:br w:type="page"/>
      </w:r>
    </w:p>
    <w:p>
      <w:pPr>
        <w:pStyle w:val="Heading1"/>
      </w:pPr>
      <w:r>
        <w:t xml:space="preserve">2. EQUITY OUTLOOK</w:t>
      </w:r>
    </w:p>
    <w:p>
      <w:pPr>
        <w:pStyle w:val="Heading2"/>
      </w:pPr>
      <w:r>
        <w:t xml:space="preserve">S&amp;P 500 Year-End 2026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Implied Return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EPS Forecast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Oppenheimer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8,100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+18-19%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Deutsche 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8,000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+17-18%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$320 (+14%)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Morgan Stanley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7,800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+14%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Above consensus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Wells Fargo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7,800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+14%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Fundstrat (Tom Lee)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7,700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+10-11%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+14.4% growth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JPMorgan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+10-11%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+13-15% growth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HSBC / Barclays / BNP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+10-11%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Goldman Sachs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~6,900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+1-2%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$305 (+12%)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Bank of America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7,100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+4% (Most Bearish)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+14% EPS growth</w:t>
            </w:r>
          </w:p>
        </w:tc>
      </w:tr>
    </w:tbl>
    <w:p>
      <w:pPr>
        <w:spacing w:before="200"/>
      </w:pPr>
      <w:r>
        <w:rPr>
          <w:b/>
          <w:bCs/>
        </w:rPr>
        <w:t xml:space="preserve">JPM Bull Case: </w:t>
      </w:r>
      <w:r>
        <w:t xml:space="preserve">S&amp;P 500 could exceed 8,000 if Fed continues cutting rates aggressively.</w:t>
      </w:r>
    </w:p>
    <w:p>
      <w:pPr>
        <w:pStyle w:val="Heading2"/>
      </w:pPr>
      <w:r>
        <w:t xml:space="preserve">Key Equity Themes</w:t>
      </w:r>
    </w:p>
    <w:p>
      <w:pPr>
        <w:pStyle w:val="Heading3"/>
      </w:pPr>
      <w:r>
        <w:t xml:space="preserve">AI &amp; Magnificent 7</w:t>
      </w:r>
    </w:p>
    <w:p>
      <w:pPr>
        <w:pStyle w:val="ListParagraph"/>
        <w:numPr>
          <w:ilvl w:val="0"/>
          <w:numId w:val="5"/>
        </w:numPr>
      </w:pPr>
      <w:r>
        <w:t xml:space="preserve">Mag 7 expected to deliver +29% earnings growth in 2026, similar to 2025 pace</w:t>
      </w:r>
    </w:p>
    <w:p>
      <w:pPr>
        <w:pStyle w:val="ListParagraph"/>
        <w:numPr>
          <w:ilvl w:val="0"/>
          <w:numId w:val="5"/>
        </w:numPr>
      </w:pPr>
      <w:r>
        <w:t xml:space="preserve">Goldman Sachs: "Not a bubble" — transformative technology with corporate fundamentals supporting adoption</w:t>
      </w:r>
    </w:p>
    <w:p>
      <w:pPr>
        <w:pStyle w:val="ListParagraph"/>
        <w:numPr>
          <w:ilvl w:val="0"/>
          <w:numId w:val="5"/>
        </w:numPr>
      </w:pPr>
      <w:r>
        <w:t xml:space="preserve">Valuation discipline critical: "Misses may be punished more forcefully in 2026"</w:t>
      </w:r>
    </w:p>
    <w:p>
      <w:pPr>
        <w:pStyle w:val="ListParagraph"/>
        <w:numPr>
          <w:ilvl w:val="0"/>
          <w:numId w:val="5"/>
        </w:numPr>
      </w:pPr>
      <w:r>
        <w:t xml:space="preserve">Consolidation expected among hyperscalers as competition intensifies around LLMs and infrastructure</w:t>
      </w:r>
    </w:p>
    <w:p>
      <w:pPr>
        <w:pStyle w:val="Heading3"/>
      </w:pPr>
      <w:r>
        <w:t xml:space="preserve">Market Breadth &amp; Rotation</w:t>
      </w:r>
    </w:p>
    <w:p>
      <w:pPr>
        <w:pStyle w:val="ListParagraph"/>
        <w:numPr>
          <w:ilvl w:val="0"/>
          <w:numId w:val="6"/>
        </w:numPr>
      </w:pPr>
      <w:r>
        <w:t xml:space="preserve">"Other 493" finally set to contribute; earnings growth broadening beyond mega-cap tech</w:t>
      </w:r>
    </w:p>
    <w:p>
      <w:pPr>
        <w:pStyle w:val="ListParagraph"/>
        <w:numPr>
          <w:ilvl w:val="0"/>
          <w:numId w:val="6"/>
        </w:numPr>
      </w:pPr>
      <w:r>
        <w:t xml:space="preserve">BofA: Shift from consumption-driven to capex-driven bull market underway</w:t>
      </w:r>
    </w:p>
    <w:p>
      <w:pPr>
        <w:pStyle w:val="ListParagraph"/>
        <w:numPr>
          <w:ilvl w:val="0"/>
          <w:numId w:val="6"/>
        </w:numPr>
      </w:pPr>
      <w:r>
        <w:t xml:space="preserve">Small/mid-caps poised to outperform on Fed cuts and fiscal stimulus (Morgan Stanley)</w:t>
      </w:r>
    </w:p>
    <w:p>
      <w:pPr>
        <w:pStyle w:val="ListParagraph"/>
        <w:numPr>
          <w:ilvl w:val="0"/>
          <w:numId w:val="6"/>
        </w:numPr>
      </w:pPr>
      <w:r>
        <w:t xml:space="preserve">Focus sectors: Financials, Industrials, Healthcare, Energy, Defense</w:t>
      </w:r>
    </w:p>
    <w:p>
      <w:pPr>
        <w:pStyle w:val="Heading3"/>
      </w:pPr>
      <w:r>
        <w:t xml:space="preserve">Regional Views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U.S.: </w:t>
      </w:r>
      <w:r>
        <w:t xml:space="preserve">Consensus overweight; highest conviction call across institutions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Japan: </w:t>
      </w:r>
      <w:r>
        <w:t xml:space="preserve">Second-favored market (+6-7%); domestic growth, defense, corporate reform tailwinds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Europe: </w:t>
      </w:r>
      <w:r>
        <w:t xml:space="preserve">Selective (+3-4%); defense, energy, financials; German fiscal easing supports; France political uncertainty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EM: </w:t>
      </w:r>
      <w:r>
        <w:t xml:space="preserve">India and Brazil favored; China faces slow reflation headwinds</w:t>
      </w:r>
    </w:p>
    <w:p>
      <w:r>
        <w:br w:type="page"/>
      </w:r>
    </w:p>
    <w:p>
      <w:pPr>
        <w:pStyle w:val="Heading1"/>
      </w:pPr>
      <w:r>
        <w:t xml:space="preserve">3. FIXED INCOME &amp; RATES</w:t>
      </w:r>
    </w:p>
    <w:p>
      <w:pPr>
        <w:pStyle w:val="Heading2"/>
      </w:pPr>
      <w:r>
        <w:t xml:space="preserve">Central Bank Policy Paths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Central 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2026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Terminal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Federal Reserve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2-3 cuts, then pause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3.00-3.25%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Labor weakness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ECB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Hold steady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~1.50%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Growth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Resume cuts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~2.75%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Weak labor, tax hikes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Likely hikes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Rising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High inflation, growth</w:t>
            </w:r>
          </w:p>
        </w:tc>
      </w:tr>
    </w:tbl>
    <w:p>
      <w:pPr>
        <w:pStyle w:val="Heading2"/>
      </w:pPr>
      <w:r>
        <w:t xml:space="preserve">Rates Outlook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10Y UST: </w:t>
      </w:r>
      <w:r>
        <w:t xml:space="preserve">JPM forecasts 4.35% by Q4 2026; MS sees 3.75% mid-year, rebounding to 4.05% year-end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Curve: </w:t>
      </w:r>
      <w:r>
        <w:t xml:space="preserve">Steepening favored (MS high conviction call); 5-10Y sector attractive in U.S.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Duration: </w:t>
      </w:r>
      <w:r>
        <w:t xml:space="preserve">Overweight in early 2026 during Fed cutting phase; rally expected in H1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Europe: </w:t>
      </w:r>
      <w:r>
        <w:t xml:space="preserve">Long-end steepeners compelling due to pension reform technicals; Bunds favored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UK Gilts: </w:t>
      </w:r>
      <w:r>
        <w:t xml:space="preserve">Finishing ~3.90%; fiscal concerns may resurface ahead of next budget</w:t>
      </w:r>
    </w:p>
    <w:p>
      <w:pPr>
        <w:pStyle w:val="Heading2"/>
      </w:pPr>
      <w:r>
        <w:t xml:space="preserve">Credit Markets</w:t>
      </w:r>
    </w:p>
    <w:p>
      <w:pPr>
        <w:pStyle w:val="Heading3"/>
      </w:pPr>
      <w:r>
        <w:t xml:space="preserve">Investment Grade</w:t>
      </w:r>
    </w:p>
    <w:p>
      <w:pPr>
        <w:pStyle w:val="ListParagraph"/>
        <w:numPr>
          <w:ilvl w:val="0"/>
          <w:numId w:val="9"/>
        </w:numPr>
      </w:pPr>
      <w:r>
        <w:t xml:space="preserve">Spreads at 25-year tights; JPM forecasts modest widening to 110bp by year-end 2026</w:t>
      </w:r>
    </w:p>
    <w:p>
      <w:pPr>
        <w:pStyle w:val="ListParagraph"/>
        <w:numPr>
          <w:ilvl w:val="0"/>
          <w:numId w:val="9"/>
        </w:numPr>
      </w:pPr>
      <w:r>
        <w:t xml:space="preserve">Tech-related financing dominant theme: $3T data center capex pipeline, &lt;20% deployed</w:t>
      </w:r>
    </w:p>
    <w:p>
      <w:pPr>
        <w:pStyle w:val="ListParagraph"/>
        <w:numPr>
          <w:ilvl w:val="0"/>
          <w:numId w:val="9"/>
        </w:numPr>
      </w:pPr>
      <w:r>
        <w:t xml:space="preserve">Morgan Stanley: Surge in IG issuance to fund AI capex may widen spreads</w:t>
      </w:r>
    </w:p>
    <w:p>
      <w:pPr>
        <w:pStyle w:val="ListParagraph"/>
        <w:numPr>
          <w:ilvl w:val="0"/>
          <w:numId w:val="9"/>
        </w:numPr>
      </w:pPr>
      <w:r>
        <w:t xml:space="preserve">European IG: Spreads ~90bp, "recession fatigue" keeping spreads tight</w:t>
      </w:r>
    </w:p>
    <w:p>
      <w:pPr>
        <w:pStyle w:val="Heading3"/>
      </w:pPr>
      <w:r>
        <w:t xml:space="preserve">High Yield &amp; Leveraged Loans</w:t>
      </w:r>
    </w:p>
    <w:p>
      <w:pPr>
        <w:pStyle w:val="ListParagraph"/>
        <w:numPr>
          <w:ilvl w:val="0"/>
          <w:numId w:val="10"/>
        </w:numPr>
      </w:pPr>
      <w:r>
        <w:t xml:space="preserve">HY spreads at 2.7% vs 20-year average of 4.9% — caution warranted</w:t>
      </w:r>
    </w:p>
    <w:p>
      <w:pPr>
        <w:pStyle w:val="ListParagraph"/>
        <w:numPr>
          <w:ilvl w:val="0"/>
          <w:numId w:val="10"/>
        </w:numPr>
      </w:pPr>
      <w:r>
        <w:t xml:space="preserve">European HY: Default rates 3-4% for third consecutive year; 300bp spread forecast, 5.5% total return</w:t>
      </w:r>
    </w:p>
    <w:p>
      <w:pPr>
        <w:pStyle w:val="ListParagraph"/>
        <w:numPr>
          <w:ilvl w:val="0"/>
          <w:numId w:val="10"/>
        </w:numPr>
      </w:pPr>
      <w:r>
        <w:t xml:space="preserve">Morgan Stanley: "Credit cycle burns hotter before it burns out" — HY may outperform IG</w:t>
      </w:r>
    </w:p>
    <w:p>
      <w:pPr>
        <w:pStyle w:val="ListParagraph"/>
        <w:numPr>
          <w:ilvl w:val="0"/>
          <w:numId w:val="10"/>
        </w:numPr>
      </w:pPr>
      <w:r>
        <w:t xml:space="preserve">Bank loans: Prefer HY bonds over loans; floating-rate income declining as Fed cuts</w:t>
      </w:r>
    </w:p>
    <w:p>
      <w:pPr>
        <w:pStyle w:val="Heading3"/>
      </w:pPr>
      <w:r>
        <w:t xml:space="preserve">Private Credit</w:t>
      </w:r>
    </w:p>
    <w:p>
      <w:pPr>
        <w:pStyle w:val="ListParagraph"/>
        <w:numPr>
          <w:ilvl w:val="0"/>
          <w:numId w:val="11"/>
        </w:numPr>
      </w:pPr>
      <w:r>
        <w:t xml:space="preserve">Buyout/M&amp;A activity expected to increase materially; PE portfolio exits accelerating</w:t>
      </w:r>
    </w:p>
    <w:p>
      <w:pPr>
        <w:pStyle w:val="ListParagraph"/>
        <w:numPr>
          <w:ilvl w:val="0"/>
          <w:numId w:val="11"/>
        </w:numPr>
      </w:pPr>
      <w:r>
        <w:t xml:space="preserve">Spreads likely stable-to-wider from multi-year lows as deal supply increases</w:t>
      </w:r>
    </w:p>
    <w:p>
      <w:pPr>
        <w:pStyle w:val="ListParagraph"/>
        <w:numPr>
          <w:ilvl w:val="0"/>
          <w:numId w:val="11"/>
        </w:numPr>
      </w:pPr>
      <w:r>
        <w:t xml:space="preserve">Dividend recap activity to decline as exit opportunities improve</w:t>
      </w:r>
    </w:p>
    <w:p>
      <w:r>
        <w:br w:type="page"/>
      </w:r>
    </w:p>
    <w:p>
      <w:pPr>
        <w:pStyle w:val="Heading1"/>
      </w:pPr>
      <w:r>
        <w:t xml:space="preserve">4. FX &amp; COMMODITIES</w:t>
      </w:r>
    </w:p>
    <w:p>
      <w:pPr>
        <w:pStyle w:val="Heading2"/>
      </w:pPr>
      <w:r>
        <w:t xml:space="preserve">Currency Outlook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Mid-2026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Year-End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Consensus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~94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Modest depreciation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EUR/USD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Euro holds gains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USD/JPY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164 (JPM)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Yen vulnerable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GBP/USD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1.36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Fiscal risks</w:t>
            </w:r>
          </w:p>
        </w:tc>
      </w:tr>
    </w:tbl>
    <w:p>
      <w:pPr>
        <w:spacing w:before="160"/>
      </w:pPr>
      <w:r>
        <w:rPr>
          <w:b/>
          <w:bCs/>
        </w:rPr>
        <w:t xml:space="preserve">Key FX Themes: </w:t>
      </w:r>
      <w:r>
        <w:t xml:space="preserve">Fundamentals return to focus (rate differentials, growth, debt sustainability). Low volatility favors carry trades. AUD and SEK attractive; CAD vulnerable on energy weakness.</w:t>
      </w:r>
    </w:p>
    <w:p>
      <w:pPr>
        <w:pStyle w:val="Heading2"/>
      </w:pPr>
      <w:r>
        <w:t xml:space="preserve">Commodities</w:t>
      </w:r>
    </w:p>
    <w:p>
      <w:pPr>
        <w:pStyle w:val="Heading3"/>
      </w:pPr>
      <w:r>
        <w:t xml:space="preserve">Precious Metals (BULLISH)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Gold: </w:t>
      </w:r>
      <w:r>
        <w:t xml:space="preserve">JPM targets $5,000/oz by Q4 2026 (avg $4,753); MS forecasts $4,400; current ~$4,300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Silver: </w:t>
      </w:r>
      <w:r>
        <w:t xml:space="preserve">JPM targets $58/oz by Q4 (avg $56); industrial demand from AI/solar adds structural bid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Drivers: </w:t>
      </w:r>
      <w:r>
        <w:t xml:space="preserve">Central bank buying (gold now exceeds USTs in CB reserves for first time since 1996), ETF inflows, Fed cuts, dollar weakness, geopolitical hedging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Risks: </w:t>
      </w:r>
      <w:r>
        <w:t xml:space="preserve">Stronger dollar / higher rates could trigger 5-20% correction (World Gold Council)</w:t>
      </w:r>
    </w:p>
    <w:p>
      <w:pPr>
        <w:pStyle w:val="Heading3"/>
      </w:pPr>
      <w:r>
        <w:t xml:space="preserve">Energy (BEARISH)</w:t>
      </w:r>
    </w:p>
    <w:p>
      <w:pPr>
        <w:spacing w:after="80"/>
      </w:pPr>
      <w:r>
        <w:rPr>
          <w:b/>
          <w:bCs/>
        </w:rPr>
        <w:t xml:space="preserve">Brent Crude: </w:t>
      </w:r>
      <w:r>
        <w:t xml:space="preserve">JPM forecasts $58/bbl for 2026 (current ~$70); supply surplus as OPEC+ returns capacity while demand grows &lt;1mb/d</w:t>
      </w:r>
    </w:p>
    <w:p>
      <w:pPr>
        <w:spacing w:after="80"/>
      </w:pPr>
      <w:r>
        <w:rPr>
          <w:b/>
          <w:bCs/>
        </w:rPr>
        <w:t xml:space="preserve">Natural Gas: </w:t>
      </w:r>
      <w:r>
        <w:t xml:space="preserve">LNG supply surge supports lower prices; TTF 28.75 EUR/MWh forecast for 2026</w:t>
      </w:r>
    </w:p>
    <w:p>
      <w:pPr>
        <w:pStyle w:val="Heading3"/>
      </w:pPr>
      <w:r>
        <w:t xml:space="preserve">Base Metals (CONSTRUCTIVE)</w:t>
      </w:r>
    </w:p>
    <w:p>
      <w:pPr>
        <w:spacing w:after="80"/>
      </w:pPr>
      <w:r>
        <w:rPr>
          <w:b/>
          <w:bCs/>
        </w:rPr>
        <w:t xml:space="preserve">Copper: </w:t>
      </w:r>
      <w:r>
        <w:t xml:space="preserve">Citi base case $12,000/ton (+20%); bull case $14,000 (+40%). Grid expansion, electrification, AI infrastructure supportive.</w:t>
      </w:r>
    </w:p>
    <w:p>
      <w:pPr>
        <w:spacing w:after="80"/>
      </w:pPr>
      <w:r>
        <w:rPr>
          <w:b/>
          <w:bCs/>
        </w:rPr>
        <w:t xml:space="preserve">Aluminum: </w:t>
      </w:r>
      <w:r>
        <w:t xml:space="preserve">Citi bullish 6-36 months; upside 30-50% by 2027. AI/data center, robotics, decarbonization demand; limited supply growth.</w:t>
      </w:r>
    </w:p>
    <w:p>
      <w:r>
        <w:br w:type="page"/>
      </w:r>
    </w:p>
    <w:p>
      <w:pPr>
        <w:pStyle w:val="Heading1"/>
      </w:pPr>
      <w:r>
        <w:t xml:space="preserve">5. RISK MATRIX &amp; TAIL SCENARIOS</w:t>
      </w:r>
    </w:p>
    <w:p>
      <w:pPr>
        <w:pStyle w:val="Heading2"/>
      </w:pPr>
      <w:r>
        <w:t xml:space="preserve">Key Risks to Monitor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 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Monitoring Indicators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 Bubble / Valuation Compression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Sharp hyperscaler capex pullback could cascade; Mag7 weight = index vulnerability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Earnings misses, capex guidance cuts, AI monetization delays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K-Shaped Economy Deepening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Lower-income consumers weakening; AI job displacement hits broader labor market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Consumer credit delinquencies, retail earnings, quits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Labor Market Weakness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Entrenched job losses could overwhelm policy support; unemployment above 4.5%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NFP, initial claims, layoff announcements, job openings ratio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Inflation Re-acceleration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Tariffs, wages, services inflation stay sticky; Fed pauses or reverses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PCE, CPI services, wage growth, break-evens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Fed Independence Concerns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Powell term ends May 2026; successor uncertainty could drive volatility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Fed nominee announcements, treasury yields, dollar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U.S. Fiscal Sustainability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 deficits, debt load concerns; bond market dislocation 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Treasury auctions, term premia, CDS spreads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Geopolitical Escalation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war escalation, China tensions, Middle East, Russia-Ukraine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Tariff announcements, sanctions, energy prices</w:t>
            </w:r>
          </w:p>
        </w:tc>
      </w:tr>
    </w:tbl>
    <w:p>
      <w:pPr>
        <w:pStyle w:val="Heading2"/>
      </w:pPr>
      <w:r>
        <w:t xml:space="preserve">Contrarian &amp; Tail Scenarios</w:t>
      </w:r>
    </w:p>
    <w:p>
      <w:pPr>
        <w:spacing w:after="100"/>
      </w:pPr>
      <w:r>
        <w:rPr>
          <w:b/>
          <w:bCs/>
          <w:color w:val="C62828"/>
        </w:rPr>
        <w:t xml:space="preserve">BEAR CASE (BofA Subramanian): </w:t>
      </w:r>
      <w:r>
        <w:t xml:space="preserve">S&amp;P 500 only +4% as multiple compression hits AI stocks. "Air pocket" forms when AI job displacement hits consumption broader than lower-income cohort.</w:t>
      </w:r>
    </w:p>
    <w:p>
      <w:pPr>
        <w:spacing w:after="100"/>
      </w:pPr>
      <w:r>
        <w:rPr>
          <w:b/>
          <w:bCs/>
          <w:color w:val="2E7D32"/>
        </w:rPr>
        <w:t xml:space="preserve">SUPER BULL CASE (JPM/Deutsche): </w:t>
      </w:r>
      <w:r>
        <w:t xml:space="preserve">S&amp;P 500 8,000+ if Fed cuts more aggressively on improved inflation outlook. Deregulation benefits and AI productivity gains exceed expectations.</w:t>
      </w:r>
    </w:p>
    <w:p>
      <w:pPr>
        <w:spacing w:after="100"/>
      </w:pPr>
      <w:r>
        <w:rPr>
          <w:b/>
          <w:bCs/>
          <w:color w:val="E65100"/>
        </w:rPr>
        <w:t xml:space="preserve">LATE CYCLE WARNING (MS GIC): </w:t>
      </w:r>
      <w:r>
        <w:t xml:space="preserve">Prudent investors may want to brace for slow-growth, narrow bull market with 5-10% gains. AI capex remains primary return driver.</w:t>
      </w:r>
    </w:p>
    <w:p>
      <w:r>
        <w:br w:type="page"/>
      </w:r>
    </w:p>
    <w:p>
      <w:pPr>
        <w:pStyle w:val="Heading1"/>
      </w:pPr>
      <w:r>
        <w:t xml:space="preserve">6. ACTIONABLE TRADING THEMES</w:t>
      </w:r>
    </w:p>
    <w:p>
      <w:pPr>
        <w:pStyle w:val="Heading2"/>
      </w:pPr>
      <w:r>
        <w:t xml:space="preserve">High Conviction Calls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U.S. Equities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OVERWEIGHT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Policy triumvirate, AI capex, earnings growth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MS, JPM, 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Curve Steepeners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OVERWEIGHT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5-10Y U.S.; long-end Europe (pension technicals)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MS, 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OVERWEIGHT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CB buying, dollar weakness, rate cuts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JPM, MS, Citi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Copper / Aluminum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OVERWEIGHT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AI/grid demand, limited supply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Citi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 vs IG Credit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HY OUTPERFORM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IG issuance surge; HY more insulated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UNDERWEIGHT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Supply surplus, OPEC+ capacity return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JPM, ING</w:t>
            </w:r>
          </w:p>
        </w:tc>
      </w:tr>
    </w:tbl>
    <w:p>
      <w:pPr>
        <w:pStyle w:val="Heading2"/>
      </w:pPr>
      <w:r>
        <w:t xml:space="preserve">JPM AI/Datacenter Beneficiaries Basket</w:t>
      </w:r>
    </w:p>
    <w:p>
      <w:r>
        <w:t xml:space="preserve">Key holdings include: Amazon, Nvidia, Alphabet — expected to outperform in 2026 on AI infrastructure buildout. Monitor capex guidance and monetization metrics closely.</w:t>
      </w:r>
    </w:p>
    <w:p>
      <w:pPr>
        <w:pStyle w:val="Heading2"/>
      </w:pPr>
      <w:r>
        <w:t xml:space="preserve">Risk Management Considerations</w:t>
      </w:r>
    </w:p>
    <w:p>
      <w:pPr>
        <w:spacing w:after="80"/>
      </w:pPr>
      <w:r>
        <w:rPr>
          <w:b/>
          <w:bCs/>
        </w:rPr>
        <w:t xml:space="preserve">Volatility Profile: </w:t>
      </w:r>
      <w:r>
        <w:t xml:space="preserve">Expect higher single-security vol beneath low index vol surface. Sharp corrections possible even if point-to-point returns positive.</w:t>
      </w:r>
    </w:p>
    <w:p>
      <w:pPr>
        <w:spacing w:after="80"/>
      </w:pPr>
      <w:r>
        <w:rPr>
          <w:b/>
          <w:bCs/>
        </w:rPr>
        <w:t xml:space="preserve">Correlation Warning: </w:t>
      </w:r>
      <w:r>
        <w:t xml:space="preserve">Dollar correlation with U.S. equities has shifted — may not provide historical hedge during corrections.</w:t>
      </w:r>
    </w:p>
    <w:p>
      <w:pPr>
        <w:spacing w:after="80"/>
      </w:pPr>
      <w:r>
        <w:rPr>
          <w:b/>
          <w:bCs/>
        </w:rPr>
        <w:t xml:space="preserve">Credit Stress: </w:t>
      </w:r>
      <w:r>
        <w:t xml:space="preserve">Lowest-rated segments showing pressure; watch private credit headlines and BDC portfolios.</w:t>
      </w:r>
    </w:p>
    <w:p>
      <w:pPr>
        <w:spacing w:after="80"/>
      </w:pPr>
      <w:r>
        <w:rPr>
          <w:b/>
          <w:bCs/>
        </w:rPr>
        <w:t xml:space="preserve">Liquidity: </w:t>
      </w:r>
      <w:r>
        <w:t xml:space="preserve">Maintain flexibility for policy surprises and geopolitical shocks; reduced buybacks = thinner market oxygen.</w:t>
      </w:r>
    </w:p>
    <w:p>
      <w:pPr>
        <w:spacing w:before="400"/>
        <w:jc w:val="center"/>
      </w:pPr>
      <w:r>
        <w:rPr>
          <w:b/>
          <w:bCs/>
          <w:color w:val="666666"/>
        </w:rPr>
        <w:t xml:space="preserve">— END OF REPORT —</w:t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Sources: Goldman Sachs, JPMorgan, Morgan Stanley, Bank of America, UBS, Deutsche Bank, Citi, HSBC, Wells Fargo, Barclays, ING, World Gold Council, PitchBook, Charles Schwab, Lord Abbett, Allianz Global Investors</w:t>
      </w:r>
    </w:p>
    <w:p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Compiled December 2025 | For Institutional Use Only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2026 Wall Street Outlook |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2025-12-16T18:04:22.436Z</dcterms:created>
  <dcterms:modified xsi:type="dcterms:W3CDTF">2025-12-16T18:04:22.437Z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