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F202F"/>
          <w:spacing w:val="200"/>
          <w:sz w:val="28"/>
          <w:szCs w:val="28"/>
        </w:rPr>
        <w:t xml:space="preserve">WELLS FARGO CIB</w:t>
      </w:r>
    </w:p>
    <w:p>
      <w:pPr>
        <w:spacing w:after="100"/>
        <w:jc w:val="center"/>
      </w:pPr>
      <w:r>
        <w:rPr>
          <w:rFonts w:ascii="Arial" w:cs="Arial" w:eastAsia="Arial" w:hAnsi="Arial"/>
          <w:b/>
          <w:bCs/>
          <w:color w:val="1B1B1B"/>
          <w:sz w:val="52"/>
          <w:szCs w:val="52"/>
        </w:rPr>
        <w:t xml:space="preserve">AI Transformation Roadmap</w:t>
      </w:r>
    </w:p>
    <w:p>
      <w:pPr>
        <w:spacing w:after="80"/>
        <w:jc w:val="center"/>
      </w:pPr>
      <w:r>
        <w:rPr>
          <w:rFonts w:ascii="Arial" w:cs="Arial" w:eastAsia="Arial" w:hAnsi="Arial"/>
          <w:color w:val="555555"/>
          <w:sz w:val="32"/>
          <w:szCs w:val="32"/>
        </w:rPr>
        <w:t xml:space="preserve">Market Risk &amp; CIB Risk Management</w:t>
      </w:r>
    </w:p>
    <w:p>
      <w:pPr>
        <w:spacing w:after="6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sz="0"/>
              <w:left w:val="none" w:sz="0"/>
              <w:bottom w:val="single" w:color="CF202F" w:sz="6"/>
              <w:right w:val="none" w:sz="0"/>
            </w:tcBorders>
          </w:tcPr>
          <w:p>
            <w:pPr>
              <w:jc w:val="center"/>
            </w:pPr>
          </w:p>
        </w:tc>
      </w:tr>
    </w:tbl>
    <w:p>
      <w:pPr>
        <w:spacing w:after="400"/>
      </w:pPr>
    </w:p>
    <w:p>
      <w:pPr>
        <w:spacing w:after="80"/>
        <w:jc w:val="center"/>
      </w:pPr>
      <w:r>
        <w:rPr>
          <w:rFonts w:ascii="Arial" w:cs="Arial" w:eastAsia="Arial" w:hAnsi="Arial"/>
          <w:color w:val="444444"/>
          <w:sz w:val="24"/>
          <w:szCs w:val="24"/>
        </w:rPr>
        <w:t xml:space="preserve">High-ROI AI Initiatives for $150M–$300M+ in Annual Value Creation</w:t>
      </w:r>
    </w:p>
    <w:p>
      <w:pPr>
        <w:spacing w:after="80"/>
        <w:jc w:val="center"/>
      </w:pPr>
      <w:r>
        <w:rPr>
          <w:rFonts w:ascii="Arial" w:cs="Arial" w:eastAsia="Arial" w:hAnsi="Arial"/>
          <w:color w:val="666666"/>
          <w:sz w:val="22"/>
          <w:szCs w:val="22"/>
        </w:rPr>
        <w:t xml:space="preserve">Competitive Intelligence • Implementation Plans • Financial Projections</w:t>
      </w:r>
    </w:p>
    <w:p>
      <w:pPr>
        <w:spacing w:after="1500"/>
      </w:pPr>
    </w:p>
    <w:p>
      <w:pPr>
        <w:spacing w:after="60"/>
        <w:jc w:val="center"/>
      </w:pPr>
      <w:r>
        <w:rPr>
          <w:rFonts w:ascii="Arial" w:cs="Arial" w:eastAsia="Arial" w:hAnsi="Arial"/>
          <w:b/>
          <w:bCs/>
          <w:color w:val="CF202F"/>
          <w:sz w:val="20"/>
          <w:szCs w:val="20"/>
        </w:rPr>
        <w:t xml:space="preserve">CONFIDENTIAL — INTERNAL USE ONLY</w:t>
      </w:r>
    </w:p>
    <w:p>
      <w:pPr>
        <w:jc w:val="center"/>
      </w:pPr>
      <w:r>
        <w:rPr>
          <w:rFonts w:ascii="Arial" w:cs="Arial" w:eastAsia="Arial" w:hAnsi="Arial"/>
          <w:color w:val="888888"/>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line="276"/>
      </w:pPr>
      <w:r>
        <w:rPr>
          <w:rFonts w:ascii="Arial" w:cs="Arial" w:eastAsia="Arial" w:hAnsi="Arial"/>
          <w:sz w:val="22"/>
          <w:szCs w:val="22"/>
        </w:rPr>
        <w:t xml:space="preserve">This report presents 12 high-impact AI initiatives purpose-built for Wells Fargo’s Corporate &amp; Investment Banking (CIB) Risk Management division. Each initiative targets “elephant”-scale returns — individually worth $10M–$45M annually — with a combined portfolio value of $150M–$300M+ per year at full deployment. These are not incremental improvements; they represent a fundamental transformation of how CIB risk is identified, measured, monitored, and reported.</w:t>
      </w:r>
    </w:p>
    <w:p>
      <w:pPr>
        <w:spacing w:after="120" w:line="276"/>
      </w:pPr>
      <w:r>
        <w:rPr>
          <w:rFonts w:ascii="Arial" w:cs="Arial" w:eastAsia="Arial" w:hAnsi="Arial"/>
          <w:sz w:val="22"/>
          <w:szCs w:val="22"/>
        </w:rPr>
        <w:t xml:space="preserve">The initiatives are organized into seven synergistic clusters designed to maximize compounding ROI: Core Risk Analytics, Regulatory &amp; Compliance, Data Infrastructure, Trading Floor Intelligence, Credit &amp; Counterparty, Model Governance, and Workforce Augmentation. A critical architectural principle underpins this roadmap: the Unified Risk Data Lakehouse (Initiative #4) serves as the foundational enabler for all other initiatives, meaning early investment here creates exponential downstream value.</w:t>
      </w:r>
    </w:p>
    <w:p>
      <w:pPr>
        <w:spacing w:after="120" w:line="276"/>
      </w:pPr>
      <w:r>
        <w:rPr>
          <w:rFonts w:ascii="Arial" w:cs="Arial" w:eastAsia="Arial" w:hAnsi="Arial"/>
          <w:sz w:val="22"/>
          <w:szCs w:val="22"/>
        </w:rPr>
        <w:t xml:space="preserve">Competitive benchmarking reveals that JPMorgan Chase has 450+ AI use cases in production with $1.5B+ in realized value, Goldman Sachs has deployed its GS AI Assistant to 46,500 employees, and Bank of America is investing $4B in AI for 2025. Wells Fargo’s current positioning — while advancing with Fargo™, Google Cloud’s Agentspace, and responsible AI frameworks — requires acceleration in CIB risk-specific AI to close the gap with tier-1 competitors and leapfrog in targeted areas.</w:t>
      </w:r>
    </w:p>
    <w:p>
      <w:pPr>
        <w:pStyle w:val="Heading2"/>
      </w:pPr>
      <w:r>
        <w:t xml:space="preserve">Master Initiative Portfolio</w:t>
      </w:r>
    </w:p>
    <w:p>
      <w:pPr>
        <w:spacing w:after="120" w:line="276"/>
      </w:pPr>
      <w:r>
        <w:rPr>
          <w:rFonts w:ascii="Arial" w:cs="Arial" w:eastAsia="Arial" w:hAnsi="Arial"/>
          <w:sz w:val="22"/>
          <w:szCs w:val="22"/>
        </w:rPr>
        <w:t xml:space="preserve">The table below summarizes all 12 initiatives with their estimated financial impact, investment requirements, and strategic value. Savings estimates are based on comparable peer implementations, industry benchmarks, and WFC-specific operational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100"/>
        <w:gridCol w:w="1000"/>
        <w:gridCol w:w="900"/>
        <w:gridCol w:w="900"/>
        <w:gridCol w:w="1100"/>
        <w:gridCol w:w="2460"/>
      </w:tblGrid>
      <w:tr>
        <w:trPr>
          <w:tblHeader/>
        </w:trPr>
        <w:tc>
          <w:tcPr>
            <w:tcW w:type="dxa" w:w="3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6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Initiative</w:t>
            </w:r>
          </w:p>
        </w:tc>
        <w:tc>
          <w:tcPr>
            <w:tcW w:type="dxa" w:w="11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Cluster</w:t>
            </w:r>
          </w:p>
        </w:tc>
        <w:tc>
          <w:tcPr>
            <w:tcW w:type="dxa" w:w="10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Savings</w:t>
            </w:r>
          </w:p>
        </w:tc>
        <w:tc>
          <w:tcPr>
            <w:tcW w:type="dxa" w:w="9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Investment</w:t>
            </w:r>
          </w:p>
        </w:tc>
        <w:tc>
          <w:tcPr>
            <w:tcW w:type="dxa" w:w="9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Payback</w:t>
            </w:r>
          </w:p>
        </w:tc>
        <w:tc>
          <w:tcPr>
            <w:tcW w:type="dxa" w:w="11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FTE Impact</w:t>
            </w:r>
          </w:p>
        </w:tc>
        <w:tc>
          <w:tcPr>
            <w:tcW w:type="dxa" w:w="246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AI-Powered VaR Engine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Core Risk Analytics</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$25–35M/yr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$8–12M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6–9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40–60 FTEs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Replace legacy Monte Carlo VaR with GPU-accelerated ML models (gradient-boosted trees + neural nets). Automate scenario ...</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Intelligent Stress Testing &amp; CCAR Automation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Core Risk Analytics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$30–45M/yr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$10–15M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8–12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60–80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End-to-end automation of CCAR/DFAST lifecycle: AI-generated macroeconomic scenarios, automated Schedule F population, NL...</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3</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Autonomous Regulatory Reporting Platform</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Regulatory &amp; Compliance</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$20–30M/yr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$7–10M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6–9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50–70 FTEs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NLP agents that continuously ingest regulatory updates (Fed, OCC, SEC, CFTC), auto-map to internal policies, generate ga...</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Unified Risk Data Lakehouse &amp; Knowledge Graph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Data Infrastructure (Enabler)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$15–25M/yr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$12–18M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12–18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30–40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Enterprise risk data lakehouse consolidating all 19 desks’ data into a single source of truth with real-time streaming. ...</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5</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AI Market Surveillance &amp; Anomaly Detection</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Trading Floor Intelligence</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$15–25M/yr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$6–9M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6–8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25–35 FTEs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Graph neural networks + transformer models for real-time trade surveillance across all 19 desks. Detects spoofing, layer...</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Predictive Risk Limit &amp; Exposure Management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Trading Floor Intelligence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$20–40M/yr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4–6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15–25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Reinforcement learning system that dynamically adjusts risk limits based on real-time market conditions, volatility regi...</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7</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Counterparty Credit Risk AI Suite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Credit &amp; Counterparty</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$15–25M/yr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$6–10M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8–12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20–35 FTEs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ML-driven CVA/DVA/FVA calculations replacing legacy analytical models. Real-time counterparty credit scoring incorporati...</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Intelligent Model Risk Management (MRM)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Model Governance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$10–20M/yr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6–9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25–40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Agentic AI platform that automates model validation workflows: auto-generates challenger models, performs backtesting, d...</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9</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Real-Time Liquidity Risk Intelligence</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Treasury &amp; Liquidity</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$10–20M/yr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$5–7M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6–9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15–20 FTEs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AI-powered intraday liquidity forecasting, collateral optimization, and margin call prediction. ML models predict T+1 th...</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AI-Powered Operational Risk &amp; Loss Prevention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Operational Risk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$15–25M/yr</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$5–8M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6–9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20–30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NLP analysis of incident reports, near-misses, and operational events across CIB to predict and prevent losses. Automate...</w:t>
            </w:r>
          </w:p>
        </w:tc>
      </w:tr>
      <w:tr>
        <w:tc>
          <w:tcPr>
            <w:tcW w:type="dxa" w:w="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11</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GenAI Risk Analyst Copilot</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Workforce Augmentation</w:t>
            </w:r>
          </w:p>
        </w:tc>
        <w:tc>
          <w:tcPr>
            <w:tcW w:type="dxa" w:w="1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$15–25M/yr</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$4–6M</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3–5 months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Productivity 2–3x across 200+ analysts</w:t>
            </w:r>
          </w:p>
        </w:tc>
        <w:tc>
          <w:tcPr>
            <w:tcW w:type="dxa" w:w="2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Enterprise LLM copilot purpose-built for risk analysts: auto-generates market intelligence briefings, drafts limit revie...</w:t>
            </w:r>
          </w:p>
        </w:tc>
      </w:tr>
      <w:tr>
        <w:tc>
          <w:tcPr>
            <w:tcW w:type="dxa" w:w="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Climate &amp; ESG Risk Quantification Engine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Emerging Risk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$5–10M/yr + regulatory value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$4–7M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12–18 months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10–15 FTEs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ML models quantifying physical and transition climate risk across CIB portfolios. Automated TCFD/CSRD reporting. Scenari...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F5E9" w:val="clear"/>
            <w:tcMar>
              <w:top w:type="dxa" w:w="100"/>
              <w:left w:type="dxa" w:w="120"/>
              <w:bottom w:type="dxa" w:w="100"/>
              <w:right w:type="dxa" w:w="120"/>
            </w:tcMar>
          </w:tcPr>
          <w:p>
            <w:pPr>
              <w:jc w:val="center"/>
            </w:pPr>
            <w:r>
              <w:rPr>
                <w:rFonts w:ascii="Arial" w:cs="Arial" w:eastAsia="Arial" w:hAnsi="Arial"/>
                <w:b/>
                <w:bCs/>
                <w:sz w:val="20"/>
                <w:szCs w:val="20"/>
              </w:rPr>
              <w:t xml:space="preserve">Total Annual Value</w:t>
            </w:r>
          </w:p>
          <w:p>
            <w:pPr>
              <w:jc w:val="center"/>
            </w:pPr>
            <w:r>
              <w:rPr>
                <w:rFonts w:ascii="Arial" w:cs="Arial" w:eastAsia="Arial" w:hAnsi="Arial"/>
                <w:b/>
                <w:bCs/>
                <w:color w:val="2E7D32"/>
                <w:sz w:val="28"/>
                <w:szCs w:val="28"/>
              </w:rPr>
              <w:t xml:space="preserve">$150M – $300M+</w:t>
            </w:r>
          </w:p>
        </w:tc>
        <w:tc>
          <w:tcPr>
            <w:tcW w:type="dxa" w:w="3120"/>
            <w:tcBorders>
              <w:top w:val="single" w:color="BBBBBB" w:sz="1"/>
              <w:left w:val="single" w:color="BBBBBB" w:sz="1"/>
              <w:bottom w:val="single" w:color="BBBBBB" w:sz="1"/>
              <w:right w:val="single" w:color="BBBBBB" w:sz="1"/>
            </w:tcBorders>
            <w:shd w:fill="FFF3E0" w:val="clear"/>
            <w:tcMar>
              <w:top w:type="dxa" w:w="100"/>
              <w:left w:type="dxa" w:w="120"/>
              <w:bottom w:type="dxa" w:w="100"/>
              <w:right w:type="dxa" w:w="120"/>
            </w:tcMar>
          </w:tcPr>
          <w:p>
            <w:pPr>
              <w:jc w:val="center"/>
            </w:pPr>
            <w:r>
              <w:rPr>
                <w:rFonts w:ascii="Arial" w:cs="Arial" w:eastAsia="Arial" w:hAnsi="Arial"/>
                <w:b/>
                <w:bCs/>
                <w:sz w:val="20"/>
                <w:szCs w:val="20"/>
              </w:rPr>
              <w:t xml:space="preserve">Total Investment</w:t>
            </w:r>
          </w:p>
          <w:p>
            <w:pPr>
              <w:jc w:val="center"/>
            </w:pPr>
            <w:r>
              <w:rPr>
                <w:rFonts w:ascii="Arial" w:cs="Arial" w:eastAsia="Arial" w:hAnsi="Arial"/>
                <w:b/>
                <w:bCs/>
                <w:color w:val="E65100"/>
                <w:sz w:val="28"/>
                <w:szCs w:val="28"/>
              </w:rPr>
              <w:t xml:space="preserve">$77M – $118M</w:t>
            </w:r>
          </w:p>
        </w:tc>
        <w:tc>
          <w:tcPr>
            <w:tcW w:type="dxa" w:w="3120"/>
            <w:tcBorders>
              <w:top w:val="single" w:color="BBBBBB" w:sz="1"/>
              <w:left w:val="single" w:color="BBBBBB" w:sz="1"/>
              <w:bottom w:val="single" w:color="BBBBBB" w:sz="1"/>
              <w:right w:val="single" w:color="BBBBBB" w:sz="1"/>
            </w:tcBorders>
            <w:shd w:fill="E3F2FD" w:val="clear"/>
            <w:tcMar>
              <w:top w:type="dxa" w:w="100"/>
              <w:left w:type="dxa" w:w="120"/>
              <w:bottom w:type="dxa" w:w="100"/>
              <w:right w:type="dxa" w:w="120"/>
            </w:tcMar>
          </w:tcPr>
          <w:p>
            <w:pPr>
              <w:jc w:val="center"/>
            </w:pPr>
            <w:r>
              <w:rPr>
                <w:rFonts w:ascii="Arial" w:cs="Arial" w:eastAsia="Arial" w:hAnsi="Arial"/>
                <w:b/>
                <w:bCs/>
                <w:sz w:val="20"/>
                <w:szCs w:val="20"/>
              </w:rPr>
              <w:t xml:space="preserve">Blended Payback</w:t>
            </w:r>
          </w:p>
          <w:p>
            <w:pPr>
              <w:jc w:val="center"/>
            </w:pPr>
            <w:r>
              <w:rPr>
                <w:rFonts w:ascii="Arial" w:cs="Arial" w:eastAsia="Arial" w:hAnsi="Arial"/>
                <w:b/>
                <w:bCs/>
                <w:color w:val="1565C0"/>
                <w:sz w:val="28"/>
                <w:szCs w:val="28"/>
              </w:rPr>
              <w:t xml:space="preserve">6 – 12 Months</w:t>
            </w:r>
          </w:p>
        </w:tc>
      </w:tr>
    </w:tbl>
    <w:p>
      <w:r>
        <w:br w:type="page"/>
      </w:r>
    </w:p>
    <w:p>
      <w:pPr>
        <w:pStyle w:val="Heading1"/>
      </w:pPr>
      <w:r>
        <w:t xml:space="preserve">Competitive Intelligence: What Peers Are Doing</w:t>
      </w:r>
    </w:p>
    <w:p>
      <w:pPr>
        <w:pStyle w:val="Heading2"/>
      </w:pPr>
      <w:r>
        <w:t xml:space="preserve">JPMorgan Chase</w:t>
      </w:r>
    </w:p>
    <w:p>
      <w:pPr>
        <w:spacing w:after="120" w:line="276"/>
      </w:pPr>
      <w:r>
        <w:rPr>
          <w:rFonts w:ascii="Arial" w:cs="Arial" w:eastAsia="Arial" w:hAnsi="Arial"/>
          <w:sz w:val="22"/>
          <w:szCs w:val="22"/>
        </w:rPr>
        <w:t xml:space="preserve">JPMorgan is the undisputed leader in banking AI, ranked #1 on the Evident AI Index for three consecutive years. Their $18B technology budget for 2025 (with ~$1.3B dedicated to AI) has produced 450+ AI use cases in production across CIB alone, generating an estimated $1.5–$2.0B in annual value. Key CIB risk-relevant capabilities include:</w:t>
      </w:r>
    </w:p>
    <w:p>
      <w:pPr>
        <w:pStyle w:val="ListParagraph"/>
        <w:numPr>
          <w:ilvl w:val="0"/>
          <w:numId w:val="2"/>
        </w:numPr>
        <w:spacing w:after="80" w:line="276"/>
      </w:pPr>
      <w:r>
        <w:rPr>
          <w:rFonts w:ascii="Arial" w:cs="Arial" w:eastAsia="Arial" w:hAnsi="Arial"/>
          <w:b/>
          <w:bCs/>
          <w:sz w:val="22"/>
          <w:szCs w:val="22"/>
        </w:rPr>
        <w:t xml:space="preserve">COiN (Contract Intelligence): </w:t>
      </w:r>
      <w:r>
        <w:rPr>
          <w:rFonts w:ascii="Arial" w:cs="Arial" w:eastAsia="Arial" w:hAnsi="Arial"/>
          <w:sz w:val="22"/>
          <w:szCs w:val="22"/>
        </w:rPr>
        <w:t xml:space="preserve">Processes 12,000 commercial credit agreements in seconds, replacing 360,000 hours of manual legal review annually.</w:t>
      </w:r>
    </w:p>
    <w:p>
      <w:pPr>
        <w:pStyle w:val="ListParagraph"/>
        <w:numPr>
          <w:ilvl w:val="0"/>
          <w:numId w:val="2"/>
        </w:numPr>
        <w:spacing w:after="80" w:line="276"/>
      </w:pPr>
      <w:r>
        <w:rPr>
          <w:rFonts w:ascii="Arial" w:cs="Arial" w:eastAsia="Arial" w:hAnsi="Arial"/>
          <w:b/>
          <w:bCs/>
          <w:sz w:val="22"/>
          <w:szCs w:val="22"/>
        </w:rPr>
        <w:t xml:space="preserve">LLM Suite: </w:t>
      </w:r>
      <w:r>
        <w:rPr>
          <w:rFonts w:ascii="Arial" w:cs="Arial" w:eastAsia="Arial" w:hAnsi="Arial"/>
          <w:sz w:val="22"/>
          <w:szCs w:val="22"/>
        </w:rPr>
        <w:t xml:space="preserve">Enterprise GenAI platform deployed to 50,000+ employees (15% of workforce). Used for document summarization, data extraction, and workflow acceleration across all CIB functions.</w:t>
      </w:r>
    </w:p>
    <w:p>
      <w:pPr>
        <w:pStyle w:val="ListParagraph"/>
        <w:numPr>
          <w:ilvl w:val="0"/>
          <w:numId w:val="2"/>
        </w:numPr>
        <w:spacing w:after="80" w:line="276"/>
      </w:pPr>
      <w:r>
        <w:rPr>
          <w:rFonts w:ascii="Arial" w:cs="Arial" w:eastAsia="Arial" w:hAnsi="Arial"/>
          <w:b/>
          <w:bCs/>
          <w:sz w:val="22"/>
          <w:szCs w:val="22"/>
        </w:rPr>
        <w:t xml:space="preserve">Real-time Trade Surveillance: </w:t>
      </w:r>
      <w:r>
        <w:rPr>
          <w:rFonts w:ascii="Arial" w:cs="Arial" w:eastAsia="Arial" w:hAnsi="Arial"/>
          <w:sz w:val="22"/>
          <w:szCs w:val="22"/>
        </w:rPr>
        <w:t xml:space="preserve">Anomaly detection and graph ML monitoring market flows, client behavior, and trade signals. Reduced investigation time by 40%.</w:t>
      </w:r>
    </w:p>
    <w:p>
      <w:pPr>
        <w:pStyle w:val="ListParagraph"/>
        <w:numPr>
          <w:ilvl w:val="0"/>
          <w:numId w:val="2"/>
        </w:numPr>
        <w:spacing w:after="80" w:line="276"/>
      </w:pPr>
      <w:r>
        <w:rPr>
          <w:rFonts w:ascii="Arial" w:cs="Arial" w:eastAsia="Arial" w:hAnsi="Arial"/>
          <w:b/>
          <w:bCs/>
          <w:sz w:val="22"/>
          <w:szCs w:val="22"/>
        </w:rPr>
        <w:t xml:space="preserve">Data Lakehouse: </w:t>
      </w:r>
      <w:r>
        <w:rPr>
          <w:rFonts w:ascii="Arial" w:cs="Arial" w:eastAsia="Arial" w:hAnsi="Arial"/>
          <w:sz w:val="22"/>
          <w:szCs w:val="22"/>
        </w:rPr>
        <w:t xml:space="preserve">Multi-year initiative to make all data “AI-ready,” processing an exabyte of data daily. 65% of applications now on cloud, up from 50% in 2024.</w:t>
      </w:r>
    </w:p>
    <w:p>
      <w:pPr>
        <w:pStyle w:val="Heading2"/>
      </w:pPr>
      <w:r>
        <w:t xml:space="preserve">Goldman Sachs</w:t>
      </w:r>
    </w:p>
    <w:p>
      <w:pPr>
        <w:spacing w:after="120" w:line="276"/>
      </w:pPr>
      <w:r>
        <w:rPr>
          <w:rFonts w:ascii="Arial" w:cs="Arial" w:eastAsia="Arial" w:hAnsi="Arial"/>
          <w:sz w:val="22"/>
          <w:szCs w:val="22"/>
        </w:rPr>
        <w:t xml:space="preserve">Goldman’s strategy focuses on precision and high-margin applications in markets and investment banking. Their GS AI Assistant is now deployed to ~46,500 employees with a model-agnostic architecture (GPT, Gemini, Claude). Key developments:</w:t>
      </w:r>
    </w:p>
    <w:p>
      <w:pPr>
        <w:pStyle w:val="ListParagraph"/>
        <w:numPr>
          <w:ilvl w:val="0"/>
          <w:numId w:val="2"/>
        </w:numPr>
        <w:spacing w:after="80" w:line="276"/>
      </w:pPr>
      <w:r>
        <w:rPr>
          <w:rFonts w:ascii="Arial" w:cs="Arial" w:eastAsia="Arial" w:hAnsi="Arial"/>
          <w:b/>
          <w:bCs/>
          <w:sz w:val="22"/>
          <w:szCs w:val="22"/>
        </w:rPr>
        <w:t xml:space="preserve">Banker Copilot: </w:t>
      </w:r>
      <w:r>
        <w:rPr>
          <w:rFonts w:ascii="Arial" w:cs="Arial" w:eastAsia="Arial" w:hAnsi="Arial"/>
          <w:sz w:val="22"/>
          <w:szCs w:val="22"/>
        </w:rPr>
        <w:t xml:space="preserve">Reduced pitch deck preparation time by 50%, reclaiming thousands of analyst hours. Applied across IB division for financial analysis templates and deal preparation.</w:t>
      </w:r>
    </w:p>
    <w:p>
      <w:pPr>
        <w:pStyle w:val="ListParagraph"/>
        <w:numPr>
          <w:ilvl w:val="0"/>
          <w:numId w:val="2"/>
        </w:numPr>
        <w:spacing w:after="80" w:line="276"/>
      </w:pPr>
      <w:r>
        <w:rPr>
          <w:rFonts w:ascii="Arial" w:cs="Arial" w:eastAsia="Arial" w:hAnsi="Arial"/>
          <w:b/>
          <w:bCs/>
          <w:sz w:val="22"/>
          <w:szCs w:val="22"/>
        </w:rPr>
        <w:t xml:space="preserve">500+ AI Engineers: </w:t>
      </w:r>
      <w:r>
        <w:rPr>
          <w:rFonts w:ascii="Arial" w:cs="Arial" w:eastAsia="Arial" w:hAnsi="Arial"/>
          <w:sz w:val="22"/>
          <w:szCs w:val="22"/>
        </w:rPr>
        <w:t xml:space="preserve">Hired in 2024 alone, focused on ML, NLP, and markets-specific AI. Actively exploring data monetization strategies for AI training data.</w:t>
      </w:r>
    </w:p>
    <w:p>
      <w:pPr>
        <w:pStyle w:val="ListParagraph"/>
        <w:numPr>
          <w:ilvl w:val="0"/>
          <w:numId w:val="2"/>
        </w:numPr>
        <w:spacing w:after="80" w:line="276"/>
      </w:pPr>
      <w:r>
        <w:rPr>
          <w:rFonts w:ascii="Arial" w:cs="Arial" w:eastAsia="Arial" w:hAnsi="Arial"/>
          <w:b/>
          <w:bCs/>
          <w:sz w:val="22"/>
          <w:szCs w:val="22"/>
        </w:rPr>
        <w:t xml:space="preserve">Risk &amp; Compliance AI: </w:t>
      </w:r>
      <w:r>
        <w:rPr>
          <w:rFonts w:ascii="Arial" w:cs="Arial" w:eastAsia="Arial" w:hAnsi="Arial"/>
          <w:sz w:val="22"/>
          <w:szCs w:val="22"/>
        </w:rPr>
        <w:t xml:space="preserve">Targeting compliance, research analysis, and client service with GenAI once accuracy and compliance thresholds are met.</w:t>
      </w:r>
    </w:p>
    <w:p>
      <w:pPr>
        <w:pStyle w:val="Heading2"/>
      </w:pPr>
      <w:r>
        <w:t xml:space="preserve">Bank of America</w:t>
      </w:r>
    </w:p>
    <w:p>
      <w:pPr>
        <w:spacing w:after="120" w:line="276"/>
      </w:pPr>
      <w:r>
        <w:rPr>
          <w:rFonts w:ascii="Arial" w:cs="Arial" w:eastAsia="Arial" w:hAnsi="Arial"/>
          <w:sz w:val="22"/>
          <w:szCs w:val="22"/>
        </w:rPr>
        <w:t xml:space="preserve">BofA is investing $4B in new technology and AI for 2025, distinguished by its early-mover advantage in consumer AI (Erica, launched 2018) and its “Erica for Employees” internal tool used by 90%+ of staff, cutting IT support calls by more than half. While their AI strategy is retail-heavy, their scale of internal adoption offers a blueprint for enterprise-wide risk AI deployment.</w:t>
      </w:r>
    </w:p>
    <w:p>
      <w:pPr>
        <w:pStyle w:val="Heading2"/>
      </w:pPr>
      <w:r>
        <w:t xml:space="preserve">Morgan Stanley</w:t>
      </w:r>
    </w:p>
    <w:p>
      <w:pPr>
        <w:spacing w:after="120" w:line="276"/>
      </w:pPr>
      <w:r>
        <w:rPr>
          <w:rFonts w:ascii="Arial" w:cs="Arial" w:eastAsia="Arial" w:hAnsi="Arial"/>
          <w:sz w:val="22"/>
          <w:szCs w:val="22"/>
        </w:rPr>
        <w:t xml:space="preserve">Morgan Stanley’s AI@MS Assistant, built on GPT-4, serves 16,000+ financial advisors with access to 100,000+ research documents. Their wealth management focus provides lessons for how RAG-based knowledge systems can be adapted for risk analyst copilots.</w:t>
      </w:r>
    </w:p>
    <w:p>
      <w:pPr>
        <w:pStyle w:val="Heading2"/>
      </w:pPr>
      <w:r>
        <w:t xml:space="preserve">AI-Native Competitors</w:t>
      </w:r>
    </w:p>
    <w:p>
      <w:pPr>
        <w:spacing w:after="120" w:line="276"/>
      </w:pPr>
      <w:r>
        <w:rPr>
          <w:rFonts w:ascii="Arial" w:cs="Arial" w:eastAsia="Arial" w:hAnsi="Arial"/>
          <w:sz w:val="22"/>
          <w:szCs w:val="22"/>
        </w:rPr>
        <w:t xml:space="preserve">The most existential competitive threat comes not from traditional banks but from AI-native trading firms: Citadel, XTX Markets, and Jump Trading have built operations entirely around computational capabilities. XTX Markets’ in-house approach eliminates cloud bottlenecks, while the global AI trading platform market is projected to reach $69.95B by 2034. These firms demonstrate what is possible when AI is the foundation rather than an overlay.</w:t>
      </w:r>
    </w:p>
    <w:p>
      <w:pPr>
        <w:pStyle w:val="Heading2"/>
      </w:pPr>
      <w:r>
        <w:t xml:space="preserve">Implications for Wells Fargo</w:t>
      </w:r>
    </w:p>
    <w:p>
      <w:pPr>
        <w:spacing w:after="120" w:line="276"/>
      </w:pPr>
      <w:r>
        <w:rPr>
          <w:rFonts w:ascii="Arial" w:cs="Arial" w:eastAsia="Arial" w:hAnsi="Arial"/>
          <w:sz w:val="22"/>
          <w:szCs w:val="22"/>
        </w:rPr>
        <w:t xml:space="preserve">Wells Fargo’s current AI posture — the Fargo™ virtual assistant, the Google Cloud Agentspace partnership, the responsible AI framework with Stanford HAI — provides a solid foundation. However, CIB risk-specific AI applications lag tier-1 peers. The gap is widening: JPMorgan’s 175+ CIB-specific AI use cases versus WFC’s comparatively nascent CIB AI footprint represents a competitive risk. The initiatives in this report are designed to close this gap within 18–24 months.</w:t>
      </w:r>
    </w:p>
    <w:p>
      <w:r>
        <w:br w:type="page"/>
      </w:r>
    </w:p>
    <w:p>
      <w:pPr>
        <w:pStyle w:val="Heading1"/>
      </w:pPr>
      <w:r>
        <w:t xml:space="preserve">Detailed Initiative Profiles</w:t>
      </w:r>
    </w:p>
    <w:p>
      <w:pPr>
        <w:pStyle w:val="Heading2"/>
      </w:pPr>
      <w:r>
        <w:t xml:space="preserve">Initiative 1: AI-Powered VaR Engine</w:t>
      </w:r>
    </w:p>
    <w:p>
      <w:pPr>
        <w:pStyle w:val="Heading3"/>
      </w:pPr>
      <w:r>
        <w:t xml:space="preserve">Strategic Rationale</w:t>
      </w:r>
    </w:p>
    <w:p>
      <w:pPr>
        <w:spacing w:after="120" w:line="276"/>
      </w:pPr>
      <w:r>
        <w:rPr>
          <w:rFonts w:ascii="Arial" w:cs="Arial" w:eastAsia="Arial" w:hAnsi="Arial"/>
          <w:sz w:val="22"/>
          <w:szCs w:val="22"/>
        </w:rPr>
        <w:t xml:space="preserve">The current VaR calculation infrastructure across CIB’s 19 trading desks relies on overnight Monte Carlo batch processing with 300,000+ risk drivers. This creates a 6–8 hour computational bottleneck, prevents intraday risk visibility, and requires extensive manual intervention for scenario calibration and exception handling. Legacy grid computing costs are substantial, and the inability to run ad-hoc stress scenarios in real-time limits front-office risk agility.</w:t>
      </w:r>
    </w:p>
    <w:p>
      <w:pPr>
        <w:pStyle w:val="Heading3"/>
      </w:pPr>
      <w:r>
        <w:t xml:space="preserve">Technical Architecture</w:t>
      </w:r>
    </w:p>
    <w:p>
      <w:pPr>
        <w:spacing w:after="120" w:line="276"/>
      </w:pPr>
      <w:r>
        <w:rPr>
          <w:rFonts w:ascii="Arial" w:cs="Arial" w:eastAsia="Arial" w:hAnsi="Arial"/>
          <w:sz w:val="22"/>
          <w:szCs w:val="22"/>
        </w:rPr>
        <w:t xml:space="preserve">The proposed system replaces traditional full-revaluation Monte Carlo with a hybrid architecture: GPU-accelerated gradient-boosted trees for primary VaR estimation (trained on historical full-reval results), complemented by neural network-based scenario generators that produce realistic joint factor distributions. A hierarchical risk driver compression layer reduces the 300,000+ drivers to ~2,000 representative factors via PCA and autoencoders, enabling real-time computation while preserving tail-risk sensitivity. The system includes an automated backtesting module that continuously validates model performance against realized P&amp;L.</w:t>
      </w:r>
    </w:p>
    <w:p>
      <w:pPr>
        <w:pStyle w:val="Heading3"/>
      </w:pPr>
      <w:r>
        <w:t xml:space="preserve">Financial Impact</w:t>
      </w:r>
    </w:p>
    <w:p>
      <w:pPr>
        <w:spacing w:after="120" w:line="276"/>
      </w:pPr>
      <w:r>
        <w:rPr>
          <w:rFonts w:ascii="Arial" w:cs="Arial" w:eastAsia="Arial" w:hAnsi="Arial"/>
          <w:sz w:val="22"/>
          <w:szCs w:val="22"/>
        </w:rPr>
        <w:t xml:space="preserve">Direct cost savings of $8–12M annually from retiring legacy grid infrastructure and reducing overnight batch compute costs. An additional $12–18M from FTE reallocation (40–60 risk analysts currently spending 60%+ of time on VaR production, reconciliation, and exception handling). Indirect value of $5–10M from improved trading desk performance enabled by intraday VaR and real-time P&amp;L attribution. Conservative ROI: 3–4x in Year 1.</w:t>
      </w:r>
    </w:p>
    <w:p>
      <w:pPr>
        <w:pStyle w:val="Heading3"/>
      </w:pPr>
      <w:r>
        <w:t xml:space="preserve">Implementation Plan</w:t>
      </w:r>
    </w:p>
    <w:p>
      <w:pPr>
        <w:spacing w:after="120" w:line="276"/>
      </w:pPr>
      <w:r>
        <w:rPr>
          <w:rFonts w:ascii="Arial" w:cs="Arial" w:eastAsia="Arial" w:hAnsi="Arial"/>
          <w:sz w:val="22"/>
          <w:szCs w:val="22"/>
        </w:rPr>
        <w:t xml:space="preserve">Phase 1 (Months 1–3): Proof of concept on 2–3 liquid desks (e.g., rates, FX). Train ML models on 3–5 years of historical full-reval data. Validate against existing VaR. Phase 2 (Months 4–6): Expand to all linear desks. Build real-time streaming pipeline from trading systems. Phase 3 (Months 7–9): Deploy for exotic/structured desks with bespoke neural network pricers. Achieve full production cutover.</w:t>
      </w:r>
    </w:p>
    <w:p>
      <w:r>
        <w:br w:type="page"/>
      </w:r>
    </w:p>
    <w:p>
      <w:pPr>
        <w:pStyle w:val="Heading2"/>
      </w:pPr>
      <w:r>
        <w:t xml:space="preserve">Initiative 2: Intelligent Stress Testing &amp; CCAR Automation</w:t>
      </w:r>
    </w:p>
    <w:p>
      <w:pPr>
        <w:pStyle w:val="Heading3"/>
      </w:pPr>
      <w:r>
        <w:t xml:space="preserve">Strategic Rationale</w:t>
      </w:r>
    </w:p>
    <w:p>
      <w:pPr>
        <w:spacing w:after="120" w:line="276"/>
      </w:pPr>
      <w:r>
        <w:rPr>
          <w:rFonts w:ascii="Arial" w:cs="Arial" w:eastAsia="Arial" w:hAnsi="Arial"/>
          <w:sz w:val="22"/>
          <w:szCs w:val="22"/>
        </w:rPr>
        <w:t xml:space="preserve">The CCAR/DFAST cycle is the single most resource-intensive regulatory exercise in CIB Risk, consuming 4–6 months of concentrated effort from 60–80+ FTEs across stress testing, scenario design, loss modeling, narrative writing, and Schedule F population. The manual nature of this process creates execution risk, quality inconsistency, and an inability to run ad-hoc stress scenarios for business decision-making outside the annual cycle. With the Fed considering increased stress test frequency and scenario variability, the current approach is unsustainable.</w:t>
      </w:r>
    </w:p>
    <w:p>
      <w:pPr>
        <w:pStyle w:val="Heading3"/>
      </w:pPr>
      <w:r>
        <w:t xml:space="preserve">Technical Architecture</w:t>
      </w:r>
    </w:p>
    <w:p>
      <w:pPr>
        <w:spacing w:after="120" w:line="276"/>
      </w:pPr>
      <w:r>
        <w:rPr>
          <w:rFonts w:ascii="Arial" w:cs="Arial" w:eastAsia="Arial" w:hAnsi="Arial"/>
          <w:sz w:val="22"/>
          <w:szCs w:val="22"/>
        </w:rPr>
        <w:t xml:space="preserve">An end-to-end AI platform covering the full CCAR lifecycle: (1) Generative Scenario Engine: Transformer-based models trained on historical macroeconomic data, Fed scenarios, and internal risk factor relationships generate internally consistent, economically plausible stress scenarios calibrated against events like the 2008 GFC, 2020 COVID shock, and sector-specific crises. (2) Automated Loss Forecasting: ML models (ensemble methods + recurrent neural networks) replace manual loss models for PPNR, credit losses, and market risk losses. Auto-calibrate to current portfolio composition. (3) Schedule F Auto-Population: NLP agents extract data from risk systems and auto-populate the ~2,000 manual inputs required for Schedule F submissions. (4) Narrative Generation: LLM-powered system drafts CCAR qualitative narratives, methodology descriptions, and risk commentary, with human review and approval workflows.</w:t>
      </w:r>
    </w:p>
    <w:p>
      <w:pPr>
        <w:pStyle w:val="Heading3"/>
      </w:pPr>
      <w:r>
        <w:t xml:space="preserve">Financial Impact</w:t>
      </w:r>
    </w:p>
    <w:p>
      <w:pPr>
        <w:spacing w:after="120" w:line="276"/>
      </w:pPr>
      <w:r>
        <w:rPr>
          <w:rFonts w:ascii="Arial" w:cs="Arial" w:eastAsia="Arial" w:hAnsi="Arial"/>
          <w:sz w:val="22"/>
          <w:szCs w:val="22"/>
        </w:rPr>
        <w:t xml:space="preserve">The primary savings come from dramatically reducing the human capital required for each CCAR cycle: 60–80 FTEs currently dedicated for 4–6 months can be reduced to 15–20 FTEs for 4–6 weeks of oversight and validation. This translates to $20–30M in direct labor savings. An additional $10–15M in value comes from continuous stress testing capability: enabling real-time portfolio optimization against stress capital buffer (SCB) requirements, potentially freeing $500M–$1B+ in regulatory capital through more precise and dynamic capital planning. Conservative ROI: 3–4.5x in Year 1.</w:t>
      </w:r>
    </w:p>
    <w:p>
      <w:pPr>
        <w:pStyle w:val="Heading3"/>
      </w:pPr>
      <w:r>
        <w:t xml:space="preserve">Implementation Plan</w:t>
      </w:r>
    </w:p>
    <w:p>
      <w:pPr>
        <w:spacing w:after="120" w:line="276"/>
      </w:pPr>
      <w:r>
        <w:rPr>
          <w:rFonts w:ascii="Arial" w:cs="Arial" w:eastAsia="Arial" w:hAnsi="Arial"/>
          <w:sz w:val="22"/>
          <w:szCs w:val="22"/>
        </w:rPr>
        <w:t xml:space="preserve">Phase 1 (Months 1–4): Build scenario generation engine and train on historical Fed scenarios + internal data. Parallel-run against manual 2026 CCAR cycle. Phase 2 (Months 5–8): Deploy automated loss forecasting for market risk and credit risk. Build Schedule F auto-population pipeline. Phase 3 (Months 9–12): Integrate narrative generation. Achieve full autonomous capability with human-in-the-loop validation for the 2027 CCAR cycle.</w:t>
      </w:r>
    </w:p>
    <w:p>
      <w:pPr>
        <w:pStyle w:val="Heading3"/>
      </w:pPr>
      <w:r>
        <w:t xml:space="preserve">Synergy with Initiative 1</w:t>
      </w:r>
    </w:p>
    <w:p>
      <w:pPr>
        <w:spacing w:after="120" w:line="276"/>
      </w:pPr>
      <w:r>
        <w:rPr>
          <w:rFonts w:ascii="Arial" w:cs="Arial" w:eastAsia="Arial" w:hAnsi="Arial"/>
          <w:sz w:val="22"/>
          <w:szCs w:val="22"/>
        </w:rPr>
        <w:t xml:space="preserve">The AI VaR Engine (Initiative 1) directly feeds the stress testing platform by providing real-time portfolio sensitivities and risk factor exposures that the scenario engine uses to generate targeted stress tests. The combined system creates a closed-loop risk intelligence capability that no competitor currently offers at scale.</w:t>
      </w:r>
    </w:p>
    <w:p>
      <w:r>
        <w:br w:type="page"/>
      </w:r>
    </w:p>
    <w:p>
      <w:pPr>
        <w:pStyle w:val="Heading2"/>
      </w:pPr>
      <w:r>
        <w:t xml:space="preserve">Initiative 3: Autonomous Regulatory Reporting Platform</w:t>
      </w:r>
    </w:p>
    <w:p>
      <w:pPr>
        <w:pStyle w:val="Heading3"/>
      </w:pPr>
      <w:r>
        <w:t xml:space="preserve">Strategic Rationale</w:t>
      </w:r>
    </w:p>
    <w:p>
      <w:pPr>
        <w:spacing w:after="120" w:line="276"/>
      </w:pPr>
      <w:r>
        <w:rPr>
          <w:rFonts w:ascii="Arial" w:cs="Arial" w:eastAsia="Arial" w:hAnsi="Arial"/>
          <w:sz w:val="22"/>
          <w:szCs w:val="22"/>
        </w:rPr>
        <w:t xml:space="preserve">CIB Risk currently dedicates 50–70+ FTEs to regulatory reporting across FR Y-14A/Q/M, Pillar 3 disclosures, FRTB reporting, and various OCC/SEC/CFTC submissions. The process is heavily manual: data aggregation from disparate systems, manual reconciliation, narrative drafting, and multi-layer review cycles. Error rates, while low, carry disproportionate regulatory risk. The evolving regulatory landscape — including the EU AI Act, IOSCO’s AI governance framework, and pending CFTC AI advisories — demands a scalable, intelligent compliance infrastructure.</w:t>
      </w:r>
    </w:p>
    <w:p>
      <w:pPr>
        <w:pStyle w:val="Heading3"/>
      </w:pPr>
      <w:r>
        <w:t xml:space="preserve">Technical Architecture</w:t>
      </w:r>
    </w:p>
    <w:p>
      <w:pPr>
        <w:spacing w:after="120" w:line="276"/>
      </w:pPr>
      <w:r>
        <w:rPr>
          <w:rFonts w:ascii="Arial" w:cs="Arial" w:eastAsia="Arial" w:hAnsi="Arial"/>
          <w:sz w:val="22"/>
          <w:szCs w:val="22"/>
        </w:rPr>
        <w:t xml:space="preserve">The platform consists of three integrated AI layers: (1) Regulatory Intelligence Layer: NLP agents continuously monitor regulatory publications from the Fed, OCC, SEC, CFTC, FINRA, and international bodies (FSB, IOSCO, EU). Automatically classify changes by impact severity, affected business lines, and required response timeline. (2) Auto-Population Layer: ETL pipelines with ML-based data quality checks auto-populate regulatory templates. Cross-reference validation engines catch inconsistencies across related submissions. (3) Narrative &amp; Disclosure Layer: LLM-based system drafts regulatory narratives, risk commentary, and disclosure language aligned with current regulatory expectations and prior submission tone.</w:t>
      </w:r>
    </w:p>
    <w:p>
      <w:pPr>
        <w:pStyle w:val="Heading3"/>
      </w:pPr>
      <w:r>
        <w:t xml:space="preserve">Financial Impact</w:t>
      </w:r>
    </w:p>
    <w:p>
      <w:pPr>
        <w:spacing w:after="120" w:line="276"/>
      </w:pPr>
      <w:r>
        <w:rPr>
          <w:rFonts w:ascii="Arial" w:cs="Arial" w:eastAsia="Arial" w:hAnsi="Arial"/>
          <w:sz w:val="22"/>
          <w:szCs w:val="22"/>
        </w:rPr>
        <w:t xml:space="preserve">Direct FTE savings of $12–18M annually from automating data aggregation and report generation. Error prevention value of $5–8M (regulatory remediation costs, MRA/MRIA avoidance). Strategic value of $3–5M from proactive regulatory change management (reducing fire-drill responses to new requirements). Total: $20–30M annually. Conservative ROI: 2.5–3.5x in Year 1.</w:t>
      </w:r>
    </w:p>
    <w:p>
      <w:r>
        <w:br w:type="page"/>
      </w:r>
    </w:p>
    <w:p>
      <w:pPr>
        <w:pStyle w:val="Heading2"/>
      </w:pPr>
      <w:r>
        <w:t xml:space="preserve">Initiative 4: Unified Risk Data Lakehouse &amp; Knowledge Graph</w:t>
      </w:r>
    </w:p>
    <w:p>
      <w:pPr>
        <w:pStyle w:val="Heading3"/>
      </w:pPr>
      <w:r>
        <w:t xml:space="preserve">Strategic Rationale</w:t>
      </w:r>
    </w:p>
    <w:p>
      <w:pPr>
        <w:spacing w:after="120" w:line="276"/>
      </w:pPr>
      <w:r>
        <w:rPr>
          <w:rFonts w:ascii="Arial" w:cs="Arial" w:eastAsia="Arial" w:hAnsi="Arial"/>
          <w:sz w:val="22"/>
          <w:szCs w:val="22"/>
        </w:rPr>
        <w:t xml:space="preserve">This is the foundational enabler for the entire AI transformation roadmap. Currently, CIB risk data is fragmented across desk-level systems, risk engines, market data feeds, counterparty databases, and regulatory reporting platforms. Data reconciliation consumes an estimated 30–40% of analyst time. Without a unified, AI-ready data layer, every other initiative faces inflated costs, longer timelines, and reduced accuracy. JPMorgan’s multi-year, leadership-driven data modernization initiative (processing an exabyte daily, 65% cloud migration) demonstrates the competitive imperative.</w:t>
      </w:r>
    </w:p>
    <w:p>
      <w:pPr>
        <w:pStyle w:val="Heading3"/>
      </w:pPr>
      <w:r>
        <w:t xml:space="preserve">Technical Architecture</w:t>
      </w:r>
    </w:p>
    <w:p>
      <w:pPr>
        <w:spacing w:after="120" w:line="276"/>
      </w:pPr>
      <w:r>
        <w:rPr>
          <w:rFonts w:ascii="Arial" w:cs="Arial" w:eastAsia="Arial" w:hAnsi="Arial"/>
          <w:sz w:val="22"/>
          <w:szCs w:val="22"/>
        </w:rPr>
        <w:t xml:space="preserve">A cloud-native lakehouse architecture (Delta Lake or Apache Iceberg on WFC’s existing Google Cloud/Azure infrastructure) consolidating: real-time market data, position and trade data from all 19 desks, counterparty and credit data, risk calculation outputs (VaR, Greeks, stress results), and regulatory submissions. A knowledge graph overlay (Neo4j or similar) maps entity relationships: counterparty hierarchies, cross-desk exposure correlations, contagion pathways, and regulatory entity structures. Real-time streaming layer (Kafka/Flink) enables sub-second data availability for all downstream AI applications.</w:t>
      </w:r>
    </w:p>
    <w:p>
      <w:pPr>
        <w:pStyle w:val="Heading3"/>
      </w:pPr>
      <w:r>
        <w:t xml:space="preserve">Financial Impact</w:t>
      </w:r>
    </w:p>
    <w:p>
      <w:pPr>
        <w:spacing w:after="120" w:line="276"/>
      </w:pPr>
      <w:r>
        <w:rPr>
          <w:rFonts w:ascii="Arial" w:cs="Arial" w:eastAsia="Arial" w:hAnsi="Arial"/>
          <w:sz w:val="22"/>
          <w:szCs w:val="22"/>
        </w:rPr>
        <w:t xml:space="preserve">Direct savings of $8–12M from eliminating data reconciliation effort and retiring redundant data infrastructure. Enablement value of $7–13M as the cost multiplier reduction for all other initiatives (estimated 20–30% lower implementation costs when clean, unified data is available). Strategic value from data-driven insights previously impossible: cross-desk correlation analysis, hidden risk concentration detection, and enterprise-wide risk factor attribution. Conservative ROI: 1.5–2x standalone, but 4–6x when measured as portfolio enablement.</w:t>
      </w:r>
    </w:p>
    <w:p>
      <w:r>
        <w:br w:type="page"/>
      </w:r>
    </w:p>
    <w:p>
      <w:pPr>
        <w:pStyle w:val="Heading2"/>
      </w:pPr>
      <w:r>
        <w:t xml:space="preserve">Initiative 5: AI Market Surveillance &amp; Anomaly Detection</w:t>
      </w:r>
    </w:p>
    <w:p>
      <w:pPr>
        <w:pStyle w:val="Heading3"/>
      </w:pPr>
      <w:r>
        <w:t xml:space="preserve">Strategic Rationale</w:t>
      </w:r>
    </w:p>
    <w:p>
      <w:pPr>
        <w:spacing w:after="120" w:line="276"/>
      </w:pPr>
      <w:r>
        <w:rPr>
          <w:rFonts w:ascii="Arial" w:cs="Arial" w:eastAsia="Arial" w:hAnsi="Arial"/>
          <w:sz w:val="22"/>
          <w:szCs w:val="22"/>
        </w:rPr>
        <w:t xml:space="preserve">Current trade surveillance systems rely on rule-based alert engines that generate high volumes of false positives (industry average: 90–95% false positive rate). This wastes compliance analyst time, creates alert fatigue, and paradoxically increases the risk of missing genuine violations. JPMorgan’s deployment of graph ML and anomaly detection for trade surveillance (reducing investigation time by 40%) demonstrates the competitive standard. For WFC specifically, post-consent-order regulatory scrutiny makes best-in-class surveillance a strategic imperative.</w:t>
      </w:r>
    </w:p>
    <w:p>
      <w:pPr>
        <w:pStyle w:val="Heading3"/>
      </w:pPr>
      <w:r>
        <w:t xml:space="preserve">Technical Architecture</w:t>
      </w:r>
    </w:p>
    <w:p>
      <w:pPr>
        <w:spacing w:after="120" w:line="276"/>
      </w:pPr>
      <w:r>
        <w:rPr>
          <w:rFonts w:ascii="Arial" w:cs="Arial" w:eastAsia="Arial" w:hAnsi="Arial"/>
          <w:sz w:val="22"/>
          <w:szCs w:val="22"/>
        </w:rPr>
        <w:t xml:space="preserve">Multi-model surveillance platform: (1) Graph Neural Networks (GNNs) mapping trader-counterparty-instrument relationships to detect coordinated manipulation patterns (spoofing, layering, wash trading) across related entities. (2) Transformer-based sequence models analyzing order-book patterns and trade execution sequences for anomalous behavior. (3) Behavioral analytics layer establishing baseline trader profiles and flagging deviations in trading patterns, communication metadata, and risk-taking behavior. (4) Explainability layer using SHAP values to provide clear, auditable reasoning for every alert — critical for regulatory defensibility.</w:t>
      </w:r>
    </w:p>
    <w:p>
      <w:pPr>
        <w:pStyle w:val="Heading3"/>
      </w:pPr>
      <w:r>
        <w:t xml:space="preserve">Financial Impact</w:t>
      </w:r>
    </w:p>
    <w:p>
      <w:pPr>
        <w:spacing w:after="120" w:line="276"/>
      </w:pPr>
      <w:r>
        <w:rPr>
          <w:rFonts w:ascii="Arial" w:cs="Arial" w:eastAsia="Arial" w:hAnsi="Arial"/>
          <w:sz w:val="22"/>
          <w:szCs w:val="22"/>
        </w:rPr>
        <w:t xml:space="preserve">Compliance cost reduction of $8–12M from 60%+ reduction in false positive alerts and automated alert triage. Regulatory risk avoidance value of $5–10M (reduced probability and severity of enforcement actions). Operational efficiency gains of $2–3M from faster investigation cycles. Total: $15–25M annually.</w:t>
      </w:r>
    </w:p>
    <w:p>
      <w:r>
        <w:br w:type="page"/>
      </w:r>
    </w:p>
    <w:p>
      <w:pPr>
        <w:pStyle w:val="Heading2"/>
      </w:pPr>
      <w:r>
        <w:t xml:space="preserve">Initiative 6: Predictive Risk Limit &amp; Exposure Management</w:t>
      </w:r>
    </w:p>
    <w:p>
      <w:pPr>
        <w:pStyle w:val="Heading3"/>
      </w:pPr>
      <w:r>
        <w:t xml:space="preserve">Strategic Rationale</w:t>
      </w:r>
    </w:p>
    <w:p>
      <w:pPr>
        <w:spacing w:after="120" w:line="276"/>
      </w:pPr>
      <w:r>
        <w:rPr>
          <w:rFonts w:ascii="Arial" w:cs="Arial" w:eastAsia="Arial" w:hAnsi="Arial"/>
          <w:sz w:val="22"/>
          <w:szCs w:val="22"/>
        </w:rPr>
        <w:t xml:space="preserve">Static risk limits, reviewed monthly or quarterly, fail to capture rapidly evolving market conditions and create two failure modes: limits too tight during benign conditions constrain revenue, while limits too loose during stress periods expose the firm to tail-risk losses. Current limit monitoring is largely reactive — breaches are identified after they occur, triggering manual escalation cascades. The ability to predict and prevent limit breaches before they happen, and to dynamically calibrate limits to market regimes, represents a step-function improvement in risk management.</w:t>
      </w:r>
    </w:p>
    <w:p>
      <w:pPr>
        <w:pStyle w:val="Heading3"/>
      </w:pPr>
      <w:r>
        <w:t xml:space="preserve">Technical Architecture</w:t>
      </w:r>
    </w:p>
    <w:p>
      <w:pPr>
        <w:spacing w:after="120" w:line="276"/>
      </w:pPr>
      <w:r>
        <w:rPr>
          <w:rFonts w:ascii="Arial" w:cs="Arial" w:eastAsia="Arial" w:hAnsi="Arial"/>
          <w:sz w:val="22"/>
          <w:szCs w:val="22"/>
        </w:rPr>
        <w:t xml:space="preserve">A reinforcement learning (RL) system trained on historical limit utilization, market conditions, and loss events that: (1) predicts limit breaches 2–4 hours in advance based on position trajectory, market volatility, and cross-desk correlation dynamics; (2) recommends dynamic limit adjustments calibrated to current volatility regime (quiet, elevated, crisis) using a risk-regime classification model; (3) generates automated position reduction recommendations when breaches are imminent, including optimal unwind sequencing to minimize market impact; (4) provides real-time capital allocation optimization across desks based on risk-adjusted return potential.</w:t>
      </w:r>
    </w:p>
    <w:p>
      <w:pPr>
        <w:pStyle w:val="Heading3"/>
      </w:pPr>
      <w:r>
        <w:t xml:space="preserve">Financial Impact</w:t>
      </w:r>
    </w:p>
    <w:p>
      <w:pPr>
        <w:spacing w:after="120" w:line="276"/>
      </w:pPr>
      <w:r>
        <w:rPr>
          <w:rFonts w:ascii="Arial" w:cs="Arial" w:eastAsia="Arial" w:hAnsi="Arial"/>
          <w:sz w:val="22"/>
          <w:szCs w:val="22"/>
        </w:rPr>
        <w:t xml:space="preserve">This initiative has asymmetric payoff: the primary value is tail-risk loss avoidance. Based on CIB’s historical loss distribution, preventing even one major limit breach/rogue trading incident every 3–5 years could save $100M–$500M+ in direct losses and reputational damage. Annualized expected value: $20–40M. Additional $5–10M from improved capital allocation efficiency. Conservative ROI: 4–8x.</w:t>
      </w:r>
    </w:p>
    <w:p>
      <w:r>
        <w:br w:type="page"/>
      </w:r>
    </w:p>
    <w:p>
      <w:pPr>
        <w:pStyle w:val="Heading2"/>
      </w:pPr>
      <w:r>
        <w:t xml:space="preserve">Initiative 7: Counterparty Credit Risk AI Suite</w:t>
      </w:r>
    </w:p>
    <w:p>
      <w:pPr>
        <w:pStyle w:val="Heading3"/>
      </w:pPr>
      <w:r>
        <w:t xml:space="preserve">Strategic Rationale</w:t>
      </w:r>
    </w:p>
    <w:p>
      <w:pPr>
        <w:spacing w:after="120" w:line="276"/>
      </w:pPr>
      <w:r>
        <w:rPr>
          <w:rFonts w:ascii="Arial" w:cs="Arial" w:eastAsia="Arial" w:hAnsi="Arial"/>
          <w:sz w:val="22"/>
          <w:szCs w:val="22"/>
        </w:rPr>
        <w:t xml:space="preserve">XVA calculations (CVA, DVA, FVA, KVA, MVA) are among the most computationally intensive processes in CIB risk, requiring nested Monte Carlo simulations that take hours to compute for the full portfolio. Legacy analytical approximations sacrifice accuracy for speed. Additionally, counterparty credit assessment relies heavily on lagging indicators (quarterly financials, annual reviews) rather than real-time signals.</w:t>
      </w:r>
    </w:p>
    <w:p>
      <w:pPr>
        <w:pStyle w:val="Heading3"/>
      </w:pPr>
      <w:r>
        <w:t xml:space="preserve">Technical Architecture</w:t>
      </w:r>
    </w:p>
    <w:p>
      <w:pPr>
        <w:spacing w:after="120" w:line="276"/>
      </w:pPr>
      <w:r>
        <w:rPr>
          <w:rFonts w:ascii="Arial" w:cs="Arial" w:eastAsia="Arial" w:hAnsi="Arial"/>
          <w:sz w:val="22"/>
          <w:szCs w:val="22"/>
        </w:rPr>
        <w:t xml:space="preserve">(1) Neural Network XVA Pricers: Deep learning models trained on full Monte Carlo results to produce near-instantaneous CVA/DVA/FVA estimates. Accuracy within 1–2% of full revaluation at 100x+ speed improvement. (2) Real-Time Credit Scoring: ML models ingesting alternative data feeds — news sentiment (NLP), CDS spreads, equity volatility, supply chain disruption signals, social media analysis — to provide continuous counterparty credit assessment. (3) Wrong-Way Risk Detection: Graph neural networks identifying hidden correlations between counterparty creditworthiness and exposure drivers (e.g., a counterparty whose credit deteriorates precisely when WFC’s exposure increases). (4) Collateral Optimization: AI-driven margin call prediction and cheapest-to-deliver collateral selection across eligible asset pools.</w:t>
      </w:r>
    </w:p>
    <w:p>
      <w:pPr>
        <w:pStyle w:val="Heading3"/>
      </w:pPr>
      <w:r>
        <w:t xml:space="preserve">Financial Impact</w:t>
      </w:r>
    </w:p>
    <w:p>
      <w:pPr>
        <w:spacing w:after="120" w:line="276"/>
      </w:pPr>
      <w:r>
        <w:rPr>
          <w:rFonts w:ascii="Arial" w:cs="Arial" w:eastAsia="Arial" w:hAnsi="Arial"/>
          <w:sz w:val="22"/>
          <w:szCs w:val="22"/>
        </w:rPr>
        <w:t xml:space="preserve">Compute infrastructure savings of $3–5M. FTE reallocation of $5–8M from automated XVA production. Wrong-way risk detection value of $5–10M (loss avoidance from identifying hidden exposure correlations). Collateral optimization savings of $2–3M. Total: $15–25M annually.</w:t>
      </w:r>
    </w:p>
    <w:p>
      <w:r>
        <w:br w:type="page"/>
      </w:r>
    </w:p>
    <w:p>
      <w:pPr>
        <w:pStyle w:val="Heading2"/>
      </w:pPr>
      <w:r>
        <w:t xml:space="preserve">Initiative 8: Intelligent Model Risk Management (MRM)</w:t>
      </w:r>
    </w:p>
    <w:p>
      <w:pPr>
        <w:pStyle w:val="Heading3"/>
      </w:pPr>
      <w:r>
        <w:t xml:space="preserve">Strategic Rationale</w:t>
      </w:r>
    </w:p>
    <w:p>
      <w:pPr>
        <w:spacing w:after="120" w:line="276"/>
      </w:pPr>
      <w:r>
        <w:rPr>
          <w:rFonts w:ascii="Arial" w:cs="Arial" w:eastAsia="Arial" w:hAnsi="Arial"/>
          <w:sz w:val="22"/>
          <w:szCs w:val="22"/>
        </w:rPr>
        <w:t xml:space="preserve">CIB Risk operates hundreds of models requiring periodic validation under SR 11-7 (Fed guidance on model risk management). The current validation cycle takes 3–6 months per model, creating a persistent backlog. Model inventory growth (driven by new products, regulatory requirements, and now AI models themselves) is outpacing validation capacity. The irony: AI-powered risk models require validated AI validation models — creating an exponentially growing governance challenge.</w:t>
      </w:r>
    </w:p>
    <w:p>
      <w:pPr>
        <w:pStyle w:val="Heading3"/>
      </w:pPr>
      <w:r>
        <w:t xml:space="preserve">Technical Architecture</w:t>
      </w:r>
    </w:p>
    <w:p>
      <w:pPr>
        <w:spacing w:after="120" w:line="276"/>
      </w:pPr>
      <w:r>
        <w:rPr>
          <w:rFonts w:ascii="Arial" w:cs="Arial" w:eastAsia="Arial" w:hAnsi="Arial"/>
          <w:sz w:val="22"/>
          <w:szCs w:val="22"/>
        </w:rPr>
        <w:t xml:space="preserve">An agentic AI platform for model lifecycle management: (1) Automated Challenger Model Generation: For each model under review, the system generates 3–5 challenger models using different algorithms and feature sets, then benchmarks performance. (2) Continuous Backtesting: Automated backtesting pipelines running daily against realized outcomes, with drift detection algorithms flagging models that have degraded below performance thresholds. (3) Documentation Intelligence: NLP extraction from existing model documentation, risk policy documents, and validation reports to auto-generate validation frameworks and identify documentation gaps. (4) Validation Report Drafting: LLM-powered system drafts validation reports including quantitative findings, qualitative assessments, and recommended actions.</w:t>
      </w:r>
    </w:p>
    <w:p>
      <w:pPr>
        <w:pStyle w:val="Heading3"/>
      </w:pPr>
      <w:r>
        <w:t xml:space="preserve">Financial Impact</w:t>
      </w:r>
    </w:p>
    <w:p>
      <w:pPr>
        <w:spacing w:after="120" w:line="276"/>
      </w:pPr>
      <w:r>
        <w:rPr>
          <w:rFonts w:ascii="Arial" w:cs="Arial" w:eastAsia="Arial" w:hAnsi="Arial"/>
          <w:sz w:val="22"/>
          <w:szCs w:val="22"/>
        </w:rPr>
        <w:t xml:space="preserve">Validation cycle compression from 3–6 months to 2–4 weeks saves $5–8M in validator FTE costs. Continuous monitoring prevents an estimated $3–6M in potential losses from degraded model performance. Regulatory compliance value of $2–6M from eliminating validation backlogs and associated MRA/MRIA risk. Total: $10–20M annually.</w:t>
      </w:r>
    </w:p>
    <w:p>
      <w:r>
        <w:br w:type="page"/>
      </w:r>
    </w:p>
    <w:p>
      <w:pPr>
        <w:pStyle w:val="Heading2"/>
      </w:pPr>
      <w:r>
        <w:t xml:space="preserve">Initiative 9: Real-Time Liquidity Risk Intelligence</w:t>
      </w:r>
    </w:p>
    <w:p>
      <w:pPr>
        <w:pStyle w:val="Heading3"/>
      </w:pPr>
      <w:r>
        <w:t xml:space="preserve">Strategic Rationale</w:t>
      </w:r>
    </w:p>
    <w:p>
      <w:pPr>
        <w:spacing w:after="120" w:line="276"/>
      </w:pPr>
      <w:r>
        <w:rPr>
          <w:rFonts w:ascii="Arial" w:cs="Arial" w:eastAsia="Arial" w:hAnsi="Arial"/>
          <w:sz w:val="22"/>
          <w:szCs w:val="22"/>
        </w:rPr>
        <w:t xml:space="preserve">Intraday liquidity management for a CIB of WFC’s scale involves predicting and managing billions in daily cash flows across multiple currencies, payment systems (Fedwire, CHIPS, SWIFT), and collateral pools. Current liquidity forecasting relies on simplified models and historical averages that miss regime changes and cross-asset liquidity correlations. The March 2023 banking stress demonstrated that liquidity risk can materialize in hours, not days.</w:t>
      </w:r>
    </w:p>
    <w:p>
      <w:pPr>
        <w:pStyle w:val="Heading3"/>
      </w:pPr>
      <w:r>
        <w:t xml:space="preserve">Technical Architecture &amp; Financial Impact</w:t>
      </w:r>
    </w:p>
    <w:p>
      <w:pPr>
        <w:spacing w:after="120" w:line="276"/>
      </w:pPr>
      <w:r>
        <w:rPr>
          <w:rFonts w:ascii="Arial" w:cs="Arial" w:eastAsia="Arial" w:hAnsi="Arial"/>
          <w:sz w:val="22"/>
          <w:szCs w:val="22"/>
        </w:rPr>
        <w:t xml:space="preserve">AI-powered liquidity forecasting using recurrent neural networks and transformer models trained on historical payment flows, market conditions, and client behavior patterns. Predicts T+1 through T+30 cash requirements with 95%+ accuracy. Dynamic collateral optimization engine evaluates all eligible assets and recommends cheapest-to-deliver allocations in real-time. Margin call prediction module anticipates collateral calls 24–48 hours in advance. Financial impact: $10–20M annually from liquidity buffer optimization ($200M+ reduction in excess reserves), collateral efficiency gains, and reduced FTE requirements for manual liquidity management.</w:t>
      </w:r>
    </w:p>
    <w:p>
      <w:r>
        <w:br w:type="page"/>
      </w:r>
    </w:p>
    <w:p>
      <w:pPr>
        <w:pStyle w:val="Heading2"/>
      </w:pPr>
      <w:r>
        <w:t xml:space="preserve">Initiative 10: AI-Powered Operational Risk &amp; Loss Prevention</w:t>
      </w:r>
    </w:p>
    <w:p>
      <w:pPr>
        <w:pStyle w:val="Heading3"/>
      </w:pPr>
      <w:r>
        <w:t xml:space="preserve">Strategic Rationale &amp; Architecture</w:t>
      </w:r>
    </w:p>
    <w:p>
      <w:pPr>
        <w:spacing w:after="120" w:line="276"/>
      </w:pPr>
      <w:r>
        <w:rPr>
          <w:rFonts w:ascii="Arial" w:cs="Arial" w:eastAsia="Arial" w:hAnsi="Arial"/>
          <w:sz w:val="22"/>
          <w:szCs w:val="22"/>
        </w:rPr>
        <w:t xml:space="preserve">Operational losses across CIB (trade failures, settlement errors, system outages, process breakdowns) represent a significant and often underappreciated cost center. Current RCSA (Risk and Control Self-Assessment) processes are periodic, manual, and backward-looking. NLP-based analysis of incident reports, near-miss logs, and operational event data can identify patterns and predict failures before they occur. Process mining algorithms applied to trade processing, confirmation, and settlement workflows identify control gaps and automation opportunities. The system generates automated RCSA assessments and provides continuous control effectiveness monitoring. Financial impact: $15–25M annually from 50%+ reduction in operational losses, RCSA automation, and process optimization.</w:t>
      </w:r>
    </w:p>
    <w:p>
      <w:pPr>
        <w:pStyle w:val="Heading2"/>
      </w:pPr>
      <w:r>
        <w:t xml:space="preserve">Initiative 11: GenAI Risk Analyst Copilot</w:t>
      </w:r>
    </w:p>
    <w:p>
      <w:pPr>
        <w:pStyle w:val="Heading3"/>
      </w:pPr>
      <w:r>
        <w:t xml:space="preserve">Strategic Rationale</w:t>
      </w:r>
    </w:p>
    <w:p>
      <w:pPr>
        <w:spacing w:after="120" w:line="276"/>
      </w:pPr>
      <w:r>
        <w:rPr>
          <w:rFonts w:ascii="Arial" w:cs="Arial" w:eastAsia="Arial" w:hAnsi="Arial"/>
          <w:sz w:val="22"/>
          <w:szCs w:val="22"/>
        </w:rPr>
        <w:t xml:space="preserve">This is the fastest-ROI initiative because it augments existing workflows rather than replacing them. A purpose-built risk analyst copilot, deployed via secure RAG architecture over internal risk documentation, can: auto-generate daily market intelligence briefings (currently 2–4 hours of manual work per analyst), draft limit review memos and risk commentary, perform ad-hoc scenario analysis via natural language queries, auto-summarize 10-Ks, 10-Qs, and credit research for counterparty reviews, and generate first-draft risk committee materials. Productivity improvement of 2–3x across 200+ risk analysts translates to $15–25M in annualized value. Implementation timeline: 3–5 months to production on WFC’s existing Google Agentspace infrastructure.</w:t>
      </w:r>
    </w:p>
    <w:p>
      <w:pPr>
        <w:pStyle w:val="Heading3"/>
      </w:pPr>
      <w:r>
        <w:t xml:space="preserve">Synergy with Broader Platform</w:t>
      </w:r>
    </w:p>
    <w:p>
      <w:pPr>
        <w:spacing w:after="120" w:line="276"/>
      </w:pPr>
      <w:r>
        <w:rPr>
          <w:rFonts w:ascii="Arial" w:cs="Arial" w:eastAsia="Arial" w:hAnsi="Arial"/>
          <w:sz w:val="22"/>
          <w:szCs w:val="22"/>
        </w:rPr>
        <w:t xml:space="preserve">The copilot becomes exponentially more powerful when connected to the Unified Data Lakehouse (Initiative 4), the VaR Engine (Initiative 1), and the Stress Testing Platform (Initiative 2). Analysts can ask natural language questions like “What’s the firm-wide impact if rates spike 200bps and credit spreads widen 150bps simultaneously?” and receive real-time, quantified answers drawn from live risk systems.</w:t>
      </w:r>
    </w:p>
    <w:p>
      <w:pPr>
        <w:pStyle w:val="Heading2"/>
      </w:pPr>
      <w:r>
        <w:t xml:space="preserve">Initiative 12: Climate &amp; ESG Risk Quantification Engine</w:t>
      </w:r>
    </w:p>
    <w:p>
      <w:pPr>
        <w:pStyle w:val="Heading3"/>
      </w:pPr>
      <w:r>
        <w:t xml:space="preserve">Strategic Rationale</w:t>
      </w:r>
    </w:p>
    <w:p>
      <w:pPr>
        <w:spacing w:after="120" w:line="276"/>
      </w:pPr>
      <w:r>
        <w:rPr>
          <w:rFonts w:ascii="Arial" w:cs="Arial" w:eastAsia="Arial" w:hAnsi="Arial"/>
          <w:sz w:val="22"/>
          <w:szCs w:val="22"/>
        </w:rPr>
        <w:t xml:space="preserve">While climate risk quantification currently lacks hard regulatory mandates in the US, the direction is unmistakable: TCFD adoption is accelerating, the SEC’s climate disclosure rule (despite legal challenges) signals future requirements, and European counterparts already face CSRD/ESRS mandates. McKinsey estimates that banks using GenAI have reduced climate risk assessment question-answering time by 90%. Early investment positions WFC as a responsible leader and avoids future fire-drill compliance costs. The system quantifies physical risk (extreme weather exposure across CIB portfolios), transition risk (carbon tax impacts, stranded asset analysis), and regulatory risk (taxonomy alignment scoring). Financial impact: $5–10M in direct savings plus substantial regulatory future-proofing value.</w:t>
      </w:r>
    </w:p>
    <w:p>
      <w:r>
        <w:br w:type="page"/>
      </w:r>
    </w:p>
    <w:p>
      <w:pPr>
        <w:pStyle w:val="Heading1"/>
      </w:pPr>
      <w:r>
        <w:t xml:space="preserve">Synergy Architecture &amp; Implementation Sequencing</w:t>
      </w:r>
    </w:p>
    <w:p>
      <w:pPr>
        <w:pStyle w:val="Heading2"/>
      </w:pPr>
      <w:r>
        <w:t xml:space="preserve">Cluster Synergies</w:t>
      </w:r>
    </w:p>
    <w:p>
      <w:pPr>
        <w:spacing w:after="120" w:line="276"/>
      </w:pPr>
      <w:r>
        <w:rPr>
          <w:rFonts w:ascii="Arial" w:cs="Arial" w:eastAsia="Arial" w:hAnsi="Arial"/>
          <w:sz w:val="22"/>
          <w:szCs w:val="22"/>
        </w:rPr>
        <w:t xml:space="preserve">The 12 initiatives are not independent — they form a mutually reinforcing ecosystem. The following synergy clusters maximize compounding ROI:</w:t>
      </w:r>
    </w:p>
    <w:p>
      <w:pPr>
        <w:spacing w:after="120" w:line="276"/>
      </w:pPr>
      <w:r>
        <w:rPr>
          <w:rFonts w:ascii="Arial" w:cs="Arial" w:eastAsia="Arial" w:hAnsi="Arial"/>
          <w:b/>
          <w:bCs/>
          <w:sz w:val="22"/>
          <w:szCs w:val="22"/>
        </w:rPr>
        <w:t xml:space="preserve">Cluster A: Core Risk Computation (Initiatives 1 + 2 + 4)</w:t>
      </w:r>
      <w:r>
        <w:rPr>
          <w:rFonts w:ascii="Arial" w:cs="Arial" w:eastAsia="Arial" w:hAnsi="Arial"/>
          <w:sz w:val="22"/>
          <w:szCs w:val="22"/>
        </w:rPr>
        <w:t xml:space="preserve"> — The VaR Engine feeds real-time risk sensitivities into the Stress Testing Platform, both powered by the Data Lakehouse. Together, they create a “continuous risk intelligence” capability: from real-time VaR to on-demand stress testing to automated CCAR — a complete, integrated risk analytics stack. Combined incremental value from synergy: $10–15M beyond standalone estimates.</w:t>
      </w:r>
    </w:p>
    <w:p>
      <w:pPr>
        <w:spacing w:after="120" w:line="276"/>
      </w:pPr>
      <w:r>
        <w:rPr>
          <w:rFonts w:ascii="Arial" w:cs="Arial" w:eastAsia="Arial" w:hAnsi="Arial"/>
          <w:b/>
          <w:bCs/>
          <w:sz w:val="22"/>
          <w:szCs w:val="22"/>
        </w:rPr>
        <w:t xml:space="preserve">Cluster B: Regulatory Intelligence (Initiatives 2 + 3 + 8)</w:t>
      </w:r>
      <w:r>
        <w:rPr>
          <w:rFonts w:ascii="Arial" w:cs="Arial" w:eastAsia="Arial" w:hAnsi="Arial"/>
          <w:sz w:val="22"/>
          <w:szCs w:val="22"/>
        </w:rPr>
        <w:t xml:space="preserve"> — The CCAR Automation Platform, Regulatory Reporting Platform, and Model Risk Management system share underlying NLP infrastructure, regulatory knowledge bases, and narrative generation capabilities. Building these on a common AI platform reduces total investment by ~25% while ensuring consistency across all regulatory-facing outputs.</w:t>
      </w:r>
    </w:p>
    <w:p>
      <w:pPr>
        <w:spacing w:after="120" w:line="276"/>
      </w:pPr>
      <w:r>
        <w:rPr>
          <w:rFonts w:ascii="Arial" w:cs="Arial" w:eastAsia="Arial" w:hAnsi="Arial"/>
          <w:b/>
          <w:bCs/>
          <w:sz w:val="22"/>
          <w:szCs w:val="22"/>
        </w:rPr>
        <w:t xml:space="preserve">Cluster C: Trading Floor Intelligence (Initiatives 5 + 6 + 7)</w:t>
      </w:r>
      <w:r>
        <w:rPr>
          <w:rFonts w:ascii="Arial" w:cs="Arial" w:eastAsia="Arial" w:hAnsi="Arial"/>
          <w:sz w:val="22"/>
          <w:szCs w:val="22"/>
        </w:rPr>
        <w:t xml:space="preserve"> — Market Surveillance, Predictive Limits, and Counterparty Credit AI all operate on real-time trading data and require similar streaming infrastructure. The Surveillance system’s anomaly detection enhances the Predictive Limits engine’s breach prediction, while Counterparty Credit scoring feeds directly into limit calibration. Building as an integrated suite reduces infrastructure costs by ~30%.</w:t>
      </w:r>
    </w:p>
    <w:p>
      <w:pPr>
        <w:spacing w:after="120" w:line="276"/>
      </w:pPr>
      <w:r>
        <w:rPr>
          <w:rFonts w:ascii="Arial" w:cs="Arial" w:eastAsia="Arial" w:hAnsi="Arial"/>
          <w:b/>
          <w:bCs/>
          <w:sz w:val="22"/>
          <w:szCs w:val="22"/>
        </w:rPr>
        <w:t xml:space="preserve">Cluster D: Workforce Multiplier (Initiative 11 + All Others)</w:t>
      </w:r>
      <w:r>
        <w:rPr>
          <w:rFonts w:ascii="Arial" w:cs="Arial" w:eastAsia="Arial" w:hAnsi="Arial"/>
          <w:sz w:val="22"/>
          <w:szCs w:val="22"/>
        </w:rPr>
        <w:t xml:space="preserve"> — The GenAI Copilot is the user interface layer for the entire ecosystem. As each underlying platform comes online, the copilot gains new capabilities — transforming from a document summarization tool into a comprehensive risk intelligence assistant that can query any system, run any analysis, and generate any report through natural language.</w:t>
      </w:r>
    </w:p>
    <w:p>
      <w:pPr>
        <w:pStyle w:val="Heading2"/>
      </w:pPr>
      <w:r>
        <w:t xml:space="preserve">Recommended Implementation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Initiatives</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c>
          <w:tcPr>
            <w:tcW w:type="dxa" w:w="252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Value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Phase 1: Foundation (Months 1–6)</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 Data Lakehouse + #11 GenAI Copilot</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Build the data foundation that enables everything else. Deploy copilot for immediate productivity wins and organizational buy-in.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$20–35M/yr run-rate by Month 6</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Phase 2: Core Analytics (Months 4–12)</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 VaR Engine + #2 CCAR Automation + #5 Surveillance</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Highest-ROI risk computation initiatives. VaR and CCAR are the two largest cost centers in CIB Risk. Surveillance addresses regulatory imperative.</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$55–$95M/yr cumulative by Month 12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Phase 3: Expansion (Months 9–18)</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 Regulatory Reporting + #6 Predictive Limits + #7 Counterparty AI</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Builds on Phase 2 infrastructure. Regulatory reporting leverages CCAR NLP stack. Limits and counterparty leverage VaR engine.</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$100–$180M/yr cumulative by Month 18</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Phase 4: Maturity (Months 15–24)</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#8 Model Risk + #9 Liquidity + #10 Op Risk + #12 Climate</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Remaining initiatives build on mature platform. Each is independently valuable but benefits from ecosystem effects.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$150–$300M+/yr at full deployment</w:t>
            </w:r>
          </w:p>
        </w:tc>
      </w:tr>
    </w:tbl>
    <w:p>
      <w:r>
        <w:br w:type="page"/>
      </w:r>
    </w:p>
    <w:p>
      <w:pPr>
        <w:pStyle w:val="Heading1"/>
      </w:pPr>
      <w:r>
        <w:t xml:space="preserve">Risk Factors &amp; Governance Framework</w:t>
      </w:r>
    </w:p>
    <w:p>
      <w:pPr>
        <w:pStyle w:val="Heading2"/>
      </w:pPr>
      <w:r>
        <w:t xml:space="preserve">Key Risks</w:t>
      </w:r>
    </w:p>
    <w:p>
      <w:pPr>
        <w:spacing w:after="120" w:line="276"/>
      </w:pPr>
      <w:r>
        <w:rPr>
          <w:rFonts w:ascii="Arial" w:cs="Arial" w:eastAsia="Arial" w:hAnsi="Arial"/>
          <w:b/>
          <w:bCs/>
          <w:sz w:val="22"/>
          <w:szCs w:val="22"/>
        </w:rPr>
        <w:t xml:space="preserve">Model Risk: </w:t>
      </w:r>
      <w:r>
        <w:rPr>
          <w:rFonts w:ascii="Arial" w:cs="Arial" w:eastAsia="Arial" w:hAnsi="Arial"/>
          <w:sz w:val="22"/>
          <w:szCs w:val="22"/>
        </w:rPr>
        <w:t xml:space="preserve">AI risk models introduce second-order model risk. Mitigation: Initiative 8 (MRM) specifically addresses this through automated validation, continuous monitoring, and explainability requirements (SHAP/LIME). All production models require SR 11-7 compliant validation before deployment.</w:t>
      </w:r>
    </w:p>
    <w:p>
      <w:pPr>
        <w:spacing w:after="120" w:line="276"/>
      </w:pPr>
      <w:r>
        <w:rPr>
          <w:rFonts w:ascii="Arial" w:cs="Arial" w:eastAsia="Arial" w:hAnsi="Arial"/>
          <w:b/>
          <w:bCs/>
          <w:sz w:val="22"/>
          <w:szCs w:val="22"/>
        </w:rPr>
        <w:t xml:space="preserve">Data Quality Risk: </w:t>
      </w:r>
      <w:r>
        <w:rPr>
          <w:rFonts w:ascii="Arial" w:cs="Arial" w:eastAsia="Arial" w:hAnsi="Arial"/>
          <w:sz w:val="22"/>
          <w:szCs w:val="22"/>
        </w:rPr>
        <w:t xml:space="preserve">AI outputs are only as good as input data. Mitigation: Initiative 4 (Data Lakehouse) includes comprehensive data quality monitoring, lineage tracking, and automated reconciliation. No AI model deploys without certified data quality scores.</w:t>
      </w:r>
    </w:p>
    <w:p>
      <w:pPr>
        <w:spacing w:after="120" w:line="276"/>
      </w:pPr>
      <w:r>
        <w:rPr>
          <w:rFonts w:ascii="Arial" w:cs="Arial" w:eastAsia="Arial" w:hAnsi="Arial"/>
          <w:b/>
          <w:bCs/>
          <w:sz w:val="22"/>
          <w:szCs w:val="22"/>
        </w:rPr>
        <w:t xml:space="preserve">Regulatory Risk: </w:t>
      </w:r>
      <w:r>
        <w:rPr>
          <w:rFonts w:ascii="Arial" w:cs="Arial" w:eastAsia="Arial" w:hAnsi="Arial"/>
          <w:sz w:val="22"/>
          <w:szCs w:val="22"/>
        </w:rPr>
        <w:t xml:space="preserve">Regulators are still developing AI governance frameworks. Mitigation: WFC’s existing responsible AI framework and Stanford HAI partnership provide a strong foundation. All initiatives include explainability layers and human-in-the-loop controls. Proactive engagement with OCC and Fed on AI-powered risk management approaches.</w:t>
      </w:r>
    </w:p>
    <w:p>
      <w:pPr>
        <w:spacing w:after="120" w:line="276"/>
      </w:pPr>
      <w:r>
        <w:rPr>
          <w:rFonts w:ascii="Arial" w:cs="Arial" w:eastAsia="Arial" w:hAnsi="Arial"/>
          <w:b/>
          <w:bCs/>
          <w:sz w:val="22"/>
          <w:szCs w:val="22"/>
        </w:rPr>
        <w:t xml:space="preserve">Execution Risk: </w:t>
      </w:r>
      <w:r>
        <w:rPr>
          <w:rFonts w:ascii="Arial" w:cs="Arial" w:eastAsia="Arial" w:hAnsi="Arial"/>
          <w:sz w:val="22"/>
          <w:szCs w:val="22"/>
        </w:rPr>
        <w:t xml:space="preserve">Large-scale technology transformation programs have historically high failure rates. Mitigation: Phased implementation with clear gates, quick-win initiatives (#11 Copilot) to build organizational momentum, and dedicated executive sponsorship.</w:t>
      </w:r>
    </w:p>
    <w:p>
      <w:pPr>
        <w:spacing w:after="120" w:line="276"/>
      </w:pPr>
      <w:r>
        <w:rPr>
          <w:rFonts w:ascii="Arial" w:cs="Arial" w:eastAsia="Arial" w:hAnsi="Arial"/>
          <w:b/>
          <w:bCs/>
          <w:sz w:val="22"/>
          <w:szCs w:val="22"/>
        </w:rPr>
        <w:t xml:space="preserve">Talent Risk: </w:t>
      </w:r>
      <w:r>
        <w:rPr>
          <w:rFonts w:ascii="Arial" w:cs="Arial" w:eastAsia="Arial" w:hAnsi="Arial"/>
          <w:sz w:val="22"/>
          <w:szCs w:val="22"/>
        </w:rPr>
        <w:t xml:space="preserve">AI talent is scarce and expensive. The intersection of risk management expertise and ML engineering capability is particularly thin. Mitigation: Hybrid approach combining internal upskilling (Mo’s team and risk analysts with quantitative backgrounds), strategic hiring, and managed AI vendor partnerships.</w:t>
      </w:r>
    </w:p>
    <w:p>
      <w:pPr>
        <w:pStyle w:val="Heading2"/>
      </w:pPr>
      <w:r>
        <w:t xml:space="preserve">Governance Structure</w:t>
      </w:r>
    </w:p>
    <w:p>
      <w:pPr>
        <w:spacing w:after="120" w:line="276"/>
      </w:pPr>
      <w:r>
        <w:rPr>
          <w:rFonts w:ascii="Arial" w:cs="Arial" w:eastAsia="Arial" w:hAnsi="Arial"/>
          <w:sz w:val="22"/>
          <w:szCs w:val="22"/>
        </w:rPr>
        <w:t xml:space="preserve">All initiatives operate under a three-tier governance framework: (1) Strategic Steering Committee (CRO, CTO, CIB Risk Head): quarterly reviews of portfolio progress, resource allocation, and strategic alignment. (2) Technical Architecture Board: monthly reviews of model performance, data quality, and infrastructure capacity. (3) Regulatory Engagement Working Group: continuous engagement with OCC and Fed examination teams on AI-powered risk management approaches, ensuring transparency and proactive dialogue.</w:t>
      </w:r>
    </w:p>
    <w:p>
      <w:r>
        <w:br w:type="page"/>
      </w:r>
    </w:p>
    <w:p>
      <w:pPr>
        <w:pStyle w:val="Heading1"/>
      </w:pPr>
      <w:r>
        <w:t xml:space="preserve">Financial Summary &amp; ROI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Initiative</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Savings (Low)</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Savings (High)</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Investment (Low)</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vAlign w:val="center"/>
          </w:tcPr>
          <w:p>
            <w:r>
              <w:rPr>
                <w:rFonts w:ascii="Arial" w:cs="Arial" w:eastAsia="Arial" w:hAnsi="Arial"/>
                <w:b/>
                <w:bCs/>
                <w:color w:val="FFFFFF"/>
                <w:sz w:val="20"/>
                <w:szCs w:val="20"/>
              </w:rPr>
              <w:t xml:space="preserve">Investment (High)</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 AI VaR Engine</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$35M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$8M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$12M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2. CCAR Automation</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$30M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$15M</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3. Regulatory Reporting</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$20M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$30M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$7M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$10M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4. Data Lakehouse</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$12M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$18M</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5. Market Surveillance</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$9M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6. Predictive Limits</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$8M</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7. Counterparty Credit AI</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$10M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8. Model Risk Management</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$8M</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9. Liquidity Intelligence</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$10M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$20M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$7M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10. Operational Risk AI</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$8M</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19"/>
                <w:szCs w:val="19"/>
              </w:rPr>
              <w:t xml:space="preserve">11. GenAI Copilot</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$15M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$25M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$4M</w:t>
            </w:r>
          </w:p>
        </w:tc>
        <w:tc>
          <w:tcPr>
            <w:tcW w:type="dxa" w:w="16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9"/>
                <w:szCs w:val="19"/>
              </w:rPr>
              <w:t xml:space="preserve">$6M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9"/>
                <w:szCs w:val="19"/>
              </w:rPr>
              <w:t xml:space="preserve">12. Climate/ESG Engine</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$5M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$10M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$4M</w:t>
            </w:r>
          </w:p>
        </w:tc>
        <w:tc>
          <w:tcPr>
            <w:tcW w:type="dxa" w:w="16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9"/>
                <w:szCs w:val="19"/>
              </w:rPr>
              <w:t xml:space="preserve">$7M</w:t>
            </w:r>
          </w:p>
        </w:tc>
      </w:tr>
      <w:tr>
        <w:tc>
          <w:tcPr>
            <w:tcW w:type="dxa" w:w="280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20"/>
                <w:szCs w:val="20"/>
              </w:rPr>
              <w:t xml:space="preserve">TOTAL PORTFOLIO</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20"/>
                <w:szCs w:val="20"/>
              </w:rPr>
              <w:t xml:space="preserve">$195M</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20"/>
                <w:szCs w:val="20"/>
              </w:rPr>
              <w:t xml:space="preserve">$325M</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20"/>
                <w:szCs w:val="20"/>
              </w:rPr>
              <w:t xml:space="preserve">$77M</w:t>
            </w:r>
          </w:p>
        </w:tc>
        <w:tc>
          <w:tcPr>
            <w:tcW w:type="dxa" w:w="1640"/>
            <w:tcBorders>
              <w:top w:val="single" w:color="BBBBBB" w:sz="1"/>
              <w:left w:val="single" w:color="BBBBBB" w:sz="1"/>
              <w:bottom w:val="single" w:color="BBBBBB" w:sz="1"/>
              <w:right w:val="single" w:color="BBBBBB" w:sz="1"/>
            </w:tcBorders>
            <w:shd w:fill="1A2B4A" w:val="clear"/>
            <w:tcMar>
              <w:top w:type="dxa" w:w="60"/>
              <w:left w:type="dxa" w:w="100"/>
              <w:bottom w:type="dxa" w:w="60"/>
              <w:right w:type="dxa" w:w="100"/>
            </w:tcMar>
          </w:tcPr>
          <w:p>
            <w:r>
              <w:rPr>
                <w:rFonts w:ascii="Arial" w:cs="Arial" w:eastAsia="Arial" w:hAnsi="Arial"/>
                <w:b/>
                <w:bCs/>
                <w:color w:val="FFFFFF"/>
                <w:sz w:val="20"/>
                <w:szCs w:val="20"/>
              </w:rPr>
              <w:t xml:space="preserve">$118M</w:t>
            </w:r>
          </w:p>
        </w:tc>
      </w:tr>
    </w:tbl>
    <w:p>
      <w:pPr>
        <w:spacing w:after="200"/>
      </w:pPr>
    </w:p>
    <w:p>
      <w:pPr>
        <w:spacing w:after="120" w:line="276"/>
      </w:pPr>
      <w:r>
        <w:rPr>
          <w:rFonts w:ascii="Arial" w:cs="Arial" w:eastAsia="Arial" w:hAnsi="Arial"/>
          <w:sz w:val="22"/>
          <w:szCs w:val="22"/>
        </w:rPr>
        <w:t xml:space="preserve">At the midpoint estimate, the portfolio delivers ~$260M in annual recurring value against ~$98M in one-time investment, yielding a 2.7x Year 1 ROI and a 5-year NPV (at 10% discount rate) of approximately $850M–$1.1B. These figures are conservative: they exclude second-order benefits such as regulatory capital optimization (potentially $500M–$1B+ in freed capital), reputational value of AI leadership, revenue uplift from faster trading desk responses, and talent attraction/retention benefits.</w:t>
      </w:r>
    </w:p>
    <w:p>
      <w:pPr>
        <w:pStyle w:val="Heading2"/>
      </w:pPr>
      <w:r>
        <w:t xml:space="preserve">Comparison to Peer Investment</w:t>
      </w:r>
    </w:p>
    <w:p>
      <w:pPr>
        <w:spacing w:after="120" w:line="276"/>
      </w:pPr>
      <w:r>
        <w:rPr>
          <w:rFonts w:ascii="Arial" w:cs="Arial" w:eastAsia="Arial" w:hAnsi="Arial"/>
          <w:sz w:val="22"/>
          <w:szCs w:val="22"/>
        </w:rPr>
        <w:t xml:space="preserve">JPMorgan’s $1.3B annual AI investment generating $1.5–$2.0B in value represents a ~1.3–1.5x annual return. This roadmap proposes $77–$118M in investment for $195–$325M in annual returns — a 2.5–2.8x return — achievable because it targets the highest-density ROI use cases in CIB risk rather than attempting enterprise-wide transformation simultaneously. The focused, surgical approach delivers outsized returns relative to investment and can be expanded based on proven results.</w:t>
      </w:r>
    </w:p>
    <w:p>
      <w:r>
        <w:br w:type="page"/>
      </w:r>
    </w:p>
    <w:p>
      <w:pPr>
        <w:pStyle w:val="Heading1"/>
      </w:pPr>
      <w:r>
        <w:t xml:space="preserve">Conclusion &amp; Call to Action</w:t>
      </w:r>
    </w:p>
    <w:p>
      <w:pPr>
        <w:spacing w:after="120" w:line="276"/>
      </w:pPr>
      <w:r>
        <w:rPr>
          <w:rFonts w:ascii="Arial" w:cs="Arial" w:eastAsia="Arial" w:hAnsi="Arial"/>
          <w:sz w:val="22"/>
          <w:szCs w:val="22"/>
        </w:rPr>
        <w:t xml:space="preserve">The window for AI leadership in CIB risk management is narrowing. JPMorgan’s 450+ production use cases, Goldman’s 46,500-employee AI deployment, and the emergence of AI-native trading competitors represent an accelerating competitive dynamic. Every quarter of delay increases the cost of catching up and widens the capability gap.</w:t>
      </w:r>
    </w:p>
    <w:p>
      <w:pPr>
        <w:spacing w:after="120" w:line="276"/>
      </w:pPr>
      <w:r>
        <w:rPr>
          <w:rFonts w:ascii="Arial" w:cs="Arial" w:eastAsia="Arial" w:hAnsi="Arial"/>
          <w:sz w:val="22"/>
          <w:szCs w:val="22"/>
        </w:rPr>
        <w:t xml:space="preserve">This roadmap presents 12 interlocking initiatives that collectively transform CIB Risk from a cost center into a competitive advantage. The phased approach — starting with quick wins (GenAI Copilot, Data Lakehouse) and building toward transformative capabilities (Continuous Stress Testing, Predictive Limits) — manages execution risk while delivering measurable returns within 6 months.</w:t>
      </w:r>
    </w:p>
    <w:p>
      <w:pPr>
        <w:spacing w:after="120" w:line="276"/>
      </w:pPr>
      <w:r>
        <w:rPr>
          <w:rFonts w:ascii="Arial" w:cs="Arial" w:eastAsia="Arial" w:hAnsi="Arial"/>
          <w:sz w:val="22"/>
          <w:szCs w:val="22"/>
        </w:rPr>
        <w:t xml:space="preserve">The ask: executive sponsorship for Phase 1 deployment ($16–24M investment for $20–35M in Year 1 returns), with Phase 2 gate approval contingent on demonstrated results. Wells Fargo has the data, the regulatory motivation, and the existing technology partnerships (Google Cloud, responsible AI frameworks) to execute this roadmap. The question is not whether to pursue AI transformation in CIB risk, but how quickly we can move.</w:t>
      </w:r>
    </w:p>
    <w:p>
      <w:pPr>
        <w:spacing w:after="400"/>
      </w:pPr>
    </w:p>
    <w:p>
      <w:pPr>
        <w:pStyle w:val="Heading2"/>
      </w:pPr>
      <w:r>
        <w:t xml:space="preserve">Sources &amp; References</w:t>
      </w:r>
    </w:p>
    <w:p>
      <w:pPr>
        <w:spacing w:after="120" w:line="276"/>
      </w:pPr>
      <w:r>
        <w:rPr>
          <w:rFonts w:ascii="Arial" w:cs="Arial" w:eastAsia="Arial" w:hAnsi="Arial"/>
          <w:sz w:val="22"/>
          <w:szCs w:val="22"/>
        </w:rPr>
        <w:t xml:space="preserve">Evident AI Index (2023–2025); JPMorgan Chase Investor Day (May 2025); Goldman Sachs AI Strategy Analysis (Klover.ai, July 2025); Training the Street “State of AI in Finance: 2025 Global Outlook”; IBM Institute for Business Value “Banking in the AI Era” (2025); McKinsey &amp; Company Banking AI benchmarks; PwC 2025 Pulse Survey; Accenture Banking AI Study (2025); Federal Reserve CCAR/DFAST documentation; IOSCO AI Governance Consultation Report (March 2025); FSB AI Systemic Risk Report (November 2024); Wall Street Prep AI in Risk Management Guide (August 2025); Wells Fargo AI Strategy Analysis (Klover.ai, July 2025); American Banker “How Wells Fargo is Building Agentic AI” (November 2025); Bank Policy Institute DFAST 2025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1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4A7F"/>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2026-02-10T23:27:42.462Z</dcterms:created>
  <dcterms:modified xsi:type="dcterms:W3CDTF">2026-02-10T23:27:42.463Z</dcterms:modified>
</cp:coreProperties>
</file>

<file path=docProps/custom.xml><?xml version="1.0" encoding="utf-8"?>
<Properties xmlns="http://schemas.openxmlformats.org/officeDocument/2006/custom-properties" xmlns:vt="http://schemas.openxmlformats.org/officeDocument/2006/docPropsVTypes"/>
</file>