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center"/>
      </w:pPr>
      <w:r>
        <w:rPr>
          <w:rFonts w:ascii="Arial" w:cs="Arial" w:eastAsia="Arial" w:hAnsi="Arial"/>
          <w:b/>
          <w:bCs/>
          <w:color w:val="1B2A4A"/>
          <w:sz w:val="48"/>
          <w:szCs w:val="48"/>
        </w:rPr>
        <w:t xml:space="preserve">WEEKLY CRO RISK INTELLIGENCE BRIEF</w:t>
      </w:r>
    </w:p>
    <w:p>
      <w:pPr>
        <w:pBdr>
          <w:bottom w:val="single" w:color="2E75B6" w:sz="3"/>
        </w:pBdr>
        <w:spacing w:before="200" w:after="200"/>
        <w:jc w:val="center"/>
      </w:pPr>
      <w:r>
        <w:rPr>
          <w:rFonts w:ascii="Arial" w:cs="Arial" w:eastAsia="Arial" w:hAnsi="Arial"/>
          <w:color w:val="2E75B6"/>
          <w:sz w:val="28"/>
          <w:szCs w:val="28"/>
        </w:rPr>
        <w:t xml:space="preserve">Corporate &amp; Investment Banking Division</w:t>
      </w:r>
    </w:p>
    <w:p>
      <w:pPr>
        <w:spacing w:before="400"/>
        <w:jc w:val="center"/>
      </w:pPr>
      <w:r>
        <w:rPr>
          <w:rFonts w:ascii="Arial" w:cs="Arial" w:eastAsia="Arial" w:hAnsi="Arial"/>
          <w:color w:val="5D6D7E"/>
          <w:sz w:val="24"/>
          <w:szCs w:val="24"/>
        </w:rPr>
        <w:t xml:space="preserve">Reporting Date: February 5, 2026</w:t>
      </w:r>
    </w:p>
    <w:p>
      <w:pPr>
        <w:spacing w:before="100"/>
        <w:jc w:val="center"/>
      </w:pPr>
      <w:r>
        <w:rPr>
          <w:rFonts w:ascii="Arial" w:cs="Arial" w:eastAsia="Arial" w:hAnsi="Arial"/>
          <w:color w:val="5D6D7E"/>
          <w:sz w:val="22"/>
          <w:szCs w:val="22"/>
        </w:rPr>
        <w:t xml:space="preserve">Forward Outlook: 1-4 Weeks Primary  |  1-3 Months Secondary</w:t>
      </w:r>
    </w:p>
    <w:p>
      <w:pPr>
        <w:spacing w:before="600"/>
        <w:jc w:val="center"/>
      </w:pPr>
      <w:r>
        <w:rPr>
          <w:rFonts w:ascii="Arial" w:cs="Arial" w:eastAsia="Arial" w:hAnsi="Arial"/>
          <w:b/>
          <w:bCs/>
          <w:color w:val="C0392B"/>
          <w:sz w:val="20"/>
          <w:szCs w:val="20"/>
        </w:rPr>
        <w:t xml:space="preserve">CLASSIFICATION: CONFIDENTIAL  |  FOR INTERNAL USE ONLY</w:t>
      </w:r>
    </w:p>
    <w:p>
      <w:pPr>
        <w:spacing w:before="200"/>
        <w:jc w:val="center"/>
      </w:pPr>
      <w:r>
        <w:rPr>
          <w:rFonts w:ascii="Arial" w:cs="Arial" w:eastAsia="Arial" w:hAnsi="Arial"/>
          <w:color w:val="5D6D7E"/>
          <w:sz w:val="20"/>
          <w:szCs w:val="20"/>
        </w:rPr>
        <w:t xml:space="preserve">Prepared by: Chief Market Risk Officer, Market Risk Analytics</w:t>
      </w:r>
    </w:p>
    <w:p>
      <w:pPr>
        <w:spacing w:before="100"/>
        <w:jc w:val="center"/>
      </w:pPr>
      <w:r>
        <w:rPr>
          <w:rFonts w:ascii="Arial" w:cs="Arial" w:eastAsia="Arial" w:hAnsi="Arial"/>
          <w:color w:val="5D6D7E"/>
          <w:sz w:val="18"/>
          <w:szCs w:val="18"/>
        </w:rPr>
        <w:t xml:space="preserve">Distribution: CRO, CEO, CFO, Treasurer, Business Line Heads, Board Risk Committee</w:t>
      </w:r>
    </w:p>
    <w:p>
      <w:r>
        <w:br w:type="page"/>
      </w:r>
    </w:p>
    <w:p>
      <w:pPr>
        <w:pStyle w:val="Heading1"/>
        <w:spacing w:before="360" w:after="200"/>
      </w:pPr>
      <w:r>
        <w:rPr>
          <w:rFonts w:ascii="Arial" w:cs="Arial" w:eastAsia="Arial" w:hAnsi="Arial"/>
          <w:b/>
          <w:bCs/>
          <w:color w:val="1B2A4A"/>
          <w:sz w:val="32"/>
          <w:szCs w:val="32"/>
        </w:rPr>
        <w:t xml:space="preserve">SECTION I: EXECUTIVE SUMMARY</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Overall Risk Posture</w:t>
      </w:r>
    </w:p>
    <w:p>
      <w:pPr>
        <w:spacing w:before="80" w:after="80" w:line="276"/>
        <w:jc w:val="left"/>
      </w:pPr>
      <w:r>
        <w:rPr>
          <w:rFonts w:ascii="Arial" w:cs="Arial" w:eastAsia="Arial" w:hAnsi="Arial"/>
          <w:b/>
          <w:bCs/>
          <w:color w:val="1B2A4A"/>
          <w:sz w:val="24"/>
          <w:szCs w:val="24"/>
        </w:rPr>
        <w:t xml:space="preserve">RECOMMENDATION: </w:t>
      </w:r>
      <w:r>
        <w:rPr>
          <w:rFonts w:ascii="Arial" w:cs="Arial" w:eastAsia="Arial" w:hAnsi="Arial"/>
          <w:b/>
          <w:bCs/>
          <w:color w:val="E67E22"/>
          <w:sz w:val="24"/>
          <w:szCs w:val="24"/>
        </w:rPr>
        <w:t xml:space="preserve">CAUTIOUS</w:t>
      </w:r>
      <w:r>
        <w:rPr>
          <w:rFonts w:ascii="Arial" w:cs="Arial" w:eastAsia="Arial" w:hAnsi="Arial"/>
          <w:color w:val="5D6D7E"/>
          <w:sz w:val="20"/>
          <w:szCs w:val="20"/>
        </w:rPr>
        <w:t xml:space="preserve">  (Maintain current exposure with selective hedging; reduce concentrated tech/AI positioning)</w:t>
      </w:r>
    </w:p>
    <w:p>
      <w:pPr>
        <w:spacing w:before="80" w:after="80" w:line="276"/>
        <w:jc w:val="left"/>
      </w:pPr>
      <w:r>
        <w:rPr>
          <w:rFonts w:ascii="Arial" w:cs="Arial" w:eastAsia="Arial" w:hAnsi="Arial"/>
          <w:color w:val="2C3E50"/>
          <w:sz w:val="20"/>
          <w:szCs w:val="20"/>
        </w:rPr>
        <w:t xml:space="preserve">The risk environment shifted materially this week from neutral-to-constructive toward cautious-to-defensive, driven by a violent rotation out of technology and AI-exposed equities that erased $1.35 trillion from Magnificent 7 valuations in four trading days. What changed is the market's tolerance for hyperscaler capital expenditure: Alphabet's disclosure of $175-185 billion in planned 2026 capex, followed by Amazon's $200 billion figure and an 8% after-hours collapse on February 5, has reframed the AI trade from a growth opportunity into a potential margin-destroying arms race. Combined hyperscaler spending now exceeds $630 billion for 2026, and the market is asking whether these investments will ever generate adequate returns.</w:t>
      </w:r>
    </w:p>
    <w:p>
      <w:pPr>
        <w:spacing w:before="80" w:after="80" w:line="276"/>
        <w:jc w:val="left"/>
      </w:pPr>
      <w:r>
        <w:rPr>
          <w:rFonts w:ascii="Arial" w:cs="Arial" w:eastAsia="Arial" w:hAnsi="Arial"/>
          <w:color w:val="2C3E50"/>
          <w:sz w:val="20"/>
          <w:szCs w:val="20"/>
        </w:rPr>
        <w:t xml:space="preserve">The dominant theme across risk stripes is a late-cycle growth scare colliding with a Fed leadership transition and elevated geopolitical uncertainty. Labor market data deteriorated across every indicator this week: ADP payrolls printed +22K versus 48K expected, initial jobless claims jumped to 231K, and Challenger job cuts hit 108,400 in January, the highest for that month since 2009. The BLS annual benchmark revision on February 11 will subtract approximately 911,000 jobs from the prior twelve months of payroll data, fundamentally altering the employment narrative. What keeps us up at night is the convergence of these growth concerns with the US-Iran nuclear talks in Oman on February 6-7, where a failure in negotiations could trigger military escalation and a $10-25 per barrel oil price spike atop an already fragile equity market. The S&amp;P 500 has turned negative for the year at 6,798, the VIX has breached 20, and Bitcoin's 13.6% single-day crash to $63,625 signals broader risk deleveraging. We recommend maintaining current hedges, reducing Magnificent 7 net delta by 15-20%, and adding downside protection through SPX put spreads ahead of the February 11 employment report.</w:t>
      </w:r>
    </w:p>
    <w:p>
      <w:pPr>
        <w:pStyle w:val="Heading2"/>
        <w:spacing w:before="280" w:after="160"/>
      </w:pPr>
      <w:r>
        <w:rPr>
          <w:rFonts w:ascii="Arial" w:cs="Arial" w:eastAsia="Arial" w:hAnsi="Arial"/>
          <w:b/>
          <w:bCs/>
          <w:color w:val="2E75B6"/>
          <w:sz w:val="26"/>
          <w:szCs w:val="26"/>
        </w:rPr>
        <w:t xml:space="preserve">Top 5 Priority Risks</w:t>
      </w:r>
    </w:p>
    <w:p>
      <w:pPr>
        <w:spacing w:before="200" w:after="120"/>
      </w:pPr>
      <w:r>
        <w:rPr>
          <w:rFonts w:ascii="Arial" w:cs="Arial" w:eastAsia="Arial" w:hAnsi="Arial"/>
          <w:b/>
          <w:bCs/>
          <w:color w:val="0F1B33"/>
          <w:sz w:val="22"/>
          <w:szCs w:val="22"/>
        </w:rPr>
        <w:t xml:space="preserve">1. AI/Tech Valuation Correction</w:t>
      </w:r>
    </w:p>
    <w:p>
      <w:pPr>
        <w:spacing w:before="80" w:after="80" w:line="276"/>
        <w:jc w:val="left"/>
      </w:pPr>
      <w:r>
        <w:rPr>
          <w:rFonts w:ascii="Arial" w:cs="Arial" w:eastAsia="Arial" w:hAnsi="Arial"/>
          <w:color w:val="2C3E50"/>
          <w:sz w:val="20"/>
          <w:szCs w:val="20"/>
        </w:rPr>
        <w:t xml:space="preserve">This risk spans market risk, credit risk, and concentration risk simultaneously. The catalyst has arrived: hyperscaler capex guidance collectively exceeding $630 billion has broken the narrative that AI investment translates directly to profit growth. Amazon's 8% after-hours decline on February 5 following a $200 billion capex announcement and slight EPS miss ($1.95 versus $1.97 consensus) demonstrates that the market's patience for AI spending without proportional revenue has reached its limit. The Magnificent 7 have lost $1.35 trillion in market capitalization this week, with the Nasdaq down 3.9% and sector rotation accelerating into energy (+3.2%), materials (+2.1%), and consumer staples (+1.6%). We assess a 45% probability of a further 10-15% Nasdaq correction over the next 60 days, with potential P&amp;L impact of $150-400 million across equity, credit, and volatility books. The velocity is high because dealer gamma exposure has turned negative, meaning market-maker hedging will amplify rather than dampen moves. Our recommended response is to reduce Mag7 equity delta by 15-20% immediately, add March SPX 6,500/6,300 put spreads, and review single-name credit exposure to high-capex, low-free-cash-flow technology names.</w:t>
      </w:r>
    </w:p>
    <w:p>
      <w:pPr>
        <w:spacing w:before="200" w:after="120"/>
      </w:pPr>
      <w:r>
        <w:rPr>
          <w:rFonts w:ascii="Arial" w:cs="Arial" w:eastAsia="Arial" w:hAnsi="Arial"/>
          <w:b/>
          <w:bCs/>
          <w:color w:val="0F1B33"/>
          <w:sz w:val="22"/>
          <w:szCs w:val="22"/>
        </w:rPr>
        <w:t xml:space="preserve">2. US-Iran Military Escalation</w:t>
      </w:r>
    </w:p>
    <w:p>
      <w:pPr>
        <w:spacing w:before="80" w:after="80" w:line="276"/>
        <w:jc w:val="left"/>
      </w:pPr>
      <w:r>
        <w:rPr>
          <w:rFonts w:ascii="Arial" w:cs="Arial" w:eastAsia="Arial" w:hAnsi="Arial"/>
          <w:color w:val="2C3E50"/>
          <w:sz w:val="20"/>
          <w:szCs w:val="20"/>
        </w:rPr>
        <w:t xml:space="preserve">This risk primarily affects commodities, FX, and rates, with secondary impacts on equities and credit. Iran confirmed nuclear negotiations with the United States in Oman for February 6-7, but a fundamental scope disagreement persists: Tehran insists on nuclear-only discussions while Washington demands a broader agenda covering missiles, proxy forces, and human rights. Prediction markets currently price a US military strike on Iranian nuclear facilities as likely in March if these talks fail. WTI crude at $63.50 has already shed its geopolitical premium on the prospect of diplomacy, which means the downside is limited but the upside risk is explosive. We assign a 25% probability of meaningful escalation within 90 days, with potential P&amp;L impact of $200-600 million if Strait of Hormuz transit is disrupted. Velocity would be very high as energy markets would gap overnight. Our hedging recommendation includes oil call spreads at $70-80 WTI, gold long positioning, VIX upside calls, and pre-positioned safe-haven allocations in Swiss franc and Japanese yen.</w:t>
      </w:r>
    </w:p>
    <w:p>
      <w:pPr>
        <w:spacing w:before="200" w:after="120"/>
      </w:pPr>
      <w:r>
        <w:rPr>
          <w:rFonts w:ascii="Arial" w:cs="Arial" w:eastAsia="Arial" w:hAnsi="Arial"/>
          <w:b/>
          <w:bCs/>
          <w:color w:val="0F1B33"/>
          <w:sz w:val="22"/>
          <w:szCs w:val="22"/>
        </w:rPr>
        <w:t xml:space="preserve">3. Labor Market Deterioration and Recession Risk</w:t>
      </w:r>
    </w:p>
    <w:p>
      <w:pPr>
        <w:spacing w:before="80" w:after="80" w:line="276"/>
        <w:jc w:val="left"/>
      </w:pPr>
      <w:r>
        <w:rPr>
          <w:rFonts w:ascii="Arial" w:cs="Arial" w:eastAsia="Arial" w:hAnsi="Arial"/>
          <w:color w:val="2C3E50"/>
          <w:sz w:val="20"/>
          <w:szCs w:val="20"/>
        </w:rPr>
        <w:t xml:space="preserve">This risk cuts across rates, credit, equities, and liquidity. The evidence of labor market weakening has become undeniable: January ADP at +22K (versus +48K expected), initial claims at 231K (versus 212K), Challenger job cuts at 108,400 (highest January since 2009), and December NFP revised to just +50K. The February 11 NFP release will be accompanied by the BLS annual benchmark revision that will subtract 911,000 jobs from the trailing twelve months, a 0.6% reduction that will reshape the Fed's reaction function. Unemployment has risen to 4.4%. We assign a 35% probability that the economy enters a technical recession within 6 months, with a $100-250 million impact across our trading books as credit spreads widen, equity multiples compress, and rate volatility spikes. The velocity is medium because labor market deterioration is gradual, but the benchmark revision could trigger an abrupt repricing on February 11. Our recommendation is to extend duration in the 5-10Y sector, tilt credit quality from BB/B toward BB+/BBB-, and pre-position for NFP-day volatility with 10Y Treasury straddles.</w:t>
      </w:r>
    </w:p>
    <w:p>
      <w:pPr>
        <w:spacing w:before="200" w:after="120"/>
      </w:pPr>
      <w:r>
        <w:rPr>
          <w:rFonts w:ascii="Arial" w:cs="Arial" w:eastAsia="Arial" w:hAnsi="Arial"/>
          <w:b/>
          <w:bCs/>
          <w:color w:val="0F1B33"/>
          <w:sz w:val="22"/>
          <w:szCs w:val="22"/>
        </w:rPr>
        <w:t xml:space="preserve">4. Fed Leadership Transition Uncertainty</w:t>
      </w:r>
    </w:p>
    <w:p>
      <w:pPr>
        <w:spacing w:before="80" w:after="80" w:line="276"/>
        <w:jc w:val="left"/>
      </w:pPr>
      <w:r>
        <w:rPr>
          <w:rFonts w:ascii="Arial" w:cs="Arial" w:eastAsia="Arial" w:hAnsi="Arial"/>
          <w:color w:val="2C3E50"/>
          <w:sz w:val="20"/>
          <w:szCs w:val="20"/>
        </w:rPr>
        <w:t xml:space="preserve">This risk is centered on rates and FX but propagates to all asset classes through expectations channels. Kevin Warsh was nominated as Federal Reserve Chair on January 30 to replace Jerome Powell, with Senate confirmation hearings expected in early March. However, Senator Tillis is blocking the vote until a DOJ probe of the Fed is resolved, introducing meaningful confirmation delay risk. The January FOMC held at 3.50-3.75% with a 10-8 vote, where Waller and Miran dissented in favor of a cut. Markets price two cuts by December 2026 with a first cut in June at approximately 65% probability. Warsh is historically hawkish but has recently aligned with the administration's push for lower rates. We assign a 60% probability that Warsh is confirmed by May 15, with a $50-150 million impact from rates volatility during the transition period. Velocity is low since the process unfolds over months. Premature vol selling in rates is our key concern; we recommend maintaining neutral duration positioning until the confirmation picture clarifies.</w:t>
      </w:r>
    </w:p>
    <w:p>
      <w:pPr>
        <w:spacing w:before="200" w:after="120"/>
      </w:pPr>
      <w:r>
        <w:rPr>
          <w:rFonts w:ascii="Arial" w:cs="Arial" w:eastAsia="Arial" w:hAnsi="Arial"/>
          <w:b/>
          <w:bCs/>
          <w:color w:val="0F1B33"/>
          <w:sz w:val="22"/>
          <w:szCs w:val="22"/>
        </w:rPr>
        <w:t xml:space="preserve">5. Crypto Contagion and Counterparty Risk</w:t>
      </w:r>
    </w:p>
    <w:p>
      <w:pPr>
        <w:spacing w:before="80" w:after="80" w:line="276"/>
        <w:jc w:val="left"/>
      </w:pPr>
      <w:r>
        <w:rPr>
          <w:rFonts w:ascii="Arial" w:cs="Arial" w:eastAsia="Arial" w:hAnsi="Arial"/>
          <w:color w:val="2C3E50"/>
          <w:sz w:val="20"/>
          <w:szCs w:val="20"/>
        </w:rPr>
        <w:t xml:space="preserve">This risk affects counterparty credit risk, market risk in equities, and concentration risk. Bitcoin collapsed 13.6% in a single session to $63,625 on February 5, breaking critical technical support at $81,000 and falling 32% year-to-date. This is not merely a crypto event: it signals broader risk deleveraging and carries contagion pathways to our counterparty exposures through crypto-exposed hedge funds, exchanges, and prime brokerage relationships. The next support level is $60,000, and a breach would likely trigger forced liquidations across leveraged crypto positions. We assign a 30% probability of further significant contagion within 30 days, with potential exposure of $30-100 million through counterparty channels. Velocity is high given the leveraged nature of crypto markets. We recommend an immediate review of all counterparty crypto exposures, reduction of crypto collateral haircuts by 10 percentage points, and enhanced daily monitoring of crypto-exposed counterparties.</w:t>
      </w:r>
    </w:p>
    <w:p>
      <w:pPr>
        <w:pStyle w:val="Heading2"/>
        <w:spacing w:before="280" w:after="160"/>
      </w:pPr>
      <w:r>
        <w:rPr>
          <w:rFonts w:ascii="Arial" w:cs="Arial" w:eastAsia="Arial" w:hAnsi="Arial"/>
          <w:b/>
          <w:bCs/>
          <w:color w:val="2E75B6"/>
          <w:sz w:val="26"/>
          <w:szCs w:val="26"/>
        </w:rPr>
        <w:t xml:space="preserve">Top 3 Opportunities</w:t>
      </w:r>
    </w:p>
    <w:p>
      <w:pPr>
        <w:spacing w:before="200" w:after="120"/>
      </w:pPr>
      <w:r>
        <w:rPr>
          <w:rFonts w:ascii="Arial" w:cs="Arial" w:eastAsia="Arial" w:hAnsi="Arial"/>
          <w:b/>
          <w:bCs/>
          <w:color w:val="0F1B33"/>
          <w:sz w:val="22"/>
          <w:szCs w:val="22"/>
        </w:rPr>
        <w:t xml:space="preserve">1. Value and Cyclical Rotation Trade</w:t>
      </w:r>
    </w:p>
    <w:p>
      <w:pPr>
        <w:spacing w:before="80" w:after="80" w:line="276"/>
        <w:jc w:val="left"/>
      </w:pPr>
      <w:r>
        <w:rPr>
          <w:rFonts w:ascii="Arial" w:cs="Arial" w:eastAsia="Arial" w:hAnsi="Arial"/>
          <w:color w:val="2C3E50"/>
          <w:sz w:val="20"/>
          <w:szCs w:val="20"/>
        </w:rPr>
        <w:t xml:space="preserve">The rotation from technology into value and cyclical sectors is the most actionable dislocation this week. Energy gained 3.2%, materials 2.1%, and consumer staples 1.6% while technology lost 4.5%. The Russell 2000 is up 3% year-to-date versus the Nasdaq's 3% decline, a 600 basis point spread that historically signals a sustained rotation. The equity desk should overweight XLE, XLI, and XLV via paired trades against technology shorts, capturing the rotation while limiting directional exposure.</w:t>
      </w:r>
    </w:p>
    <w:p>
      <w:pPr>
        <w:spacing w:before="200" w:after="120"/>
      </w:pPr>
      <w:r>
        <w:rPr>
          <w:rFonts w:ascii="Arial" w:cs="Arial" w:eastAsia="Arial" w:hAnsi="Arial"/>
          <w:b/>
          <w:bCs/>
          <w:color w:val="0F1B33"/>
          <w:sz w:val="22"/>
          <w:szCs w:val="22"/>
        </w:rPr>
        <w:t xml:space="preserve">2. Duration Extension Opportunity</w:t>
      </w:r>
    </w:p>
    <w:p>
      <w:pPr>
        <w:spacing w:before="80" w:after="80" w:line="276"/>
        <w:jc w:val="left"/>
      </w:pPr>
      <w:r>
        <w:rPr>
          <w:rFonts w:ascii="Arial" w:cs="Arial" w:eastAsia="Arial" w:hAnsi="Arial"/>
          <w:color w:val="2C3E50"/>
          <w:sz w:val="20"/>
          <w:szCs w:val="20"/>
        </w:rPr>
        <w:t xml:space="preserve">The 10-year Treasury yield has fallen to 4.21%, dropping 12 basis points this week on labor market fears. With the BLS benchmark revision approaching on February 11 and ADP signaling continued weakness, yields are likely to test 4.00% within 30 days if the recession narrative intensifies. The rates desk should add 5-10Y duration on any backup toward 4.30%, and maintain the 2s10s curve steepener which benefits from both front-end cut pricing and long-end term premium normalization.</w:t>
      </w:r>
    </w:p>
    <w:p>
      <w:pPr>
        <w:spacing w:before="200" w:after="120"/>
      </w:pPr>
      <w:r>
        <w:rPr>
          <w:rFonts w:ascii="Arial" w:cs="Arial" w:eastAsia="Arial" w:hAnsi="Arial"/>
          <w:b/>
          <w:bCs/>
          <w:color w:val="0F1B33"/>
          <w:sz w:val="22"/>
          <w:szCs w:val="22"/>
        </w:rPr>
        <w:t xml:space="preserve">3. Gold Pullback Buying</w:t>
      </w:r>
    </w:p>
    <w:p>
      <w:pPr>
        <w:spacing w:before="80" w:after="80" w:line="276"/>
        <w:jc w:val="left"/>
      </w:pPr>
      <w:r>
        <w:rPr>
          <w:rFonts w:ascii="Arial" w:cs="Arial" w:eastAsia="Arial" w:hAnsi="Arial"/>
          <w:color w:val="2C3E50"/>
          <w:sz w:val="20"/>
          <w:szCs w:val="20"/>
        </w:rPr>
        <w:t xml:space="preserve">Gold at $4,820 has pulled back from its 6% intraday surge earlier this week, the largest single-session gain since 2008. The metal suffered a flash crash of 11% on January 30 following the Warsh nomination, and silver plunged approximately 30% that same day. Central bank buying remains structurally supportive at roughly 850 tonnes per year, and the combination of dollar weakness (DXY at 4-year lows near 97.84), geopolitical uncertainty, and potential rate cuts creates a favorable medium-term backdrop. The commodities desk should scale into long positions on dips toward $4,700-4,800.</w:t>
      </w:r>
    </w:p>
    <w:p>
      <w:pPr>
        <w:pStyle w:val="Heading2"/>
        <w:spacing w:before="280" w:after="160"/>
      </w:pPr>
      <w:r>
        <w:rPr>
          <w:rFonts w:ascii="Arial" w:cs="Arial" w:eastAsia="Arial" w:hAnsi="Arial"/>
          <w:b/>
          <w:bCs/>
          <w:color w:val="2E75B6"/>
          <w:sz w:val="26"/>
          <w:szCs w:val="26"/>
        </w:rPr>
        <w:t xml:space="preserve">Key Dates: Next Two Weeks</w:t>
      </w:r>
    </w:p>
    <w:p>
      <w:pPr>
        <w:spacing w:before="80" w:after="80" w:line="276"/>
        <w:jc w:val="left"/>
      </w:pPr>
      <w:r>
        <w:rPr>
          <w:rFonts w:ascii="Arial" w:cs="Arial" w:eastAsia="Arial" w:hAnsi="Arial"/>
          <w:color w:val="2C3E50"/>
          <w:sz w:val="20"/>
          <w:szCs w:val="20"/>
        </w:rPr>
        <w:t xml:space="preserve">The next fourteen days contain an unusually dense cluster of high-impact events that could individually or collectively shift the risk landscape. February 6 brings the Amazon earnings reaction at market open, where pre-market indications suggest further weakness beyond the 8% after-hours decline. The same day through February 7, US-Iran nuclear talks in Oman represent the most consequential geopolitical event of the month. February 11 is the critical employment inflection point: January non-farm payrolls alongside the BLS annual benchmark revision of -911,000 jobs will fundamentally reshape the labor market narrative and Fed rate expectations. February 12 delivers January CPI, where any reading above consensus could reignite the inflation-versus-recession debate. February 13 and 14 bring PPI and retail sales data, completing the macro data gauntlet. The following week, February 18 features NVIDIA's Q4 FY26 earnings after the bell, which represents the single most important data point for the AI narrative given that NVIDIA is the primary beneficiary and barometer of hyperscaler spending. February 19 brings the FOMC minutes from the January meeting, which will reveal the depth of the committee's division (10-8 vote) and provide color on the dissents from Waller and Miran.</w:t>
      </w:r>
    </w:p>
    <w:p>
      <w:r>
        <w:br w:type="page"/>
      </w:r>
    </w:p>
    <w:p>
      <w:pPr>
        <w:pStyle w:val="Heading1"/>
        <w:spacing w:before="360" w:after="200"/>
      </w:pPr>
      <w:r>
        <w:rPr>
          <w:rFonts w:ascii="Arial" w:cs="Arial" w:eastAsia="Arial" w:hAnsi="Arial"/>
          <w:b/>
          <w:bCs/>
          <w:color w:val="1B2A4A"/>
          <w:sz w:val="32"/>
          <w:szCs w:val="32"/>
        </w:rPr>
        <w:t xml:space="preserve">SECTION II: MARKET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II.A Current Regime Classification</w:t>
      </w:r>
    </w:p>
    <w:p>
      <w:pPr>
        <w:spacing w:before="80" w:after="80" w:line="276"/>
        <w:jc w:val="left"/>
      </w:pPr>
      <w:r>
        <w:rPr>
          <w:rFonts w:ascii="Arial" w:cs="Arial" w:eastAsia="Arial" w:hAnsi="Arial"/>
          <w:color w:val="2C3E50"/>
          <w:sz w:val="20"/>
          <w:szCs w:val="20"/>
        </w:rPr>
        <w:t xml:space="preserve">The United States has entered the late stages of the economic cycle, characterized by decelerating employment growth, fading consumer momentum, and a Federal Reserve caught between residual inflation concerns and emerging growth risks. The dominant macro narrative has shifted abruptly from soft landing to growth scare over the past two weeks, as labor market indicators uniformly deteriorated: non-farm payrolls slowed to 50K in December, ADP printed just 22K for January, and Challenger job cuts reached levels not seen in January since 2009. The unemployment rate has risen to 4.4% from cycle lows near 3.4%, a pace that historically signals further deterioration ahead.</w:t>
      </w:r>
    </w:p>
    <w:p>
      <w:pPr>
        <w:spacing w:before="80" w:after="80" w:line="276"/>
        <w:jc w:val="left"/>
      </w:pPr>
      <w:r>
        <w:rPr>
          <w:rFonts w:ascii="Arial" w:cs="Arial" w:eastAsia="Arial" w:hAnsi="Arial"/>
          <w:color w:val="2C3E50"/>
          <w:sz w:val="20"/>
          <w:szCs w:val="20"/>
        </w:rPr>
        <w:t xml:space="preserve">The key uncertainties are threefold. First, whether the labor market weakness represents a normalization from overheated conditions or the beginning of a recessionary spiral. Second, whether the Fed leadership transition from Powell to Warsh will alter the timing and magnitude of rate cuts. Third, whether the AI capex cycle represents productive investment that will eventually boost productivity and growth, or a speculative bubble whose bursting will amplify the downturn. We estimate a 45% probability of remaining in late-cycle slowdown, a 35% probability of transitioning to recession within six months, and a 20% probability that growth reaccelerates on the back of AI productivity gains and fiscal stimulus.</w:t>
      </w:r>
    </w:p>
    <w:p>
      <w:pPr>
        <w:spacing w:before="80" w:after="80" w:line="276"/>
        <w:jc w:val="left"/>
      </w:pPr>
      <w:r>
        <w:rPr>
          <w:rFonts w:ascii="Arial" w:cs="Arial" w:eastAsia="Arial" w:hAnsi="Arial"/>
          <w:color w:val="2C3E50"/>
          <w:sz w:val="20"/>
          <w:szCs w:val="20"/>
        </w:rPr>
        <w:t xml:space="preserve">Internationally, the picture is mixed but broadly supportive of a cautious posture. The Eurozone is stabilizing at roughly 1.3% GDP growth with the ECB on hold at 2.00%, but the euro's 13-14% appreciation against the dollar over twelve months is becoming a headwind. China remains in policy-supported recovery mode with fiscal stimulus ongoing but property sector fragility persisting. Japan is in modest expansion with the Bank of Japan potentially hiking to 0.75% in March. Emerging markets are diverging, with Asia relatively resilient while Latin America faces pressure from dollar weakness and commodity price volatility.</w:t>
      </w:r>
    </w:p>
    <w:p>
      <w:pPr>
        <w:pStyle w:val="Heading2"/>
        <w:spacing w:before="280" w:after="160"/>
      </w:pPr>
      <w:r>
        <w:rPr>
          <w:rFonts w:ascii="Arial" w:cs="Arial" w:eastAsia="Arial" w:hAnsi="Arial"/>
          <w:b/>
          <w:bCs/>
          <w:color w:val="2E75B6"/>
          <w:sz w:val="26"/>
          <w:szCs w:val="26"/>
        </w:rPr>
        <w:t xml:space="preserve">II.B Central Bank and Policy Trajectories</w:t>
      </w:r>
    </w:p>
    <w:p>
      <w:pPr>
        <w:spacing w:before="80" w:after="80" w:line="276"/>
        <w:jc w:val="left"/>
      </w:pPr>
      <w:r>
        <w:rPr>
          <w:rFonts w:ascii="Arial" w:cs="Arial" w:eastAsia="Arial" w:hAnsi="Arial"/>
          <w:color w:val="2C3E50"/>
          <w:sz w:val="20"/>
          <w:szCs w:val="20"/>
        </w:rPr>
        <w:t xml:space="preserve">The Federal Reserve held the funds rate at 3.50-3.75% on January 28 with a notably close 10-8 vote, where Governors Waller and Miran dissented in favor of a 25 basis point cut. This is the most divided the FOMC has been since 2020. The market prices two cuts by year-end 2026 with the first in June at approximately 65% probability. The dots versus market pricing divergence is roughly 25 basis points hawkish, meaning the committee projects fewer cuts than the market expects. Quantitative tightening continues. The pivotal question is whether the February 11 employment data, combined with the 911,000-job benchmark revision, will push the committee toward a March or April cut. Our base case is that the Fed holds in March under Powell's remaining tenure and begins cutting in June under Warsh, but the data may force earlier action.</w:t>
      </w:r>
    </w:p>
    <w:p>
      <w:pPr>
        <w:spacing w:before="80" w:after="80" w:line="276"/>
        <w:jc w:val="left"/>
      </w:pPr>
      <w:r>
        <w:rPr>
          <w:rFonts w:ascii="Arial" w:cs="Arial" w:eastAsia="Arial" w:hAnsi="Arial"/>
          <w:color w:val="2C3E50"/>
          <w:sz w:val="20"/>
          <w:szCs w:val="20"/>
        </w:rPr>
        <w:t xml:space="preserve">Kevin Warsh's nomination introduces a new variable. Historically hawkish, Warsh has recently aligned with the administration's preference for lower rates. His confirmation hearings in early March will provide critical signals about his policy philosophy. Senator Tillis's blocking of the vote until a DOJ probe is resolved creates 25% probability of meaningful delay. If confirmed on schedule, Warsh assumes the chair on May 15 and would lead his first FOMC meeting in June, potentially front-loading his preference for easier policy.</w:t>
      </w:r>
    </w:p>
    <w:p>
      <w:pPr>
        <w:spacing w:before="80" w:after="80" w:line="276"/>
        <w:jc w:val="left"/>
      </w:pPr>
      <w:r>
        <w:rPr>
          <w:rFonts w:ascii="Arial" w:cs="Arial" w:eastAsia="Arial" w:hAnsi="Arial"/>
          <w:color w:val="2C3E50"/>
          <w:sz w:val="20"/>
          <w:szCs w:val="20"/>
        </w:rPr>
        <w:t xml:space="preserve">Elsewhere, the ECB held at 2.00% on February 5 for the fifth consecutive meeting, with President Lagarde noting concerns about the euro's strength. The Bank of England held at 3.75% in a dovish surprise with a narrow 5-4 vote, where four members favored a cut, signaling a March or April easing is likely. The Bank of Japan remains on a tightening path with a potential hike to 0.75% in March, which continues to support yen appreciation against the dollar. The PBOC is maintaining its easing stance with the 1Y LPR at 3.10%, focused on supporting the property sector and consumer confidence. Policy divergence is narrowing between the Fed and other G10 central banks, which is the primary driver of dollar weakness.</w:t>
      </w:r>
    </w:p>
    <w:p>
      <w:pPr>
        <w:pStyle w:val="Heading2"/>
        <w:spacing w:before="280" w:after="160"/>
      </w:pPr>
      <w:r>
        <w:rPr>
          <w:rFonts w:ascii="Arial" w:cs="Arial" w:eastAsia="Arial" w:hAnsi="Arial"/>
          <w:b/>
          <w:bCs/>
          <w:color w:val="2E75B6"/>
          <w:sz w:val="26"/>
          <w:szCs w:val="26"/>
        </w:rPr>
        <w:t xml:space="preserve">II.C Cross-Asset Dashboard</w:t>
      </w:r>
    </w:p>
    <w:p>
      <w:pPr>
        <w:spacing w:before="200" w:after="120"/>
      </w:pPr>
      <w:r>
        <w:rPr>
          <w:rFonts w:ascii="Arial" w:cs="Arial" w:eastAsia="Arial" w:hAnsi="Arial"/>
          <w:b/>
          <w:bCs/>
          <w:color w:val="0F1B33"/>
          <w:sz w:val="22"/>
          <w:szCs w:val="22"/>
        </w:rPr>
        <w:t xml:space="preserve">Rates</w:t>
      </w:r>
    </w:p>
    <w:p>
      <w:pPr>
        <w:spacing w:before="80" w:after="80" w:line="276"/>
        <w:jc w:val="left"/>
      </w:pPr>
      <w:r>
        <w:rPr>
          <w:rFonts w:ascii="Arial" w:cs="Arial" w:eastAsia="Arial" w:hAnsi="Arial"/>
          <w:color w:val="2C3E50"/>
          <w:sz w:val="20"/>
          <w:szCs w:val="20"/>
        </w:rPr>
        <w:t xml:space="preserve">Treasury yields fell sharply this week as labor market data deteriorated across every indicator. The 10-year yield dropped to 4.21%, its lowest level in three weeks, declining 12 basis points on the week and 20 basis points year-to-date. The 2-year yield at approximately 3.85% reflects the market's conviction that rate cuts are approaching, falling 8 basis points weekly. The curve continues to steepen, with the 2s10s spread widening to +36 basis points as the front end benefits from cut expectations while the long end faces competing forces of lower growth expectations versus term premium from fiscal deficit concerns and the Warsh nomination.</w:t>
      </w:r>
    </w:p>
    <w:p>
      <w:pPr>
        <w:spacing w:before="80" w:after="80" w:line="276"/>
        <w:jc w:val="left"/>
      </w:pPr>
      <w:r>
        <w:rPr>
          <w:rFonts w:ascii="Arial" w:cs="Arial" w:eastAsia="Arial" w:hAnsi="Arial"/>
          <w:color w:val="2C3E50"/>
          <w:sz w:val="20"/>
          <w:szCs w:val="20"/>
        </w:rPr>
        <w:t xml:space="preserve">Real yields have compressed with 10-year TIPS at approximately 1.70%, down from 2.00% earlier in the year, reflecting weakening growth expectations. The MOVE index remains elevated but below crisis levels, consistent with a nervous market rather than a panicked one. Treasury auction demand has been solid, with bid-to-cover ratios above average. The Treasury's decision to favor short-term bills over longer-dated coupon issuance is reducing duration supply pressure. UST refunding maintained current issuance guidance, with the next major auction cycle including 3-year, 10-year, and 30-year notes scheduled for next week.</w:t>
      </w:r>
    </w:p>
    <w:p>
      <w:pPr>
        <w:spacing w:before="80" w:after="80" w:line="276"/>
        <w:jc w:val="left"/>
      </w:pPr>
      <w:r>
        <w:rPr>
          <w:rFonts w:ascii="Arial" w:cs="Arial" w:eastAsia="Arial" w:hAnsi="Arial"/>
          <w:color w:val="2C3E50"/>
          <w:sz w:val="20"/>
          <w:szCs w:val="20"/>
        </w:rPr>
        <w:t xml:space="preserve">Our view is constructive on duration. Support on the 10-year yield sits at 4.10% and 4.00%, with resistance at 4.30% and 4.45%. We recommend adding 5-10Y duration on any backup toward 4.30%, maintaining the 2s10s steepener, reviewing MBS hedge ratios given the falling rate environment, and positioning for NFP and CPI volatility via 10-year futures straddles. The contrarian risk is that inflation proves stickier than expected, the February 12 CPI comes in hot, and the bond rally reverses sharply.</w:t>
      </w:r>
    </w:p>
    <w:p>
      <w:pPr>
        <w:spacing w:before="200" w:after="120"/>
      </w:pPr>
      <w:r>
        <w:rPr>
          <w:rFonts w:ascii="Arial" w:cs="Arial" w:eastAsia="Arial" w:hAnsi="Arial"/>
          <w:b/>
          <w:bCs/>
          <w:color w:val="0F1B33"/>
          <w:sz w:val="22"/>
          <w:szCs w:val="22"/>
        </w:rPr>
        <w:t xml:space="preserve">Credit</w:t>
      </w:r>
    </w:p>
    <w:p>
      <w:pPr>
        <w:spacing w:before="80" w:after="80" w:line="276"/>
        <w:jc w:val="left"/>
      </w:pPr>
      <w:r>
        <w:rPr>
          <w:rFonts w:ascii="Arial" w:cs="Arial" w:eastAsia="Arial" w:hAnsi="Arial"/>
          <w:color w:val="2C3E50"/>
          <w:sz w:val="20"/>
          <w:szCs w:val="20"/>
        </w:rPr>
        <w:t xml:space="preserve">Credit spreads remain historically tight but exhibited their first meaningful widening this week. High-yield OAS at approximately 286 basis points has widened roughly 15 basis points from year-to-date tights but remains well below the 20-year average of approximately 490 basis points. Investment-grade spreads at roughly 85 basis points are also historically compressed. The CDX indices tell a similar story: CDX.HY at approximately 310 basis points widened 15 basis points on the week, while CDX.IG at roughly 52 basis points added 3 basis points.</w:t>
      </w:r>
    </w:p>
    <w:p>
      <w:pPr>
        <w:spacing w:before="80" w:after="80" w:line="276"/>
        <w:jc w:val="left"/>
      </w:pPr>
      <w:r>
        <w:rPr>
          <w:rFonts w:ascii="Arial" w:cs="Arial" w:eastAsia="Arial" w:hAnsi="Arial"/>
          <w:color w:val="2C3E50"/>
          <w:sz w:val="20"/>
          <w:szCs w:val="20"/>
        </w:rPr>
        <w:t xml:space="preserve">The critical question is whether the tech equity selloff will spill into credit markets. So far, the transmission has been limited because the AI capex concern is primarily an equity valuation issue rather than a solvency issue: hyperscalers have the balance sheets to absorb the spending. However, the second-order effects on leveraged software companies, semiconductor suppliers with high capital intensity, and speculative-grade tech issuers are more concerning. HY fund flows turned slightly negative this week for the first time in two months. The distress ratio at approximately 3.5% is ticking higher. Default rates at approximately 2.1% trailing twelve months remain below the long-term average but are trending upward.</w:t>
      </w:r>
    </w:p>
    <w:p>
      <w:pPr>
        <w:spacing w:before="80" w:after="80" w:line="276"/>
        <w:jc w:val="left"/>
      </w:pPr>
      <w:r>
        <w:rPr>
          <w:rFonts w:ascii="Arial" w:cs="Arial" w:eastAsia="Arial" w:hAnsi="Arial"/>
          <w:color w:val="2C3E50"/>
          <w:sz w:val="20"/>
          <w:szCs w:val="20"/>
        </w:rPr>
        <w:t xml:space="preserve">Our view is to tilt toward quality within credit. We recommend rotating from BB/B into BB+/BBB- names, reducing tech and telecom credit exposure in favor of healthcare and utilities, using CDX.HY protection at current levels as an attractive tail risk hedge, and watching for idiosyncratic stress in AI-exposed companies with high capex and low free cash flow. The contrarian risk is that credit spreads continue to tighten if the equity rotation is orderly and the macro data stabilizes after the benchmark revision noise.</w:t>
      </w:r>
    </w:p>
    <w:p>
      <w:pPr>
        <w:spacing w:before="200" w:after="120"/>
      </w:pPr>
      <w:r>
        <w:rPr>
          <w:rFonts w:ascii="Arial" w:cs="Arial" w:eastAsia="Arial" w:hAnsi="Arial"/>
          <w:b/>
          <w:bCs/>
          <w:color w:val="0F1B33"/>
          <w:sz w:val="22"/>
          <w:szCs w:val="22"/>
        </w:rPr>
        <w:t xml:space="preserve">Equities</w:t>
      </w:r>
    </w:p>
    <w:p>
      <w:pPr>
        <w:spacing w:before="80" w:after="80" w:line="276"/>
        <w:jc w:val="left"/>
      </w:pPr>
      <w:r>
        <w:rPr>
          <w:rFonts w:ascii="Arial" w:cs="Arial" w:eastAsia="Arial" w:hAnsi="Arial"/>
          <w:color w:val="2C3E50"/>
          <w:sz w:val="20"/>
          <w:szCs w:val="20"/>
        </w:rPr>
        <w:t xml:space="preserve">US equities experienced their sharpest weekly selloff since the August 2025 correction, led by a tech sector in open retreat. The S&amp;P 500 dropped 2.6% from its February 2 close near the all-time high of 6,976 to 6,798, turning negative for the year at -0.7% YTD. The Nasdaq fell 3.9% for the week, and the Dow lost 1.2% to 48,909. The Russell 2000 at 2,587 declined 1.45% on the day but remains up 3.0% year-to-date, confirming the rotation theme.</w:t>
      </w:r>
    </w:p>
    <w:p>
      <w:pPr>
        <w:spacing w:before="80" w:after="80" w:line="276"/>
        <w:jc w:val="left"/>
      </w:pPr>
      <w:r>
        <w:rPr>
          <w:rFonts w:ascii="Arial" w:cs="Arial" w:eastAsia="Arial" w:hAnsi="Arial"/>
          <w:color w:val="2C3E50"/>
          <w:sz w:val="20"/>
          <w:szCs w:val="20"/>
        </w:rPr>
        <w:t xml:space="preserve">The catalyst was unmistakable: Alphabet's disclosure of $175-185 billion in 2026 capital expenditure versus the $120 billion consensus, followed by Amazon's $200 billion figure disclosed alongside an EPS miss ($1.95 versus $1.97) that sent the stock down 8% after hours on February 5. Combined hyperscaler capex from Microsoft, Meta, Amazon, and Alphabet is now expected to exceed $630 billion in 2026. The market is no longer willing to accept the premise that AI investment equals value creation. Sector rotation was dramatic: energy gained 3.2%, materials 2.1%, consumer staples 1.6%, and utilities 1.5%, while technology fell 4.5% and communication services dropped 2.0%.</w:t>
      </w:r>
    </w:p>
    <w:p>
      <w:pPr>
        <w:spacing w:before="80" w:after="80" w:line="276"/>
        <w:jc w:val="left"/>
      </w:pPr>
      <w:r>
        <w:rPr>
          <w:rFonts w:ascii="Arial" w:cs="Arial" w:eastAsia="Arial" w:hAnsi="Arial"/>
          <w:color w:val="2C3E50"/>
          <w:sz w:val="20"/>
          <w:szCs w:val="20"/>
        </w:rPr>
        <w:t xml:space="preserve">The volatility surface reflects growing concern. VIX closed at 20.19, up 8.3% on the day and 35% year-to-date. The 52-week range is 13.38-60.13. SPX put/call ratios are rising, 25-delta skew is steepening in favor of puts, and dealer gamma exposure has turned negative, which means market-maker hedging will amplify rather than dampen moves. The VIX term structure has flattened and is approaching backwardation, which historically signals elevated near-term risk.</w:t>
      </w:r>
    </w:p>
    <w:p>
      <w:pPr>
        <w:spacing w:before="80" w:after="80" w:line="276"/>
        <w:jc w:val="left"/>
      </w:pPr>
      <w:r>
        <w:rPr>
          <w:rFonts w:ascii="Arial" w:cs="Arial" w:eastAsia="Arial" w:hAnsi="Arial"/>
          <w:color w:val="2C3E50"/>
          <w:sz w:val="20"/>
          <w:szCs w:val="20"/>
        </w:rPr>
        <w:t xml:space="preserve">Our equity view is defensive. We recommend reducing Mag7 net delta by 15-20%, adding downside protection via March SPX 6,500/6,300 put spreads, rotating into value and cyclicals (XLV, XLE, XLI), and sizing positions conservatively into NVIDIA earnings on February 18, which is the next make-or-break moment for the AI narrative. Short-term vol selling is premature until post-NFP clarity. The contrarian view is that the selloff is a healthy correction within a secular bull market, that AI capex will eventually generate massive productivity gains, and that the rotation broadens the rally rather than ending it.</w:t>
      </w:r>
    </w:p>
    <w:p>
      <w:pPr>
        <w:spacing w:before="200" w:after="120"/>
      </w:pPr>
      <w:r>
        <w:rPr>
          <w:rFonts w:ascii="Arial" w:cs="Arial" w:eastAsia="Arial" w:hAnsi="Arial"/>
          <w:b/>
          <w:bCs/>
          <w:color w:val="0F1B33"/>
          <w:sz w:val="22"/>
          <w:szCs w:val="22"/>
        </w:rPr>
        <w:t xml:space="preserve">Foreign Exchange</w:t>
      </w:r>
    </w:p>
    <w:p>
      <w:pPr>
        <w:spacing w:before="80" w:after="80" w:line="276"/>
        <w:jc w:val="left"/>
      </w:pPr>
      <w:r>
        <w:rPr>
          <w:rFonts w:ascii="Arial" w:cs="Arial" w:eastAsia="Arial" w:hAnsi="Arial"/>
          <w:color w:val="2C3E50"/>
          <w:sz w:val="20"/>
          <w:szCs w:val="20"/>
        </w:rPr>
        <w:t xml:space="preserve">The US Dollar Index hit fresh four-year lows near 97 before recovering modestly to 97.84, down 4.5% year-to-date. The dollar's decline reflects the erosion of the US exceptionalism narrative that drove dollar strength through 2024. EUR/USD tested the 1.20 psychological level, reaching 1.2082 on January 27 before pulling back to 1.180, a gain of 13-14% over twelve months. The ECB's February 5 hold at 2.00% and Lagarde's acknowledgment of euro strength concerns suggest European policymakers are uncomfortable with the pace of appreciation.</w:t>
      </w:r>
    </w:p>
    <w:p>
      <w:pPr>
        <w:spacing w:before="80" w:after="80" w:line="276"/>
        <w:jc w:val="left"/>
      </w:pPr>
      <w:r>
        <w:rPr>
          <w:rFonts w:ascii="Arial" w:cs="Arial" w:eastAsia="Arial" w:hAnsi="Arial"/>
          <w:color w:val="2C3E50"/>
          <w:sz w:val="20"/>
          <w:szCs w:val="20"/>
        </w:rPr>
        <w:t xml:space="preserve">GBP/USD strengthened to approximately 1.355 after the dovish BOE hold (5-4 vote), which paradoxically supported sterling because the close vote suggests the BOE is data-dependent rather than on a predetermined easing path. USD/JPY hovers around 149.0, down 5% year-to-date, with further yen strength expected if the BOJ hikes to 0.75% in March. The Chinese yuan reached a 2.5-year high versus the dollar at approximately 6.95, supported by policy stimulus and portfolio inflows.</w:t>
      </w:r>
    </w:p>
    <w:p>
      <w:pPr>
        <w:spacing w:before="80" w:after="80" w:line="276"/>
        <w:jc w:val="left"/>
      </w:pPr>
      <w:r>
        <w:rPr>
          <w:rFonts w:ascii="Arial" w:cs="Arial" w:eastAsia="Arial" w:hAnsi="Arial"/>
          <w:color w:val="2C3E50"/>
          <w:sz w:val="20"/>
          <w:szCs w:val="20"/>
        </w:rPr>
        <w:t xml:space="preserve">Bitcoin's collapse to $63,625, down 13.6% in a single session and 32% year-to-date, is the most dramatic move in our FX-adjacent universe. The breach of the $81,000 support level that held throughout the autumn triggered cascading liquidations across leveraged positions. The next meaningful support is $60,000, and a break below that level could trigger a further 15-20% decline.</w:t>
      </w:r>
    </w:p>
    <w:p>
      <w:pPr>
        <w:spacing w:before="80" w:after="80" w:line="276"/>
        <w:jc w:val="left"/>
      </w:pPr>
      <w:r>
        <w:rPr>
          <w:rFonts w:ascii="Arial" w:cs="Arial" w:eastAsia="Arial" w:hAnsi="Arial"/>
          <w:color w:val="2C3E50"/>
          <w:sz w:val="20"/>
          <w:szCs w:val="20"/>
        </w:rPr>
        <w:t xml:space="preserve">Our FX view is bearish on the dollar. DXY support sits at 96.50-97 with resistance at 99. We recommend reducing USD longs across the book, particularly against EUR and JPY, and monitoring for ECB verbal intervention if EUR/USD approaches 1.20 again. The contrarian risk is that a geopolitical shock (US-Iran) triggers a flight to dollar safety, temporarily reversing the trend.</w:t>
      </w:r>
    </w:p>
    <w:p>
      <w:pPr>
        <w:spacing w:before="200" w:after="120"/>
      </w:pPr>
      <w:r>
        <w:rPr>
          <w:rFonts w:ascii="Arial" w:cs="Arial" w:eastAsia="Arial" w:hAnsi="Arial"/>
          <w:b/>
          <w:bCs/>
          <w:color w:val="0F1B33"/>
          <w:sz w:val="22"/>
          <w:szCs w:val="22"/>
        </w:rPr>
        <w:t xml:space="preserve">Commodities</w:t>
      </w:r>
    </w:p>
    <w:p>
      <w:pPr>
        <w:spacing w:before="80" w:after="80" w:line="276"/>
        <w:jc w:val="left"/>
      </w:pPr>
      <w:r>
        <w:rPr>
          <w:rFonts w:ascii="Arial" w:cs="Arial" w:eastAsia="Arial" w:hAnsi="Arial"/>
          <w:color w:val="2C3E50"/>
          <w:sz w:val="20"/>
          <w:szCs w:val="20"/>
        </w:rPr>
        <w:t xml:space="preserve">Energy markets are torn between weakening demand expectations and simmering geopolitical risk. WTI crude fell 3% to approximately $63.50 as Iran confirmed the Oman talks, reducing the near-term escalation premium. Brent dropped to approximately $67. Saudi Arabia cut its Asia pricing to the lowest since late 2020, signaling concerns about oversupply. US inventories drew 3.5 million barrels, providing some demand support, but non-OPEC supply growth continues to outpace demand growth. Oil remains in a technical two-year downtrend.</w:t>
      </w:r>
    </w:p>
    <w:p>
      <w:pPr>
        <w:spacing w:before="80" w:after="80" w:line="276"/>
        <w:jc w:val="left"/>
      </w:pPr>
      <w:r>
        <w:rPr>
          <w:rFonts w:ascii="Arial" w:cs="Arial" w:eastAsia="Arial" w:hAnsi="Arial"/>
          <w:color w:val="2C3E50"/>
          <w:sz w:val="20"/>
          <w:szCs w:val="20"/>
        </w:rPr>
        <w:t xml:space="preserve">Precious metals exhibited extraordinary volatility. Gold at approximately $4,820 has pulled back after surging 6% earlier this week, the largest intraday gain since 2008. The Warsh nomination triggered a flash crash on January 30 with gold falling 11% intraday and silver plunging approximately 30%, the largest single-day silver decline since the Hunt Brothers episode in 1980. Central bank buying remains structurally supportive at approximately 850 tonnes per year. Gold support sits at $4,700 with resistance at $5,000. Base metals, particularly copper, remain resilient on China stimulus expectations, supported by the stronger yuan.</w:t>
      </w:r>
    </w:p>
    <w:p>
      <w:pPr>
        <w:spacing w:before="80" w:after="80" w:line="276"/>
        <w:jc w:val="left"/>
      </w:pPr>
      <w:r>
        <w:rPr>
          <w:rFonts w:ascii="Arial" w:cs="Arial" w:eastAsia="Arial" w:hAnsi="Arial"/>
          <w:color w:val="2C3E50"/>
          <w:sz w:val="20"/>
          <w:szCs w:val="20"/>
        </w:rPr>
        <w:t xml:space="preserve">Our commodities view is neutral on energy with upside hedges for geopolitical risk, and constructive on gold for medium-term accumulation on dips. The key risk to monitor is the Iran talks outcome: a breakdown could send oil $10-25 higher while a breakthrough would accelerate the decline toward $55-58.</w:t>
      </w:r>
    </w:p>
    <w:p>
      <w:pPr>
        <w:pStyle w:val="Heading2"/>
        <w:spacing w:before="280" w:after="160"/>
      </w:pPr>
      <w:r>
        <w:rPr>
          <w:rFonts w:ascii="Arial" w:cs="Arial" w:eastAsia="Arial" w:hAnsi="Arial"/>
          <w:b/>
          <w:bCs/>
          <w:color w:val="2E75B6"/>
          <w:sz w:val="26"/>
          <w:szCs w:val="26"/>
        </w:rPr>
        <w:t xml:space="preserve">II.D Liquidity and Market Structure</w:t>
      </w:r>
    </w:p>
    <w:p>
      <w:pPr>
        <w:spacing w:before="80" w:after="80" w:line="276"/>
        <w:jc w:val="left"/>
      </w:pPr>
      <w:r>
        <w:rPr>
          <w:rFonts w:ascii="Arial" w:cs="Arial" w:eastAsia="Arial" w:hAnsi="Arial"/>
          <w:color w:val="2C3E50"/>
          <w:sz w:val="20"/>
          <w:szCs w:val="20"/>
        </w:rPr>
        <w:t xml:space="preserve">Funding markets remain orderly. SOFR is stable, repo markets are functioning normally, and the government shutdown resolution (Trump signed the deal late Tuesday) removed a near-term funding uncertainty. Fed facility usage including discount window borrowing is minimal, FHLBank advances are stable, and money market fund flows are neutral. The FX swap basis for both EUR and JPY remains benign, and commercial paper markets show no stress signals. Treasury market functioning is adequate: bid-ask spreads on on-the-run Treasuries remain tight, market depth is sufficient, and the Treasury's preference for bill over coupon issuance is reducing duration supply pressure.</w:t>
      </w:r>
    </w:p>
    <w:p>
      <w:pPr>
        <w:spacing w:before="80" w:after="80" w:line="276"/>
        <w:jc w:val="left"/>
      </w:pPr>
      <w:r>
        <w:rPr>
          <w:rFonts w:ascii="Arial" w:cs="Arial" w:eastAsia="Arial" w:hAnsi="Arial"/>
          <w:color w:val="2C3E50"/>
          <w:sz w:val="20"/>
          <w:szCs w:val="20"/>
        </w:rPr>
        <w:t xml:space="preserve">In equity microstructure, the zero-day-to-expiration options market continues to grow in share of total volume, adding to intraday volatility and gamma dynamics. ETF flows have rotated sharply from technology to value, consistent with the sector rotation narrative. Market depth in S&amp;P 500 futures has thinned over the past week, which amplifies the impact of large orders and contributes to the negative gamma dynamic.</w:t>
      </w:r>
    </w:p>
    <w:p>
      <w:pPr>
        <w:pStyle w:val="Heading2"/>
        <w:spacing w:before="280" w:after="160"/>
      </w:pPr>
      <w:r>
        <w:rPr>
          <w:rFonts w:ascii="Arial" w:cs="Arial" w:eastAsia="Arial" w:hAnsi="Arial"/>
          <w:b/>
          <w:bCs/>
          <w:color w:val="2E75B6"/>
          <w:sz w:val="26"/>
          <w:szCs w:val="26"/>
        </w:rPr>
        <w:t xml:space="preserve">II.E Correlation and Contagion</w:t>
      </w:r>
    </w:p>
    <w:p>
      <w:pPr>
        <w:spacing w:before="80" w:after="80" w:line="276"/>
        <w:jc w:val="left"/>
      </w:pPr>
      <w:r>
        <w:rPr>
          <w:rFonts w:ascii="Arial" w:cs="Arial" w:eastAsia="Arial" w:hAnsi="Arial"/>
          <w:color w:val="2C3E50"/>
          <w:sz w:val="20"/>
          <w:szCs w:val="20"/>
        </w:rPr>
        <w:t xml:space="preserve">Cross-asset correlations are shifting in concerning ways. The equity-bond correlation has turned more negative, returning to the traditional risk-off pattern where bonds rally as equities sell off. This is beneficial for diversified portfolios but signals genuine growth concerns rather than the inflation-driven positive correlation of 2022-2023. Within equities, the correlation between the Magnificent 7 and the rest of the S&amp;P 500 is breaking down as rotation accelerates, which could create tracking error risk for portfolios benchmarked to cap-weighted indices.</w:t>
      </w:r>
    </w:p>
    <w:p>
      <w:pPr>
        <w:spacing w:before="80" w:after="80" w:line="276"/>
        <w:jc w:val="left"/>
      </w:pPr>
      <w:r>
        <w:rPr>
          <w:rFonts w:ascii="Arial" w:cs="Arial" w:eastAsia="Arial" w:hAnsi="Arial"/>
          <w:color w:val="2C3E50"/>
          <w:sz w:val="20"/>
          <w:szCs w:val="20"/>
        </w:rPr>
        <w:t xml:space="preserve">The most crowded trade identified is the long AI/tech position, which is now unwinding violently. Positioning surveys and options flow data suggest this unwind is perhaps 40% complete, meaning further rotation is likely. Other crowded trades include short volatility (being squeezed by VIX moving above 20), long dollar (being unwound as DXY hits 4-year lows), and tight credit spreads (vulnerable if equities continue lower). Contagion pathways to monitor include: tech equity weakness spilling into HY credit through leveraged software names, crypto deleveraging affecting prime brokerage counterparties, and dollar weakness triggering EM currency appreciation that pressures EM exporters.</w:t>
      </w:r>
    </w:p>
    <w:p>
      <w:pPr>
        <w:pStyle w:val="Heading2"/>
        <w:spacing w:before="280" w:after="160"/>
      </w:pPr>
      <w:r>
        <w:rPr>
          <w:rFonts w:ascii="Arial" w:cs="Arial" w:eastAsia="Arial" w:hAnsi="Arial"/>
          <w:b/>
          <w:bCs/>
          <w:color w:val="2E75B6"/>
          <w:sz w:val="26"/>
          <w:szCs w:val="26"/>
        </w:rPr>
        <w:t xml:space="preserve">II.F Market Risk Metrics</w:t>
      </w:r>
    </w:p>
    <w:p>
      <w:pPr>
        <w:spacing w:before="80" w:after="80" w:line="276"/>
        <w:jc w:val="left"/>
      </w:pPr>
      <w:r>
        <w:rPr>
          <w:rFonts w:ascii="Arial" w:cs="Arial" w:eastAsia="Arial" w:hAnsi="Arial"/>
          <w:color w:val="2C3E50"/>
          <w:sz w:val="20"/>
          <w:szCs w:val="20"/>
        </w:rPr>
        <w:t xml:space="preserve">Firm-wide Value-at-Risk is expected to increase 10-15% this week as realized volatility feeds into the model. The equity VaR component is the primary driver, rising sharply on Magnificent 7 concentration and the Amazon after-hours move. Rates VaR is declining modestly as yield volatility normalizes post-FOMC. Credit VaR is stable to slightly higher as HY spreads widen marginally. FX VaR is rising with DXY at four-year lows and elevated implied volatility. Commodities VaR is stable as oil consolidates and gold volatility subsides from extreme levels.</w:t>
      </w:r>
    </w:p>
    <w:p>
      <w:pPr>
        <w:spacing w:before="80" w:after="80" w:line="276"/>
        <w:jc w:val="left"/>
      </w:pPr>
      <w:r>
        <w:rPr>
          <w:rFonts w:ascii="Arial" w:cs="Arial" w:eastAsia="Arial" w:hAnsi="Arial"/>
          <w:color w:val="2C3E50"/>
          <w:sz w:val="20"/>
          <w:szCs w:val="20"/>
        </w:rPr>
        <w:t xml:space="preserve">The diversification benefit may be degrading as equity-credit correlations rise during this risk-off episode, which is typical: diversification works until you need it most. Backtesting status requires close monitoring. The February 5 equity moves may generate a VaR exception depending on desk-level positioning, particularly on concentrated equity books where the tech selloff magnitude (-1.6% Nasdaq in a single session, with Amazon -8% after-hours) could breach 1-day VaR thresholds. We recommend enhanced daily VaR reporting through February 18 (NVIDIA earnings) and a stressed VaR review to ensure adequacy of the current framework.</w:t>
      </w:r>
    </w:p>
    <w:p>
      <w:r>
        <w:br w:type="page"/>
      </w:r>
    </w:p>
    <w:p>
      <w:pPr>
        <w:pStyle w:val="Heading1"/>
        <w:spacing w:before="360" w:after="200"/>
      </w:pPr>
      <w:r>
        <w:rPr>
          <w:rFonts w:ascii="Arial" w:cs="Arial" w:eastAsia="Arial" w:hAnsi="Arial"/>
          <w:b/>
          <w:bCs/>
          <w:color w:val="1B2A4A"/>
          <w:sz w:val="32"/>
          <w:szCs w:val="32"/>
        </w:rPr>
        <w:t xml:space="preserve">SECTION III: CREDIT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III.A Credit Environment Overview</w:t>
      </w:r>
    </w:p>
    <w:p>
      <w:pPr>
        <w:spacing w:before="80" w:after="80" w:line="276"/>
        <w:jc w:val="left"/>
      </w:pPr>
      <w:r>
        <w:rPr>
          <w:rFonts w:ascii="Arial" w:cs="Arial" w:eastAsia="Arial" w:hAnsi="Arial"/>
          <w:color w:val="2C3E50"/>
          <w:sz w:val="20"/>
          <w:szCs w:val="20"/>
        </w:rPr>
        <w:t xml:space="preserve">The credit cycle is in its late stages but has not yet turned. Spreads remain historically tight, default rates are below long-term averages, and investment-grade issuers continue to access markets at favorable terms. However, the conditions for a credit deterioration are assembling: labor market weakness reduces consumer credit quality, AI capex overshoot could impair technology sector balance sheets, and the long period of tight spreads has encouraged leverage and risk-taking that will be tested in the next downturn.</w:t>
      </w:r>
    </w:p>
    <w:p>
      <w:pPr>
        <w:spacing w:before="80" w:after="80" w:line="276"/>
        <w:jc w:val="left"/>
      </w:pPr>
      <w:r>
        <w:rPr>
          <w:rFonts w:ascii="Arial" w:cs="Arial" w:eastAsia="Arial" w:hAnsi="Arial"/>
          <w:color w:val="2C3E50"/>
          <w:sz w:val="20"/>
          <w:szCs w:val="20"/>
        </w:rPr>
        <w:t xml:space="preserve">The default outlook is benign in the near term but worsening at the margin. HY defaults are running at approximately 2.1% trailing twelve months, well below the 4.0% long-term average, but the trajectory is upward. The distress ratio at approximately 3.5% is ticking higher, driven by pockets of stress in retail, media, and small-cap technology. The sectors most vulnerable are: speculative-grade technology companies with high R&amp;D spending and declining revenue growth, commercial real estate office exposure facing a structural vacancy headwind, and consumer-facing sectors exposed to employment weakness.</w:t>
      </w:r>
    </w:p>
    <w:p>
      <w:pPr>
        <w:spacing w:before="80" w:after="80" w:line="276"/>
        <w:jc w:val="left"/>
      </w:pPr>
      <w:r>
        <w:rPr>
          <w:rFonts w:ascii="Arial" w:cs="Arial" w:eastAsia="Arial" w:hAnsi="Arial"/>
          <w:color w:val="2C3E50"/>
          <w:sz w:val="20"/>
          <w:szCs w:val="20"/>
        </w:rPr>
        <w:t xml:space="preserve">Credit risk is most likely underpriced in the BB/B tier of high yield, where spreads of 286 basis points offer inadequate compensation for the late-cycle risks described above. By contrast, investment-grade credit at 85 basis points is tight but supported by strong balance sheets and a favorable maturity profile. The most overpriced risk is in CCC-rated issuers where yield-seeking behavior has compressed spreads to levels inconsistent with the underlying credit quality.</w:t>
      </w:r>
    </w:p>
    <w:p>
      <w:pPr>
        <w:pStyle w:val="Heading2"/>
        <w:spacing w:before="280" w:after="160"/>
      </w:pPr>
      <w:r>
        <w:rPr>
          <w:rFonts w:ascii="Arial" w:cs="Arial" w:eastAsia="Arial" w:hAnsi="Arial"/>
          <w:b/>
          <w:bCs/>
          <w:color w:val="2E75B6"/>
          <w:sz w:val="26"/>
          <w:szCs w:val="26"/>
        </w:rPr>
        <w:t xml:space="preserve">III.B Portfolio Credit Quality</w:t>
      </w:r>
    </w:p>
    <w:p>
      <w:pPr>
        <w:spacing w:before="80" w:after="80" w:line="276"/>
        <w:jc w:val="left"/>
      </w:pPr>
      <w:r>
        <w:rPr>
          <w:rFonts w:ascii="Arial" w:cs="Arial" w:eastAsia="Arial" w:hAnsi="Arial"/>
          <w:color w:val="2C3E50"/>
          <w:sz w:val="20"/>
          <w:szCs w:val="20"/>
        </w:rPr>
        <w:t xml:space="preserve">Credit quality migration has been net negative for the past two quarters, with downgrades modestly outpacing upgrades across both the investment-grade and speculative-grade universes. The watch list has grown by approximately 5% quarter-over-quarter, with additions concentrated in technology (SaaS companies facing AI disruption to business models), commercial real estate (office-exposed borrowers), and healthcare (smaller providers under Medicare reimbursement pressure). Criticized asset levels remain contained but are trending higher, consistent with late-cycle patterns. Expected loss provisions are adequate under current conditions but should be reviewed if the February 11 employment data confirms recession risk.</w:t>
      </w:r>
    </w:p>
    <w:p>
      <w:pPr>
        <w:pStyle w:val="Heading2"/>
        <w:spacing w:before="280" w:after="160"/>
      </w:pPr>
      <w:r>
        <w:rPr>
          <w:rFonts w:ascii="Arial" w:cs="Arial" w:eastAsia="Arial" w:hAnsi="Arial"/>
          <w:b/>
          <w:bCs/>
          <w:color w:val="2E75B6"/>
          <w:sz w:val="26"/>
          <w:szCs w:val="26"/>
        </w:rPr>
        <w:t xml:space="preserve">III.C Sector Deep Dives</w:t>
      </w:r>
    </w:p>
    <w:p>
      <w:pPr>
        <w:spacing w:before="200" w:after="120"/>
      </w:pPr>
      <w:r>
        <w:rPr>
          <w:rFonts w:ascii="Arial" w:cs="Arial" w:eastAsia="Arial" w:hAnsi="Arial"/>
          <w:b/>
          <w:bCs/>
          <w:color w:val="0F1B33"/>
          <w:sz w:val="22"/>
          <w:szCs w:val="22"/>
        </w:rPr>
        <w:t xml:space="preserve">Commercial Real Estate</w:t>
      </w:r>
    </w:p>
    <w:p>
      <w:pPr>
        <w:spacing w:before="80" w:after="80" w:line="276"/>
        <w:jc w:val="left"/>
      </w:pPr>
      <w:r>
        <w:rPr>
          <w:rFonts w:ascii="Arial" w:cs="Arial" w:eastAsia="Arial" w:hAnsi="Arial"/>
          <w:color w:val="2C3E50"/>
          <w:sz w:val="20"/>
          <w:szCs w:val="20"/>
        </w:rPr>
        <w:t xml:space="preserve">Office vacancy rates nationally exceed 19%, the highest since the early 1990s, with gateway cities like San Francisco and Manhattan experiencing even more acute distress. Cap rates have risen 100-150 basis points from cycle tights, but transaction volumes remain depressed, meaning price discovery is incomplete and actual mark-to-market losses may exceed current estimates. The refinancing wall for 2026-2027 is approximately $400 billion, and many properties will face difficulty refinancing at current rates, particularly if the Fed delays cuts. CMBS exposure requires sector-level stress testing under a scenario where office vacancy rises to 22-23% and cap rates expand another 50-75 basis points.</w:t>
      </w:r>
    </w:p>
    <w:p>
      <w:pPr>
        <w:spacing w:before="200" w:after="120"/>
      </w:pPr>
      <w:r>
        <w:rPr>
          <w:rFonts w:ascii="Arial" w:cs="Arial" w:eastAsia="Arial" w:hAnsi="Arial"/>
          <w:b/>
          <w:bCs/>
          <w:color w:val="0F1B33"/>
          <w:sz w:val="22"/>
          <w:szCs w:val="22"/>
        </w:rPr>
        <w:t xml:space="preserve">Leveraged Lending</w:t>
      </w:r>
    </w:p>
    <w:p>
      <w:pPr>
        <w:spacing w:before="80" w:after="80" w:line="276"/>
        <w:jc w:val="left"/>
      </w:pPr>
      <w:r>
        <w:rPr>
          <w:rFonts w:ascii="Arial" w:cs="Arial" w:eastAsia="Arial" w:hAnsi="Arial"/>
          <w:color w:val="2C3E50"/>
          <w:sz w:val="20"/>
          <w:szCs w:val="20"/>
        </w:rPr>
        <w:t xml:space="preserve">Leveraged loan performance remains acceptable with default rates tracking below historical averages, but covenant quality has deteriorated significantly over the past cycle. EBITDA add-backs, loose documentation, and aggressive leverage at origination mean that credit losses when they arrive will likely exceed model predictions. CLO dynamics are supportive for now as the CLO arbitrage remains positive, but a widening of loan spreads could impair new issuance and reduce refinancing options for stressed borrowers. The key risk is a repricing of the entire asset class if default rates begin to normalize toward 3-4%.</w:t>
      </w:r>
    </w:p>
    <w:p>
      <w:pPr>
        <w:spacing w:before="200" w:after="120"/>
      </w:pPr>
      <w:r>
        <w:rPr>
          <w:rFonts w:ascii="Arial" w:cs="Arial" w:eastAsia="Arial" w:hAnsi="Arial"/>
          <w:b/>
          <w:bCs/>
          <w:color w:val="0F1B33"/>
          <w:sz w:val="22"/>
          <w:szCs w:val="22"/>
        </w:rPr>
        <w:t xml:space="preserve">Technology</w:t>
      </w:r>
    </w:p>
    <w:p>
      <w:pPr>
        <w:spacing w:before="80" w:after="80" w:line="276"/>
        <w:jc w:val="left"/>
      </w:pPr>
      <w:r>
        <w:rPr>
          <w:rFonts w:ascii="Arial" w:cs="Arial" w:eastAsia="Arial" w:hAnsi="Arial"/>
          <w:color w:val="2C3E50"/>
          <w:sz w:val="20"/>
          <w:szCs w:val="20"/>
        </w:rPr>
        <w:t xml:space="preserve">The AI capex shock that is roiling equity markets has direct credit implications for the technology sector. The hyperscalers themselves (Alphabet, Amazon, Microsoft, Meta) have investment-grade credit and can absorb $630 billion in combined 2026 spending. The credit risk lies in the second tier: software companies whose business models may be disrupted by AI agents, semiconductor equipment suppliers facing cyclical capex risk, and speculative-grade cloud infrastructure providers with high fixed costs and declining utilization rates. Salesforce, ServiceNow, and other enterprise SaaS names are being repriced on fears that AI could displace traditional software, and their credit quality could follow if revenue growth decelerates materially.</w:t>
      </w:r>
    </w:p>
    <w:p>
      <w:pPr>
        <w:spacing w:before="200" w:after="120"/>
      </w:pPr>
      <w:r>
        <w:rPr>
          <w:rFonts w:ascii="Arial" w:cs="Arial" w:eastAsia="Arial" w:hAnsi="Arial"/>
          <w:b/>
          <w:bCs/>
          <w:color w:val="0F1B33"/>
          <w:sz w:val="22"/>
          <w:szCs w:val="22"/>
        </w:rPr>
        <w:t xml:space="preserve">Consumer</w:t>
      </w:r>
    </w:p>
    <w:p>
      <w:pPr>
        <w:spacing w:before="80" w:after="80" w:line="276"/>
        <w:jc w:val="left"/>
      </w:pPr>
      <w:r>
        <w:rPr>
          <w:rFonts w:ascii="Arial" w:cs="Arial" w:eastAsia="Arial" w:hAnsi="Arial"/>
          <w:color w:val="2C3E50"/>
          <w:sz w:val="20"/>
          <w:szCs w:val="20"/>
        </w:rPr>
        <w:t xml:space="preserve">Consumer credit quality is showing early-cycle deterioration signals. Credit card delinquency rates have risen to 3.1%, the highest since 2011. Auto loan delinquencies at 60+ days are at 2.0%, above pre-pandemic levels. Student loan delinquencies are rising following the resumption of payments. The labor market weakening described in Section I will amplify these trends if unemployment continues to rise toward 4.5-5.0%. The consumer sector is particularly sensitive to the February 14 retail sales data, which will indicate whether holiday spending strength carried into the new year.</w:t>
      </w:r>
    </w:p>
    <w:p>
      <w:pPr>
        <w:pStyle w:val="Heading2"/>
        <w:spacing w:before="280" w:after="160"/>
      </w:pPr>
      <w:r>
        <w:rPr>
          <w:rFonts w:ascii="Arial" w:cs="Arial" w:eastAsia="Arial" w:hAnsi="Arial"/>
          <w:b/>
          <w:bCs/>
          <w:color w:val="2E75B6"/>
          <w:sz w:val="26"/>
          <w:szCs w:val="26"/>
        </w:rPr>
        <w:t xml:space="preserve">III.D Single-Name Watchlist</w:t>
      </w:r>
    </w:p>
    <w:p>
      <w:pPr>
        <w:spacing w:before="80" w:after="80" w:line="276"/>
        <w:jc w:val="left"/>
      </w:pPr>
      <w:r>
        <w:rPr>
          <w:rFonts w:ascii="Arial" w:cs="Arial" w:eastAsia="Arial" w:hAnsi="Arial"/>
          <w:color w:val="2C3E50"/>
          <w:sz w:val="20"/>
          <w:szCs w:val="20"/>
        </w:rPr>
        <w:t xml:space="preserve">We maintain an enhanced monitoring list of credits where deterioration is possible within the next 60 days. Current priority names include several leveraged technology companies with high debt-to-EBITDA ratios and declining revenue trajectories, commercial real estate borrowers with maturing loans on office properties in distressed markets, and a small number of energy producers with hedges rolling off into a lower oil price environment. The trigger for escalation in each case would be a combination of covenant breach or missed interest payment, downgrade by two or more rating agencies, or evidence of liquidity strain such as drawn credit facilities. Specific names and exposures are detailed in the confidential appendix distributed separately.</w:t>
      </w:r>
    </w:p>
    <w:p>
      <w:pPr>
        <w:pStyle w:val="Heading2"/>
        <w:spacing w:before="280" w:after="160"/>
      </w:pPr>
      <w:r>
        <w:rPr>
          <w:rFonts w:ascii="Arial" w:cs="Arial" w:eastAsia="Arial" w:hAnsi="Arial"/>
          <w:b/>
          <w:bCs/>
          <w:color w:val="2E75B6"/>
          <w:sz w:val="26"/>
          <w:szCs w:val="26"/>
        </w:rPr>
        <w:t xml:space="preserve">III.E Credit Risk Metrics</w:t>
      </w:r>
    </w:p>
    <w:p>
      <w:pPr>
        <w:spacing w:before="80" w:after="80" w:line="276"/>
        <w:jc w:val="left"/>
      </w:pPr>
      <w:r>
        <w:rPr>
          <w:rFonts w:ascii="Arial" w:cs="Arial" w:eastAsia="Arial" w:hAnsi="Arial"/>
          <w:color w:val="2C3E50"/>
          <w:sz w:val="20"/>
          <w:szCs w:val="20"/>
        </w:rPr>
        <w:t xml:space="preserve">Expected credit losses are trending modestly higher, consistent with late-cycle patterns, and remain within the range assumed in our current allowance. Credit VaR has increased approximately 5% quarter-over-quarter, driven primarily by commercial real estate and leveraged lending exposures. Concentration metrics show elevated single-name exposure to several large technology counterparties (addressed further in Section IX), but within approved limits. The key metric to watch is the HY distress ratio: a move above 5% would signal acceleration in the credit cycle and warrant a comprehensive portfolio review and potential increase in reserves.</w:t>
      </w:r>
    </w:p>
    <w:p>
      <w:r>
        <w:br w:type="page"/>
      </w:r>
    </w:p>
    <w:p>
      <w:pPr>
        <w:pStyle w:val="Heading1"/>
        <w:spacing w:before="360" w:after="200"/>
      </w:pPr>
      <w:r>
        <w:rPr>
          <w:rFonts w:ascii="Arial" w:cs="Arial" w:eastAsia="Arial" w:hAnsi="Arial"/>
          <w:b/>
          <w:bCs/>
          <w:color w:val="1B2A4A"/>
          <w:sz w:val="32"/>
          <w:szCs w:val="32"/>
        </w:rPr>
        <w:t xml:space="preserve">SECTION IV: COUNTERPARTY CREDIT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IV.A Counterparty Environment</w:t>
      </w:r>
    </w:p>
    <w:p>
      <w:pPr>
        <w:spacing w:before="80" w:after="80" w:line="276"/>
        <w:jc w:val="left"/>
      </w:pPr>
      <w:r>
        <w:rPr>
          <w:rFonts w:ascii="Arial" w:cs="Arial" w:eastAsia="Arial" w:hAnsi="Arial"/>
          <w:color w:val="2C3E50"/>
          <w:sz w:val="20"/>
          <w:szCs w:val="20"/>
        </w:rPr>
        <w:t xml:space="preserve">The counterparty credit environment has shifted from benign to cautious this week, driven primarily by the crypto market collapse and the broader risk-off move in equities. Bitcoin's 13.6% single-day decline to $63,625 and its 32% year-to-date drawdown represent the most significant counterparty credit event since the FTX collapse in 2022. While our direct crypto exposure is limited, the indirect exposure through prime brokerage clients, hedge fund counterparties with crypto allocations, and financial institutions with digital asset businesses requires urgent attention.</w:t>
      </w:r>
    </w:p>
    <w:p>
      <w:pPr>
        <w:spacing w:before="80" w:after="80" w:line="276"/>
        <w:jc w:val="left"/>
      </w:pPr>
      <w:r>
        <w:rPr>
          <w:rFonts w:ascii="Arial" w:cs="Arial" w:eastAsia="Arial" w:hAnsi="Arial"/>
          <w:color w:val="2C3E50"/>
          <w:sz w:val="20"/>
          <w:szCs w:val="20"/>
        </w:rPr>
        <w:t xml:space="preserve">Systemic counterparty indicators remain below crisis levels but are trending in the wrong direction. Bank CDS spreads have widened modestly, credit default swap curves have flattened for several regional banks, and counterparty CVA charges are rising as market volatility increases. The Amazon after-hours decline of 8% creates specific counterparty concerns for any derivatives or structured products written against AMZN equity where collateral may be insufficient under current market stress.</w:t>
      </w:r>
    </w:p>
    <w:p>
      <w:pPr>
        <w:pStyle w:val="Heading2"/>
        <w:spacing w:before="280" w:after="160"/>
      </w:pPr>
      <w:r>
        <w:rPr>
          <w:rFonts w:ascii="Arial" w:cs="Arial" w:eastAsia="Arial" w:hAnsi="Arial"/>
          <w:b/>
          <w:bCs/>
          <w:color w:val="2E75B6"/>
          <w:sz w:val="26"/>
          <w:szCs w:val="26"/>
        </w:rPr>
        <w:t xml:space="preserve">IV.B Top Exposures</w:t>
      </w:r>
    </w:p>
    <w:p>
      <w:pPr>
        <w:spacing w:before="80" w:after="80" w:line="276"/>
        <w:jc w:val="left"/>
      </w:pPr>
      <w:r>
        <w:rPr>
          <w:rFonts w:ascii="Arial" w:cs="Arial" w:eastAsia="Arial" w:hAnsi="Arial"/>
          <w:color w:val="2C3E50"/>
          <w:sz w:val="20"/>
          <w:szCs w:val="20"/>
        </w:rPr>
        <w:t xml:space="preserve">Our top 10 counterparty exposures by potential future exposure are dominated by large global banks and principal investment firms. Gross exposures are well within limits, and net exposures after collateral are manageable. However, the trend in several cases is toward higher gross exposure as derivatives activity increases in volatile markets. Rating migration among key counterparties has been stable, though we note that one large technology company in our top 20 has been placed on negative credit watch following the AI capex announcements. Concentration across the top 10 names accounts for approximately 35% of total counterparty exposure, which is within the 40% internal threshold but warrants continued monitoring.</w:t>
      </w:r>
    </w:p>
    <w:p>
      <w:pPr>
        <w:pStyle w:val="Heading2"/>
        <w:spacing w:before="280" w:after="160"/>
      </w:pPr>
      <w:r>
        <w:rPr>
          <w:rFonts w:ascii="Arial" w:cs="Arial" w:eastAsia="Arial" w:hAnsi="Arial"/>
          <w:b/>
          <w:bCs/>
          <w:color w:val="2E75B6"/>
          <w:sz w:val="26"/>
          <w:szCs w:val="26"/>
        </w:rPr>
        <w:t xml:space="preserve">IV.C Counterparty Watchlist</w:t>
      </w:r>
    </w:p>
    <w:p>
      <w:pPr>
        <w:spacing w:before="80" w:after="80" w:line="276"/>
        <w:jc w:val="left"/>
      </w:pPr>
      <w:r>
        <w:rPr>
          <w:rFonts w:ascii="Arial" w:cs="Arial" w:eastAsia="Arial" w:hAnsi="Arial"/>
          <w:color w:val="2C3E50"/>
          <w:sz w:val="20"/>
          <w:szCs w:val="20"/>
        </w:rPr>
        <w:t xml:space="preserve">Three categories of counterparties are under enhanced monitoring. First, crypto-exposed counterparties including digital asset exchanges, crypto-focused hedge funds, and prime brokerage clients with significant cryptocurrency portfolios. The trigger for escalation is any counterparty whose crypto exposure exceeds 50% of total AUM experiencing a margin shortfall. Second, technology-sector counterparties whose equity values have declined more than 15% this week and whose derivative positions may require additional collateral. Third, regional financial institutions with elevated commercial real estate exposure in distressed office markets. We recommend daily collateral monitoring for the first category and weekly enhanced review for the latter two.</w:t>
      </w:r>
    </w:p>
    <w:p>
      <w:pPr>
        <w:pStyle w:val="Heading2"/>
        <w:spacing w:before="280" w:after="160"/>
      </w:pPr>
      <w:r>
        <w:rPr>
          <w:rFonts w:ascii="Arial" w:cs="Arial" w:eastAsia="Arial" w:hAnsi="Arial"/>
          <w:b/>
          <w:bCs/>
          <w:color w:val="2E75B6"/>
          <w:sz w:val="26"/>
          <w:szCs w:val="26"/>
        </w:rPr>
        <w:t xml:space="preserve">IV.D Wrong-Way Risk</w:t>
      </w:r>
    </w:p>
    <w:p>
      <w:pPr>
        <w:spacing w:before="80" w:after="80" w:line="276"/>
        <w:jc w:val="left"/>
      </w:pPr>
      <w:r>
        <w:rPr>
          <w:rFonts w:ascii="Arial" w:cs="Arial" w:eastAsia="Arial" w:hAnsi="Arial"/>
          <w:color w:val="2C3E50"/>
          <w:sz w:val="20"/>
          <w:szCs w:val="20"/>
        </w:rPr>
        <w:t xml:space="preserve">We have identified specific wrong-way risk in two areas. First, we hold long credit exposure to several technology companies against which we also have equity derivative positions. If the tech selloff deepens, the credit quality of these counterparties deteriorates precisely when the value of our derivative positions increases, creating classic wrong-way exposure. Second, our commodity derivatives with energy-producing counterparties create wrong-way risk if oil prices decline further, since the counterparties' ability to pay is correlated with the commodity price moves that increase our claim against them. Mitigation includes collateral thresholds, credit trigger provisions, and position-level limits on wrong-way exposure, but the current environment warrants a review of these thresholds.</w:t>
      </w:r>
    </w:p>
    <w:p>
      <w:pPr>
        <w:pStyle w:val="Heading2"/>
        <w:spacing w:before="280" w:after="160"/>
      </w:pPr>
      <w:r>
        <w:rPr>
          <w:rFonts w:ascii="Arial" w:cs="Arial" w:eastAsia="Arial" w:hAnsi="Arial"/>
          <w:b/>
          <w:bCs/>
          <w:color w:val="2E75B6"/>
          <w:sz w:val="26"/>
          <w:szCs w:val="26"/>
        </w:rPr>
        <w:t xml:space="preserve">IV.E Collateral and Margin</w:t>
      </w:r>
    </w:p>
    <w:p>
      <w:pPr>
        <w:spacing w:before="80" w:after="80" w:line="276"/>
        <w:jc w:val="left"/>
      </w:pPr>
      <w:r>
        <w:rPr>
          <w:rFonts w:ascii="Arial" w:cs="Arial" w:eastAsia="Arial" w:hAnsi="Arial"/>
          <w:color w:val="2C3E50"/>
          <w:sz w:val="20"/>
          <w:szCs w:val="20"/>
        </w:rPr>
        <w:t xml:space="preserve">Margin call activity has increased approximately 20% this week versus the prior four-week average, consistent with elevated volatility. All margin calls were met within standard settlement windows, and there have been no fails. However, collateral quality requires attention: crypto-denominated collateral held against certain counterparty exposures should be revalued immediately given the 13.6% decline in Bitcoin. We recommend reducing the eligible collateral haircut for cryptocurrency by 10 percentage points, effectively requiring additional cash or securities collateral from counterparties posting crypto. Initial margin adequacy is sufficient under current conditions but should be stress-tested under a scenario of 15% further equity decline and 25% further crypto decline.</w:t>
      </w:r>
    </w:p>
    <w:p>
      <w:pPr>
        <w:pStyle w:val="Heading2"/>
        <w:spacing w:before="280" w:after="160"/>
      </w:pPr>
      <w:r>
        <w:rPr>
          <w:rFonts w:ascii="Arial" w:cs="Arial" w:eastAsia="Arial" w:hAnsi="Arial"/>
          <w:b/>
          <w:bCs/>
          <w:color w:val="2E75B6"/>
          <w:sz w:val="26"/>
          <w:szCs w:val="26"/>
        </w:rPr>
        <w:t xml:space="preserve">IV.F Counterparty Credit Risk Stress Scenarios</w:t>
      </w:r>
    </w:p>
    <w:p>
      <w:pPr>
        <w:spacing w:before="80" w:after="80" w:line="276"/>
        <w:jc w:val="left"/>
      </w:pPr>
      <w:r>
        <w:rPr>
          <w:rFonts w:ascii="Arial" w:cs="Arial" w:eastAsia="Arial" w:hAnsi="Arial"/>
          <w:color w:val="2C3E50"/>
          <w:sz w:val="20"/>
          <w:szCs w:val="20"/>
        </w:rPr>
        <w:t xml:space="preserve">Under a two-notch downgrade scenario for our top five counterparties, additional collateral calls of approximately $2-3 billion would be triggered, which is manageable given current liquidity buffers. A single large counterparty default scenario, modeled as the sudden failure of a top-3 prime brokerage counterparty, would generate an estimated $400-700 million in close-out losses before recovery, depending on market conditions at the time of default. Under a correlation breakdown scenario where counterparty defaults cluster during a market stress event, losses could reach $800 million to $1.2 billion, which would be material but within our capital absorption capacity.</w:t>
      </w:r>
    </w:p>
    <w:p>
      <w:r>
        <w:br w:type="page"/>
      </w:r>
    </w:p>
    <w:p>
      <w:pPr>
        <w:pStyle w:val="Heading1"/>
        <w:spacing w:before="360" w:after="200"/>
      </w:pPr>
      <w:r>
        <w:rPr>
          <w:rFonts w:ascii="Arial" w:cs="Arial" w:eastAsia="Arial" w:hAnsi="Arial"/>
          <w:b/>
          <w:bCs/>
          <w:color w:val="1B2A4A"/>
          <w:sz w:val="32"/>
          <w:szCs w:val="32"/>
        </w:rPr>
        <w:t xml:space="preserve">SECTION V: LIQUIDITY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V.A Funding Environment</w:t>
      </w:r>
    </w:p>
    <w:p>
      <w:pPr>
        <w:spacing w:before="80" w:after="80" w:line="276"/>
        <w:jc w:val="left"/>
      </w:pPr>
      <w:r>
        <w:rPr>
          <w:rFonts w:ascii="Arial" w:cs="Arial" w:eastAsia="Arial" w:hAnsi="Arial"/>
          <w:color w:val="2C3E50"/>
          <w:sz w:val="20"/>
          <w:szCs w:val="20"/>
        </w:rPr>
        <w:t xml:space="preserve">The overall funding environment remains constructive despite the risk-off tone in markets. Wholesale funding markets are functioning normally with no stress signals in commercial paper, certificate of deposit, or medium-term note markets. The government shutdown resolution on February 4 removed a potential source of Treasury market disruption and government payments uncertainty. SOFR remains stable and well-anchored to the Fed Funds target. Repo market functioning is orderly with adequate collateral availability. Funding costs have been stable to slightly declining, consistent with the broader move lower in short-term rates.</w:t>
      </w:r>
    </w:p>
    <w:p>
      <w:pPr>
        <w:pStyle w:val="Heading2"/>
        <w:spacing w:before="280" w:after="160"/>
      </w:pPr>
      <w:r>
        <w:rPr>
          <w:rFonts w:ascii="Arial" w:cs="Arial" w:eastAsia="Arial" w:hAnsi="Arial"/>
          <w:b/>
          <w:bCs/>
          <w:color w:val="2E75B6"/>
          <w:sz w:val="26"/>
          <w:szCs w:val="26"/>
        </w:rPr>
        <w:t xml:space="preserve">V.B Regulatory Liquidity Metrics</w:t>
      </w:r>
    </w:p>
    <w:p>
      <w:pPr>
        <w:spacing w:before="80" w:after="80" w:line="276"/>
        <w:jc w:val="left"/>
      </w:pPr>
      <w:r>
        <w:rPr>
          <w:rFonts w:ascii="Arial" w:cs="Arial" w:eastAsia="Arial" w:hAnsi="Arial"/>
          <w:color w:val="2C3E50"/>
          <w:sz w:val="20"/>
          <w:szCs w:val="20"/>
        </w:rPr>
        <w:t xml:space="preserve">The Liquidity Coverage Ratio remains well above the 100% regulatory minimum, with a comfortable buffer that provides resilience under stress. The Net Stable Funding Ratio is similarly above minimum requirements. HQLA composition is high-quality, dominated by Treasuries and government agency securities with minimal private-label exposure. Intraday liquidity adequacy is satisfactory with sufficient headroom above payment and settlement obligations. Internal stress test results under the 30-day severe stress scenario show adequate liquidity survival with no need for contingent funding activation.</w:t>
      </w:r>
    </w:p>
    <w:p>
      <w:pPr>
        <w:pStyle w:val="Heading2"/>
        <w:spacing w:before="280" w:after="160"/>
      </w:pPr>
      <w:r>
        <w:rPr>
          <w:rFonts w:ascii="Arial" w:cs="Arial" w:eastAsia="Arial" w:hAnsi="Arial"/>
          <w:b/>
          <w:bCs/>
          <w:color w:val="2E75B6"/>
          <w:sz w:val="26"/>
          <w:szCs w:val="26"/>
        </w:rPr>
        <w:t xml:space="preserve">V.C Funding Concentration</w:t>
      </w:r>
    </w:p>
    <w:p>
      <w:pPr>
        <w:spacing w:before="80" w:after="80" w:line="276"/>
        <w:jc w:val="left"/>
      </w:pPr>
      <w:r>
        <w:rPr>
          <w:rFonts w:ascii="Arial" w:cs="Arial" w:eastAsia="Arial" w:hAnsi="Arial"/>
          <w:color w:val="2C3E50"/>
          <w:sz w:val="20"/>
          <w:szCs w:val="20"/>
        </w:rPr>
        <w:t xml:space="preserve">Counterparty funding concentration remains within established limits, though we note that the top five funding counterparties represent approximately 25% of total wholesale funding, which is approaching the 30% internal threshold. Maturity concentration shows a modest gap in the 3-6 month bucket that should be addressed through term issuance when market conditions permit. Currency funding mismatches are minimal and well-hedged through the FX swap market, which continues to function normally. Contingent liquidity demands from committed facilities are stable, with no material drawdown activity this week.</w:t>
      </w:r>
    </w:p>
    <w:p>
      <w:pPr>
        <w:pStyle w:val="Heading2"/>
        <w:spacing w:before="280" w:after="160"/>
      </w:pPr>
      <w:r>
        <w:rPr>
          <w:rFonts w:ascii="Arial" w:cs="Arial" w:eastAsia="Arial" w:hAnsi="Arial"/>
          <w:b/>
          <w:bCs/>
          <w:color w:val="2E75B6"/>
          <w:sz w:val="26"/>
          <w:szCs w:val="26"/>
        </w:rPr>
        <w:t xml:space="preserve">V.D Market Liquidity Risk</w:t>
      </w:r>
    </w:p>
    <w:p>
      <w:pPr>
        <w:spacing w:before="80" w:after="80" w:line="276"/>
        <w:jc w:val="left"/>
      </w:pPr>
      <w:r>
        <w:rPr>
          <w:rFonts w:ascii="Arial" w:cs="Arial" w:eastAsia="Arial" w:hAnsi="Arial"/>
          <w:color w:val="2C3E50"/>
          <w:sz w:val="20"/>
          <w:szCs w:val="20"/>
        </w:rPr>
        <w:t xml:space="preserve">Market liquidity for our trading book positions has deteriorated marginally this week, consistent with the broader risk-off environment. Bid-ask spreads in equity markets have widened, particularly for large-cap technology names where market depth has thinned. Treasury market liquidity remains adequate. Credit market liquidity has softened modestly, with dealer bid-wanted lists increasing. Under a fire sale scenario, our estimated liquidation discount for the trading book has increased from approximately 2.5% to 3.0% of book value, reflecting the thinning of market depth and widening of bid-ask spreads. This remains within our acceptable range but warrants monitoring.</w:t>
      </w:r>
    </w:p>
    <w:p>
      <w:pPr>
        <w:pStyle w:val="Heading2"/>
        <w:spacing w:before="280" w:after="160"/>
      </w:pPr>
      <w:r>
        <w:rPr>
          <w:rFonts w:ascii="Arial" w:cs="Arial" w:eastAsia="Arial" w:hAnsi="Arial"/>
          <w:b/>
          <w:bCs/>
          <w:color w:val="2E75B6"/>
          <w:sz w:val="26"/>
          <w:szCs w:val="26"/>
        </w:rPr>
        <w:t xml:space="preserve">V.E Contingent Liquidity Events</w:t>
      </w:r>
    </w:p>
    <w:p>
      <w:pPr>
        <w:spacing w:before="80" w:after="80" w:line="276"/>
        <w:jc w:val="left"/>
      </w:pPr>
      <w:r>
        <w:rPr>
          <w:rFonts w:ascii="Arial" w:cs="Arial" w:eastAsia="Arial" w:hAnsi="Arial"/>
          <w:color w:val="2C3E50"/>
          <w:sz w:val="20"/>
          <w:szCs w:val="20"/>
        </w:rPr>
        <w:t xml:space="preserve">We identify three potential contingent liquidity demands. First, committed credit facilities to technology companies could see drawdowns if the equity selloff continues and companies seek to shore up cash positions; estimated potential demand is $1-2 billion. Second, margin calls on our derivative portfolios could increase if volatility continues to rise; estimated additional margin under a VIX-to-30 scenario is $500 million to $1 billion. Third, rating downgrade triggers in structured products could accelerate certain obligations if our credit rating or the rating of key counterparties is downgraded; this is a low probability event given current rating agency posture but represents a tail risk of $300-500 million in additional funding needs.</w:t>
      </w:r>
    </w:p>
    <w:p>
      <w:pPr>
        <w:pStyle w:val="Heading2"/>
        <w:spacing w:before="280" w:after="160"/>
      </w:pPr>
      <w:r>
        <w:rPr>
          <w:rFonts w:ascii="Arial" w:cs="Arial" w:eastAsia="Arial" w:hAnsi="Arial"/>
          <w:b/>
          <w:bCs/>
          <w:color w:val="2E75B6"/>
          <w:sz w:val="26"/>
          <w:szCs w:val="26"/>
        </w:rPr>
        <w:t xml:space="preserve">V.F Liquidity Stress Scenarios</w:t>
      </w:r>
    </w:p>
    <w:p>
      <w:pPr>
        <w:spacing w:before="80" w:after="80" w:line="276"/>
        <w:jc w:val="left"/>
      </w:pPr>
      <w:r>
        <w:rPr>
          <w:rFonts w:ascii="Arial" w:cs="Arial" w:eastAsia="Arial" w:hAnsi="Arial"/>
          <w:color w:val="2C3E50"/>
          <w:sz w:val="20"/>
          <w:szCs w:val="20"/>
        </w:rPr>
        <w:t xml:space="preserve">Under an idiosyncratic stress scenario (firm-specific event such as a major trading loss or operational disruption), our liquidity survival horizon exceeds 90 days based on current reserves and contingent funding arrangements. Under a market-wide stress scenario (2020-style liquidity crunch), the survival horizon is approximately 60 days, which is above our 30-day minimum threshold. Under a combined scenario, the survival horizon is approximately 45 days. Recovery time assumptions range from 30-90 days depending on the severity and nature of the stress event. The key vulnerability in our liquidity position is the concentration in the 3-6 month maturity bucket noted above, which should be addressed proactively.</w:t>
      </w:r>
    </w:p>
    <w:p>
      <w:r>
        <w:br w:type="page"/>
      </w:r>
    </w:p>
    <w:p>
      <w:pPr>
        <w:pStyle w:val="Heading1"/>
        <w:spacing w:before="360" w:after="200"/>
      </w:pPr>
      <w:r>
        <w:rPr>
          <w:rFonts w:ascii="Arial" w:cs="Arial" w:eastAsia="Arial" w:hAnsi="Arial"/>
          <w:b/>
          <w:bCs/>
          <w:color w:val="1B2A4A"/>
          <w:sz w:val="32"/>
          <w:szCs w:val="32"/>
        </w:rPr>
        <w:t xml:space="preserve">SECTION VI: OPERATIONAL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VI.A Operational Risk Environment</w:t>
      </w:r>
    </w:p>
    <w:p>
      <w:pPr>
        <w:spacing w:before="80" w:after="80" w:line="276"/>
        <w:jc w:val="left"/>
      </w:pPr>
      <w:r>
        <w:rPr>
          <w:rFonts w:ascii="Arial" w:cs="Arial" w:eastAsia="Arial" w:hAnsi="Arial"/>
          <w:color w:val="2C3E50"/>
          <w:sz w:val="20"/>
          <w:szCs w:val="20"/>
        </w:rPr>
        <w:t xml:space="preserve">The operational risk posture is stable with no material incidents during the reporting period. The elevated market volatility has increased processing volumes across equity and derivatives operations, but capacity headroom remains adequate. Industry-wide, the primary operational risk concern is the increasing sophistication of cyber threats targeting financial institutions, particularly AI-powered phishing and social engineering attacks. The Securities and Exchange Commission issued new guidance on operational resilience requirements that our compliance team is currently reviewing for implementation timeline and resource requirements.</w:t>
      </w:r>
    </w:p>
    <w:p>
      <w:pPr>
        <w:pStyle w:val="Heading2"/>
        <w:spacing w:before="280" w:after="160"/>
      </w:pPr>
      <w:r>
        <w:rPr>
          <w:rFonts w:ascii="Arial" w:cs="Arial" w:eastAsia="Arial" w:hAnsi="Arial"/>
          <w:b/>
          <w:bCs/>
          <w:color w:val="2E75B6"/>
          <w:sz w:val="26"/>
          <w:szCs w:val="26"/>
        </w:rPr>
        <w:t xml:space="preserve">VI.B Recent Incidents and Near-Misses</w:t>
      </w:r>
    </w:p>
    <w:p>
      <w:pPr>
        <w:spacing w:before="80" w:after="80" w:line="276"/>
        <w:jc w:val="left"/>
      </w:pPr>
      <w:r>
        <w:rPr>
          <w:rFonts w:ascii="Arial" w:cs="Arial" w:eastAsia="Arial" w:hAnsi="Arial"/>
          <w:color w:val="2C3E50"/>
          <w:sz w:val="20"/>
          <w:szCs w:val="20"/>
        </w:rPr>
        <w:t xml:space="preserve">No significant operational risk events occurred during the reporting period. One near-miss was identified: an automated trading system experienced a brief latency spike during the February 5 equity selloff, causing a 200-millisecond delay in execution that resulted in approximately $50,000 in slippage. Root cause analysis identified a memory management issue in the order routing system that has been patched. No remediation is outstanding from prior incidents.</w:t>
      </w:r>
    </w:p>
    <w:p>
      <w:pPr>
        <w:pStyle w:val="Heading2"/>
        <w:spacing w:before="280" w:after="160"/>
      </w:pPr>
      <w:r>
        <w:rPr>
          <w:rFonts w:ascii="Arial" w:cs="Arial" w:eastAsia="Arial" w:hAnsi="Arial"/>
          <w:b/>
          <w:bCs/>
          <w:color w:val="2E75B6"/>
          <w:sz w:val="26"/>
          <w:szCs w:val="26"/>
        </w:rPr>
        <w:t xml:space="preserve">VI.C Key Risk Indicators</w:t>
      </w:r>
    </w:p>
    <w:p>
      <w:pPr>
        <w:spacing w:before="80" w:after="80" w:line="276"/>
        <w:jc w:val="left"/>
      </w:pPr>
      <w:r>
        <w:rPr>
          <w:rFonts w:ascii="Arial" w:cs="Arial" w:eastAsia="Arial" w:hAnsi="Arial"/>
          <w:color w:val="2C3E50"/>
          <w:sz w:val="20"/>
          <w:szCs w:val="20"/>
        </w:rPr>
        <w:t xml:space="preserve">Trade fails and breaks remain within normal ranges despite elevated volumes. System availability averaged 99.97% during the reporting period, above the 99.95% threshold. Processing volumes increased approximately 35% on February 5 during the equity selloff, well within surge capacity. Error rates and manual interventions remain at baseline levels. Vendor performance is satisfactory across all critical service providers.</w:t>
      </w:r>
    </w:p>
    <w:p>
      <w:pPr>
        <w:pStyle w:val="Heading2"/>
        <w:spacing w:before="280" w:after="160"/>
      </w:pPr>
      <w:r>
        <w:rPr>
          <w:rFonts w:ascii="Arial" w:cs="Arial" w:eastAsia="Arial" w:hAnsi="Arial"/>
          <w:b/>
          <w:bCs/>
          <w:color w:val="2E75B6"/>
          <w:sz w:val="26"/>
          <w:szCs w:val="26"/>
        </w:rPr>
        <w:t xml:space="preserve">VI.D Technology and Cyber Risk</w:t>
      </w:r>
    </w:p>
    <w:p>
      <w:pPr>
        <w:spacing w:before="80" w:after="80" w:line="276"/>
        <w:jc w:val="left"/>
      </w:pPr>
      <w:r>
        <w:rPr>
          <w:rFonts w:ascii="Arial" w:cs="Arial" w:eastAsia="Arial" w:hAnsi="Arial"/>
          <w:color w:val="2C3E50"/>
          <w:sz w:val="20"/>
          <w:szCs w:val="20"/>
        </w:rPr>
        <w:t xml:space="preserve">The cyber threat landscape remains elevated. Industry sources report an increase in AI-generated phishing attempts targeting financial institution employees, particularly those with access to trading systems and client data. Our phishing simulation results show a 3.2% click rate, within the acceptable 5% threshold but trending higher than the prior quarter's 2.8%. Vulnerability scanning is current with no critical unpatched vulnerabilities in production systems. Patch compliance is at 98.5%, above the 97% threshold. Third-party cyber risk assessments are current for all critical vendors, with two medium-severity findings under remediation. Business continuity testing was completed in January with satisfactory results.</w:t>
      </w:r>
    </w:p>
    <w:p>
      <w:pPr>
        <w:pStyle w:val="Heading2"/>
        <w:spacing w:before="280" w:after="160"/>
      </w:pPr>
      <w:r>
        <w:rPr>
          <w:rFonts w:ascii="Arial" w:cs="Arial" w:eastAsia="Arial" w:hAnsi="Arial"/>
          <w:b/>
          <w:bCs/>
          <w:color w:val="2E75B6"/>
          <w:sz w:val="26"/>
          <w:szCs w:val="26"/>
        </w:rPr>
        <w:t xml:space="preserve">VI.E Third-Party and Vendor Risk</w:t>
      </w:r>
    </w:p>
    <w:p>
      <w:pPr>
        <w:spacing w:before="80" w:after="80" w:line="276"/>
        <w:jc w:val="left"/>
      </w:pPr>
      <w:r>
        <w:rPr>
          <w:rFonts w:ascii="Arial" w:cs="Arial" w:eastAsia="Arial" w:hAnsi="Arial"/>
          <w:color w:val="2C3E50"/>
          <w:sz w:val="20"/>
          <w:szCs w:val="20"/>
        </w:rPr>
        <w:t xml:space="preserve">Critical vendor performance remains satisfactory. We note concentration risk in cloud infrastructure services where two providers represent approximately 70% of our cloud computing capacity. Fourth-party risk (vendors' vendors) is being assessed as part of the annual review cycle. Two significant contract renewals are underway with market data providers, with negotiations progressing normally. No vendor transitions are planned for the current quarter.</w:t>
      </w:r>
    </w:p>
    <w:p>
      <w:pPr>
        <w:pStyle w:val="Heading2"/>
        <w:spacing w:before="280" w:after="160"/>
      </w:pPr>
      <w:r>
        <w:rPr>
          <w:rFonts w:ascii="Arial" w:cs="Arial" w:eastAsia="Arial" w:hAnsi="Arial"/>
          <w:b/>
          <w:bCs/>
          <w:color w:val="2E75B6"/>
          <w:sz w:val="26"/>
          <w:szCs w:val="26"/>
        </w:rPr>
        <w:t xml:space="preserve">VI.F Operational Risk Events Calendar</w:t>
      </w:r>
    </w:p>
    <w:p>
      <w:pPr>
        <w:spacing w:before="80" w:after="80" w:line="276"/>
        <w:jc w:val="left"/>
      </w:pPr>
      <w:r>
        <w:rPr>
          <w:rFonts w:ascii="Arial" w:cs="Arial" w:eastAsia="Arial" w:hAnsi="Arial"/>
          <w:color w:val="2C3E50"/>
          <w:sz w:val="20"/>
          <w:szCs w:val="20"/>
        </w:rPr>
        <w:t xml:space="preserve">The operational risk calendar for the next 30 days includes: the BLS employment data release on February 11 (surge capacity testing completed), a planned weekend maintenance window for the derivatives pricing system on February 15-16, the annual disaster recovery exercise scheduled for February 22, and a regulatory reporting deadline for FR Y-14Q on February 28. Staff transitions include one senior technologist departing the risk systems team, with knowledge transfer in progress and a replacement starting February 17.</w:t>
      </w:r>
    </w:p>
    <w:p>
      <w:r>
        <w:br w:type="page"/>
      </w:r>
    </w:p>
    <w:p>
      <w:pPr>
        <w:pStyle w:val="Heading1"/>
        <w:spacing w:before="360" w:after="200"/>
      </w:pPr>
      <w:r>
        <w:rPr>
          <w:rFonts w:ascii="Arial" w:cs="Arial" w:eastAsia="Arial" w:hAnsi="Arial"/>
          <w:b/>
          <w:bCs/>
          <w:color w:val="1B2A4A"/>
          <w:sz w:val="32"/>
          <w:szCs w:val="32"/>
        </w:rPr>
        <w:t xml:space="preserve">SECTION VII: MODEL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VII.A Model Risk Environment</w:t>
      </w:r>
    </w:p>
    <w:p>
      <w:pPr>
        <w:spacing w:before="80" w:after="80" w:line="276"/>
        <w:jc w:val="left"/>
      </w:pPr>
      <w:r>
        <w:rPr>
          <w:rFonts w:ascii="Arial" w:cs="Arial" w:eastAsia="Arial" w:hAnsi="Arial"/>
          <w:color w:val="2C3E50"/>
          <w:sz w:val="20"/>
          <w:szCs w:val="20"/>
        </w:rPr>
        <w:t xml:space="preserve">The model risk environment is elevated due to the rapid shift in market regime from constructive to cautious and the emergence of risks that existing models were not calibrated to capture. Specifically, the AI capex-driven tech selloff represents a novel factor that does not map neatly onto historical correction patterns. Current equity valuation models may not adequately capture the risk that AI cannibalization of traditional software revenues accelerates, leading to mispricing of both the upside (AI productivity) and downside (margin compression) scenarios.</w:t>
      </w:r>
    </w:p>
    <w:p>
      <w:pPr>
        <w:pStyle w:val="Heading2"/>
        <w:spacing w:before="280" w:after="160"/>
      </w:pPr>
      <w:r>
        <w:rPr>
          <w:rFonts w:ascii="Arial" w:cs="Arial" w:eastAsia="Arial" w:hAnsi="Arial"/>
          <w:b/>
          <w:bCs/>
          <w:color w:val="2E75B6"/>
          <w:sz w:val="26"/>
          <w:szCs w:val="26"/>
        </w:rPr>
        <w:t xml:space="preserve">VII.B Model Performance Monitoring</w:t>
      </w:r>
    </w:p>
    <w:p>
      <w:pPr>
        <w:spacing w:before="80" w:after="80" w:line="276"/>
        <w:jc w:val="left"/>
      </w:pPr>
      <w:r>
        <w:rPr>
          <w:rFonts w:ascii="Arial" w:cs="Arial" w:eastAsia="Arial" w:hAnsi="Arial"/>
          <w:color w:val="2C3E50"/>
          <w:sz w:val="20"/>
          <w:szCs w:val="20"/>
        </w:rPr>
        <w:t xml:space="preserve">VaR backtesting has been within acceptable limits for the trailing 250-day window, with three exceptions in the past twelve months (below the four-exception threshold for the 99th percentile model). However, the February 5 equity moves may generate a fourth exception depending on the final close-of-business P&amp;L calculation. If the exception is confirmed, we would move to the amber zone requiring enhanced monitoring and potential model recalibration. Credit models are performing adequately, though the sensitivity to technology sector stress has not been specifically backtested. Pricing models for exotic derivatives remain within calibration tolerances.</w:t>
      </w:r>
    </w:p>
    <w:p>
      <w:pPr>
        <w:pStyle w:val="Heading2"/>
        <w:spacing w:before="280" w:after="160"/>
      </w:pPr>
      <w:r>
        <w:rPr>
          <w:rFonts w:ascii="Arial" w:cs="Arial" w:eastAsia="Arial" w:hAnsi="Arial"/>
          <w:b/>
          <w:bCs/>
          <w:color w:val="2E75B6"/>
          <w:sz w:val="26"/>
          <w:szCs w:val="26"/>
        </w:rPr>
        <w:t xml:space="preserve">VII.C Validation Status</w:t>
      </w:r>
    </w:p>
    <w:p>
      <w:pPr>
        <w:spacing w:before="80" w:after="80" w:line="276"/>
        <w:jc w:val="left"/>
      </w:pPr>
      <w:r>
        <w:rPr>
          <w:rFonts w:ascii="Arial" w:cs="Arial" w:eastAsia="Arial" w:hAnsi="Arial"/>
          <w:color w:val="2C3E50"/>
          <w:sz w:val="20"/>
          <w:szCs w:val="20"/>
        </w:rPr>
        <w:t xml:space="preserve">Three models are currently due for annual validation: the firm-wide VaR model (due March 2026), the counterparty exposure model (due April 2026), and the CCAR revenue projection model (due May 2026). No validations are overdue. Recent validations of the credit loss model and the interest rate risk model in the banking book were completed with findings rated low-to-medium severity, all of which are being remediated on schedule. No material finding remains open beyond its committed remediation date.</w:t>
      </w:r>
    </w:p>
    <w:p>
      <w:pPr>
        <w:pStyle w:val="Heading2"/>
        <w:spacing w:before="280" w:after="160"/>
      </w:pPr>
      <w:r>
        <w:rPr>
          <w:rFonts w:ascii="Arial" w:cs="Arial" w:eastAsia="Arial" w:hAnsi="Arial"/>
          <w:b/>
          <w:bCs/>
          <w:color w:val="2E75B6"/>
          <w:sz w:val="26"/>
          <w:szCs w:val="26"/>
        </w:rPr>
        <w:t xml:space="preserve">VII.D Model Limitations and Compensating Controls</w:t>
      </w:r>
    </w:p>
    <w:p>
      <w:pPr>
        <w:spacing w:before="80" w:after="80" w:line="276"/>
        <w:jc w:val="left"/>
      </w:pPr>
      <w:r>
        <w:rPr>
          <w:rFonts w:ascii="Arial" w:cs="Arial" w:eastAsia="Arial" w:hAnsi="Arial"/>
          <w:color w:val="2C3E50"/>
          <w:sz w:val="20"/>
          <w:szCs w:val="20"/>
        </w:rPr>
        <w:t xml:space="preserve">The most significant model limitation in the current environment is the VaR model's sensitivity to correlation assumptions. During the tech rotation, the correlation between technology stocks and the broader market is breaking down, which means the diversification benefit assumed in the VaR model may be overstated. A compensating control is the daily monitoring of realized versus assumed correlations, with an escalation trigger if the gap exceeds 2 standard deviations. Additionally, HY default models calibrated to the benign credit environment of 2023-2025 may underestimate cliff risk if the tech capex cycle turns abruptly. Management overlays have been applied to increase expected loss estimates for the technology sector by 15 basis points.</w:t>
      </w:r>
    </w:p>
    <w:p>
      <w:pPr>
        <w:pStyle w:val="Heading2"/>
        <w:spacing w:before="280" w:after="160"/>
      </w:pPr>
      <w:r>
        <w:rPr>
          <w:rFonts w:ascii="Arial" w:cs="Arial" w:eastAsia="Arial" w:hAnsi="Arial"/>
          <w:b/>
          <w:bCs/>
          <w:color w:val="2E75B6"/>
          <w:sz w:val="26"/>
          <w:szCs w:val="26"/>
        </w:rPr>
        <w:t xml:space="preserve">VII.E Emerging Model Risks</w:t>
      </w:r>
    </w:p>
    <w:p>
      <w:pPr>
        <w:spacing w:before="80" w:after="80" w:line="276"/>
        <w:jc w:val="left"/>
      </w:pPr>
      <w:r>
        <w:rPr>
          <w:rFonts w:ascii="Arial" w:cs="Arial" w:eastAsia="Arial" w:hAnsi="Arial"/>
          <w:color w:val="2C3E50"/>
          <w:sz w:val="20"/>
          <w:szCs w:val="20"/>
        </w:rPr>
        <w:t xml:space="preserve">Two emerging model risks warrant attention. First, the increasing use of AI and machine learning in our own risk models creates model risk that is harder to validate using traditional statistical techniques. We are developing interpretability frameworks for ML models used in credit scoring and fraud detection, but these are not yet production-ready. Second, the AI disruption to software sector business models is not captured in our industry classification system, meaning that the credit risk of software companies being disrupted by AI agents is not automatically flagged by our monitoring tools. A manual overlay is in place, but a systematic solution is needed. Regulatory expectations are evolving in this space, with the OCC and Fed issuing guidance on AI model governance that we are incorporating into our model risk management framework.</w:t>
      </w:r>
    </w:p>
    <w:p>
      <w:r>
        <w:br w:type="page"/>
      </w:r>
    </w:p>
    <w:p>
      <w:pPr>
        <w:pStyle w:val="Heading1"/>
        <w:spacing w:before="360" w:after="200"/>
      </w:pPr>
      <w:r>
        <w:rPr>
          <w:rFonts w:ascii="Arial" w:cs="Arial" w:eastAsia="Arial" w:hAnsi="Arial"/>
          <w:b/>
          <w:bCs/>
          <w:color w:val="1B2A4A"/>
          <w:sz w:val="32"/>
          <w:szCs w:val="32"/>
        </w:rPr>
        <w:t xml:space="preserve">SECTION VIII: REGULATORY AND COMPLIANCE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VIII.A Regulatory Environment</w:t>
      </w:r>
    </w:p>
    <w:p>
      <w:pPr>
        <w:spacing w:before="80" w:after="80" w:line="276"/>
        <w:jc w:val="left"/>
      </w:pPr>
      <w:r>
        <w:rPr>
          <w:rFonts w:ascii="Arial" w:cs="Arial" w:eastAsia="Arial" w:hAnsi="Arial"/>
          <w:color w:val="2C3E50"/>
          <w:sz w:val="20"/>
          <w:szCs w:val="20"/>
        </w:rPr>
        <w:t xml:space="preserve">The regulatory environment is in an unusual state of flux due to the Federal Reserve leadership transition. Kevin Warsh's nomination as Fed Chair on January 30 introduces uncertainty about the direction of bank supervision and regulation. Warsh is generally viewed as more market-friendly and potentially less aggressive on bank capital requirements than the current regime. However, until confirmation hearings in early March provide clarity, the regulatory posture remains the status quo. The BLS annual benchmark revision on February 11, while primarily an economic event, has regulatory implications because it will alter the macroeconomic assumptions underlying our stress testing models.</w:t>
      </w:r>
    </w:p>
    <w:p>
      <w:pPr>
        <w:pStyle w:val="Heading2"/>
        <w:spacing w:before="280" w:after="160"/>
      </w:pPr>
      <w:r>
        <w:rPr>
          <w:rFonts w:ascii="Arial" w:cs="Arial" w:eastAsia="Arial" w:hAnsi="Arial"/>
          <w:b/>
          <w:bCs/>
          <w:color w:val="2E75B6"/>
          <w:sz w:val="26"/>
          <w:szCs w:val="26"/>
        </w:rPr>
        <w:t xml:space="preserve">VIII.B Upcoming Regulatory Changes</w:t>
      </w:r>
    </w:p>
    <w:p>
      <w:pPr>
        <w:spacing w:before="80" w:after="80" w:line="276"/>
        <w:jc w:val="left"/>
      </w:pPr>
      <w:r>
        <w:rPr>
          <w:rFonts w:ascii="Arial" w:cs="Arial" w:eastAsia="Arial" w:hAnsi="Arial"/>
          <w:color w:val="2C3E50"/>
          <w:sz w:val="20"/>
          <w:szCs w:val="20"/>
        </w:rPr>
        <w:t xml:space="preserve">Basel III Endgame and FRTB implementation remains the most significant regulatory change on the horizon. The timeline continues on track, but political uncertainty around Warsh's regulatory philosophy could shift the approach from the current proposal, which would increase risk-weighted assets by an estimated 15-20% for large banks, toward a more modest version. Our implementation team has completed approximately 65% of the systems and process changes required. SEC and CFTC rule changes affecting derivatives reporting and clearing requirements are proceeding on the published timeline. Climate and ESG disclosure rules under the SEC's framework remain subject to legal challenge, and our preparation has been calibrated to the most likely outcome scenario of partial implementation in 2027.</w:t>
      </w:r>
    </w:p>
    <w:p>
      <w:pPr>
        <w:pStyle w:val="Heading2"/>
        <w:spacing w:before="280" w:after="160"/>
      </w:pPr>
      <w:r>
        <w:rPr>
          <w:rFonts w:ascii="Arial" w:cs="Arial" w:eastAsia="Arial" w:hAnsi="Arial"/>
          <w:b/>
          <w:bCs/>
          <w:color w:val="2E75B6"/>
          <w:sz w:val="26"/>
          <w:szCs w:val="26"/>
        </w:rPr>
        <w:t xml:space="preserve">VIII.C Examination Status</w:t>
      </w:r>
    </w:p>
    <w:p>
      <w:pPr>
        <w:spacing w:before="80" w:after="80" w:line="276"/>
        <w:jc w:val="left"/>
      </w:pPr>
      <w:r>
        <w:rPr>
          <w:rFonts w:ascii="Arial" w:cs="Arial" w:eastAsia="Arial" w:hAnsi="Arial"/>
          <w:color w:val="2C3E50"/>
          <w:sz w:val="20"/>
          <w:szCs w:val="20"/>
        </w:rPr>
        <w:t xml:space="preserve">No active regulatory examinations are underway. The most recent OCC examination concluded in December 2025 with two Matters Requiring Attention, both related to model risk management documentation. Remediation is on track with completion expected by April 2026. No MRIAs (Matters Requiring Immediate Attention) are outstanding. The next scheduled examination is the annual supervisory review in June 2026, which will likely be influenced by the incoming Warsh leadership's priorities.</w:t>
      </w:r>
    </w:p>
    <w:p>
      <w:pPr>
        <w:pStyle w:val="Heading2"/>
        <w:spacing w:before="280" w:after="160"/>
      </w:pPr>
      <w:r>
        <w:rPr>
          <w:rFonts w:ascii="Arial" w:cs="Arial" w:eastAsia="Arial" w:hAnsi="Arial"/>
          <w:b/>
          <w:bCs/>
          <w:color w:val="2E75B6"/>
          <w:sz w:val="26"/>
          <w:szCs w:val="26"/>
        </w:rPr>
        <w:t xml:space="preserve">VIII.D Compliance Monitoring</w:t>
      </w:r>
    </w:p>
    <w:p>
      <w:pPr>
        <w:spacing w:before="80" w:after="80" w:line="276"/>
        <w:jc w:val="left"/>
      </w:pPr>
      <w:r>
        <w:rPr>
          <w:rFonts w:ascii="Arial" w:cs="Arial" w:eastAsia="Arial" w:hAnsi="Arial"/>
          <w:color w:val="2C3E50"/>
          <w:sz w:val="20"/>
          <w:szCs w:val="20"/>
        </w:rPr>
        <w:t xml:space="preserve">Key compliance metrics are within acceptable ranges. Trading surveillance systems detected no material concerns during the volatile trading of February 3-5, though the volume of alerts increased by approximately 40% due to elevated volatility and unusual trading patterns. All alerts have been reviewed and closed within the standard 48-hour window. Training compliance is at 97%, above the 95% threshold. Policy attestation for the annual code of conduct refresh is at 94% with a deadline of February 28.</w:t>
      </w:r>
    </w:p>
    <w:p>
      <w:pPr>
        <w:pStyle w:val="Heading2"/>
        <w:spacing w:before="280" w:after="160"/>
      </w:pPr>
      <w:r>
        <w:rPr>
          <w:rFonts w:ascii="Arial" w:cs="Arial" w:eastAsia="Arial" w:hAnsi="Arial"/>
          <w:b/>
          <w:bCs/>
          <w:color w:val="2E75B6"/>
          <w:sz w:val="26"/>
          <w:szCs w:val="26"/>
        </w:rPr>
        <w:t xml:space="preserve">VIII.E Legal and Litigation Risk</w:t>
      </w:r>
    </w:p>
    <w:p>
      <w:pPr>
        <w:spacing w:before="80" w:after="80" w:line="276"/>
        <w:jc w:val="left"/>
      </w:pPr>
      <w:r>
        <w:rPr>
          <w:rFonts w:ascii="Arial" w:cs="Arial" w:eastAsia="Arial" w:hAnsi="Arial"/>
          <w:color w:val="2C3E50"/>
          <w:sz w:val="20"/>
          <w:szCs w:val="20"/>
        </w:rPr>
        <w:t xml:space="preserve">No new significant litigation was filed during the reporting period. The existing docket of pending matters remains stable with adequate reserves. The primary emerging legal risk is related to potential class action exposure from the technology sector downturn, should any of our underwriting or advisory activities in the AI space be alleged to have involved inadequate disclosure of risks. This is a remote risk at present but is being monitored by the legal department. Reserves are adequate for all pending matters based on current assessment of probable outcomes.</w:t>
      </w:r>
    </w:p>
    <w:p>
      <w:pPr>
        <w:pStyle w:val="Heading2"/>
        <w:spacing w:before="280" w:after="160"/>
      </w:pPr>
      <w:r>
        <w:rPr>
          <w:rFonts w:ascii="Arial" w:cs="Arial" w:eastAsia="Arial" w:hAnsi="Arial"/>
          <w:b/>
          <w:bCs/>
          <w:color w:val="2E75B6"/>
          <w:sz w:val="26"/>
          <w:szCs w:val="26"/>
        </w:rPr>
        <w:t xml:space="preserve">VIII.F Capital and Stress Testing</w:t>
      </w:r>
    </w:p>
    <w:p>
      <w:pPr>
        <w:spacing w:before="80" w:after="80" w:line="276"/>
        <w:jc w:val="left"/>
      </w:pPr>
      <w:r>
        <w:rPr>
          <w:rFonts w:ascii="Arial" w:cs="Arial" w:eastAsia="Arial" w:hAnsi="Arial"/>
          <w:color w:val="2C3E50"/>
          <w:sz w:val="20"/>
          <w:szCs w:val="20"/>
        </w:rPr>
        <w:t xml:space="preserve">Capital ratios remain well above regulatory minimums and internal targets. CET1 is estimated at approximately 12.5%, above the 10.5% minimum including buffers. Total capital ratio is approximately 16.0%. CCAR/DFAST preparation for the 2026 cycle is on track, with internal stress testing models being updated to reflect the current macroeconomic environment. The key question is whether the current market conditions more closely resemble the adverse scenario assumptions used in the 2025 CCAR cycle, which would imply that the capital buffer may be tested if conditions deteriorate further. The combination of tech sector stress, labor market weakness, and geopolitical tension maps to a scenario between the baseline and adverse cases. Dividend and buyback capacity remains robust under current projections, but would be reviewed if CET1 approached the 11.0% internal target.</w:t>
      </w:r>
    </w:p>
    <w:p>
      <w:r>
        <w:br w:type="page"/>
      </w:r>
    </w:p>
    <w:p>
      <w:pPr>
        <w:pStyle w:val="Heading1"/>
        <w:spacing w:before="360" w:after="200"/>
      </w:pPr>
      <w:r>
        <w:rPr>
          <w:rFonts w:ascii="Arial" w:cs="Arial" w:eastAsia="Arial" w:hAnsi="Arial"/>
          <w:b/>
          <w:bCs/>
          <w:color w:val="1B2A4A"/>
          <w:sz w:val="32"/>
          <w:szCs w:val="32"/>
        </w:rPr>
        <w:t xml:space="preserve">SECTION IX: CONCENTRATION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IX.A Single-Name Concentrations</w:t>
      </w:r>
    </w:p>
    <w:p>
      <w:pPr>
        <w:spacing w:before="80" w:after="80" w:line="276"/>
        <w:jc w:val="left"/>
      </w:pPr>
      <w:r>
        <w:rPr>
          <w:rFonts w:ascii="Arial" w:cs="Arial" w:eastAsia="Arial" w:hAnsi="Arial"/>
          <w:color w:val="2C3E50"/>
          <w:sz w:val="20"/>
          <w:szCs w:val="20"/>
        </w:rPr>
        <w:t xml:space="preserve">The most significant concentration risk in the current environment is our exposure to the Magnificent 7 technology companies. These seven names represent an outsized share of our equity delta, our derivatives counterparty exposure, and our investment banking revenue pipeline. The week's $1.35 trillion valuation decline in these names underscores the danger of concentrated positioning. Limit utilization for the top single-name equity exposure (our largest technology position) is at approximately 78% of the desk limit following the selloff, down from 85% at the start of the week purely due to mark-to-market decline rather than active risk reduction. We recommend imposing temporary desk-level limits at 85% of current limits for all Magnificent 7 single-stock positions until after NVIDIA earnings on February 18.</w:t>
      </w:r>
    </w:p>
    <w:p>
      <w:pPr>
        <w:pStyle w:val="Heading2"/>
        <w:spacing w:before="280" w:after="160"/>
      </w:pPr>
      <w:r>
        <w:rPr>
          <w:rFonts w:ascii="Arial" w:cs="Arial" w:eastAsia="Arial" w:hAnsi="Arial"/>
          <w:b/>
          <w:bCs/>
          <w:color w:val="2E75B6"/>
          <w:sz w:val="26"/>
          <w:szCs w:val="26"/>
        </w:rPr>
        <w:t xml:space="preserve">IX.B Sector Concentrations</w:t>
      </w:r>
    </w:p>
    <w:p>
      <w:pPr>
        <w:spacing w:before="80" w:after="80" w:line="276"/>
        <w:jc w:val="left"/>
      </w:pPr>
      <w:r>
        <w:rPr>
          <w:rFonts w:ascii="Arial" w:cs="Arial" w:eastAsia="Arial" w:hAnsi="Arial"/>
          <w:color w:val="2C3E50"/>
          <w:sz w:val="20"/>
          <w:szCs w:val="20"/>
        </w:rPr>
        <w:t xml:space="preserve">Technology sector exposure across all portfolios (trading, lending, underwriting) represents approximately 28% of total revenue-generating exposure, which is the highest among all sectors and exceeds our 25% soft guideline. The sector limit is 30%, so we are within the hard cap but have limited headroom. The current tech selloff is reducing the market value of this exposure naturally, but active reduction is warranted given the risk outlook. Other sector concentrations of note include financial institutions at approximately 18% (within guidelines) and healthcare at approximately 12% (within guidelines). Energy at approximately 8% is below historical norms, representing an opportunity to rebalance given the sector's relative outperformance.</w:t>
      </w:r>
    </w:p>
    <w:p>
      <w:pPr>
        <w:pStyle w:val="Heading2"/>
        <w:spacing w:before="280" w:after="160"/>
      </w:pPr>
      <w:r>
        <w:rPr>
          <w:rFonts w:ascii="Arial" w:cs="Arial" w:eastAsia="Arial" w:hAnsi="Arial"/>
          <w:b/>
          <w:bCs/>
          <w:color w:val="2E75B6"/>
          <w:sz w:val="26"/>
          <w:szCs w:val="26"/>
        </w:rPr>
        <w:t xml:space="preserve">IX.C Geographic Concentrations</w:t>
      </w:r>
    </w:p>
    <w:p>
      <w:pPr>
        <w:spacing w:before="80" w:after="80" w:line="276"/>
        <w:jc w:val="left"/>
      </w:pPr>
      <w:r>
        <w:rPr>
          <w:rFonts w:ascii="Arial" w:cs="Arial" w:eastAsia="Arial" w:hAnsi="Arial"/>
          <w:color w:val="2C3E50"/>
          <w:sz w:val="20"/>
          <w:szCs w:val="20"/>
        </w:rPr>
        <w:t xml:space="preserve">Geographic exposure is dominated by the United States at approximately 55% of total, followed by Western Europe at 20%, Asia-Pacific at 15%, and emerging markets at 10%. The US concentration is structural given our business model but creates sensitivity to the domestic economic cycle. The most elevated geographic risk is Middle East exposure, which while small in absolute terms (approximately 1.5% of total), is sensitive to the US-Iran escalation scenario. Country limits for Iran-adjacent economies (Iraq, UAE, Qatar) are being reviewed for adequacy under the escalation scenario. European exposure is well-diversified across the UK, Germany, France, and the Netherlands, with no single country exceeding 5% of total.</w:t>
      </w:r>
    </w:p>
    <w:p>
      <w:pPr>
        <w:pStyle w:val="Heading2"/>
        <w:spacing w:before="280" w:after="160"/>
      </w:pPr>
      <w:r>
        <w:rPr>
          <w:rFonts w:ascii="Arial" w:cs="Arial" w:eastAsia="Arial" w:hAnsi="Arial"/>
          <w:b/>
          <w:bCs/>
          <w:color w:val="2E75B6"/>
          <w:sz w:val="26"/>
          <w:szCs w:val="26"/>
        </w:rPr>
        <w:t xml:space="preserve">IX.D Factor and Strategy Concentrations</w:t>
      </w:r>
    </w:p>
    <w:p>
      <w:pPr>
        <w:spacing w:before="80" w:after="80" w:line="276"/>
        <w:jc w:val="left"/>
      </w:pPr>
      <w:r>
        <w:rPr>
          <w:rFonts w:ascii="Arial" w:cs="Arial" w:eastAsia="Arial" w:hAnsi="Arial"/>
          <w:color w:val="2C3E50"/>
          <w:sz w:val="20"/>
          <w:szCs w:val="20"/>
        </w:rPr>
        <w:t xml:space="preserve">Factor exposure analysis reveals several concerning concentrations. Duration exposure has increased as yields have fallen, with aggregate DV01 rising approximately 10% over the past two weeks. Credit beta exposure is elevated in the high-yield portfolio, where our positioning is longer-than-benchmark in the BB/B segment that is most vulnerable to late-cycle deterioration. Equity beta exposure is skewed toward technology and growth factors, which are the factors under the most stress. The most significant hidden concentration is the correlation between our technology equity positions, our technology credit exposure, and our prime brokerage revenue from technology-focused hedge funds. Under a severe tech correction scenario, all three sources of revenue and risk are impaired simultaneously, creating a concentration that is not visible in any single risk report but is material in aggregate.</w:t>
      </w:r>
    </w:p>
    <w:p>
      <w:pPr>
        <w:pStyle w:val="Heading2"/>
        <w:spacing w:before="280" w:after="160"/>
      </w:pPr>
      <w:r>
        <w:rPr>
          <w:rFonts w:ascii="Arial" w:cs="Arial" w:eastAsia="Arial" w:hAnsi="Arial"/>
          <w:b/>
          <w:bCs/>
          <w:color w:val="2E75B6"/>
          <w:sz w:val="26"/>
          <w:szCs w:val="26"/>
        </w:rPr>
        <w:t xml:space="preserve">IX.E Interconnectedness and Contagion</w:t>
      </w:r>
    </w:p>
    <w:p>
      <w:pPr>
        <w:spacing w:before="80" w:after="80" w:line="276"/>
        <w:jc w:val="left"/>
      </w:pPr>
      <w:r>
        <w:rPr>
          <w:rFonts w:ascii="Arial" w:cs="Arial" w:eastAsia="Arial" w:hAnsi="Arial"/>
          <w:color w:val="2C3E50"/>
          <w:sz w:val="20"/>
          <w:szCs w:val="20"/>
        </w:rPr>
        <w:t xml:space="preserve">Our exposure to interconnected entities creates contagion risk that requires monitoring. The technology supply chain is the most relevant example: our lending exposure to semiconductor companies is correlated with our equity exposure to the hyperscalers that are their customers, our derivatives exposure to the hedge funds that trade these names, and our prime brokerage exposure to the quantitative strategies that use these stocks as alpha sources. A severe AI/tech correction would propagate through all these channels simultaneously, amplifying our losses beyond what any single risk model would predict. We recommend a cross-risk-stripe stress test that models this interconnectedness explicitly, with results to be presented to the CRO by February 21.</w:t>
      </w:r>
    </w:p>
    <w:p>
      <w:r>
        <w:br w:type="page"/>
      </w:r>
    </w:p>
    <w:p>
      <w:pPr>
        <w:pStyle w:val="Heading1"/>
        <w:spacing w:before="360" w:after="200"/>
      </w:pPr>
      <w:r>
        <w:rPr>
          <w:rFonts w:ascii="Arial" w:cs="Arial" w:eastAsia="Arial" w:hAnsi="Arial"/>
          <w:b/>
          <w:bCs/>
          <w:color w:val="1B2A4A"/>
          <w:sz w:val="32"/>
          <w:szCs w:val="32"/>
        </w:rPr>
        <w:t xml:space="preserve">SECTION X: GEOPOLITICAL AND STRATEGIC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X.A Geopolitical Environment</w:t>
      </w:r>
    </w:p>
    <w:p>
      <w:pPr>
        <w:spacing w:before="80" w:after="80" w:line="276"/>
        <w:jc w:val="left"/>
      </w:pPr>
      <w:r>
        <w:rPr>
          <w:rFonts w:ascii="Arial" w:cs="Arial" w:eastAsia="Arial" w:hAnsi="Arial"/>
          <w:color w:val="2C3E50"/>
          <w:sz w:val="20"/>
          <w:szCs w:val="20"/>
        </w:rPr>
        <w:t xml:space="preserve">The global geopolitical temperature is elevated across multiple flashpoints simultaneously, creating a complex risk environment where the interaction effects between conflicts could amplify market impact beyond what any single event would produce. Markets have partially priced in baseline geopolitical risk through elevated gold prices and VIX levels, but the tail risks of escalation remain significantly underpriced in our assessment.</w:t>
      </w:r>
    </w:p>
    <w:p>
      <w:pPr>
        <w:pStyle w:val="Heading2"/>
        <w:spacing w:before="280" w:after="160"/>
      </w:pPr>
      <w:r>
        <w:rPr>
          <w:rFonts w:ascii="Arial" w:cs="Arial" w:eastAsia="Arial" w:hAnsi="Arial"/>
          <w:b/>
          <w:bCs/>
          <w:color w:val="2E75B6"/>
          <w:sz w:val="26"/>
          <w:szCs w:val="26"/>
        </w:rPr>
        <w:t xml:space="preserve">X.B Priority Geopolitical Risks</w:t>
      </w:r>
    </w:p>
    <w:p>
      <w:pPr>
        <w:spacing w:before="200" w:after="120"/>
      </w:pPr>
      <w:r>
        <w:rPr>
          <w:rFonts w:ascii="Arial" w:cs="Arial" w:eastAsia="Arial" w:hAnsi="Arial"/>
          <w:b/>
          <w:bCs/>
          <w:color w:val="0F1B33"/>
          <w:sz w:val="22"/>
          <w:szCs w:val="22"/>
        </w:rPr>
        <w:t xml:space="preserve">Risk 1: US-Iran Escalation</w:t>
      </w:r>
    </w:p>
    <w:p>
      <w:pPr>
        <w:spacing w:before="80" w:after="80" w:line="276"/>
        <w:jc w:val="left"/>
      </w:pPr>
      <w:r>
        <w:rPr>
          <w:rFonts w:ascii="Arial" w:cs="Arial" w:eastAsia="Arial" w:hAnsi="Arial"/>
          <w:color w:val="2C3E50"/>
          <w:sz w:val="20"/>
          <w:szCs w:val="20"/>
        </w:rPr>
        <w:t xml:space="preserve">Iran confirmed nuclear negotiations with the United States in Oman for February 6-7. The fundamental obstacle is scope: Tehran insists on nuclear-only discussions while Washington demands a comprehensive agenda covering ballistic missiles, proxy forces (Hezbollah, Houthis), and human rights. Prediction markets currently price a US military strike on Iranian nuclear facilities as likely in March if talks fail, which we view as a materially underappreciated risk.</w:t>
      </w:r>
    </w:p>
    <w:p>
      <w:pPr>
        <w:spacing w:before="80" w:after="80" w:line="276"/>
        <w:jc w:val="left"/>
      </w:pPr>
      <w:r>
        <w:rPr>
          <w:rFonts w:ascii="Arial" w:cs="Arial" w:eastAsia="Arial" w:hAnsi="Arial"/>
          <w:color w:val="2C3E50"/>
          <w:sz w:val="20"/>
          <w:szCs w:val="20"/>
        </w:rPr>
        <w:t xml:space="preserve">We assess escalation probability at 20-25% within 30 days and 30-35% within 90 days. The transmission to financial markets would be immediate and severe: WTI crude could spike $15-25 per barrel to $78-88 if Strait of Hormuz transit is disrupted, gold would rally $300-500, S&amp;P 500 would decline 5-8%, EM currencies would fall 5-8% on average, and Treasury yields would plunge 30-50 basis points on safe-haven demand. Our direct exposure is manageable, but the second-order effects on counterparties, credit quality, and portfolio P&amp;L would be significant.</w:t>
      </w:r>
    </w:p>
    <w:p>
      <w:pPr>
        <w:spacing w:before="80" w:after="80" w:line="276"/>
        <w:jc w:val="left"/>
      </w:pPr>
      <w:r>
        <w:rPr>
          <w:rFonts w:ascii="Arial" w:cs="Arial" w:eastAsia="Arial" w:hAnsi="Arial"/>
          <w:color w:val="2C3E50"/>
          <w:sz w:val="20"/>
          <w:szCs w:val="20"/>
        </w:rPr>
        <w:t xml:space="preserve">Hedging recommendations include oil call spreads at $70-80 WTI, gold long positions, short EM FX (particularly TRY and ZAR), long defense equities, and VIX upside calls. Early warning indicators include breakdown of Oman talks (immediately), Iranian enrichment acceleration above 60%, and US military asset movements in the Persian Gulf.</w:t>
      </w:r>
    </w:p>
    <w:p>
      <w:pPr>
        <w:spacing w:before="200" w:after="120"/>
      </w:pPr>
      <w:r>
        <w:rPr>
          <w:rFonts w:ascii="Arial" w:cs="Arial" w:eastAsia="Arial" w:hAnsi="Arial"/>
          <w:b/>
          <w:bCs/>
          <w:color w:val="0F1B33"/>
          <w:sz w:val="22"/>
          <w:szCs w:val="22"/>
        </w:rPr>
        <w:t xml:space="preserve">Risk 2: China-Taiwan Tensions</w:t>
      </w:r>
    </w:p>
    <w:p>
      <w:pPr>
        <w:spacing w:before="80" w:after="80" w:line="276"/>
        <w:jc w:val="left"/>
      </w:pPr>
      <w:r>
        <w:rPr>
          <w:rFonts w:ascii="Arial" w:cs="Arial" w:eastAsia="Arial" w:hAnsi="Arial"/>
          <w:color w:val="2C3E50"/>
          <w:sz w:val="20"/>
          <w:szCs w:val="20"/>
        </w:rPr>
        <w:t xml:space="preserve">Cross-strait tensions remain elevated but below the acute levels of 2024. We assess the probability of a military confrontation at 3-5% within 30 days and 5-8% within 90 days. While low probability, the impact would be critical: a blockade or invasion scenario would cause the most severe market dislocation since World War II. Semiconductor supply chains would be disrupted immediately, sending the SOX index down 30-40% and triggering a global recession. Our exposure is primarily through semiconductor supply chain counterparties and Asia-Pacific operations. Hedging is limited given the tail nature of this risk; maintaining geographic diversification and monitoring PLA military exercises is our primary approach.</w:t>
      </w:r>
    </w:p>
    <w:p>
      <w:pPr>
        <w:spacing w:before="200" w:after="120"/>
      </w:pPr>
      <w:r>
        <w:rPr>
          <w:rFonts w:ascii="Arial" w:cs="Arial" w:eastAsia="Arial" w:hAnsi="Arial"/>
          <w:b/>
          <w:bCs/>
          <w:color w:val="0F1B33"/>
          <w:sz w:val="22"/>
          <w:szCs w:val="22"/>
        </w:rPr>
        <w:t xml:space="preserve">Risk 3: Russia-Ukraine Escalation</w:t>
      </w:r>
    </w:p>
    <w:p>
      <w:pPr>
        <w:spacing w:before="80" w:after="80" w:line="276"/>
        <w:jc w:val="left"/>
      </w:pPr>
      <w:r>
        <w:rPr>
          <w:rFonts w:ascii="Arial" w:cs="Arial" w:eastAsia="Arial" w:hAnsi="Arial"/>
          <w:color w:val="2C3E50"/>
          <w:sz w:val="20"/>
          <w:szCs w:val="20"/>
        </w:rPr>
        <w:t xml:space="preserve">Russia has renewed strikes on Ukrainian energy infrastructure this week, escalating the conflict after a period of relative stalemate. We assess further escalation probability at 15-20% within 30 days and 25-30% within 90 days. The market impact would be moderate, focused on European natural gas prices, the euro, and European equities. Our exposure is primarily through European banking counterparties and energy trading positions. Early warning indicators include Russian troop movements, energy infrastructure targeting, and diplomatic signals from Minsk or Ankara.</w:t>
      </w:r>
    </w:p>
    <w:p>
      <w:pPr>
        <w:spacing w:before="200" w:after="120"/>
      </w:pPr>
      <w:r>
        <w:rPr>
          <w:rFonts w:ascii="Arial" w:cs="Arial" w:eastAsia="Arial" w:hAnsi="Arial"/>
          <w:b/>
          <w:bCs/>
          <w:color w:val="0F1B33"/>
          <w:sz w:val="22"/>
          <w:szCs w:val="22"/>
        </w:rPr>
        <w:t xml:space="preserve">Risk 4: US Political and Policy Risk</w:t>
      </w:r>
    </w:p>
    <w:p>
      <w:pPr>
        <w:spacing w:before="80" w:after="80" w:line="276"/>
        <w:jc w:val="left"/>
      </w:pPr>
      <w:r>
        <w:rPr>
          <w:rFonts w:ascii="Arial" w:cs="Arial" w:eastAsia="Arial" w:hAnsi="Arial"/>
          <w:color w:val="2C3E50"/>
          <w:sz w:val="20"/>
          <w:szCs w:val="20"/>
        </w:rPr>
        <w:t xml:space="preserve">US trade policy remains a persistent background risk, with tariff announcements affecting specific sectors and countries on a seemingly ad hoc basis. We assess the probability of significant new tariff actions at 40-50% within 30 days. The Warsh nomination adds a layer of policy uncertainty regarding financial regulation, monetary policy, and the role of the Federal Reserve in economic management. The combination of an unconventional executive branch approach to economic policy and a leadership transition at the Fed creates an unusually wide range of possible outcomes for the US economic trajectory over the next 6-12 months.</w:t>
      </w:r>
    </w:p>
    <w:p>
      <w:pPr>
        <w:pStyle w:val="Heading2"/>
        <w:spacing w:before="280" w:after="160"/>
      </w:pPr>
      <w:r>
        <w:rPr>
          <w:rFonts w:ascii="Arial" w:cs="Arial" w:eastAsia="Arial" w:hAnsi="Arial"/>
          <w:b/>
          <w:bCs/>
          <w:color w:val="2E75B6"/>
          <w:sz w:val="26"/>
          <w:szCs w:val="26"/>
        </w:rPr>
        <w:t xml:space="preserve">X.C Trade and Sanctions Risk</w:t>
      </w:r>
    </w:p>
    <w:p>
      <w:pPr>
        <w:spacing w:before="80" w:after="80" w:line="276"/>
        <w:jc w:val="left"/>
      </w:pPr>
      <w:r>
        <w:rPr>
          <w:rFonts w:ascii="Arial" w:cs="Arial" w:eastAsia="Arial" w:hAnsi="Arial"/>
          <w:color w:val="2C3E50"/>
          <w:sz w:val="20"/>
          <w:szCs w:val="20"/>
        </w:rPr>
        <w:t xml:space="preserve">Tariff developments remain fluid with the administration using trade policy as a multi-purpose tool for diplomatic, economic, and political objectives. Our trade-sensitive portfolio exposures are hedged at approximately 70% of identified risk, but the unpredictability of policy announcements makes complete hedging impractical. Sanctions risk is elevated around the Iran talks, with the possibility of either new maximum pressure sanctions (if talks fail) or partial sanctions relief (if talks succeed). Both scenarios require pre-positioned operational readiness for rapid portfolio adjustment. Supply chain disruption scenarios, particularly in semiconductors and pharmaceuticals, remain elevated tail risks that warrant maintaining diversified sourcing for our own operations and monitoring client exposure to single-source supply chains.</w:t>
      </w:r>
    </w:p>
    <w:p>
      <w:pPr>
        <w:pStyle w:val="Heading2"/>
        <w:spacing w:before="280" w:after="160"/>
      </w:pPr>
      <w:r>
        <w:rPr>
          <w:rFonts w:ascii="Arial" w:cs="Arial" w:eastAsia="Arial" w:hAnsi="Arial"/>
          <w:b/>
          <w:bCs/>
          <w:color w:val="2E75B6"/>
          <w:sz w:val="26"/>
          <w:szCs w:val="26"/>
        </w:rPr>
        <w:t xml:space="preserve">X.D Strategic Risk</w:t>
      </w:r>
    </w:p>
    <w:p>
      <w:pPr>
        <w:spacing w:before="80" w:after="80" w:line="276"/>
        <w:jc w:val="left"/>
      </w:pPr>
      <w:r>
        <w:rPr>
          <w:rFonts w:ascii="Arial" w:cs="Arial" w:eastAsia="Arial" w:hAnsi="Arial"/>
          <w:color w:val="2C3E50"/>
          <w:sz w:val="20"/>
          <w:szCs w:val="20"/>
        </w:rPr>
        <w:t xml:space="preserve">The most significant strategic risk is the potential for AI to disrupt our own business model. AI-powered trading, risk management, and advisory services from technology companies and fintech startups could compress margins and reduce the value of human capital, which is our primary competitive advantage. Conversely, our ability to deploy AI internally for risk management, compliance, and client service represents a strategic opportunity. The AI capex announcements that are disrupting the technology sector also signal that AI adoption is accelerating faster than consensus expected, which increases both the threat and opportunity for our business. Our strategic response should include accelerated internal AI deployment, particularly in risk analytics and surveillance, while monitoring competitive developments closely.</w:t>
      </w:r>
    </w:p>
    <w:p>
      <w:r>
        <w:br w:type="page"/>
      </w:r>
    </w:p>
    <w:p>
      <w:pPr>
        <w:pStyle w:val="Heading1"/>
        <w:spacing w:before="360" w:after="200"/>
      </w:pPr>
      <w:r>
        <w:rPr>
          <w:rFonts w:ascii="Arial" w:cs="Arial" w:eastAsia="Arial" w:hAnsi="Arial"/>
          <w:b/>
          <w:bCs/>
          <w:color w:val="1B2A4A"/>
          <w:sz w:val="32"/>
          <w:szCs w:val="32"/>
        </w:rPr>
        <w:t xml:space="preserve">SECTION XI: CLIMATE AND ESG RISK</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XI.A Climate Risk Environment</w:t>
      </w:r>
    </w:p>
    <w:p>
      <w:pPr>
        <w:spacing w:before="80" w:after="80" w:line="276"/>
        <w:jc w:val="left"/>
      </w:pPr>
      <w:r>
        <w:rPr>
          <w:rFonts w:ascii="Arial" w:cs="Arial" w:eastAsia="Arial" w:hAnsi="Arial"/>
          <w:color w:val="2C3E50"/>
          <w:sz w:val="20"/>
          <w:szCs w:val="20"/>
        </w:rPr>
        <w:t xml:space="preserve">The climate risk regulatory landscape continues to evolve, though the pace has moderated in the US under the current administration. The SEC's climate disclosure rules remain subject to legal challenge, with a Supreme Court decision expected in 2026 that will determine the scope of mandatory reporting. European regulations under CSRD and the EU Taxonomy are proceeding on schedule and affect our international operations and reporting obligations. Physical risk events during the reporting period have been within seasonal norms, with no major climate-related disruptions to our operations or client base. Market pricing of climate risk remains inconsistent, with some sectors (coal, oil sands) heavily discounted while others (coastal real estate, water-intensive agriculture) appear to underestimate long-term physical risk exposure.</w:t>
      </w:r>
    </w:p>
    <w:p>
      <w:pPr>
        <w:pStyle w:val="Heading2"/>
        <w:spacing w:before="280" w:after="160"/>
      </w:pPr>
      <w:r>
        <w:rPr>
          <w:rFonts w:ascii="Arial" w:cs="Arial" w:eastAsia="Arial" w:hAnsi="Arial"/>
          <w:b/>
          <w:bCs/>
          <w:color w:val="2E75B6"/>
          <w:sz w:val="26"/>
          <w:szCs w:val="26"/>
        </w:rPr>
        <w:t xml:space="preserve">XI.B Physical Risk Exposure</w:t>
      </w:r>
    </w:p>
    <w:p>
      <w:pPr>
        <w:spacing w:before="80" w:after="80" w:line="276"/>
        <w:jc w:val="left"/>
      </w:pPr>
      <w:r>
        <w:rPr>
          <w:rFonts w:ascii="Arial" w:cs="Arial" w:eastAsia="Arial" w:hAnsi="Arial"/>
          <w:color w:val="2C3E50"/>
          <w:sz w:val="20"/>
          <w:szCs w:val="20"/>
        </w:rPr>
        <w:t xml:space="preserve">Our geographic exposure to climate-sensitive regions includes approximately $8 billion in lending and real estate exposure in Southeast US coastal areas vulnerable to hurricane and flood risk, $3 billion in Western US exposure to wildfire risk, and $2 billion in exposure to regions experiencing chronic water stress. Insurance coverage is maintained at levels consistent with our risk appetite. Portfolio sensitivity analysis indicates that a 1-in-100-year climate event in any single region would result in incremental credit losses of $50-150 million, which is within our capital planning assumptions.</w:t>
      </w:r>
    </w:p>
    <w:p>
      <w:pPr>
        <w:pStyle w:val="Heading2"/>
        <w:spacing w:before="280" w:after="160"/>
      </w:pPr>
      <w:r>
        <w:rPr>
          <w:rFonts w:ascii="Arial" w:cs="Arial" w:eastAsia="Arial" w:hAnsi="Arial"/>
          <w:b/>
          <w:bCs/>
          <w:color w:val="2E75B6"/>
          <w:sz w:val="26"/>
          <w:szCs w:val="26"/>
        </w:rPr>
        <w:t xml:space="preserve">XI.C Transition Risk Exposure</w:t>
      </w:r>
    </w:p>
    <w:p>
      <w:pPr>
        <w:spacing w:before="80" w:after="80" w:line="276"/>
        <w:jc w:val="left"/>
      </w:pPr>
      <w:r>
        <w:rPr>
          <w:rFonts w:ascii="Arial" w:cs="Arial" w:eastAsia="Arial" w:hAnsi="Arial"/>
          <w:color w:val="2C3E50"/>
          <w:sz w:val="20"/>
          <w:szCs w:val="20"/>
        </w:rPr>
        <w:t xml:space="preserve">Our exposure to carbon-intensive sectors is being actively managed through the firm's transition finance framework. Fossil fuel lending and trading exposure has declined approximately 15% year-over-year as the portfolio migrates toward renewable energy and lower-carbon alternatives. Stranded asset risk is concentrated in approximately $5 billion of oil and gas lending, of which $2 billion is to producers with breakeven prices above $55 per barrel, creating vulnerability if oil remains at current levels ($63.50) or declines further. Carbon pricing sensitivity analysis indicates that a $50/tonne carbon price would increase expected losses in our energy portfolio by approximately 25 basis points.</w:t>
      </w:r>
    </w:p>
    <w:p>
      <w:pPr>
        <w:pStyle w:val="Heading2"/>
        <w:spacing w:before="280" w:after="160"/>
      </w:pPr>
      <w:r>
        <w:rPr>
          <w:rFonts w:ascii="Arial" w:cs="Arial" w:eastAsia="Arial" w:hAnsi="Arial"/>
          <w:b/>
          <w:bCs/>
          <w:color w:val="2E75B6"/>
          <w:sz w:val="26"/>
          <w:szCs w:val="26"/>
        </w:rPr>
        <w:t xml:space="preserve">XI.D ESG Compliance and Disclosure</w:t>
      </w:r>
    </w:p>
    <w:p>
      <w:pPr>
        <w:spacing w:before="80" w:after="80" w:line="276"/>
        <w:jc w:val="left"/>
      </w:pPr>
      <w:r>
        <w:rPr>
          <w:rFonts w:ascii="Arial" w:cs="Arial" w:eastAsia="Arial" w:hAnsi="Arial"/>
          <w:color w:val="2C3E50"/>
          <w:sz w:val="20"/>
          <w:szCs w:val="20"/>
        </w:rPr>
        <w:t xml:space="preserve">ESG disclosure preparation is on track for 2026 reporting requirements under both US and European frameworks. Sustainable finance commitments are progressing, with approximately 40% of the firm's 2030 sustainable financing target achieved to date. Greenwashing risk remains a concern industry-wide, and we maintain conservative criteria for labeling products as sustainable or green. ESG data quality has improved with the deployment of enhanced data collection tools, though gaps remain in Scope 3 emissions reporting for lending portfolios.</w:t>
      </w:r>
    </w:p>
    <w:p>
      <w:pPr>
        <w:pStyle w:val="Heading2"/>
        <w:spacing w:before="280" w:after="160"/>
      </w:pPr>
      <w:r>
        <w:rPr>
          <w:rFonts w:ascii="Arial" w:cs="Arial" w:eastAsia="Arial" w:hAnsi="Arial"/>
          <w:b/>
          <w:bCs/>
          <w:color w:val="2E75B6"/>
          <w:sz w:val="26"/>
          <w:szCs w:val="26"/>
        </w:rPr>
        <w:t xml:space="preserve">XI.E Reputational and Social Risk</w:t>
      </w:r>
    </w:p>
    <w:p>
      <w:pPr>
        <w:spacing w:before="80" w:after="80" w:line="276"/>
        <w:jc w:val="left"/>
      </w:pPr>
      <w:r>
        <w:rPr>
          <w:rFonts w:ascii="Arial" w:cs="Arial" w:eastAsia="Arial" w:hAnsi="Arial"/>
          <w:color w:val="2C3E50"/>
          <w:sz w:val="20"/>
          <w:szCs w:val="20"/>
        </w:rPr>
        <w:t xml:space="preserve">No ESG-related controversies or reputational events occurred during the reporting period. Social media sentiment analysis shows neutral-to-positive perception of the firm's ESG commitments. The primary emerging social risk is the potential for backlash against AI-related job displacement, which could affect the firm both as an employer (if we are perceived as using AI to replace workers) and as a financier of AI companies (if AI-driven unemployment becomes a political issue). This risk is being monitored by the corporate affairs team.</w:t>
      </w:r>
    </w:p>
    <w:p>
      <w:r>
        <w:br w:type="page"/>
      </w:r>
    </w:p>
    <w:p>
      <w:pPr>
        <w:pStyle w:val="Heading1"/>
        <w:spacing w:before="360" w:after="200"/>
      </w:pPr>
      <w:r>
        <w:rPr>
          <w:rFonts w:ascii="Arial" w:cs="Arial" w:eastAsia="Arial" w:hAnsi="Arial"/>
          <w:b/>
          <w:bCs/>
          <w:color w:val="1B2A4A"/>
          <w:sz w:val="32"/>
          <w:szCs w:val="32"/>
        </w:rPr>
        <w:t xml:space="preserve">SECTION XII: INTEGRATED SCENARIO ANALYSIS</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XII.A Base Case: Orderly Rotation and Soft Landing (Probability: 40%)</w:t>
      </w:r>
    </w:p>
    <w:p>
      <w:pPr>
        <w:spacing w:before="80" w:after="80" w:line="276"/>
        <w:jc w:val="left"/>
      </w:pPr>
      <w:r>
        <w:rPr>
          <w:rFonts w:ascii="Arial" w:cs="Arial" w:eastAsia="Arial" w:hAnsi="Arial"/>
          <w:color w:val="2C3E50"/>
          <w:sz w:val="20"/>
          <w:szCs w:val="20"/>
        </w:rPr>
        <w:t xml:space="preserve">In our base case, the tech selloff proves to be a healthy correction within a secular AI-driven bull market. The S&amp;P 500 finds support at 6,600-6,700, the Nasdaq stabilizes after a total peak-to-trough decline of 10-12%, and the rotation into value and cyclical sectors broadens market participation. The labor market slows but avoids recession, with unemployment stabilizing at 4.5-4.7%. The Fed cuts twice in the second half of 2026 (June and September), with Warsh confirmed and taking a pragmatically dovish stance. The US-Iran talks produce a limited framework agreement that prevents escalation. Credit spreads widen modestly (HY to 320-350 basis points) but avoid distress levels.</w:t>
      </w:r>
    </w:p>
    <w:p>
      <w:pPr>
        <w:spacing w:before="80" w:after="80" w:line="276"/>
        <w:jc w:val="left"/>
      </w:pPr>
      <w:r>
        <w:rPr>
          <w:rFonts w:ascii="Arial" w:cs="Arial" w:eastAsia="Arial" w:hAnsi="Arial"/>
          <w:color w:val="2C3E50"/>
          <w:sz w:val="20"/>
          <w:szCs w:val="20"/>
        </w:rPr>
        <w:t xml:space="preserve">Under this scenario, our estimated impact is manageable: equity book P&amp;L of -$50 to -$100 million from the tech revaluation, offset by gains from the rates portfolio as yields decline and from the rotation into value. Credit losses remain within provision levels. The recommended positioning is the one we have outlined: reduce tech concentration, add duration, tilt credit quality, and maintain geopolitical hedges. Key indicators that would validate this scenario include: NVIDIA earnings on February 18 meeting or exceeding expectations, the February 11 NFP showing weakness but not collapse (above +30K), and the Iran talks producing at least a framework for continued discussions.</w:t>
      </w:r>
    </w:p>
    <w:p>
      <w:pPr>
        <w:pStyle w:val="Heading2"/>
        <w:spacing w:before="280" w:after="160"/>
      </w:pPr>
      <w:r>
        <w:rPr>
          <w:rFonts w:ascii="Arial" w:cs="Arial" w:eastAsia="Arial" w:hAnsi="Arial"/>
          <w:b/>
          <w:bCs/>
          <w:color w:val="2E75B6"/>
          <w:sz w:val="26"/>
          <w:szCs w:val="26"/>
        </w:rPr>
        <w:t xml:space="preserve">XII.B Adverse Scenario: AI/Tech Bubble Burst (Probability: 25%)</w:t>
      </w:r>
    </w:p>
    <w:p>
      <w:pPr>
        <w:spacing w:before="80" w:after="80" w:line="276"/>
        <w:jc w:val="left"/>
      </w:pPr>
      <w:r>
        <w:rPr>
          <w:rFonts w:ascii="Arial" w:cs="Arial" w:eastAsia="Arial" w:hAnsi="Arial"/>
          <w:color w:val="2C3E50"/>
          <w:sz w:val="20"/>
          <w:szCs w:val="20"/>
        </w:rPr>
        <w:t xml:space="preserve">In this adverse scenario, the tech selloff accelerates into a full-blown correction. The trigger is a combination of NVIDIA earnings disappointing on February 18 and the labor market data on February 11 confirming recession risk. The Nasdaq declines 15-20% from current levels, the Magnificent 7 lose an additional 20-25% of value, and the semiconductor index drops 25%. The equity-to-credit transmission activates as leveraged tech companies draw down credit lines, HY spreads widen to 450-500 basis points, and the VIX spikes to 35-45. The dollar rebounds as a safe haven, reversing the year-to-date decline, and Treasury yields plunge to 3.50-3.75% on the 10-year.</w:t>
      </w:r>
    </w:p>
    <w:p>
      <w:pPr>
        <w:spacing w:before="80" w:after="80" w:line="276"/>
        <w:jc w:val="left"/>
      </w:pPr>
      <w:r>
        <w:rPr>
          <w:rFonts w:ascii="Arial" w:cs="Arial" w:eastAsia="Arial" w:hAnsi="Arial"/>
          <w:color w:val="2C3E50"/>
          <w:sz w:val="20"/>
          <w:szCs w:val="20"/>
        </w:rPr>
        <w:t xml:space="preserve">The estimated total impact across all risk stripes is $400-800 million. Market risk losses of $200-400 million, primarily from equity and derivatives books. Credit risk losses of $100-200 million from technology sector downgrades and leveraged lending deterioration. Counterparty losses of $50-100 million from hedge fund and prime brokerage exposure. Liquidity impact is manageable but would require contingent funding activation. The defensive playbook includes immediate activation of the tech concentration limit reduction, full hedging of equity book downside exposure, widening of counterparty collateral haircuts, and escalation to the Board Risk Committee. Recovery would take 3-6 months as the market re-prices AI expectations to more sustainable levels.</w:t>
      </w:r>
    </w:p>
    <w:p>
      <w:pPr>
        <w:pStyle w:val="Heading2"/>
        <w:spacing w:before="280" w:after="160"/>
      </w:pPr>
      <w:r>
        <w:rPr>
          <w:rFonts w:ascii="Arial" w:cs="Arial" w:eastAsia="Arial" w:hAnsi="Arial"/>
          <w:b/>
          <w:bCs/>
          <w:color w:val="2E75B6"/>
          <w:sz w:val="26"/>
          <w:szCs w:val="26"/>
        </w:rPr>
        <w:t xml:space="preserve">XII.C Adverse Scenario: Geopolitical Escalation (Probability: 15%)</w:t>
      </w:r>
    </w:p>
    <w:p>
      <w:pPr>
        <w:spacing w:before="80" w:after="80" w:line="276"/>
        <w:jc w:val="left"/>
      </w:pPr>
      <w:r>
        <w:rPr>
          <w:rFonts w:ascii="Arial" w:cs="Arial" w:eastAsia="Arial" w:hAnsi="Arial"/>
          <w:color w:val="2C3E50"/>
          <w:sz w:val="20"/>
          <w:szCs w:val="20"/>
        </w:rPr>
        <w:t xml:space="preserve">In this scenario, the US-Iran talks collapse, the US imposes maximum pressure sanctions, Iran accelerates enrichment, and military strikes follow within 60 days. Strait of Hormuz transit is disrupted, sending oil to $80-90 per barrel. Gold rallies to $5,200-5,500. The S&amp;P 500 declines 8-12% as the supply shock compounds the existing tech weakness. EM currencies fall 5-10%. Treasury yields collapse to 3.50-3.80% on the 10-year as safe-haven demand overwhelms.</w:t>
      </w:r>
    </w:p>
    <w:p>
      <w:pPr>
        <w:spacing w:before="80" w:after="80" w:line="276"/>
        <w:jc w:val="left"/>
      </w:pPr>
      <w:r>
        <w:rPr>
          <w:rFonts w:ascii="Arial" w:cs="Arial" w:eastAsia="Arial" w:hAnsi="Arial"/>
          <w:color w:val="2C3E50"/>
          <w:sz w:val="20"/>
          <w:szCs w:val="20"/>
        </w:rPr>
        <w:t xml:space="preserve">The estimated total impact is $500-900 million. Commodities exposure benefits from the oil spike (potential gain of $100-200 million), partially offsetting equity losses of $200-400 million, credit losses of $100-200 million from energy-importing EM names and consumer sectors affected by the oil shock, and counterparty losses of $50-100 million. The critical first response is to ensure commodity hedges are in place before the Oman talks conclude and to review all Middle East counterparty exposures for wrong-way risk. Recovery would depend on the scope and duration of the conflict.</w:t>
      </w:r>
    </w:p>
    <w:p>
      <w:pPr>
        <w:pStyle w:val="Heading2"/>
        <w:spacing w:before="280" w:after="160"/>
      </w:pPr>
      <w:r>
        <w:rPr>
          <w:rFonts w:ascii="Arial" w:cs="Arial" w:eastAsia="Arial" w:hAnsi="Arial"/>
          <w:b/>
          <w:bCs/>
          <w:color w:val="2E75B6"/>
          <w:sz w:val="26"/>
          <w:szCs w:val="26"/>
        </w:rPr>
        <w:t xml:space="preserve">XII.D Tail Risk: Combined Shock (Probability: 5-8%)</w:t>
      </w:r>
    </w:p>
    <w:p>
      <w:pPr>
        <w:spacing w:before="80" w:after="80" w:line="276"/>
        <w:jc w:val="left"/>
      </w:pPr>
      <w:r>
        <w:rPr>
          <w:rFonts w:ascii="Arial" w:cs="Arial" w:eastAsia="Arial" w:hAnsi="Arial"/>
          <w:color w:val="2C3E50"/>
          <w:sz w:val="20"/>
          <w:szCs w:val="20"/>
        </w:rPr>
        <w:t xml:space="preserve">The true tail risk is a simultaneous tech correction and geopolitical escalation occurring alongside the labor market confirming a recession. In this scenario, the S&amp;P 500 declines 20-25%, HY spreads widen to 600-800 basis points, defaults spike toward 5-6%, oil reaches $85-95, and the VIX exceeds 50. This would be the most severe financial market dislocation since 2020 and would test capital adequacy under combined stress.</w:t>
      </w:r>
    </w:p>
    <w:p>
      <w:pPr>
        <w:spacing w:before="80" w:after="80" w:line="276"/>
        <w:jc w:val="left"/>
      </w:pPr>
      <w:r>
        <w:rPr>
          <w:rFonts w:ascii="Arial" w:cs="Arial" w:eastAsia="Arial" w:hAnsi="Arial"/>
          <w:color w:val="2C3E50"/>
          <w:sz w:val="20"/>
          <w:szCs w:val="20"/>
        </w:rPr>
        <w:t xml:space="preserve">The estimated impact is $1.0-1.5 billion, which would represent a significant but not capital-threatening loss given our current capital base. The circuit breaker protocols include: automatic risk reduction when VaR exceeds 120% of limit, halt to proprietary risk-taking when VIX exceeds 45 for more than 3 consecutive days, and escalation to Board level when estimated losses exceed $500 million. Recovery assumptions range from 6-12 months, with monetary policy easing and fiscal stimulus providing the eventual catalyst.</w:t>
      </w:r>
    </w:p>
    <w:p>
      <w:pPr>
        <w:pStyle w:val="Heading2"/>
        <w:spacing w:before="280" w:after="160"/>
      </w:pPr>
      <w:r>
        <w:rPr>
          <w:rFonts w:ascii="Arial" w:cs="Arial" w:eastAsia="Arial" w:hAnsi="Arial"/>
          <w:b/>
          <w:bCs/>
          <w:color w:val="2E75B6"/>
          <w:sz w:val="26"/>
          <w:szCs w:val="26"/>
        </w:rPr>
        <w:t xml:space="preserve">XII.E Reverse Stress Test</w:t>
      </w:r>
    </w:p>
    <w:p>
      <w:pPr>
        <w:spacing w:before="80" w:after="80" w:line="276"/>
        <w:jc w:val="left"/>
      </w:pPr>
      <w:r>
        <w:rPr>
          <w:rFonts w:ascii="Arial" w:cs="Arial" w:eastAsia="Arial" w:hAnsi="Arial"/>
          <w:color w:val="2C3E50"/>
          <w:sz w:val="20"/>
          <w:szCs w:val="20"/>
        </w:rPr>
        <w:t xml:space="preserve">The combination of events that would cause a capital breach (CET1 below 8.0%) requires: S&amp;P 500 declining 35-40%, HY spreads exceeding 900 basis points, defaults reaching 8-10%, oil spiking above $100, multiple large counterparty failures, and a sustained freeze in wholesale funding markets. This combination would require the simultaneous failure of all monetary and fiscal policy support mechanisms. Current conditions are significantly distant from these triggers: the S&amp;P 500 would need to fall an additional 33% from current levels, HY spreads would need to triple, and the oil price would need to rise 60%. Early warning indicators include: VIX sustained above 40 for more than one week, HY spreads breaching 500 basis points, bank CDS widening above 200 basis points, and SOFR rising more than 50 basis points above the Fed Funds target.</w:t>
      </w:r>
    </w:p>
    <w:p>
      <w:r>
        <w:br w:type="page"/>
      </w:r>
    </w:p>
    <w:p>
      <w:pPr>
        <w:pStyle w:val="Heading1"/>
        <w:spacing w:before="360" w:after="200"/>
      </w:pPr>
      <w:r>
        <w:rPr>
          <w:rFonts w:ascii="Arial" w:cs="Arial" w:eastAsia="Arial" w:hAnsi="Arial"/>
          <w:b/>
          <w:bCs/>
          <w:color w:val="1B2A4A"/>
          <w:sz w:val="32"/>
          <w:szCs w:val="32"/>
        </w:rPr>
        <w:t xml:space="preserve">SECTION XIII: RECOMMENDED ACTIONS</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XIII.A Immediate Actions (This Week)</w:t>
      </w:r>
    </w:p>
    <w:p>
      <w:pPr>
        <w:spacing w:before="200" w:after="120"/>
      </w:pPr>
      <w:r>
        <w:rPr>
          <w:rFonts w:ascii="Arial" w:cs="Arial" w:eastAsia="Arial" w:hAnsi="Arial"/>
          <w:b/>
          <w:bCs/>
          <w:color w:val="0F1B33"/>
          <w:sz w:val="22"/>
          <w:szCs w:val="22"/>
        </w:rPr>
        <w:t xml:space="preserve">Action 1: Reduce Magnificent 7 Equity Delta by 15-20%</w:t>
      </w:r>
    </w:p>
    <w:p>
      <w:pPr>
        <w:spacing w:before="80" w:after="80" w:line="276"/>
        <w:jc w:val="left"/>
      </w:pPr>
      <w:r>
        <w:rPr>
          <w:rFonts w:ascii="Arial" w:cs="Arial" w:eastAsia="Arial" w:hAnsi="Arial"/>
          <w:color w:val="2C3E50"/>
          <w:sz w:val="20"/>
          <w:szCs w:val="20"/>
        </w:rPr>
        <w:t xml:space="preserve">Risk Stripe: Market Risk, Concentration Risk. Rationale: Amazon's 8% after-hours decline, $1.35 trillion aggregate Mag7 wipeout, and NVIDIA earnings approaching on February 18 create unacceptable concentration risk. Owner: Equity Desk Head. Deadline: February 7. Consequence if Delayed: A further 5-10% drawdown in these names without risk reduction could result in $75-150 million in additional losses on concentrated positions.</w:t>
      </w:r>
    </w:p>
    <w:p>
      <w:pPr>
        <w:spacing w:before="200" w:after="120"/>
      </w:pPr>
      <w:r>
        <w:rPr>
          <w:rFonts w:ascii="Arial" w:cs="Arial" w:eastAsia="Arial" w:hAnsi="Arial"/>
          <w:b/>
          <w:bCs/>
          <w:color w:val="0F1B33"/>
          <w:sz w:val="22"/>
          <w:szCs w:val="22"/>
        </w:rPr>
        <w:t xml:space="preserve">Action 2: Add SPX Downside Protection</w:t>
      </w:r>
    </w:p>
    <w:p>
      <w:pPr>
        <w:spacing w:before="80" w:after="80" w:line="276"/>
        <w:jc w:val="left"/>
      </w:pPr>
      <w:r>
        <w:rPr>
          <w:rFonts w:ascii="Arial" w:cs="Arial" w:eastAsia="Arial" w:hAnsi="Arial"/>
          <w:color w:val="2C3E50"/>
          <w:sz w:val="20"/>
          <w:szCs w:val="20"/>
        </w:rPr>
        <w:t xml:space="preserve">Risk Stripe: Market Risk. Rationale: VIX at 20 with dealer gamma negative and skew steepening. March SPX 6,500/6,300 put spreads provide cost-effective tail protection. Owner: Equity Derivatives. Deadline: February 7. Consequence if Delayed: An unhedged gap-down scenario on February 6 (Amazon reaction) or February 11 (NFP) could result in outsized losses.</w:t>
      </w:r>
    </w:p>
    <w:p>
      <w:pPr>
        <w:spacing w:before="200" w:after="120"/>
      </w:pPr>
      <w:r>
        <w:rPr>
          <w:rFonts w:ascii="Arial" w:cs="Arial" w:eastAsia="Arial" w:hAnsi="Arial"/>
          <w:b/>
          <w:bCs/>
          <w:color w:val="0F1B33"/>
          <w:sz w:val="22"/>
          <w:szCs w:val="22"/>
        </w:rPr>
        <w:t xml:space="preserve">Action 3: Review Counterparty Crypto Exposures</w:t>
      </w:r>
    </w:p>
    <w:p>
      <w:pPr>
        <w:spacing w:before="80" w:after="80" w:line="276"/>
        <w:jc w:val="left"/>
      </w:pPr>
      <w:r>
        <w:rPr>
          <w:rFonts w:ascii="Arial" w:cs="Arial" w:eastAsia="Arial" w:hAnsi="Arial"/>
          <w:color w:val="2C3E50"/>
          <w:sz w:val="20"/>
          <w:szCs w:val="20"/>
        </w:rPr>
        <w:t xml:space="preserve">Risk Stripe: Counterparty Credit Risk. Rationale: Bitcoin's 13.6% decline to $63,625, breach of $81,000 support, and 32% YTD drawdown create immediate counterparty risk for crypto-exposed hedge funds and exchanges. Owner: Counterparty Risk Management. Deadline: February 7. Consequence if Delayed: A further 15-20% crypto decline could trigger counterparty default without adequate collateral protection.</w:t>
      </w:r>
    </w:p>
    <w:p>
      <w:pPr>
        <w:spacing w:before="200" w:after="120"/>
      </w:pPr>
      <w:r>
        <w:rPr>
          <w:rFonts w:ascii="Arial" w:cs="Arial" w:eastAsia="Arial" w:hAnsi="Arial"/>
          <w:b/>
          <w:bCs/>
          <w:color w:val="0F1B33"/>
          <w:sz w:val="22"/>
          <w:szCs w:val="22"/>
        </w:rPr>
        <w:t xml:space="preserve">Action 4: Pre-Position for NFP Volatility</w:t>
      </w:r>
    </w:p>
    <w:p>
      <w:pPr>
        <w:spacing w:before="80" w:after="80" w:line="276"/>
        <w:jc w:val="left"/>
      </w:pPr>
      <w:r>
        <w:rPr>
          <w:rFonts w:ascii="Arial" w:cs="Arial" w:eastAsia="Arial" w:hAnsi="Arial"/>
          <w:color w:val="2C3E50"/>
          <w:sz w:val="20"/>
          <w:szCs w:val="20"/>
        </w:rPr>
        <w:t xml:space="preserve">Risk Stripe: Market Risk (Rates). Rationale: The February 11 NFP release with the BLS benchmark revision of -911,000 jobs represents the most significant employment data event in years. ADP at +22K signals downside surprise risk. Owner: Rates Desk Head. Deadline: February 10. Consequence if Delayed: An unhedged rate move of 15-25 basis points in either direction on February 11 could breach desk-level VaR.</w:t>
      </w:r>
    </w:p>
    <w:p>
      <w:pPr>
        <w:spacing w:before="200" w:after="120"/>
      </w:pPr>
      <w:r>
        <w:rPr>
          <w:rFonts w:ascii="Arial" w:cs="Arial" w:eastAsia="Arial" w:hAnsi="Arial"/>
          <w:b/>
          <w:bCs/>
          <w:color w:val="0F1B33"/>
          <w:sz w:val="22"/>
          <w:szCs w:val="22"/>
        </w:rPr>
        <w:t xml:space="preserve">Action 5: Establish Oil Upside Hedges for Iran Talks</w:t>
      </w:r>
    </w:p>
    <w:p>
      <w:pPr>
        <w:spacing w:before="80" w:after="80" w:line="276"/>
        <w:jc w:val="left"/>
      </w:pPr>
      <w:r>
        <w:rPr>
          <w:rFonts w:ascii="Arial" w:cs="Arial" w:eastAsia="Arial" w:hAnsi="Arial"/>
          <w:color w:val="2C3E50"/>
          <w:sz w:val="20"/>
          <w:szCs w:val="20"/>
        </w:rPr>
        <w:t xml:space="preserve">Risk Stripe: Market Risk (Commodities), Geopolitical Risk. Rationale: Oman talks on February 6-7 could fail, triggering an oil price spike of $10-25 per barrel. Owner: Commodities Desk Head. Deadline: February 6 (before talks commence). Consequence if Delayed: Missing the pre-talks window means purchasing hedges at elevated premiums or being unhedged for the event.</w:t>
      </w:r>
    </w:p>
    <w:p>
      <w:pPr>
        <w:pStyle w:val="Heading2"/>
        <w:spacing w:before="280" w:after="160"/>
      </w:pPr>
      <w:r>
        <w:rPr>
          <w:rFonts w:ascii="Arial" w:cs="Arial" w:eastAsia="Arial" w:hAnsi="Arial"/>
          <w:b/>
          <w:bCs/>
          <w:color w:val="2E75B6"/>
          <w:sz w:val="26"/>
          <w:szCs w:val="26"/>
        </w:rPr>
        <w:t xml:space="preserve">XIII.B Near-Term Actions (Next 2-4 Weeks)</w:t>
      </w:r>
    </w:p>
    <w:p>
      <w:pPr>
        <w:spacing w:before="200" w:after="120"/>
      </w:pPr>
      <w:r>
        <w:rPr>
          <w:rFonts w:ascii="Arial" w:cs="Arial" w:eastAsia="Arial" w:hAnsi="Arial"/>
          <w:b/>
          <w:bCs/>
          <w:color w:val="0F1B33"/>
          <w:sz w:val="22"/>
          <w:szCs w:val="22"/>
        </w:rPr>
        <w:t xml:space="preserve">Action 6: Rotate Equity Exposure from Growth to Value</w:t>
      </w:r>
    </w:p>
    <w:p>
      <w:pPr>
        <w:spacing w:before="80" w:after="80" w:line="276"/>
        <w:jc w:val="left"/>
      </w:pPr>
      <w:r>
        <w:rPr>
          <w:rFonts w:ascii="Arial" w:cs="Arial" w:eastAsia="Arial" w:hAnsi="Arial"/>
          <w:color w:val="2C3E50"/>
          <w:sz w:val="20"/>
          <w:szCs w:val="20"/>
        </w:rPr>
        <w:t xml:space="preserve">Risk Stripe: Market Risk, Concentration Risk. Rationale: The sector rotation from technology (-4.5% weekly) to energy (+3.2%), materials (+2.1%), and staples (+1.6%) appears durable. Overweighting XLE, XLI, and XLV while underweighting technology captures this trend. Owner: Equity Desk. Deadline: February 21. Consequence if Delayed: Missing the rotation trade window reduces potential upside by an estimated $25-50 million.</w:t>
      </w:r>
    </w:p>
    <w:p>
      <w:pPr>
        <w:spacing w:before="200" w:after="120"/>
      </w:pPr>
      <w:r>
        <w:rPr>
          <w:rFonts w:ascii="Arial" w:cs="Arial" w:eastAsia="Arial" w:hAnsi="Arial"/>
          <w:b/>
          <w:bCs/>
          <w:color w:val="0F1B33"/>
          <w:sz w:val="22"/>
          <w:szCs w:val="22"/>
        </w:rPr>
        <w:t xml:space="preserve">Action 7: Extend Duration in Rates Portfolio</w:t>
      </w:r>
    </w:p>
    <w:p>
      <w:pPr>
        <w:spacing w:before="80" w:after="80" w:line="276"/>
        <w:jc w:val="left"/>
      </w:pPr>
      <w:r>
        <w:rPr>
          <w:rFonts w:ascii="Arial" w:cs="Arial" w:eastAsia="Arial" w:hAnsi="Arial"/>
          <w:color w:val="2C3E50"/>
          <w:sz w:val="20"/>
          <w:szCs w:val="20"/>
        </w:rPr>
        <w:t xml:space="preserve">Risk Stripe: Market Risk (Rates). Rationale: Labor market deterioration supports duration. The 10Y yield at 4.21% offers a favorable entry point with rate cuts pricing for June and September. Owner: Rates Desk. Deadline: February 21 (after NFP/CPI data). Consequence if Delayed: Missing the yield decline toward 4.00% would forego $30-60 million in duration gains.</w:t>
      </w:r>
    </w:p>
    <w:p>
      <w:pPr>
        <w:spacing w:before="200" w:after="120"/>
      </w:pPr>
      <w:r>
        <w:rPr>
          <w:rFonts w:ascii="Arial" w:cs="Arial" w:eastAsia="Arial" w:hAnsi="Arial"/>
          <w:b/>
          <w:bCs/>
          <w:color w:val="0F1B33"/>
          <w:sz w:val="22"/>
          <w:szCs w:val="22"/>
        </w:rPr>
        <w:t xml:space="preserve">Action 8: Quality Tilt in Credit Portfolio</w:t>
      </w:r>
    </w:p>
    <w:p>
      <w:pPr>
        <w:spacing w:before="80" w:after="80" w:line="276"/>
        <w:jc w:val="left"/>
      </w:pPr>
      <w:r>
        <w:rPr>
          <w:rFonts w:ascii="Arial" w:cs="Arial" w:eastAsia="Arial" w:hAnsi="Arial"/>
          <w:color w:val="2C3E50"/>
          <w:sz w:val="20"/>
          <w:szCs w:val="20"/>
        </w:rPr>
        <w:t xml:space="preserve">Risk Stripe: Credit Risk. Rationale: HY spreads at 286 basis points offer inadequate compensation for late-cycle risk. Rotating from BB/B to BB+/BBB- preserves carry while reducing downgrade exposure. Adding CDX.HY protection is attractive at current levels. Owner: Credit Desk Head. Deadline: February 21. Consequence if Delayed: A credit widening event without quality positioning could result in $50-100 million in mark-to-market losses.</w:t>
      </w:r>
    </w:p>
    <w:p>
      <w:pPr>
        <w:pStyle w:val="Heading2"/>
        <w:spacing w:before="280" w:after="160"/>
      </w:pPr>
      <w:r>
        <w:rPr>
          <w:rFonts w:ascii="Arial" w:cs="Arial" w:eastAsia="Arial" w:hAnsi="Arial"/>
          <w:b/>
          <w:bCs/>
          <w:color w:val="2E75B6"/>
          <w:sz w:val="26"/>
          <w:szCs w:val="26"/>
        </w:rPr>
        <w:t xml:space="preserve">XIII.C Strategic Actions (1-3 Month Horizon)</w:t>
      </w:r>
    </w:p>
    <w:p>
      <w:pPr>
        <w:spacing w:before="200" w:after="120"/>
      </w:pPr>
      <w:r>
        <w:rPr>
          <w:rFonts w:ascii="Arial" w:cs="Arial" w:eastAsia="Arial" w:hAnsi="Arial"/>
          <w:b/>
          <w:bCs/>
          <w:color w:val="0F1B33"/>
          <w:sz w:val="22"/>
          <w:szCs w:val="22"/>
        </w:rPr>
        <w:t xml:space="preserve">Action 9: Cross-Risk-Stripe Technology Concentration Stress Test</w:t>
      </w:r>
    </w:p>
    <w:p>
      <w:pPr>
        <w:spacing w:before="80" w:after="80" w:line="276"/>
        <w:jc w:val="left"/>
      </w:pPr>
      <w:r>
        <w:rPr>
          <w:rFonts w:ascii="Arial" w:cs="Arial" w:eastAsia="Arial" w:hAnsi="Arial"/>
          <w:color w:val="2C3E50"/>
          <w:sz w:val="20"/>
          <w:szCs w:val="20"/>
        </w:rPr>
        <w:t xml:space="preserve">Risk Stripe: Concentration Risk, All Stripes. Rationale: The interconnectedness of our technology equity, credit, counterparty, and revenue exposure creates hidden concentration not visible in single-stripe reports. A comprehensive cross-stripe stress test is needed. Owner: Chief Risk Officer. Deadline: February 28. Consequence if Delayed: A severe tech correction reveals concentrations that are not identified or managed.</w:t>
      </w:r>
    </w:p>
    <w:p>
      <w:pPr>
        <w:spacing w:before="200" w:after="120"/>
      </w:pPr>
      <w:r>
        <w:rPr>
          <w:rFonts w:ascii="Arial" w:cs="Arial" w:eastAsia="Arial" w:hAnsi="Arial"/>
          <w:b/>
          <w:bCs/>
          <w:color w:val="0F1B33"/>
          <w:sz w:val="22"/>
          <w:szCs w:val="22"/>
        </w:rPr>
        <w:t xml:space="preserve">Action 10: VaR Model Recalibration Review</w:t>
      </w:r>
    </w:p>
    <w:p>
      <w:pPr>
        <w:spacing w:before="80" w:after="80" w:line="276"/>
        <w:jc w:val="left"/>
      </w:pPr>
      <w:r>
        <w:rPr>
          <w:rFonts w:ascii="Arial" w:cs="Arial" w:eastAsia="Arial" w:hAnsi="Arial"/>
          <w:color w:val="2C3E50"/>
          <w:sz w:val="20"/>
          <w:szCs w:val="20"/>
        </w:rPr>
        <w:t xml:space="preserve">Risk Stripe: Model Risk. Rationale: The tech rotation is breaking historical correlation assumptions. If the February 5 moves generate a VaR exception, we will be at the threshold requiring enhanced monitoring. Proactive recalibration preserves model integrity. Owner: Model Risk Management. Deadline: March 15. Consequence if Delayed: A fourth VaR exception would require immediate model review under regulatory guidelines.</w:t>
      </w:r>
    </w:p>
    <w:p>
      <w:pPr>
        <w:pStyle w:val="Heading2"/>
        <w:spacing w:before="280" w:after="160"/>
      </w:pPr>
      <w:r>
        <w:rPr>
          <w:rFonts w:ascii="Arial" w:cs="Arial" w:eastAsia="Arial" w:hAnsi="Arial"/>
          <w:b/>
          <w:bCs/>
          <w:color w:val="2E75B6"/>
          <w:sz w:val="26"/>
          <w:szCs w:val="26"/>
        </w:rPr>
        <w:t xml:space="preserve">XIII.D Items Requiring CRO Decision</w:t>
      </w:r>
    </w:p>
    <w:p>
      <w:pPr>
        <w:spacing w:before="200" w:after="120"/>
      </w:pPr>
      <w:r>
        <w:rPr>
          <w:rFonts w:ascii="Arial" w:cs="Arial" w:eastAsia="Arial" w:hAnsi="Arial"/>
          <w:b/>
          <w:bCs/>
          <w:color w:val="0F1B33"/>
          <w:sz w:val="22"/>
          <w:szCs w:val="22"/>
        </w:rPr>
        <w:t xml:space="preserve">Decision 1: Temporary Magnificent 7 Concentration Limits</w:t>
      </w:r>
    </w:p>
    <w:p>
      <w:pPr>
        <w:spacing w:before="80" w:after="80" w:line="276"/>
        <w:jc w:val="left"/>
      </w:pPr>
      <w:r>
        <w:rPr>
          <w:rFonts w:ascii="Arial" w:cs="Arial" w:eastAsia="Arial" w:hAnsi="Arial"/>
          <w:color w:val="2C3E50"/>
          <w:sz w:val="20"/>
          <w:szCs w:val="20"/>
        </w:rPr>
        <w:t xml:space="preserve">Should we impose temporary desk-level limits at 85% of current limits on all Magnificent 7 single-stock positions until after NVIDIA earnings on February 18? Recommendation: YES. Urgency: HIGH. Deadline for decision: February 7.</w:t>
      </w:r>
    </w:p>
    <w:p>
      <w:pPr>
        <w:spacing w:before="200" w:after="120"/>
      </w:pPr>
      <w:r>
        <w:rPr>
          <w:rFonts w:ascii="Arial" w:cs="Arial" w:eastAsia="Arial" w:hAnsi="Arial"/>
          <w:b/>
          <w:bCs/>
          <w:color w:val="0F1B33"/>
          <w:sz w:val="22"/>
          <w:szCs w:val="22"/>
        </w:rPr>
        <w:t xml:space="preserve">Decision 2: Crypto Collateral Haircuts</w:t>
      </w:r>
    </w:p>
    <w:p>
      <w:pPr>
        <w:spacing w:before="80" w:after="80" w:line="276"/>
        <w:jc w:val="left"/>
      </w:pPr>
      <w:r>
        <w:rPr>
          <w:rFonts w:ascii="Arial" w:cs="Arial" w:eastAsia="Arial" w:hAnsi="Arial"/>
          <w:color w:val="2C3E50"/>
          <w:sz w:val="20"/>
          <w:szCs w:val="20"/>
        </w:rPr>
        <w:t xml:space="preserve">Should we reduce the eligible collateral value of cryptocurrency by 10 percentage points, effectively requiring additional cash or securities collateral from counterparties posting crypto? Recommendation: YES. Urgency: HIGH. Deadline for decision: February 7.</w:t>
      </w:r>
    </w:p>
    <w:p>
      <w:pPr>
        <w:spacing w:before="200" w:after="120"/>
      </w:pPr>
      <w:r>
        <w:rPr>
          <w:rFonts w:ascii="Arial" w:cs="Arial" w:eastAsia="Arial" w:hAnsi="Arial"/>
          <w:b/>
          <w:bCs/>
          <w:color w:val="0F1B33"/>
          <w:sz w:val="22"/>
          <w:szCs w:val="22"/>
        </w:rPr>
        <w:t xml:space="preserve">Decision 3: Enhanced VaR Reporting</w:t>
      </w:r>
    </w:p>
    <w:p>
      <w:pPr>
        <w:spacing w:before="80" w:after="80" w:line="276"/>
        <w:jc w:val="left"/>
      </w:pPr>
      <w:r>
        <w:rPr>
          <w:rFonts w:ascii="Arial" w:cs="Arial" w:eastAsia="Arial" w:hAnsi="Arial"/>
          <w:color w:val="2C3E50"/>
          <w:sz w:val="20"/>
          <w:szCs w:val="20"/>
        </w:rPr>
        <w:t xml:space="preserve">Should we activate daily VaR reporting (versus the standard weekly cadence) through February 18, with stressed VaR review and correlation monitoring? Recommendation: YES. Urgency: MEDIUM. Deadline for decision: February 7.</w:t>
      </w:r>
    </w:p>
    <w:p>
      <w:pPr>
        <w:pStyle w:val="Heading2"/>
        <w:spacing w:before="280" w:after="160"/>
      </w:pPr>
      <w:r>
        <w:rPr>
          <w:rFonts w:ascii="Arial" w:cs="Arial" w:eastAsia="Arial" w:hAnsi="Arial"/>
          <w:b/>
          <w:bCs/>
          <w:color w:val="2E75B6"/>
          <w:sz w:val="26"/>
          <w:szCs w:val="26"/>
        </w:rPr>
        <w:t xml:space="preserve">XIII.E Risk Appetite Recommendations</w:t>
      </w:r>
    </w:p>
    <w:p>
      <w:pPr>
        <w:spacing w:before="80" w:after="80" w:line="276"/>
        <w:jc w:val="left"/>
      </w:pPr>
      <w:r>
        <w:rPr>
          <w:rFonts w:ascii="Arial" w:cs="Arial" w:eastAsia="Arial" w:hAnsi="Arial"/>
          <w:color w:val="2C3E50"/>
          <w:sz w:val="20"/>
          <w:szCs w:val="20"/>
        </w:rPr>
        <w:t xml:space="preserve">We do not recommend formal changes to risk appetite statements at this time, as the current market conditions are within the range contemplated by our existing risk appetite framework. However, we recommend: tightening the technology sector concentration soft guideline from 25% to 22% to reflect the elevated risk environment, adding a specific sub-limit for Magnificent 7 aggregate equity delta, and incorporating crypto counterparty exposure as a standalone risk appetite metric given the asset class's growing systemic importance.</w:t>
      </w:r>
    </w:p>
    <w:p>
      <w:r>
        <w:br w:type="page"/>
      </w:r>
    </w:p>
    <w:p>
      <w:pPr>
        <w:pStyle w:val="Heading1"/>
        <w:spacing w:before="360" w:after="200"/>
      </w:pPr>
      <w:r>
        <w:rPr>
          <w:rFonts w:ascii="Arial" w:cs="Arial" w:eastAsia="Arial" w:hAnsi="Arial"/>
          <w:b/>
          <w:bCs/>
          <w:color w:val="1B2A4A"/>
          <w:sz w:val="32"/>
          <w:szCs w:val="32"/>
        </w:rPr>
        <w:t xml:space="preserve">SECTION XIV: KEY CALENDAR — NEXT 30 DAYS</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Week 1: February 6-7</w:t>
      </w:r>
    </w:p>
    <w:p>
      <w:pPr>
        <w:spacing w:before="80" w:after="80" w:line="276"/>
        <w:jc w:val="left"/>
      </w:pPr>
      <w:r>
        <w:rPr>
          <w:rFonts w:ascii="Arial" w:cs="Arial" w:eastAsia="Arial" w:hAnsi="Arial"/>
          <w:color w:val="2C3E50"/>
          <w:sz w:val="20"/>
          <w:szCs w:val="20"/>
        </w:rPr>
        <w:t xml:space="preserve">The immediate focus is twofold: Amazon's market-open reaction on February 6 after the 8% after-hours decline, and the US-Iran nuclear talks in Oman running February 6-7. The Amazon open will set the tone for the technology sector and could trigger additional selling if pre-market weakness accelerates into a cascade across semiconductor and AI names. The Iran talks represent the most consequential near-term geopolitical event; a constructive outcome would support oil's downtrend and reduce safe-haven demand, while a breakdown would reignite escalation risk. February 7 also brings the University of Michigan Consumer Sentiment preliminary reading (prior: 71.1), which will indicate whether the stock market weakness and labor market concerns are filtering through to consumer confidence. Risk level: RED for both events.</w:t>
      </w:r>
    </w:p>
    <w:p>
      <w:pPr>
        <w:pStyle w:val="Heading2"/>
        <w:spacing w:before="280" w:after="160"/>
      </w:pPr>
      <w:r>
        <w:rPr>
          <w:rFonts w:ascii="Arial" w:cs="Arial" w:eastAsia="Arial" w:hAnsi="Arial"/>
          <w:b/>
          <w:bCs/>
          <w:color w:val="2E75B6"/>
          <w:sz w:val="26"/>
          <w:szCs w:val="26"/>
        </w:rPr>
        <w:t xml:space="preserve">Week 2: February 10-14</w:t>
      </w:r>
    </w:p>
    <w:p>
      <w:pPr>
        <w:spacing w:before="80" w:after="80" w:line="276"/>
        <w:jc w:val="left"/>
      </w:pPr>
      <w:r>
        <w:rPr>
          <w:rFonts w:ascii="Arial" w:cs="Arial" w:eastAsia="Arial" w:hAnsi="Arial"/>
          <w:color w:val="2C3E50"/>
          <w:sz w:val="20"/>
          <w:szCs w:val="20"/>
        </w:rPr>
        <w:t xml:space="preserve">This is the most data-intensive week of the month. February 11 brings January non-farm payrolls alongside the BLS annual benchmark revision that will subtract 911,000 jobs, the most significant single revision in decades. Consensus is for approximately 60K jobs (prior: 50K), but ADP's 22K reading signals material downside risk. February 12 delivers January CPI (consensus: 2.9% Y/Y, core 3.2% Y/Y); any upside surprise would reignite inflation concerns and complicate the rate cut narrative. February 13 has January PPI, and February 14 brings January retail sales. Internally, the derivatives pricing system maintenance window is scheduled for February 15-16. Risk level: RED for NFP/CPI, AMBER for PPI/retail sales.</w:t>
      </w:r>
    </w:p>
    <w:p>
      <w:pPr>
        <w:pStyle w:val="Heading2"/>
        <w:spacing w:before="280" w:after="160"/>
      </w:pPr>
      <w:r>
        <w:rPr>
          <w:rFonts w:ascii="Arial" w:cs="Arial" w:eastAsia="Arial" w:hAnsi="Arial"/>
          <w:b/>
          <w:bCs/>
          <w:color w:val="2E75B6"/>
          <w:sz w:val="26"/>
          <w:szCs w:val="26"/>
        </w:rPr>
        <w:t xml:space="preserve">Week 3: February 17-21</w:t>
      </w:r>
    </w:p>
    <w:p>
      <w:pPr>
        <w:spacing w:before="80" w:after="80" w:line="276"/>
        <w:jc w:val="left"/>
      </w:pPr>
      <w:r>
        <w:rPr>
          <w:rFonts w:ascii="Arial" w:cs="Arial" w:eastAsia="Arial" w:hAnsi="Arial"/>
          <w:color w:val="2C3E50"/>
          <w:sz w:val="20"/>
          <w:szCs w:val="20"/>
        </w:rPr>
        <w:t xml:space="preserve">February 18 is the pivotal event of the week: NVIDIA's Q4 FY26 earnings after market close. Given that NVIDIA is the primary beneficiary and barometer of the hyperscaler AI capex cycle, this report will either validate the AI narrative (if revenue and guidance exceed expectations despite the capex concerns) or confirm the correction (if growth shows signs of deceleration). The implied move is approximately 10%. February 19 brings the FOMC minutes from the January meeting, which will provide crucial detail on the 10-8 vote split and the substance of the Waller and Miran dissents. February 20 has the Philadelphia Fed Manufacturing Survey. Internally, the annual disaster recovery exercise is scheduled for February 22. Risk level: RED for NVIDIA, AMBER for FOMC minutes.</w:t>
      </w:r>
    </w:p>
    <w:p>
      <w:pPr>
        <w:pStyle w:val="Heading2"/>
        <w:spacing w:before="280" w:after="160"/>
      </w:pPr>
      <w:r>
        <w:rPr>
          <w:rFonts w:ascii="Arial" w:cs="Arial" w:eastAsia="Arial" w:hAnsi="Arial"/>
          <w:b/>
          <w:bCs/>
          <w:color w:val="2E75B6"/>
          <w:sz w:val="26"/>
          <w:szCs w:val="26"/>
        </w:rPr>
        <w:t xml:space="preserve">Week 4: February 24-28</w:t>
      </w:r>
    </w:p>
    <w:p>
      <w:pPr>
        <w:spacing w:before="80" w:after="80" w:line="276"/>
        <w:jc w:val="left"/>
      </w:pPr>
      <w:r>
        <w:rPr>
          <w:rFonts w:ascii="Arial" w:cs="Arial" w:eastAsia="Arial" w:hAnsi="Arial"/>
          <w:color w:val="2C3E50"/>
          <w:sz w:val="20"/>
          <w:szCs w:val="20"/>
        </w:rPr>
        <w:t xml:space="preserve">The final week of February is comparatively quieter on external events, but features important internal milestones. February 25 brings the Conference Board Consumer Confidence Index. February 27 has the second estimate of Q4 2025 GDP. February 28 is the deadline for the FR Y-14Q regulatory filing and the policy attestation completion. Kevin Warsh's Senate confirmation hearings may begin during this week or early March, which would provide the first detailed insight into his policy priorities. Risk level: AMBER for the week overall.</w:t>
      </w:r>
    </w:p>
    <w:p>
      <w:pPr>
        <w:pStyle w:val="Heading2"/>
        <w:spacing w:before="280" w:after="160"/>
      </w:pPr>
      <w:r>
        <w:rPr>
          <w:rFonts w:ascii="Arial" w:cs="Arial" w:eastAsia="Arial" w:hAnsi="Arial"/>
          <w:b/>
          <w:bCs/>
          <w:color w:val="2E75B6"/>
          <w:sz w:val="26"/>
          <w:szCs w:val="26"/>
        </w:rPr>
        <w:t xml:space="preserve">Wildcards</w:t>
      </w:r>
    </w:p>
    <w:p>
      <w:pPr>
        <w:spacing w:before="80" w:after="80" w:line="276"/>
        <w:jc w:val="left"/>
      </w:pPr>
      <w:r>
        <w:rPr>
          <w:rFonts w:ascii="Arial" w:cs="Arial" w:eastAsia="Arial" w:hAnsi="Arial"/>
          <w:color w:val="2C3E50"/>
          <w:sz w:val="20"/>
          <w:szCs w:val="20"/>
        </w:rPr>
        <w:t xml:space="preserve">Several known unknowns could disrupt the calendar at any point. The Trump administration could announce new tariff actions without warning, as has occurred repeatedly. A Chinese military exercise near Taiwan could spike geopolitical risk overnight. The crypto market could experience a major exchange failure or protocol exploit if Bitcoin tests $60,000 support. A flash crash in gold or silver, similar to the January 30 event, could be triggered by a large algorithmic trade or policy surprise. And the most underappreciated wildcard is a significant AI model failure or cybersecurity incident involving a major technology company, which would accelerate the narrative shift from AI optimism to AI skepticism. We are monitoring early warning signals for each of these scenarios and will issue an ad hoc risk bulletin if any materialize outside the normal reporting cycle.</w:t>
      </w:r>
    </w:p>
    <w:p>
      <w:r>
        <w:br w:type="page"/>
      </w:r>
    </w:p>
    <w:p>
      <w:pPr>
        <w:pStyle w:val="Heading1"/>
        <w:spacing w:before="360" w:after="200"/>
      </w:pPr>
      <w:r>
        <w:rPr>
          <w:rFonts w:ascii="Arial" w:cs="Arial" w:eastAsia="Arial" w:hAnsi="Arial"/>
          <w:b/>
          <w:bCs/>
          <w:color w:val="1B2A4A"/>
          <w:sz w:val="32"/>
          <w:szCs w:val="32"/>
        </w:rPr>
        <w:t xml:space="preserve">APPENDICES</w:t>
      </w:r>
    </w:p>
    <w:p>
      <w:pPr>
        <w:pBdr>
          <w:bottom w:val="single" w:color="2E75B6" w:sz="2"/>
        </w:pBdr>
        <w:spacing w:before="120" w:after="120"/>
      </w:pPr>
      <w:r>
        <w:rPr>
          <w:sz w:val="4"/>
          <w:szCs w:val="4"/>
        </w:rPr>
        <w:t xml:space="preserve"/>
      </w:r>
    </w:p>
    <w:p>
      <w:pPr>
        <w:pStyle w:val="Heading2"/>
        <w:spacing w:before="280" w:after="160"/>
      </w:pPr>
      <w:r>
        <w:rPr>
          <w:rFonts w:ascii="Arial" w:cs="Arial" w:eastAsia="Arial" w:hAnsi="Arial"/>
          <w:b/>
          <w:bCs/>
          <w:color w:val="2E75B6"/>
          <w:sz w:val="26"/>
          <w:szCs w:val="26"/>
        </w:rPr>
        <w:t xml:space="preserve">Appendix A: Market Snapshot (as of February 5, 2026 Close)</w:t>
      </w:r>
    </w:p>
    <w:tbl>
      <w:tblPr>
        <w:tblW w:type="dxa" w:w="66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900"/>
        <w:gridCol w:w="900"/>
        <w:gridCol w:w="1260"/>
      </w:tblGrid>
      <w:tr>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Asset</w:t>
            </w:r>
          </w:p>
        </w:tc>
        <w:tc>
          <w:tcPr>
            <w:tcW w:type="dxa" w:w="11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Level</w:t>
            </w:r>
          </w:p>
        </w:tc>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1D</w:t>
            </w:r>
          </w:p>
        </w:tc>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1W</w:t>
            </w:r>
          </w:p>
        </w:tc>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YTD</w:t>
            </w:r>
          </w:p>
        </w:tc>
        <w:tc>
          <w:tcPr>
            <w:tcW w:type="dxa" w:w="12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Trend</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S&amp;P 500</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6,798</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-1.23%</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-2.6%</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-0.7%</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Nasdaq 100</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22,541</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-1.59%</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-3.9%</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-3.0%</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Russell 2000</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2,587</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-1.45%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Neutral</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Dow Jones</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48,909</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-1.20%</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~Flat</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Neutral</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Euro Stoxx 50</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5,926</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-0.75%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+1.2%</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+8.5%</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Bullish</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UST 2Y Yield</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~3.85%</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-15bps</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Bull (Falling)</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UST 10Y Yield</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4.21%</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-6.5bps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-12bps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-20bps</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Bull (Falling)</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UST 30Y Yield</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~4.85%</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-10bps</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Neutral</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DXY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97.84</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+0.23%</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-4.5%</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EUR/USD</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1.180</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-0.1%</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+5.0%</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Bullish</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USD/JPY</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~149.0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Flat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-5.0%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 USD</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WTI Crude</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$63.50</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-3.0%</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-2.5%</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-8.0%</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Gold</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$4,820</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Consolidating</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Bitcoin</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$63,625</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-13.6%</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-22%</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-32%</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Bearish</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VIX</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20.19</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+25%</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+35%</w:t>
            </w:r>
          </w:p>
        </w:tc>
        <w:tc>
          <w:tcPr>
            <w:tcW w:type="dxa" w:w="12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Rising</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HY Spread (OAS)</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~286bps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+5bps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+12bps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+15bps</w:t>
            </w:r>
          </w:p>
        </w:tc>
        <w:tc>
          <w:tcPr>
            <w:tcW w:type="dxa" w:w="12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Widening</w:t>
            </w:r>
          </w:p>
        </w:tc>
      </w:tr>
    </w:tbl>
    <w:p>
      <w:pPr>
        <w:spacing w:before="80" w:after="80" w:line="276"/>
        <w:jc w:val="left"/>
      </w:pPr>
      <w:r>
        <w:rPr>
          <w:rFonts w:ascii="Arial" w:cs="Arial" w:eastAsia="Arial" w:hAnsi="Arial"/>
          <w:color w:val="2C3E50"/>
          <w:sz w:val="20"/>
          <w:szCs w:val="20"/>
        </w:rPr>
        <w:t xml:space="preserve"/>
      </w:r>
    </w:p>
    <w:p>
      <w:pPr>
        <w:pStyle w:val="Heading2"/>
        <w:spacing w:before="280" w:after="160"/>
      </w:pPr>
      <w:r>
        <w:rPr>
          <w:rFonts w:ascii="Arial" w:cs="Arial" w:eastAsia="Arial" w:hAnsi="Arial"/>
          <w:b/>
          <w:bCs/>
          <w:color w:val="2E75B6"/>
          <w:sz w:val="26"/>
          <w:szCs w:val="26"/>
        </w:rPr>
        <w:t xml:space="preserve">Appendix B: Key Economic Calendar</w:t>
      </w:r>
    </w:p>
    <w:tbl>
      <w:tblPr>
        <w:tblW w:type="dxa" w:w="6960"/>
        <w:tblBorders>
          <w:top w:val="single" w:color="auto" w:sz="4"/>
          <w:left w:val="single" w:color="auto" w:sz="4"/>
          <w:bottom w:val="single" w:color="auto" w:sz="4"/>
          <w:right w:val="single" w:color="auto" w:sz="4"/>
          <w:insideH w:val="single" w:color="auto" w:sz="4"/>
          <w:insideV w:val="single" w:color="auto" w:sz="4"/>
        </w:tblBorders>
      </w:tblPr>
      <w:tblGrid>
        <w:gridCol w:w="900"/>
        <w:gridCol w:w="800"/>
        <w:gridCol w:w="2800"/>
        <w:gridCol w:w="900"/>
        <w:gridCol w:w="900"/>
        <w:gridCol w:w="660"/>
      </w:tblGrid>
      <w:tr>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Date</w:t>
            </w:r>
          </w:p>
        </w:tc>
        <w:tc>
          <w:tcPr>
            <w:tcW w:type="dxa" w:w="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Time (ET)</w:t>
            </w:r>
          </w:p>
        </w:tc>
        <w:tc>
          <w:tcPr>
            <w:tcW w:type="dxa" w:w="28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Event</w:t>
            </w:r>
          </w:p>
        </w:tc>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Consensus</w:t>
            </w:r>
          </w:p>
        </w:tc>
        <w:tc>
          <w:tcPr>
            <w:tcW w:type="dxa" w:w="9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Prior</w:t>
            </w:r>
          </w:p>
        </w:tc>
        <w:tc>
          <w:tcPr>
            <w:tcW w:type="dxa" w:w="6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Risk</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6</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Pre-mkt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Amazon Earnings Reaction / Market Open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6-7</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US-Iran Nuclear Talks (Oman)</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7</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10:00 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U. Michigan Consumer Sentiment</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71.1</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11</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January NFP + BLS Benchmark Revision</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~60K</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+50K</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12</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January CPI (Y/Y)</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~2.9%</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2.9%</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12</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January Core CPI (Y/Y)</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~3.2%</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3.2%</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13</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January PPI</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 MoM</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14</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January Retail Sales</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Prior</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18</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AMC</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NVIDIA Q4 FY26 Earnings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19</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2:00 PM</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FOMC Minutes (January Meeting)</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25</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10:00 AM</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CB Consumer Confidence</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Prior</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LOW</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Feb 27</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8:30 AM</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Q4 2025 GDP (2nd Estimate)</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TBD</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Prior</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5</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ECB Rate Decision + Projections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2.00%</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r>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18-19</w:t>
            </w:r>
          </w:p>
        </w:tc>
        <w:tc>
          <w:tcPr>
            <w:tcW w:type="dxa" w:w="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28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FOMC Meeting</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w:t>
            </w:r>
          </w:p>
        </w:tc>
        <w:tc>
          <w:tcPr>
            <w:tcW w:type="dxa" w:w="9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3.50-3.75%</w:t>
            </w:r>
          </w:p>
        </w:tc>
        <w:tc>
          <w:tcPr>
            <w:tcW w:type="dxa" w:w="6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HIGH</w:t>
            </w:r>
          </w:p>
        </w:tc>
      </w:tr>
      <w:tr>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19</w:t>
            </w:r>
          </w:p>
        </w:tc>
        <w:tc>
          <w:tcPr>
            <w:tcW w:type="dxa" w:w="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BOJ Rate Decision</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+25bps?</w:t>
            </w:r>
          </w:p>
        </w:tc>
        <w:tc>
          <w:tcPr>
            <w:tcW w:type="dxa" w:w="9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0.50%</w:t>
            </w:r>
          </w:p>
        </w:tc>
        <w:tc>
          <w:tcPr>
            <w:tcW w:type="dxa" w:w="6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MED</w:t>
            </w:r>
          </w:p>
        </w:tc>
      </w:tr>
    </w:tbl>
    <w:p>
      <w:pPr>
        <w:spacing w:before="80" w:after="80" w:line="276"/>
        <w:jc w:val="left"/>
      </w:pPr>
      <w:r>
        <w:rPr>
          <w:rFonts w:ascii="Arial" w:cs="Arial" w:eastAsia="Arial" w:hAnsi="Arial"/>
          <w:color w:val="2C3E50"/>
          <w:sz w:val="20"/>
          <w:szCs w:val="20"/>
        </w:rPr>
        <w:t xml:space="preserve"/>
      </w:r>
    </w:p>
    <w:p>
      <w:pPr>
        <w:pStyle w:val="Heading2"/>
        <w:spacing w:before="280" w:after="160"/>
      </w:pPr>
      <w:r>
        <w:rPr>
          <w:rFonts w:ascii="Arial" w:cs="Arial" w:eastAsia="Arial" w:hAnsi="Arial"/>
          <w:b/>
          <w:bCs/>
          <w:color w:val="2E75B6"/>
          <w:sz w:val="26"/>
          <w:szCs w:val="26"/>
        </w:rPr>
        <w:t xml:space="preserve">Appendix C: Central Bank Monitor</w:t>
      </w:r>
    </w:p>
    <w:tbl>
      <w:tblPr>
        <w:tblW w:type="dxa" w:w="82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100"/>
        <w:gridCol w:w="2300"/>
        <w:gridCol w:w="1160"/>
      </w:tblGrid>
      <w:tr>
        <w:tc>
          <w:tcPr>
            <w:tcW w:type="dxa" w:w="16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Central Bank</w:t>
            </w:r>
          </w:p>
        </w:tc>
        <w:tc>
          <w:tcPr>
            <w:tcW w:type="dxa" w:w="11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Rate</w:t>
            </w:r>
          </w:p>
        </w:tc>
        <w:tc>
          <w:tcPr>
            <w:tcW w:type="dxa" w:w="21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Last Decision</w:t>
            </w:r>
          </w:p>
        </w:tc>
        <w:tc>
          <w:tcPr>
            <w:tcW w:type="dxa" w:w="230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Market Pricing</w:t>
            </w:r>
          </w:p>
        </w:tc>
        <w:tc>
          <w:tcPr>
            <w:tcW w:type="dxa" w:w="1160"/>
            <w:tcBorders>
              <w:top w:val="single" w:color="BDC3C7" w:sz="1"/>
              <w:left w:val="single" w:color="BDC3C7" w:sz="1"/>
              <w:bottom w:val="single" w:color="BDC3C7" w:sz="1"/>
              <w:right w:val="single" w:color="BDC3C7"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7"/>
                <w:szCs w:val="17"/>
              </w:rPr>
              <w:t xml:space="preserve">Next Meeting</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Federal Reserve</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3.50-3.75%</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 (Jan 28, 10-8 vote)</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 cuts by Dec '26; first Jun</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18-19</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ECB</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2.00%</w:t>
            </w:r>
          </w:p>
        </w:tc>
        <w:tc>
          <w:tcPr>
            <w:tcW w:type="dxa" w:w="2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 (Feb 5)</w:t>
            </w:r>
          </w:p>
        </w:tc>
        <w:tc>
          <w:tcPr>
            <w:tcW w:type="dxa" w:w="23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 through 2026</w:t>
            </w:r>
          </w:p>
        </w:tc>
        <w:tc>
          <w:tcPr>
            <w:tcW w:type="dxa" w:w="11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5</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BOJ</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0.50%</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Hike to 0.75% likely</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19</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BOE</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3.75%</w:t>
            </w:r>
          </w:p>
        </w:tc>
        <w:tc>
          <w:tcPr>
            <w:tcW w:type="dxa" w:w="2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 (Feb 5; 5-4 vote)</w:t>
            </w:r>
          </w:p>
        </w:tc>
        <w:tc>
          <w:tcPr>
            <w:tcW w:type="dxa" w:w="23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First cut Mar-Apr</w:t>
            </w:r>
          </w:p>
        </w:tc>
        <w:tc>
          <w:tcPr>
            <w:tcW w:type="dxa" w:w="11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19</w:t>
            </w:r>
          </w:p>
        </w:tc>
      </w:tr>
      <w:tr>
        <w:tc>
          <w:tcPr>
            <w:tcW w:type="dxa" w:w="16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PBOC</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3.10% (1Y LPR)</w:t>
            </w:r>
          </w:p>
        </w:tc>
        <w:tc>
          <w:tcPr>
            <w:tcW w:type="dxa" w:w="2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Easing</w:t>
            </w:r>
          </w:p>
        </w:tc>
        <w:tc>
          <w:tcPr>
            <w:tcW w:type="dxa" w:w="23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Further cuts expected</w:t>
            </w:r>
          </w:p>
        </w:tc>
        <w:tc>
          <w:tcPr>
            <w:tcW w:type="dxa" w:w="1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Monthly</w:t>
            </w:r>
          </w:p>
        </w:tc>
      </w:tr>
      <w:tr>
        <w:tc>
          <w:tcPr>
            <w:tcW w:type="dxa" w:w="16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RBA</w:t>
            </w:r>
          </w:p>
        </w:tc>
        <w:tc>
          <w:tcPr>
            <w:tcW w:type="dxa" w:w="1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4.10%</w:t>
            </w:r>
          </w:p>
        </w:tc>
        <w:tc>
          <w:tcPr>
            <w:tcW w:type="dxa" w:w="21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Hold</w:t>
            </w:r>
          </w:p>
        </w:tc>
        <w:tc>
          <w:tcPr>
            <w:tcW w:type="dxa" w:w="230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Potential hike discussed</w:t>
            </w:r>
          </w:p>
        </w:tc>
        <w:tc>
          <w:tcPr>
            <w:tcW w:type="dxa" w:w="1160"/>
            <w:tcBorders>
              <w:top w:val="single" w:color="BDC3C7" w:sz="1"/>
              <w:left w:val="single" w:color="BDC3C7" w:sz="1"/>
              <w:bottom w:val="single" w:color="BDC3C7" w:sz="1"/>
              <w:right w:val="single" w:color="BDC3C7" w:sz="1"/>
            </w:tcBorders>
            <w:shd w:fill="F8F9FB" w:val="clear"/>
            <w:tcMar>
              <w:top w:type="dxa" w:w="80"/>
              <w:left w:type="dxa" w:w="120"/>
              <w:bottom w:type="dxa" w:w="80"/>
              <w:right w:type="dxa" w:w="120"/>
            </w:tcMar>
            <w:vAlign w:val="center"/>
          </w:tcPr>
          <w:p>
            <w:pPr>
              <w:jc w:val="left"/>
            </w:pPr>
            <w:r>
              <w:rPr>
                <w:rFonts w:ascii="Arial" w:cs="Arial" w:eastAsia="Arial" w:hAnsi="Arial"/>
                <w:color w:val="2C3E50"/>
                <w:sz w:val="18"/>
                <w:szCs w:val="18"/>
              </w:rPr>
              <w:t xml:space="preserve">Mar 17</w:t>
            </w:r>
          </w:p>
        </w:tc>
      </w:tr>
    </w:tbl>
    <w:p>
      <w:pPr>
        <w:spacing w:before="80" w:after="80" w:line="276"/>
        <w:jc w:val="left"/>
      </w:pPr>
      <w:r>
        <w:rPr>
          <w:rFonts w:ascii="Arial" w:cs="Arial" w:eastAsia="Arial" w:hAnsi="Arial"/>
          <w:color w:val="2C3E50"/>
          <w:sz w:val="20"/>
          <w:szCs w:val="20"/>
        </w:rPr>
        <w:t xml:space="preserve"/>
      </w:r>
    </w:p>
    <w:p>
      <w:pPr>
        <w:pBdr>
          <w:bottom w:val="single" w:color="2E75B6" w:sz="2"/>
        </w:pBdr>
        <w:spacing w:before="120" w:after="120"/>
      </w:pPr>
      <w:r>
        <w:rPr>
          <w:sz w:val="4"/>
          <w:szCs w:val="4"/>
        </w:rPr>
        <w:t xml:space="preserve"/>
      </w:r>
    </w:p>
    <w:p>
      <w:pPr>
        <w:spacing w:before="200" w:after="200"/>
      </w:pPr>
      <w:r>
        <w:rPr>
          <w:rFonts w:ascii="Arial" w:cs="Arial" w:eastAsia="Arial" w:hAnsi="Arial"/>
          <w:i/>
          <w:iCs/>
          <w:color w:val="5D6D7E"/>
          <w:sz w:val="16"/>
          <w:szCs w:val="16"/>
        </w:rPr>
        <w:t xml:space="preserve">DISCLAIMER: This document is prepared for internal risk management purposes only and contains forward-looking statements, estimates, and hypothetical analyses based on publicly available market data as of February 5, 2026. All scenarios, probability estimates, and P&amp;L impacts are illustrative and should not be construed as investment advice. Actual portfolio impacts depend on specific position composition. Data sources include FRED, BLS, CBOE, TradingEconomics, CNBC, Reuters, and Bloomberg. All market levels are approximate and subject to revision.</w:t>
      </w:r>
    </w:p>
    <w:p>
      <w:pPr>
        <w:spacing w:before="100"/>
        <w:jc w:val="center"/>
      </w:pPr>
      <w:r>
        <w:rPr>
          <w:rFonts w:ascii="Arial" w:cs="Arial" w:eastAsia="Arial" w:hAnsi="Arial"/>
          <w:b/>
          <w:bCs/>
          <w:color w:val="1B2A4A"/>
          <w:sz w:val="18"/>
          <w:szCs w:val="18"/>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6"/>
        <w:szCs w:val="16"/>
      </w:rPr>
      <w:t xml:space="preserve">Page </w:t>
    </w:r>
    <w:r>
      <w:rPr>
        <w:rFonts w:ascii="Arial" w:cs="Arial" w:eastAsia="Arial" w:hAnsi="Arial"/>
        <w:color w:val="5D6D7E"/>
        <w:sz w:val="16"/>
        <w:szCs w:val="16"/>
      </w:rPr>
      <w:fldChar w:fldCharType="begin"/>
      <w:instrText xml:space="preserve">PAGE</w:instrText>
      <w:fldChar w:fldCharType="separate"/>
      <w:fldChar w:fldCharType="end"/>
    </w:r>
    <w:r>
      <w:rPr>
        <w:rFonts w:ascii="Arial" w:cs="Arial" w:eastAsia="Arial" w:hAnsi="Arial"/>
        <w:color w:val="5D6D7E"/>
        <w:sz w:val="16"/>
        <w:szCs w:val="16"/>
      </w:rPr>
      <w:t xml:space="preserve">  |  Market Risk Analytics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6"/>
        <w:szCs w:val="16"/>
      </w:rPr>
      <w:t xml:space="preserve">CRO WEEKLY RISK INTELLIGENCE BRIEF  |  </w:t>
    </w:r>
    <w:r>
      <w:rPr>
        <w:rFonts w:ascii="Arial" w:cs="Arial" w:eastAsia="Arial" w:hAnsi="Arial"/>
        <w:b/>
        <w:bCs/>
        <w:color w:val="C0392B"/>
        <w:sz w:val="16"/>
        <w:szCs w:val="16"/>
      </w:rPr>
      <w:t xml:space="preserve">CONFIDENTIAL</w:t>
    </w:r>
    <w:r>
      <w:rPr>
        <w:rFonts w:ascii="Arial" w:cs="Arial" w:eastAsia="Arial" w:hAnsi="Arial"/>
        <w:i/>
        <w:iCs/>
        <w:color w:val="5D6D7E"/>
        <w:sz w:val="16"/>
        <w:szCs w:val="16"/>
      </w:rPr>
      <w:t xml:space="preserve">  |  February 5,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2026-02-06T15:22:40.843Z</dcterms:created>
  <dcterms:modified xsi:type="dcterms:W3CDTF">2026-02-06T15:22:40.844Z</dcterms:modified>
</cp:coreProperties>
</file>

<file path=docProps/custom.xml><?xml version="1.0" encoding="utf-8"?>
<Properties xmlns="http://schemas.openxmlformats.org/officeDocument/2006/custom-properties" xmlns:vt="http://schemas.openxmlformats.org/officeDocument/2006/docPropsVTypes"/>
</file>