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7" w:name="content"/>
    <w:bookmarkStart w:id="126" w:name="X3e02b682e3346b22b60bae51cfe48637b8338e6"/>
    <w:p>
      <w:pPr>
        <w:pStyle w:val="Heading1"/>
      </w:pPr>
      <w:r>
        <w:t xml:space="preserve">AI Transformation Frameworks for a Wells Fargo-Scale U.S. Bank</w:t>
      </w:r>
    </w:p>
    <w:bookmarkStart w:id="99" w:name="chro-ai-transformation-framework"/>
    <w:p>
      <w:pPr>
        <w:pStyle w:val="Heading2"/>
      </w:pPr>
      <w:r>
        <w:t xml:space="preserve">CHRO AI Transformation Framework</w:t>
      </w:r>
    </w:p>
    <w:bookmarkStart w:id="38" w:name="executive-summary"/>
    <w:p>
      <w:pPr>
        <w:pStyle w:val="Heading3"/>
      </w:pPr>
      <w:r>
        <w:t xml:space="preserve">Executive summary</w:t>
      </w:r>
    </w:p>
    <w:p>
      <w:pPr>
        <w:pStyle w:val="FirstParagraph"/>
      </w:pPr>
      <w:r>
        <w:t xml:space="preserve">A Wells Fargo–scale U.S. bank (≈225k employees; multi-line-of-business; heavy regulatory oversight) is entering a phase where “AI adoption” stops being a tooling narrative and becomes a workforce and operating model rewrite. The strategic inflection is visible in competitor disclosures:</w:t>
      </w:r>
    </w:p>
    <w:p>
      <w:pPr>
        <w:pStyle w:val="Compact"/>
        <w:numPr>
          <w:ilvl w:val="0"/>
          <w:numId w:val="1001"/>
        </w:numPr>
      </w:pPr>
      <w:r>
        <w:t xml:space="preserve">Scale is already enterprise-wide at peers. JPMorgan publicly described broad internal deployment of its “LLM Suite” to employees (tens of thousands initially, with subsequent reports of much wider reach), alongside a pipeline of AI use cases and projected business value.</w:t>
      </w:r>
      <w:r>
        <w:t xml:space="preserve"> </w:t>
      </w:r>
      <w:hyperlink r:id="rId21">
        <w:r>
          <w:rPr>
            <w:rStyle w:val="Hyperlink"/>
          </w:rPr>
          <w:t xml:space="preserve">[1]</w:t>
        </w:r>
      </w:hyperlink>
    </w:p>
    <w:p>
      <w:pPr>
        <w:pStyle w:val="Compact"/>
        <w:numPr>
          <w:ilvl w:val="0"/>
          <w:numId w:val="1001"/>
        </w:numPr>
      </w:pPr>
      <w:r>
        <w:t xml:space="preserve">Productivity impacts are being quantified by bank leadership. Reuters reporting from late 2025 quotes the view that AI is doubling measured productivity expansion at JPMorgan (from ~3% to ~6%) and that some “operations specialists” could see ~40–50% productivity increases—numbers that, if sustained, inevitably translate into capacity release and headcount pressure unless volumes grow commensurately.</w:t>
      </w:r>
      <w:r>
        <w:t xml:space="preserve"> </w:t>
      </w:r>
      <w:hyperlink r:id="rId22">
        <w:r>
          <w:rPr>
            <w:rStyle w:val="Hyperlink"/>
          </w:rPr>
          <w:t xml:space="preserve">[2]</w:t>
        </w:r>
      </w:hyperlink>
    </w:p>
    <w:p>
      <w:pPr>
        <w:pStyle w:val="Compact"/>
        <w:numPr>
          <w:ilvl w:val="0"/>
          <w:numId w:val="1001"/>
        </w:numPr>
      </w:pPr>
      <w:r>
        <w:t xml:space="preserve">Some large banks are “saying the quiet part out loud” on workforce. Wells Fargo’s CEO has publicly signaled expecting fewer people going into 2026, and has framed AI as a mechanism to do “more with less,” with severance implications.</w:t>
      </w:r>
      <w:r>
        <w:t xml:space="preserve"> </w:t>
      </w:r>
      <w:hyperlink r:id="rId23">
        <w:r>
          <w:rPr>
            <w:rStyle w:val="Hyperlink"/>
          </w:rPr>
          <w:t xml:space="preserve">[3]</w:t>
        </w:r>
      </w:hyperlink>
    </w:p>
    <w:p>
      <w:pPr>
        <w:pStyle w:val="Compact"/>
        <w:numPr>
          <w:ilvl w:val="0"/>
          <w:numId w:val="1001"/>
        </w:numPr>
      </w:pPr>
      <w:r>
        <w:t xml:space="preserve">Fintechs have provided the clearest public evidence of AI-linked workforce compression. Klarna reported its AI assistant handling a large share of customer service chats and characterized the capacity as equivalent to ~700 FTE agents, while also describing headcount shrinking materially (including via attrition) as AI usage expanded.</w:t>
      </w:r>
      <w:r>
        <w:t xml:space="preserve"> </w:t>
      </w:r>
      <w:hyperlink r:id="rId24">
        <w:r>
          <w:rPr>
            <w:rStyle w:val="Hyperlink"/>
          </w:rPr>
          <w:t xml:space="preserve">[4]</w:t>
        </w:r>
      </w:hyperlink>
    </w:p>
    <w:p>
      <w:pPr>
        <w:pStyle w:val="FirstParagraph"/>
      </w:pPr>
      <w:r>
        <w:t xml:space="preserve">The strategic consequence for the CHRO is blunt: if the COO and CIO successfully drive operational AI, HR must be ready to (a) redesign the bank’s skill mix and job architecture, (b) manage ethical and compliant workforce transition at scale, and (c) restructure HR itself into a smaller, more product- and analytics-driven function.</w:t>
      </w:r>
    </w:p>
    <w:p>
      <w:pPr>
        <w:pStyle w:val="BodyText"/>
      </w:pPr>
      <w:r>
        <w:rPr>
          <w:b/>
          <w:bCs/>
        </w:rPr>
        <w:t xml:space="preserve">What’s at stake</w:t>
      </w:r>
    </w:p>
    <w:p>
      <w:pPr>
        <w:pStyle w:val="BodyText"/>
      </w:pPr>
      <w:r>
        <w:t xml:space="preserve">The bank’s labor cost base is its largest controllable expense. AI adoption that produces even mid-single-digit productivity improvements at scale changes the feasible efficiency ratio trajectory; competitors are explicitly pitching AI as an operating leverage engine and are already measuring impacts in developer productivity, call center/service automation, and operations throughput.</w:t>
      </w:r>
      <w:r>
        <w:t xml:space="preserve"> </w:t>
      </w:r>
      <w:hyperlink r:id="rId25">
        <w:r>
          <w:rPr>
            <w:rStyle w:val="Hyperlink"/>
          </w:rPr>
          <w:t xml:space="preserve">[5]</w:t>
        </w:r>
      </w:hyperlink>
      <w:r>
        <w:br/>
      </w:r>
      <w:r>
        <w:t xml:space="preserve">At the same time, regulators and lawmakers are tightening expectations around AI governance, model risk, third-party risk, and employment decision impacts—meaning “move fast” without governance is not an option for a top-tier bank.</w:t>
      </w:r>
      <w:r>
        <w:t xml:space="preserve"> </w:t>
      </w:r>
      <w:hyperlink r:id="rId26">
        <w:r>
          <w:rPr>
            <w:rStyle w:val="Hyperlink"/>
          </w:rPr>
          <w:t xml:space="preserve">[6]</w:t>
        </w:r>
      </w:hyperlink>
    </w:p>
    <w:p>
      <w:pPr>
        <w:pStyle w:val="BodyText"/>
      </w:pPr>
      <w:r>
        <w:rPr>
          <w:b/>
          <w:bCs/>
        </w:rPr>
        <w:t xml:space="preserve">Key findings and priority recommendations</w:t>
      </w:r>
    </w:p>
    <w:p>
      <w:pPr>
        <w:pStyle w:val="BodyText"/>
      </w:pPr>
      <w:r>
        <w:rPr>
          <w:b/>
          <w:bCs/>
        </w:rPr>
        <w:t xml:space="preserve">First priority: treat workforce impact planning as a first-order workstream, not a downstream consequence.</w:t>
      </w:r>
      <w:r>
        <w:t xml:space="preserve"> </w:t>
      </w:r>
      <w:r>
        <w:t xml:space="preserve">Competitors are already linking AI to workforce sizing and restructuring narratives (explicitly or implicitly). A bank that waits until “use cases scale” to plan workforce outcomes will default into reactive layoffs, morale collapse, and elevated legal/regulatory exposure.</w:t>
      </w:r>
      <w:r>
        <w:t xml:space="preserve"> </w:t>
      </w:r>
      <w:hyperlink r:id="rId23">
        <w:r>
          <w:rPr>
            <w:rStyle w:val="Hyperlink"/>
          </w:rPr>
          <w:t xml:space="preserve">[7]</w:t>
        </w:r>
      </w:hyperlink>
    </w:p>
    <w:p>
      <w:pPr>
        <w:pStyle w:val="BodyText"/>
      </w:pPr>
      <w:r>
        <w:rPr>
          <w:b/>
          <w:bCs/>
        </w:rPr>
        <w:t xml:space="preserve">Second priority: redesign work, then deploy tools.</w:t>
      </w:r>
      <w:r>
        <w:t xml:space="preserve"> </w:t>
      </w:r>
      <w:r>
        <w:t xml:space="preserve">Surveys and external research increasingly show genAI pilots often stall without workflow redesign and accountability; the value is not in “tools,” but in re-engineering decision rights, controls, and the human-AI workflow.</w:t>
      </w:r>
      <w:r>
        <w:t xml:space="preserve"> </w:t>
      </w:r>
      <w:hyperlink r:id="rId27">
        <w:r>
          <w:rPr>
            <w:rStyle w:val="Hyperlink"/>
          </w:rPr>
          <w:t xml:space="preserve">[8]</w:t>
        </w:r>
      </w:hyperlink>
    </w:p>
    <w:p>
      <w:pPr>
        <w:pStyle w:val="BodyText"/>
      </w:pPr>
      <w:r>
        <w:rPr>
          <w:b/>
          <w:bCs/>
        </w:rPr>
        <w:t xml:space="preserve">Third priority: restructure HR into an AI-enabled “Workforce Transformation Office.”</w:t>
      </w:r>
      <w:r>
        <w:t xml:space="preserve"> </w:t>
      </w:r>
      <w:r>
        <w:t xml:space="preserve">HR must reduce its own run-the-bank cost while building new capabilities: skills taxonomy, AI-enabled workforce planning, internal mobility at scale, and HR AI governance tied to employment regulation. Gartner has explicitly warned that AI in HR is moving into disillusionment for many adopters because value demonstration and best practices remain in flux—underscoring the need for disciplined product/value management within HR.</w:t>
      </w:r>
      <w:r>
        <w:t xml:space="preserve"> </w:t>
      </w:r>
      <w:hyperlink r:id="rId28">
        <w:r>
          <w:rPr>
            <w:rStyle w:val="Hyperlink"/>
          </w:rPr>
          <w:t xml:space="preserve">[9]</w:t>
        </w:r>
      </w:hyperlink>
    </w:p>
    <w:p>
      <w:pPr>
        <w:pStyle w:val="BodyText"/>
      </w:pPr>
      <w:r>
        <w:rPr>
          <w:b/>
          <w:bCs/>
        </w:rPr>
        <w:t xml:space="preserve">Fourth priority: “responsible workforce modernization” must be board-governed.</w:t>
      </w:r>
      <w:r>
        <w:t xml:space="preserve"> </w:t>
      </w:r>
      <w:r>
        <w:t xml:space="preserve">The bank’s AI deployment intersects directly with Title VII adverse impact, local hiring AI rules (NYC), consumer reporting/worker surveillance risk (CFPB/FCRA), and evolving state AI statutes—raising the board’s duty to oversee both human capital and operational risk.</w:t>
      </w:r>
      <w:r>
        <w:t xml:space="preserve"> </w:t>
      </w:r>
      <w:hyperlink r:id="rId29">
        <w:r>
          <w:rPr>
            <w:rStyle w:val="Hyperlink"/>
          </w:rPr>
          <w:t xml:space="preserve">[10]</w:t>
        </w:r>
      </w:hyperlink>
    </w:p>
    <w:p>
      <w:pPr>
        <w:pStyle w:val="BodyText"/>
      </w:pPr>
      <w:r>
        <w:rPr>
          <w:b/>
          <w:bCs/>
        </w:rPr>
        <w:t xml:space="preserve">Headline organizational impact (high-level scenario model)</w:t>
      </w:r>
    </w:p>
    <w:p>
      <w:pPr>
        <w:pStyle w:val="BodyText"/>
      </w:pPr>
      <w:r>
        <w:t xml:space="preserve">Because public data rarely provides a clean functional headcount split, the following is a</w:t>
      </w:r>
      <w:r>
        <w:t xml:space="preserve"> </w:t>
      </w:r>
      <w:r>
        <w:rPr>
          <w:b/>
          <w:bCs/>
        </w:rPr>
        <w:t xml:space="preserve">planning model</w:t>
      </w:r>
      <w:r>
        <w:t xml:space="preserve"> </w:t>
      </w:r>
      <w:r>
        <w:t xml:space="preserve">calibrated to competitor productivity signals and widely cited “time impacted” estimates (e.g., Accenture’s estimate for U.S. banking work time with high genAI impact potential). It is</w:t>
      </w:r>
      <w:r>
        <w:t xml:space="preserve"> </w:t>
      </w:r>
      <w:r>
        <w:rPr>
          <w:b/>
          <w:bCs/>
        </w:rPr>
        <w:t xml:space="preserve">not</w:t>
      </w:r>
      <w:r>
        <w:t xml:space="preserve"> </w:t>
      </w:r>
      <w:r>
        <w:t xml:space="preserve">a claim about any one bank’s internal org allocations; it should be replaced by internal HR/Finance headcount and cost baselines in the first 60–90 days of execution.</w:t>
      </w:r>
      <w:r>
        <w:t xml:space="preserve"> </w:t>
      </w:r>
      <w:hyperlink r:id="rId30">
        <w:r>
          <w:rPr>
            <w:rStyle w:val="Hyperlink"/>
          </w:rPr>
          <w:t xml:space="preserve">[11]</w:t>
        </w:r>
      </w:hyperlink>
    </w:p>
    <w:p>
      <w:pPr>
        <w:pStyle w:val="BodyText"/>
      </w:pPr>
      <w:r>
        <w:rPr>
          <w:b/>
          <w:bCs/>
        </w:rPr>
        <w:t xml:space="preserve">Enterprise headcount trajectory (illustrative planning ranges; baseline = 225,000)</w:t>
      </w:r>
      <w:r>
        <w:br/>
      </w:r>
      <w:r>
        <w:t xml:space="preserve">- Year 1: 220,000–224,000 (primarily hiring moderation + early automation capacity capture; minimal involuntary actions)</w:t>
      </w:r>
      <w:r>
        <w:br/>
      </w:r>
      <w:r>
        <w:t xml:space="preserve">- Year 3: 205,000–215,000 (material operating model redesign; management layer compression; targeted reductions)</w:t>
      </w:r>
      <w:r>
        <w:br/>
      </w:r>
      <w:r>
        <w:t xml:space="preserve">- Year 5: 185,000–205,000 (AI-augmented and partially autonomous operations at scale; lower run-cost baseline)</w:t>
      </w:r>
    </w:p>
    <w:p>
      <w:pPr>
        <w:pStyle w:val="BodyText"/>
      </w:pPr>
      <w:r>
        <w:t xml:space="preserve">This implies a</w:t>
      </w:r>
      <w:r>
        <w:t xml:space="preserve"> </w:t>
      </w:r>
      <w:r>
        <w:rPr>
          <w:b/>
          <w:bCs/>
        </w:rPr>
        <w:t xml:space="preserve">net reduction of ~9%–18% by Year 5</w:t>
      </w:r>
      <w:r>
        <w:t xml:space="preserve"> </w:t>
      </w:r>
      <w:r>
        <w:t xml:space="preserve">(base range), with larger gross role churn (internal redeployments + separations). The direction is consistent with external forecasts that AI/digitalization can drive meaningful workforce reductions in banking, particularly in central services; for example, reporting on a Morgan Stanley forecast for European banks framed ~10% workforce reductions by 2030 concentrated in back-/middle-office, risk, and compliance.</w:t>
      </w:r>
      <w:r>
        <w:t xml:space="preserve"> </w:t>
      </w:r>
      <w:hyperlink r:id="rId31">
        <w:r>
          <w:rPr>
            <w:rStyle w:val="Hyperlink"/>
          </w:rPr>
          <w:t xml:space="preserve">[12]</w:t>
        </w:r>
      </w:hyperlink>
    </w:p>
    <w:p>
      <w:pPr>
        <w:pStyle w:val="BodyText"/>
      </w:pPr>
      <w:r>
        <w:rPr>
          <w:b/>
          <w:bCs/>
        </w:rPr>
        <w:t xml:space="preserve">HR function headcount trajectory (illustrative)</w:t>
      </w:r>
      <w:r>
        <w:br/>
      </w:r>
      <w:r>
        <w:t xml:space="preserve">Baseline HR function size is typically ~1.0%–2.0% of enterprise headcount in large, complex organizations; in a 225k-employee bank this yields ~2,250–4,500 HR FTE as a working range (to be validated). HR’s own automation potential is high (routine casework, document generation, analytics, scheduling, knowledge retrieval), and external examples (e.g., IBM’s stated expectation that AI could replace a significant share of back-office roles including HR over a multi-year horizon) reinforce the need to plan for HR shrinkage, not growth.</w:t>
      </w:r>
      <w:r>
        <w:t xml:space="preserve"> </w:t>
      </w:r>
      <w:hyperlink r:id="rId32">
        <w:r>
          <w:rPr>
            <w:rStyle w:val="Hyperlink"/>
          </w:rPr>
          <w:t xml:space="preserve">[13]</w:t>
        </w:r>
      </w:hyperlink>
    </w:p>
    <w:p>
      <w:pPr>
        <w:pStyle w:val="BodyText"/>
      </w:pPr>
      <w:r>
        <w:t xml:space="preserve">A pragmatic Year 5 target for HR is</w:t>
      </w:r>
      <w:r>
        <w:t xml:space="preserve"> </w:t>
      </w:r>
      <w:r>
        <w:rPr>
          <w:b/>
          <w:bCs/>
        </w:rPr>
        <w:t xml:space="preserve">25%–40% reduction in HR run-the-bank FTE</w:t>
      </w:r>
      <w:r>
        <w:t xml:space="preserve">, offset by small growth in HR product, governance, and workforce transition roles.</w:t>
      </w:r>
    </w:p>
    <w:p>
      <w:pPr>
        <w:pStyle w:val="BodyText"/>
      </w:pPr>
      <w:r>
        <w:rPr>
          <w:b/>
          <w:bCs/>
        </w:rPr>
        <w:t xml:space="preserve">Investment thesis and ROI timing (board-level view)</w:t>
      </w:r>
    </w:p>
    <w:p>
      <w:pPr>
        <w:pStyle w:val="BodyText"/>
      </w:pPr>
      <w:r>
        <w:t xml:space="preserve">A credible AI-enabled workforce transformation requires investment in four buckets:</w:t>
      </w:r>
    </w:p>
    <w:p>
      <w:pPr>
        <w:pStyle w:val="BodyText"/>
      </w:pPr>
      <w:r>
        <w:t xml:space="preserve">1)</w:t>
      </w:r>
      <w:r>
        <w:t xml:space="preserve"> </w:t>
      </w:r>
      <w:r>
        <w:rPr>
          <w:b/>
          <w:bCs/>
        </w:rPr>
        <w:t xml:space="preserve">HR tech + data modernization</w:t>
      </w:r>
      <w:r>
        <w:t xml:space="preserve"> </w:t>
      </w:r>
      <w:r>
        <w:t xml:space="preserve">(core HR, HR case management, talent marketplace, people analytics, skills graph, identity/consent controls)</w:t>
      </w:r>
      <w:r>
        <w:br/>
      </w:r>
      <w:r>
        <w:t xml:space="preserve">2)</w:t>
      </w:r>
      <w:r>
        <w:t xml:space="preserve"> </w:t>
      </w:r>
      <w:r>
        <w:rPr>
          <w:b/>
          <w:bCs/>
        </w:rPr>
        <w:t xml:space="preserve">Enterprise reskilling and internal mobility infrastructure</w:t>
      </w:r>
      <w:r>
        <w:t xml:space="preserve"> </w:t>
      </w:r>
      <w:r>
        <w:t xml:space="preserve">(skills taxonomy, curriculum, credentialing, placement)</w:t>
      </w:r>
      <w:r>
        <w:br/>
      </w:r>
      <w:r>
        <w:t xml:space="preserve">3)</w:t>
      </w:r>
      <w:r>
        <w:t xml:space="preserve"> </w:t>
      </w:r>
      <w:r>
        <w:rPr>
          <w:b/>
          <w:bCs/>
        </w:rPr>
        <w:t xml:space="preserve">Governance and control</w:t>
      </w:r>
      <w:r>
        <w:t xml:space="preserve"> </w:t>
      </w:r>
      <w:r>
        <w:t xml:space="preserve">(HR model risk, bias testing, auditability, third-party oversight)</w:t>
      </w:r>
      <w:r>
        <w:br/>
      </w:r>
      <w:r>
        <w:t xml:space="preserve">4)</w:t>
      </w:r>
      <w:r>
        <w:t xml:space="preserve"> </w:t>
      </w:r>
      <w:r>
        <w:rPr>
          <w:b/>
          <w:bCs/>
        </w:rPr>
        <w:t xml:space="preserve">Transition costs</w:t>
      </w:r>
      <w:r>
        <w:t xml:space="preserve"> </w:t>
      </w:r>
      <w:r>
        <w:t xml:space="preserve">(severance, outplacement, incremental legal/compliance, communications)</w:t>
      </w:r>
    </w:p>
    <w:p>
      <w:pPr>
        <w:pStyle w:val="BodyText"/>
      </w:pPr>
      <w:r>
        <w:t xml:space="preserve">Peers are already spending heavily on technology and AI. Bank of America reported a $13B technology budget and described allocating ~$4B to AI and new tech initiatives, while also providing concrete productivity and task-elimination signals (e.g., testing time reductions, banker coverage expansion, and the “Erica” assistant doing work equivalent to thousands of employees).</w:t>
      </w:r>
      <w:r>
        <w:t xml:space="preserve"> </w:t>
      </w:r>
      <w:hyperlink r:id="rId25">
        <w:r>
          <w:rPr>
            <w:rStyle w:val="Hyperlink"/>
          </w:rPr>
          <w:t xml:space="preserve">[14]</w:t>
        </w:r>
      </w:hyperlink>
      <w:r>
        <w:br/>
      </w:r>
      <w:r>
        <w:t xml:space="preserve">JPMorgan has similarly described $17B+ tech investment levels and quantified coding productivity lift from AI tooling.</w:t>
      </w:r>
      <w:r>
        <w:t xml:space="preserve"> </w:t>
      </w:r>
      <w:hyperlink r:id="rId33">
        <w:r>
          <w:rPr>
            <w:rStyle w:val="Hyperlink"/>
          </w:rPr>
          <w:t xml:space="preserve">[15]</w:t>
        </w:r>
      </w:hyperlink>
    </w:p>
    <w:p>
      <w:pPr>
        <w:pStyle w:val="BodyText"/>
      </w:pPr>
      <w:r>
        <w:t xml:space="preserve">For the archetype bank, the ROI profile is typically:</w:t>
      </w:r>
    </w:p>
    <w:p>
      <w:pPr>
        <w:pStyle w:val="Compact"/>
        <w:numPr>
          <w:ilvl w:val="0"/>
          <w:numId w:val="1002"/>
        </w:numPr>
      </w:pPr>
      <w:r>
        <w:rPr>
          <w:b/>
          <w:bCs/>
        </w:rPr>
        <w:t xml:space="preserve">0–12 months:</w:t>
      </w:r>
      <w:r>
        <w:t xml:space="preserve"> </w:t>
      </w:r>
      <w:r>
        <w:t xml:space="preserve">HR productivity gains + reduced external spend (RPO, agencies, HR ops vendors) + avoidance of incremental hiring</w:t>
      </w:r>
    </w:p>
    <w:p>
      <w:pPr>
        <w:pStyle w:val="Compact"/>
        <w:numPr>
          <w:ilvl w:val="0"/>
          <w:numId w:val="1002"/>
        </w:numPr>
      </w:pPr>
      <w:r>
        <w:rPr>
          <w:b/>
          <w:bCs/>
        </w:rPr>
        <w:t xml:space="preserve">12–36 months:</w:t>
      </w:r>
      <w:r>
        <w:t xml:space="preserve"> </w:t>
      </w:r>
      <w:r>
        <w:t xml:space="preserve">enterprise capacity capture in operations/controls + vendor/BPO renegotiations + management delayering</w:t>
      </w:r>
    </w:p>
    <w:p>
      <w:pPr>
        <w:pStyle w:val="Compact"/>
        <w:numPr>
          <w:ilvl w:val="0"/>
          <w:numId w:val="1002"/>
        </w:numPr>
      </w:pPr>
      <w:r>
        <w:rPr>
          <w:b/>
          <w:bCs/>
        </w:rPr>
        <w:t xml:space="preserve">36–60 months:</w:t>
      </w:r>
      <w:r>
        <w:t xml:space="preserve"> </w:t>
      </w:r>
      <w:r>
        <w:t xml:space="preserve">structural efficiency ratio improvement via “AI-native” operating model</w:t>
      </w:r>
    </w:p>
    <w:p>
      <w:pPr>
        <w:pStyle w:val="FirstParagraph"/>
      </w:pPr>
      <w:r>
        <w:rPr>
          <w:b/>
          <w:bCs/>
        </w:rPr>
        <w:t xml:space="preserve">Critical risks and mitigation (summary)</w:t>
      </w:r>
    </w:p>
    <w:p>
      <w:pPr>
        <w:pStyle w:val="Compact"/>
        <w:numPr>
          <w:ilvl w:val="0"/>
          <w:numId w:val="1003"/>
        </w:numPr>
      </w:pPr>
      <w:r>
        <w:rPr>
          <w:b/>
          <w:bCs/>
        </w:rPr>
        <w:t xml:space="preserve">Regulatory employment risk (bias/adverse impact):</w:t>
      </w:r>
      <w:r>
        <w:t xml:space="preserve"> </w:t>
      </w:r>
      <w:r>
        <w:t xml:space="preserve">Mitigate via bias audits, adverse impact testing, and explicit human override controls; align to EEOC technical assistance on AI selection procedures and to local requirements (e.g., NYC AEDT bias audit/notice rules).</w:t>
      </w:r>
      <w:r>
        <w:t xml:space="preserve"> </w:t>
      </w:r>
      <w:hyperlink r:id="rId29">
        <w:r>
          <w:rPr>
            <w:rStyle w:val="Hyperlink"/>
          </w:rPr>
          <w:t xml:space="preserve">[16]</w:t>
        </w:r>
      </w:hyperlink>
    </w:p>
    <w:p>
      <w:pPr>
        <w:pStyle w:val="Compact"/>
        <w:numPr>
          <w:ilvl w:val="0"/>
          <w:numId w:val="1003"/>
        </w:numPr>
      </w:pPr>
      <w:r>
        <w:rPr>
          <w:b/>
          <w:bCs/>
        </w:rPr>
        <w:t xml:space="preserve">Privacy/worker surveillance risk:</w:t>
      </w:r>
      <w:r>
        <w:t xml:space="preserve"> </w:t>
      </w:r>
      <w:r>
        <w:t xml:space="preserve">CFPB has warned that background dossiers and algorithmic scores used for employment decisions can trigger Fair Credit Reporting Act obligations; mitigate with vendor due diligence, consent/notice workflows, and legal review of any AI-enabled monitoring or scoring.</w:t>
      </w:r>
      <w:r>
        <w:t xml:space="preserve"> </w:t>
      </w:r>
      <w:hyperlink r:id="rId34">
        <w:r>
          <w:rPr>
            <w:rStyle w:val="Hyperlink"/>
          </w:rPr>
          <w:t xml:space="preserve">[17]</w:t>
        </w:r>
      </w:hyperlink>
    </w:p>
    <w:p>
      <w:pPr>
        <w:pStyle w:val="Compact"/>
        <w:numPr>
          <w:ilvl w:val="0"/>
          <w:numId w:val="1003"/>
        </w:numPr>
      </w:pPr>
      <w:r>
        <w:rPr>
          <w:b/>
          <w:bCs/>
        </w:rPr>
        <w:t xml:space="preserve">Model risk and auditability:</w:t>
      </w:r>
      <w:r>
        <w:t xml:space="preserve"> </w:t>
      </w:r>
      <w:r>
        <w:t xml:space="preserve">Apply SR 11-7 discipline to AI/ML models used in HR decisions; ensure documentation, monitoring, and governance (aligned with bank model risk management norms).</w:t>
      </w:r>
      <w:r>
        <w:t xml:space="preserve"> </w:t>
      </w:r>
      <w:hyperlink r:id="rId35">
        <w:r>
          <w:rPr>
            <w:rStyle w:val="Hyperlink"/>
          </w:rPr>
          <w:t xml:space="preserve">[18]</w:t>
        </w:r>
      </w:hyperlink>
    </w:p>
    <w:p>
      <w:pPr>
        <w:pStyle w:val="Compact"/>
        <w:numPr>
          <w:ilvl w:val="0"/>
          <w:numId w:val="1003"/>
        </w:numPr>
      </w:pPr>
      <w:r>
        <w:rPr>
          <w:b/>
          <w:bCs/>
        </w:rPr>
        <w:t xml:space="preserve">Organizational backlash and reputational risk:</w:t>
      </w:r>
      <w:r>
        <w:t xml:space="preserve"> </w:t>
      </w:r>
      <w:r>
        <w:t xml:space="preserve">Recent public discourse increasingly questions “AI-washing” (attributing layoffs to AI without real capability justification). Mitigate with truthful messaging, phased transition, and measurable redeployment commitments.</w:t>
      </w:r>
      <w:r>
        <w:t xml:space="preserve"> </w:t>
      </w:r>
      <w:hyperlink r:id="rId36">
        <w:r>
          <w:rPr>
            <w:rStyle w:val="Hyperlink"/>
          </w:rPr>
          <w:t xml:space="preserve">[19]</w:t>
        </w:r>
      </w:hyperlink>
    </w:p>
    <w:p>
      <w:pPr>
        <w:pStyle w:val="FirstParagraph"/>
      </w:pPr>
      <w:r>
        <w:rPr>
          <w:b/>
          <w:bCs/>
        </w:rPr>
        <w:t xml:space="preserve">Board/CEO decision points requiring alignment</w:t>
      </w:r>
    </w:p>
    <w:p>
      <w:pPr>
        <w:pStyle w:val="BodyText"/>
      </w:pPr>
      <w:r>
        <w:t xml:space="preserve">1)</w:t>
      </w:r>
      <w:r>
        <w:t xml:space="preserve"> </w:t>
      </w:r>
      <w:r>
        <w:rPr>
          <w:b/>
          <w:bCs/>
        </w:rPr>
        <w:t xml:space="preserve">Workforce stance:</w:t>
      </w:r>
      <w:r>
        <w:t xml:space="preserve"> </w:t>
      </w:r>
      <w:r>
        <w:t xml:space="preserve">“No involuntary reductions” vs “managed attrition + targeted reductions” vs “structural resizing”</w:t>
      </w:r>
      <w:r>
        <w:br/>
      </w:r>
      <w:r>
        <w:t xml:space="preserve">2)</w:t>
      </w:r>
      <w:r>
        <w:t xml:space="preserve"> </w:t>
      </w:r>
      <w:r>
        <w:rPr>
          <w:b/>
          <w:bCs/>
        </w:rPr>
        <w:t xml:space="preserve">Target operating model:</w:t>
      </w:r>
      <w:r>
        <w:t xml:space="preserve"> </w:t>
      </w:r>
      <w:r>
        <w:t xml:space="preserve">centralized vs federated AI + workforce transformation governance</w:t>
      </w:r>
      <w:r>
        <w:br/>
      </w:r>
      <w:r>
        <w:t xml:space="preserve">3)</w:t>
      </w:r>
      <w:r>
        <w:t xml:space="preserve"> </w:t>
      </w:r>
      <w:r>
        <w:rPr>
          <w:b/>
          <w:bCs/>
        </w:rPr>
        <w:t xml:space="preserve">Risk appetite:</w:t>
      </w:r>
      <w:r>
        <w:t xml:space="preserve"> </w:t>
      </w:r>
      <w:r>
        <w:t xml:space="preserve">what HR decisions can be AI-recommended vs AI-decided</w:t>
      </w:r>
      <w:r>
        <w:br/>
      </w:r>
      <w:r>
        <w:t xml:space="preserve">4)</w:t>
      </w:r>
      <w:r>
        <w:t xml:space="preserve"> </w:t>
      </w:r>
      <w:r>
        <w:rPr>
          <w:b/>
          <w:bCs/>
        </w:rPr>
        <w:t xml:space="preserve">Ethical commitments:</w:t>
      </w:r>
      <w:r>
        <w:t xml:space="preserve"> </w:t>
      </w:r>
      <w:r>
        <w:t xml:space="preserve">minimum redeployment/reskilling investment, severance floor, transparency commitments</w:t>
      </w:r>
      <w:r>
        <w:br/>
      </w:r>
      <w:r>
        <w:t xml:space="preserve">5)</w:t>
      </w:r>
      <w:r>
        <w:t xml:space="preserve"> </w:t>
      </w:r>
      <w:r>
        <w:rPr>
          <w:b/>
          <w:bCs/>
        </w:rPr>
        <w:t xml:space="preserve">Management delayering mandate:</w:t>
      </w:r>
      <w:r>
        <w:t xml:space="preserve"> </w:t>
      </w:r>
      <w:r>
        <w:t xml:space="preserve">whether to explicitly target layer reduction (Citi provides a contemporary example of delayering from 13 to 8 layers as part of simplification).</w:t>
      </w:r>
      <w:r>
        <w:t xml:space="preserve"> </w:t>
      </w:r>
      <w:hyperlink r:id="rId37">
        <w:r>
          <w:rPr>
            <w:rStyle w:val="Hyperlink"/>
          </w:rPr>
          <w:t xml:space="preserve">[20]</w:t>
        </w:r>
      </w:hyperlink>
    </w:p>
    <w:p>
      <w:pPr>
        <w:pStyle w:val="BodyText"/>
      </w:pPr>
      <w:r>
        <w:rPr>
          <w:b/>
          <w:bCs/>
        </w:rPr>
        <w:t xml:space="preserve">If the bank does not act</w:t>
      </w:r>
    </w:p>
    <w:p>
      <w:pPr>
        <w:pStyle w:val="BodyText"/>
      </w:pPr>
      <w:r>
        <w:t xml:space="preserve">The risk is not simply falling behind on “tools.” It is being structurally outcompeted on cost-to-income and speed. Competitors are already quantifying productivity impacts and embedding AI into core workflows (engineering, service, operations, and compliance tooling), while fintechs demonstrate leaner operating models with materially different revenue-per-employee economics and faster iteration cycles.</w:t>
      </w:r>
      <w:r>
        <w:t xml:space="preserve"> </w:t>
      </w:r>
      <w:hyperlink r:id="rId22">
        <w:r>
          <w:rPr>
            <w:rStyle w:val="Hyperlink"/>
          </w:rPr>
          <w:t xml:space="preserve">[21]</w:t>
        </w:r>
      </w:hyperlink>
    </w:p>
    <w:p>
      <w:r>
        <w:pict>
          <v:rect style="width:0;height:1.5pt" o:hralign="center" o:hrstd="t" o:hr="t"/>
        </w:pict>
      </w:r>
    </w:p>
    <w:bookmarkEnd w:id="38"/>
    <w:bookmarkStart w:id="44" w:name="X85e384e755c0f42f813cb760ce8d2351d9f20ae"/>
    <w:p>
      <w:pPr>
        <w:pStyle w:val="Heading3"/>
      </w:pPr>
      <w:r>
        <w:t xml:space="preserve">Current state assessment of the HR function today</w:t>
      </w:r>
    </w:p>
    <w:p>
      <w:pPr>
        <w:pStyle w:val="FirstParagraph"/>
      </w:pPr>
      <w:r>
        <w:t xml:space="preserve">This section describes a</w:t>
      </w:r>
      <w:r>
        <w:t xml:space="preserve"> </w:t>
      </w:r>
      <w:r>
        <w:rPr>
          <w:b/>
          <w:bCs/>
        </w:rPr>
        <w:t xml:space="preserve">reference-model HR organization</w:t>
      </w:r>
      <w:r>
        <w:t xml:space="preserve"> </w:t>
      </w:r>
      <w:r>
        <w:t xml:space="preserve">for a complex U.S. bank. Because banks do not publicly disclose HR headcount by sub-function, the FTE figures below are</w:t>
      </w:r>
      <w:r>
        <w:t xml:space="preserve"> </w:t>
      </w:r>
      <w:r>
        <w:rPr>
          <w:b/>
          <w:bCs/>
        </w:rPr>
        <w:t xml:space="preserve">planning ranges</w:t>
      </w:r>
      <w:r>
        <w:t xml:space="preserve"> </w:t>
      </w:r>
      <w:r>
        <w:t xml:space="preserve">that should be validated via HR cost center data, HRIS user roles, and vendor contract spend in Phase 1.</w:t>
      </w:r>
    </w:p>
    <w:bookmarkStart w:id="39" w:name="X03a2188c854430f9bff6711ea3bc18433f7ce9d"/>
    <w:p>
      <w:pPr>
        <w:pStyle w:val="Heading4"/>
      </w:pPr>
      <w:r>
        <w:t xml:space="preserve">HR operating model baseline (reference archetype)</w:t>
      </w:r>
    </w:p>
    <w:p>
      <w:pPr>
        <w:pStyle w:val="FirstParagraph"/>
      </w:pPr>
      <w:r>
        <w:t xml:space="preserve">Most large banks operate a three-part HR model:</w:t>
      </w:r>
    </w:p>
    <w:p>
      <w:pPr>
        <w:pStyle w:val="Compact"/>
        <w:numPr>
          <w:ilvl w:val="0"/>
          <w:numId w:val="1004"/>
        </w:numPr>
      </w:pPr>
      <w:r>
        <w:rPr>
          <w:b/>
          <w:bCs/>
        </w:rPr>
        <w:t xml:space="preserve">Centers of Expertise (COEs):</w:t>
      </w:r>
      <w:r>
        <w:t xml:space="preserve"> </w:t>
      </w:r>
      <w:r>
        <w:t xml:space="preserve">talent acquisition, rewards, L&amp;D, DEI, employee relations, org effectiveness</w:t>
      </w:r>
    </w:p>
    <w:p>
      <w:pPr>
        <w:pStyle w:val="Compact"/>
        <w:numPr>
          <w:ilvl w:val="0"/>
          <w:numId w:val="1004"/>
        </w:numPr>
      </w:pPr>
      <w:r>
        <w:rPr>
          <w:b/>
          <w:bCs/>
        </w:rPr>
        <w:t xml:space="preserve">HR Business Partners (HRBPs):</w:t>
      </w:r>
      <w:r>
        <w:t xml:space="preserve"> </w:t>
      </w:r>
      <w:r>
        <w:t xml:space="preserve">embedded in business lines, translating business strategy into people actions</w:t>
      </w:r>
    </w:p>
    <w:p>
      <w:pPr>
        <w:pStyle w:val="Compact"/>
        <w:numPr>
          <w:ilvl w:val="0"/>
          <w:numId w:val="1004"/>
        </w:numPr>
      </w:pPr>
      <w:r>
        <w:rPr>
          <w:b/>
          <w:bCs/>
        </w:rPr>
        <w:t xml:space="preserve">HR Operations / Shared Services:</w:t>
      </w:r>
      <w:r>
        <w:t xml:space="preserve"> </w:t>
      </w:r>
      <w:r>
        <w:t xml:space="preserve">tiered case management, payroll/benefits administration, employee data maintenance, compliance process execution</w:t>
      </w:r>
    </w:p>
    <w:p>
      <w:pPr>
        <w:pStyle w:val="FirstParagraph"/>
      </w:pPr>
      <w:r>
        <w:t xml:space="preserve">This model is under pressure because genAI reduces the “information brokerage” value of many COE and HRBP activities (policy interpretation, drafting, benchmarking, reporting) and because HR ops is heavily ticket- and document-driven—prime territory for automation.</w:t>
      </w:r>
    </w:p>
    <w:bookmarkEnd w:id="39"/>
    <w:bookmarkStart w:id="41" w:name="X4b2e746ce30a9305eb895ea96de6c801e5e2625"/>
    <w:p>
      <w:pPr>
        <w:pStyle w:val="Heading4"/>
      </w:pPr>
      <w:r>
        <w:t xml:space="preserve">HR function map with indicative FTE ranges and maturity signals</w:t>
      </w:r>
    </w:p>
    <w:p>
      <w:pPr>
        <w:pStyle w:val="FirstParagraph"/>
      </w:pPr>
      <w:r>
        <w:t xml:space="preserve">The table below is structured to support immediate portfolio planning: “where AI can actually remove work” vs “where AI mainly augments judgment.”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HR function / sub-function</w:t>
            </w:r>
          </w:p>
        </w:tc>
        <w:tc>
          <w:tcPr/>
          <w:p>
            <w:pPr>
              <w:pStyle w:val="Compact"/>
            </w:pPr>
            <w:r>
              <w:t xml:space="preserve">Current work reality (large-bank pattern)</w:t>
            </w:r>
          </w:p>
        </w:tc>
        <w:tc>
          <w:tcPr/>
          <w:p>
            <w:pPr>
              <w:pStyle w:val="Compact"/>
              <w:jc w:val="right"/>
            </w:pPr>
            <w:r>
              <w:t xml:space="preserve">Planning FTE range (approx.)</w:t>
            </w:r>
          </w:p>
        </w:tc>
        <w:tc>
          <w:tcPr/>
          <w:p>
            <w:pPr>
              <w:pStyle w:val="Compact"/>
            </w:pPr>
            <w:r>
              <w:t xml:space="preserve">AI readiness blockers</w:t>
            </w:r>
          </w:p>
        </w:tc>
        <w:tc>
          <w:tcPr/>
          <w:p>
            <w:pPr>
              <w:pStyle w:val="Compact"/>
            </w:pPr>
            <w:r>
              <w:t xml:space="preserve">AI value shape</w:t>
            </w:r>
          </w:p>
        </w:tc>
      </w:tr>
      <w:tr>
        <w:tc>
          <w:tcPr/>
          <w:p>
            <w:pPr>
              <w:pStyle w:val="Compact"/>
            </w:pPr>
            <w:r>
              <w:t xml:space="preserve">Talent acquisition (campus, lateral, exec, contingent/RPO)</w:t>
            </w:r>
          </w:p>
        </w:tc>
        <w:tc>
          <w:tcPr/>
          <w:p>
            <w:pPr>
              <w:pStyle w:val="Compact"/>
            </w:pPr>
            <w:r>
              <w:t xml:space="preserve">High volume scheduling, screening, offer docs, candidate Q&amp;A</w:t>
            </w:r>
          </w:p>
        </w:tc>
        <w:tc>
          <w:tcPr/>
          <w:p>
            <w:pPr>
              <w:pStyle w:val="Compact"/>
              <w:jc w:val="right"/>
            </w:pPr>
            <w:r>
              <w:t xml:space="preserve">250–600</w:t>
            </w:r>
          </w:p>
        </w:tc>
        <w:tc>
          <w:tcPr/>
          <w:p>
            <w:pPr>
              <w:pStyle w:val="Compact"/>
            </w:pPr>
            <w:r>
              <w:t xml:space="preserve">fragmented data (ATS + assessments), legal risk, vendor lock-in</w:t>
            </w:r>
          </w:p>
        </w:tc>
        <w:tc>
          <w:tcPr/>
          <w:p>
            <w:pPr>
              <w:pStyle w:val="Compact"/>
            </w:pPr>
            <w:r>
              <w:t xml:space="preserve">automation + augmentation</w:t>
            </w:r>
          </w:p>
        </w:tc>
      </w:tr>
      <w:tr>
        <w:tc>
          <w:tcPr/>
          <w:p>
            <w:pPr>
              <w:pStyle w:val="Compact"/>
            </w:pPr>
            <w:r>
              <w:t xml:space="preserve">Total rewards / comp / benefits</w:t>
            </w:r>
          </w:p>
        </w:tc>
        <w:tc>
          <w:tcPr/>
          <w:p>
            <w:pPr>
              <w:pStyle w:val="Compact"/>
            </w:pPr>
            <w:r>
              <w:t xml:space="preserve">cycles, benchmarking, job evaluation, modeling</w:t>
            </w:r>
          </w:p>
        </w:tc>
        <w:tc>
          <w:tcPr/>
          <w:p>
            <w:pPr>
              <w:pStyle w:val="Compact"/>
              <w:jc w:val="right"/>
            </w:pPr>
            <w:r>
              <w:t xml:space="preserve">150–350</w:t>
            </w:r>
          </w:p>
        </w:tc>
        <w:tc>
          <w:tcPr/>
          <w:p>
            <w:pPr>
              <w:pStyle w:val="Compact"/>
            </w:pPr>
            <w:r>
              <w:t xml:space="preserve">comp data quality, governance, executive sensitivity</w:t>
            </w:r>
          </w:p>
        </w:tc>
        <w:tc>
          <w:tcPr/>
          <w:p>
            <w:pPr>
              <w:pStyle w:val="Compact"/>
            </w:pPr>
            <w:r>
              <w:t xml:space="preserve">augmentation with pockets of automation</w:t>
            </w:r>
          </w:p>
        </w:tc>
      </w:tr>
      <w:tr>
        <w:tc>
          <w:tcPr/>
          <w:p>
            <w:pPr>
              <w:pStyle w:val="Compact"/>
            </w:pPr>
            <w:r>
              <w:t xml:space="preserve">L&amp;D (onboarding, upskilling, compliance training)</w:t>
            </w:r>
          </w:p>
        </w:tc>
        <w:tc>
          <w:tcPr/>
          <w:p>
            <w:pPr>
              <w:pStyle w:val="Compact"/>
            </w:pPr>
            <w:r>
              <w:t xml:space="preserve">huge compliance footprint, content update burden</w:t>
            </w:r>
          </w:p>
        </w:tc>
        <w:tc>
          <w:tcPr/>
          <w:p>
            <w:pPr>
              <w:pStyle w:val="Compact"/>
              <w:jc w:val="right"/>
            </w:pPr>
            <w:r>
              <w:t xml:space="preserve">200–500</w:t>
            </w:r>
          </w:p>
        </w:tc>
        <w:tc>
          <w:tcPr/>
          <w:p>
            <w:pPr>
              <w:pStyle w:val="Compact"/>
            </w:pPr>
            <w:r>
              <w:t xml:space="preserve">content governance, measurement, integration to LMS</w:t>
            </w:r>
          </w:p>
        </w:tc>
        <w:tc>
          <w:tcPr/>
          <w:p>
            <w:pPr>
              <w:pStyle w:val="Compact"/>
            </w:pPr>
            <w:r>
              <w:t xml:space="preserve">augmentation + personalization</w:t>
            </w:r>
          </w:p>
        </w:tc>
      </w:tr>
      <w:tr>
        <w:tc>
          <w:tcPr/>
          <w:p>
            <w:pPr>
              <w:pStyle w:val="Compact"/>
            </w:pPr>
            <w:r>
              <w:t xml:space="preserve">Talent management / performance / succession</w:t>
            </w:r>
          </w:p>
        </w:tc>
        <w:tc>
          <w:tcPr/>
          <w:p>
            <w:pPr>
              <w:pStyle w:val="Compact"/>
            </w:pPr>
            <w:r>
              <w:t xml:space="preserve">calibration cycles, narrative writing, analytics</w:t>
            </w:r>
          </w:p>
        </w:tc>
        <w:tc>
          <w:tcPr/>
          <w:p>
            <w:pPr>
              <w:pStyle w:val="Compact"/>
              <w:jc w:val="right"/>
            </w:pPr>
            <w:r>
              <w:t xml:space="preserve">150–300</w:t>
            </w:r>
          </w:p>
        </w:tc>
        <w:tc>
          <w:tcPr/>
          <w:p>
            <w:pPr>
              <w:pStyle w:val="Compact"/>
            </w:pPr>
            <w:r>
              <w:t xml:space="preserve">trust, bias risk, manager adoption</w:t>
            </w:r>
          </w:p>
        </w:tc>
        <w:tc>
          <w:tcPr/>
          <w:p>
            <w:pPr>
              <w:pStyle w:val="Compact"/>
            </w:pPr>
            <w:r>
              <w:t xml:space="preserve">augmentation (high risk area)</w:t>
            </w:r>
          </w:p>
        </w:tc>
      </w:tr>
      <w:tr>
        <w:tc>
          <w:tcPr/>
          <w:p>
            <w:pPr>
              <w:pStyle w:val="Compact"/>
            </w:pPr>
            <w:r>
              <w:t xml:space="preserve">Employee relations / labor relations</w:t>
            </w:r>
          </w:p>
        </w:tc>
        <w:tc>
          <w:tcPr/>
          <w:p>
            <w:pPr>
              <w:pStyle w:val="Compact"/>
            </w:pPr>
            <w:r>
              <w:t xml:space="preserve">investigations, case mgmt, accommodations</w:t>
            </w:r>
          </w:p>
        </w:tc>
        <w:tc>
          <w:tcPr/>
          <w:p>
            <w:pPr>
              <w:pStyle w:val="Compact"/>
              <w:jc w:val="right"/>
            </w:pPr>
            <w:r>
              <w:t xml:space="preserve">200–500</w:t>
            </w:r>
          </w:p>
        </w:tc>
        <w:tc>
          <w:tcPr/>
          <w:p>
            <w:pPr>
              <w:pStyle w:val="Compact"/>
            </w:pPr>
            <w:r>
              <w:t xml:space="preserve">confidentiality, legal privilege, judgment</w:t>
            </w:r>
          </w:p>
        </w:tc>
        <w:tc>
          <w:tcPr/>
          <w:p>
            <w:pPr>
              <w:pStyle w:val="Compact"/>
            </w:pPr>
            <w:r>
              <w:t xml:space="preserve">augmentation with strict controls</w:t>
            </w:r>
          </w:p>
        </w:tc>
      </w:tr>
      <w:tr>
        <w:tc>
          <w:tcPr/>
          <w:p>
            <w:pPr>
              <w:pStyle w:val="Compact"/>
            </w:pPr>
            <w:r>
              <w:t xml:space="preserve">HRBP model</w:t>
            </w:r>
          </w:p>
        </w:tc>
        <w:tc>
          <w:tcPr/>
          <w:p>
            <w:pPr>
              <w:pStyle w:val="Compact"/>
            </w:pPr>
            <w:r>
              <w:t xml:space="preserve">advisory, workforce planning, change support</w:t>
            </w:r>
          </w:p>
        </w:tc>
        <w:tc>
          <w:tcPr/>
          <w:p>
            <w:pPr>
              <w:pStyle w:val="Compact"/>
              <w:jc w:val="right"/>
            </w:pPr>
            <w:r>
              <w:t xml:space="preserve">400–1,000</w:t>
            </w:r>
          </w:p>
        </w:tc>
        <w:tc>
          <w:tcPr/>
          <w:p>
            <w:pPr>
              <w:pStyle w:val="Compact"/>
            </w:pPr>
            <w:r>
              <w:t xml:space="preserve">role ambiguity, low leverage spans, “manual analytics”</w:t>
            </w:r>
          </w:p>
        </w:tc>
        <w:tc>
          <w:tcPr/>
          <w:p>
            <w:pPr>
              <w:pStyle w:val="Compact"/>
            </w:pPr>
            <w:r>
              <w:t xml:space="preserve">role redesign + potential shrink</w:t>
            </w:r>
          </w:p>
        </w:tc>
      </w:tr>
      <w:tr>
        <w:tc>
          <w:tcPr/>
          <w:p>
            <w:pPr>
              <w:pStyle w:val="Compact"/>
            </w:pPr>
            <w:r>
              <w:t xml:space="preserve">People analytics / workforce planning</w:t>
            </w:r>
          </w:p>
        </w:tc>
        <w:tc>
          <w:tcPr/>
          <w:p>
            <w:pPr>
              <w:pStyle w:val="Compact"/>
            </w:pPr>
            <w:r>
              <w:t xml:space="preserve">dashboards, ad hoc reporting</w:t>
            </w:r>
          </w:p>
        </w:tc>
        <w:tc>
          <w:tcPr/>
          <w:p>
            <w:pPr>
              <w:pStyle w:val="Compact"/>
              <w:jc w:val="right"/>
            </w:pPr>
            <w:r>
              <w:t xml:space="preserve">50–150</w:t>
            </w:r>
          </w:p>
        </w:tc>
        <w:tc>
          <w:tcPr/>
          <w:p>
            <w:pPr>
              <w:pStyle w:val="Compact"/>
            </w:pPr>
            <w:r>
              <w:t xml:space="preserve">data harmonization, governance</w:t>
            </w:r>
          </w:p>
        </w:tc>
        <w:tc>
          <w:tcPr/>
          <w:p>
            <w:pPr>
              <w:pStyle w:val="Compact"/>
            </w:pPr>
            <w:r>
              <w:t xml:space="preserve">strong augmentation + scale</w:t>
            </w:r>
          </w:p>
        </w:tc>
      </w:tr>
      <w:tr>
        <w:tc>
          <w:tcPr/>
          <w:p>
            <w:pPr>
              <w:pStyle w:val="Compact"/>
            </w:pPr>
            <w:r>
              <w:t xml:space="preserve">HR ops / shared services</w:t>
            </w:r>
          </w:p>
        </w:tc>
        <w:tc>
          <w:tcPr/>
          <w:p>
            <w:pPr>
              <w:pStyle w:val="Compact"/>
            </w:pPr>
            <w:r>
              <w:t xml:space="preserve">tiered inquiries, documentation, transactions</w:t>
            </w:r>
          </w:p>
        </w:tc>
        <w:tc>
          <w:tcPr/>
          <w:p>
            <w:pPr>
              <w:pStyle w:val="Compact"/>
              <w:jc w:val="right"/>
            </w:pPr>
            <w:r>
              <w:t xml:space="preserve">600–1,500</w:t>
            </w:r>
          </w:p>
        </w:tc>
        <w:tc>
          <w:tcPr/>
          <w:p>
            <w:pPr>
              <w:pStyle w:val="Compact"/>
            </w:pPr>
            <w:r>
              <w:t xml:space="preserve">knowledge base quality, workflow standardization</w:t>
            </w:r>
          </w:p>
        </w:tc>
        <w:tc>
          <w:tcPr/>
          <w:p>
            <w:pPr>
              <w:pStyle w:val="Compact"/>
            </w:pPr>
            <w:r>
              <w:t xml:space="preserve">highest automation potential</w:t>
            </w:r>
          </w:p>
        </w:tc>
      </w:tr>
      <w:tr>
        <w:tc>
          <w:tcPr/>
          <w:p>
            <w:pPr>
              <w:pStyle w:val="Compact"/>
            </w:pPr>
            <w:r>
              <w:t xml:space="preserve">DEI + regulatory reporting</w:t>
            </w:r>
          </w:p>
        </w:tc>
        <w:tc>
          <w:tcPr/>
          <w:p>
            <w:pPr>
              <w:pStyle w:val="Compact"/>
            </w:pPr>
            <w:r>
              <w:t xml:space="preserve">metrics, disclosures, program mgmt</w:t>
            </w:r>
          </w:p>
        </w:tc>
        <w:tc>
          <w:tcPr/>
          <w:p>
            <w:pPr>
              <w:pStyle w:val="Compact"/>
              <w:jc w:val="right"/>
            </w:pPr>
            <w:r>
              <w:t xml:space="preserve">50–200</w:t>
            </w:r>
          </w:p>
        </w:tc>
        <w:tc>
          <w:tcPr/>
          <w:p>
            <w:pPr>
              <w:pStyle w:val="Compact"/>
            </w:pPr>
            <w:r>
              <w:t xml:space="preserve">political/regulatory volatility, data completeness</w:t>
            </w:r>
          </w:p>
        </w:tc>
        <w:tc>
          <w:tcPr/>
          <w:p>
            <w:pPr>
              <w:pStyle w:val="Compact"/>
            </w:pPr>
            <w:r>
              <w:t xml:space="preserve">analytics automation; program redesign</w:t>
            </w:r>
          </w:p>
        </w:tc>
      </w:tr>
      <w:tr>
        <w:tc>
          <w:tcPr/>
          <w:p>
            <w:pPr>
              <w:pStyle w:val="Compact"/>
            </w:pPr>
            <w:r>
              <w:t xml:space="preserve">Org design / change mgmt</w:t>
            </w:r>
          </w:p>
        </w:tc>
        <w:tc>
          <w:tcPr/>
          <w:p>
            <w:pPr>
              <w:pStyle w:val="Compact"/>
            </w:pPr>
            <w:r>
              <w:t xml:space="preserve">restructuring support, spans/layers</w:t>
            </w:r>
          </w:p>
        </w:tc>
        <w:tc>
          <w:tcPr/>
          <w:p>
            <w:pPr>
              <w:pStyle w:val="Compact"/>
              <w:jc w:val="right"/>
            </w:pPr>
            <w:r>
              <w:t xml:space="preserve">50–150</w:t>
            </w:r>
          </w:p>
        </w:tc>
        <w:tc>
          <w:tcPr/>
          <w:p>
            <w:pPr>
              <w:pStyle w:val="Compact"/>
            </w:pPr>
            <w:r>
              <w:t xml:space="preserve">inconsistent methodologies</w:t>
            </w:r>
          </w:p>
        </w:tc>
        <w:tc>
          <w:tcPr/>
          <w:p>
            <w:pPr>
              <w:pStyle w:val="Compact"/>
            </w:pPr>
            <w:r>
              <w:t xml:space="preserve">augmentation</w:t>
            </w:r>
          </w:p>
        </w:tc>
      </w:tr>
      <w:tr>
        <w:tc>
          <w:tcPr/>
          <w:p>
            <w:pPr>
              <w:pStyle w:val="Compact"/>
            </w:pPr>
            <w:r>
              <w:t xml:space="preserve">HR compliance (EEO/OFCCP/FLSA/state)</w:t>
            </w:r>
          </w:p>
        </w:tc>
        <w:tc>
          <w:tcPr/>
          <w:p>
            <w:pPr>
              <w:pStyle w:val="Compact"/>
            </w:pPr>
            <w:r>
              <w:t xml:space="preserve">audits, filings, investigations support</w:t>
            </w:r>
          </w:p>
        </w:tc>
        <w:tc>
          <w:tcPr/>
          <w:p>
            <w:pPr>
              <w:pStyle w:val="Compact"/>
              <w:jc w:val="right"/>
            </w:pPr>
            <w:r>
              <w:t xml:space="preserve">50–150</w:t>
            </w:r>
          </w:p>
        </w:tc>
        <w:tc>
          <w:tcPr/>
          <w:p>
            <w:pPr>
              <w:pStyle w:val="Compact"/>
            </w:pPr>
            <w:r>
              <w:t xml:space="preserve">regulatory complexity</w:t>
            </w:r>
          </w:p>
        </w:tc>
        <w:tc>
          <w:tcPr/>
          <w:p>
            <w:pPr>
              <w:pStyle w:val="Compact"/>
            </w:pPr>
            <w:r>
              <w:t xml:space="preserve">augmentation</w:t>
            </w:r>
          </w:p>
        </w:tc>
      </w:tr>
      <w:tr>
        <w:tc>
          <w:tcPr/>
          <w:p>
            <w:pPr>
              <w:pStyle w:val="Compact"/>
            </w:pPr>
            <w:r>
              <w:t xml:space="preserve">Employee experience / engagement</w:t>
            </w:r>
          </w:p>
        </w:tc>
        <w:tc>
          <w:tcPr/>
          <w:p>
            <w:pPr>
              <w:pStyle w:val="Compact"/>
            </w:pPr>
            <w:r>
              <w:t xml:space="preserve">surveys, comms, employer brand</w:t>
            </w:r>
          </w:p>
        </w:tc>
        <w:tc>
          <w:tcPr/>
          <w:p>
            <w:pPr>
              <w:pStyle w:val="Compact"/>
              <w:jc w:val="right"/>
            </w:pPr>
            <w:r>
              <w:t xml:space="preserve">30–120</w:t>
            </w:r>
          </w:p>
        </w:tc>
        <w:tc>
          <w:tcPr/>
          <w:p>
            <w:pPr>
              <w:pStyle w:val="Compact"/>
            </w:pPr>
            <w:r>
              <w:t xml:space="preserve">narrative overload</w:t>
            </w:r>
          </w:p>
        </w:tc>
        <w:tc>
          <w:tcPr/>
          <w:p>
            <w:pPr>
              <w:pStyle w:val="Compact"/>
            </w:pPr>
            <w:r>
              <w:t xml:space="preserve">augmentation</w:t>
            </w:r>
          </w:p>
        </w:tc>
      </w:tr>
      <w:tr>
        <w:tc>
          <w:tcPr/>
          <w:p>
            <w:pPr>
              <w:pStyle w:val="Compact"/>
            </w:pPr>
            <w:r>
              <w:t xml:space="preserve">Executive HR / comp committee support</w:t>
            </w:r>
          </w:p>
        </w:tc>
        <w:tc>
          <w:tcPr/>
          <w:p>
            <w:pPr>
              <w:pStyle w:val="Compact"/>
            </w:pPr>
            <w:r>
              <w:t xml:space="preserve">board materials, exec development</w:t>
            </w:r>
          </w:p>
        </w:tc>
        <w:tc>
          <w:tcPr/>
          <w:p>
            <w:pPr>
              <w:pStyle w:val="Compact"/>
              <w:jc w:val="right"/>
            </w:pPr>
            <w:r>
              <w:t xml:space="preserve">20–80</w:t>
            </w:r>
          </w:p>
        </w:tc>
        <w:tc>
          <w:tcPr/>
          <w:p>
            <w:pPr>
              <w:pStyle w:val="Compact"/>
            </w:pPr>
            <w:r>
              <w:t xml:space="preserve">confidentiality</w:t>
            </w:r>
          </w:p>
        </w:tc>
        <w:tc>
          <w:tcPr/>
          <w:p>
            <w:pPr>
              <w:pStyle w:val="Compact"/>
            </w:pPr>
            <w:r>
              <w:t xml:space="preserve">augmentation only</w:t>
            </w:r>
          </w:p>
        </w:tc>
      </w:tr>
    </w:tbl>
    <w:p>
      <w:pPr>
        <w:pStyle w:val="BodyText"/>
      </w:pPr>
      <w:r>
        <w:t xml:space="preserve">Regulatory and political volatility in HR domains is not theoretical: for example, current U.S. enforcement and policy signals around DEI and workplace practices have been visibly shifting and litigated, reinforcing that HR AI must be governed with extreme care and board visibility.</w:t>
      </w:r>
      <w:r>
        <w:t xml:space="preserve"> </w:t>
      </w:r>
      <w:hyperlink r:id="rId40">
        <w:r>
          <w:rPr>
            <w:rStyle w:val="Hyperlink"/>
          </w:rPr>
          <w:t xml:space="preserve">[22]</w:t>
        </w:r>
      </w:hyperlink>
    </w:p>
    <w:bookmarkEnd w:id="41"/>
    <w:bookmarkStart w:id="43" w:name="X3bf9a2bbb2f3ae592537cfd0600b481b2bf0555"/>
    <w:p>
      <w:pPr>
        <w:pStyle w:val="Heading4"/>
      </w:pPr>
      <w:r>
        <w:t xml:space="preserve">HR technology landscape baseline (typical large bank)</w:t>
      </w:r>
    </w:p>
    <w:p>
      <w:pPr>
        <w:pStyle w:val="FirstParagraph"/>
      </w:pPr>
      <w:r>
        <w:t xml:space="preserve">A reference large-bank HR stack commonly includes:</w:t>
      </w:r>
    </w:p>
    <w:p>
      <w:pPr>
        <w:pStyle w:val="Compact"/>
        <w:numPr>
          <w:ilvl w:val="0"/>
          <w:numId w:val="1005"/>
        </w:numPr>
      </w:pPr>
      <w:r>
        <w:rPr>
          <w:b/>
          <w:bCs/>
        </w:rPr>
        <w:t xml:space="preserve">Core HCM:</w:t>
      </w:r>
      <w:r>
        <w:t xml:space="preserve"> </w:t>
      </w:r>
      <w:r>
        <w:t xml:space="preserve">Workday / SAP SuccessFactors / Oracle HCM</w:t>
      </w:r>
    </w:p>
    <w:p>
      <w:pPr>
        <w:pStyle w:val="Compact"/>
        <w:numPr>
          <w:ilvl w:val="0"/>
          <w:numId w:val="1005"/>
        </w:numPr>
      </w:pPr>
      <w:r>
        <w:rPr>
          <w:b/>
          <w:bCs/>
        </w:rPr>
        <w:t xml:space="preserve">Case management + employee portal:</w:t>
      </w:r>
      <w:r>
        <w:t xml:space="preserve"> </w:t>
      </w:r>
      <w:r>
        <w:t xml:space="preserve">ServiceNow HR Service Delivery (or equivalent)</w:t>
      </w:r>
    </w:p>
    <w:p>
      <w:pPr>
        <w:pStyle w:val="Compact"/>
        <w:numPr>
          <w:ilvl w:val="0"/>
          <w:numId w:val="1005"/>
        </w:numPr>
      </w:pPr>
      <w:r>
        <w:rPr>
          <w:b/>
          <w:bCs/>
        </w:rPr>
        <w:t xml:space="preserve">Talent intelligence / matching:</w:t>
      </w:r>
      <w:r>
        <w:t xml:space="preserve"> </w:t>
      </w:r>
      <w:r>
        <w:t xml:space="preserve">Eightfold / Phenom / Beamery / Gloat (marketplace)</w:t>
      </w:r>
    </w:p>
    <w:p>
      <w:pPr>
        <w:pStyle w:val="Compact"/>
        <w:numPr>
          <w:ilvl w:val="0"/>
          <w:numId w:val="1005"/>
        </w:numPr>
      </w:pPr>
      <w:r>
        <w:rPr>
          <w:b/>
          <w:bCs/>
        </w:rPr>
        <w:t xml:space="preserve">People analytics:</w:t>
      </w:r>
      <w:r>
        <w:t xml:space="preserve"> </w:t>
      </w:r>
      <w:r>
        <w:t xml:space="preserve">Visier and/or internal data lake + BI</w:t>
      </w:r>
    </w:p>
    <w:p>
      <w:pPr>
        <w:pStyle w:val="Compact"/>
        <w:numPr>
          <w:ilvl w:val="0"/>
          <w:numId w:val="1005"/>
        </w:numPr>
      </w:pPr>
      <w:r>
        <w:rPr>
          <w:b/>
          <w:bCs/>
        </w:rPr>
        <w:t xml:space="preserve">Learning ecosystem:</w:t>
      </w:r>
      <w:r>
        <w:t xml:space="preserve"> </w:t>
      </w:r>
      <w:r>
        <w:t xml:space="preserve">Degreed / Guild / Coursera partnerships</w:t>
      </w:r>
    </w:p>
    <w:p>
      <w:pPr>
        <w:pStyle w:val="Compact"/>
        <w:numPr>
          <w:ilvl w:val="0"/>
          <w:numId w:val="1005"/>
        </w:numPr>
      </w:pPr>
      <w:r>
        <w:rPr>
          <w:b/>
          <w:bCs/>
        </w:rPr>
        <w:t xml:space="preserve">Hiring assessment/video:</w:t>
      </w:r>
      <w:r>
        <w:t xml:space="preserve"> </w:t>
      </w:r>
      <w:r>
        <w:t xml:space="preserve">HireVue / Pymetrics-style tools (high regulatory sensitivity)</w:t>
      </w:r>
    </w:p>
    <w:p>
      <w:pPr>
        <w:pStyle w:val="FirstParagraph"/>
      </w:pPr>
      <w:r>
        <w:t xml:space="preserve">Gartner has highlighted AI in HR, AI-enabled skills management, internal talent marketplaces, and HR virtual assistants as major HR tech innovation themes, alongside the need for responsible AI frameworks to maintain employee trust.</w:t>
      </w:r>
      <w:r>
        <w:t xml:space="preserve"> </w:t>
      </w:r>
      <w:hyperlink r:id="rId42">
        <w:r>
          <w:rPr>
            <w:rStyle w:val="Hyperlink"/>
          </w:rPr>
          <w:t xml:space="preserve">[23]</w:t>
        </w:r>
      </w:hyperlink>
    </w:p>
    <w:p>
      <w:r>
        <w:pict>
          <v:rect style="width:0;height:1.5pt" o:hralign="center" o:hrstd="t" o:hr="t"/>
        </w:pict>
      </w:r>
    </w:p>
    <w:bookmarkEnd w:id="43"/>
    <w:bookmarkEnd w:id="44"/>
    <w:bookmarkStart w:id="59" w:name="ai-impact-analysis-of-hr-functions"/>
    <w:p>
      <w:pPr>
        <w:pStyle w:val="Heading3"/>
      </w:pPr>
      <w:r>
        <w:t xml:space="preserve">AI impact analysis of HR functions</w:t>
      </w:r>
    </w:p>
    <w:p>
      <w:pPr>
        <w:pStyle w:val="FirstParagraph"/>
      </w:pPr>
      <w:r>
        <w:t xml:space="preserve">This section provides a bank-grade view: what can be deployed now, what is pilot-ready, where risk is prohibitive, and what workforce impacts follow.</w:t>
      </w:r>
    </w:p>
    <w:bookmarkStart w:id="45" w:name="hr-ai-maturity-taxonomy-used-throughout"/>
    <w:p>
      <w:pPr>
        <w:pStyle w:val="Heading4"/>
      </w:pPr>
      <w:r>
        <w:t xml:space="preserve">HR AI maturity taxonomy (used throughout)</w:t>
      </w:r>
    </w:p>
    <w:p>
      <w:pPr>
        <w:pStyle w:val="Compact"/>
        <w:numPr>
          <w:ilvl w:val="0"/>
          <w:numId w:val="1006"/>
        </w:numPr>
      </w:pPr>
      <w:r>
        <w:rPr>
          <w:b/>
          <w:bCs/>
        </w:rPr>
        <w:t xml:space="preserve">Deploy now (proven / low novelty):</w:t>
      </w:r>
      <w:r>
        <w:t xml:space="preserve"> </w:t>
      </w:r>
      <w:r>
        <w:t xml:space="preserve">workflow automation, AI search over curated HR knowledge, draft generation with human review, low-stakes copilots</w:t>
      </w:r>
    </w:p>
    <w:p>
      <w:pPr>
        <w:pStyle w:val="Compact"/>
        <w:numPr>
          <w:ilvl w:val="0"/>
          <w:numId w:val="1006"/>
        </w:numPr>
      </w:pPr>
      <w:r>
        <w:rPr>
          <w:b/>
          <w:bCs/>
        </w:rPr>
        <w:t xml:space="preserve">Pilot-ready (needs controls):</w:t>
      </w:r>
      <w:r>
        <w:t xml:space="preserve"> </w:t>
      </w:r>
      <w:r>
        <w:t xml:space="preserve">predictive analytics for attrition and internal mobility, AI-driven skills inference, AI-assisted performance narratives</w:t>
      </w:r>
    </w:p>
    <w:p>
      <w:pPr>
        <w:pStyle w:val="Compact"/>
        <w:numPr>
          <w:ilvl w:val="0"/>
          <w:numId w:val="1006"/>
        </w:numPr>
      </w:pPr>
      <w:r>
        <w:rPr>
          <w:b/>
          <w:bCs/>
        </w:rPr>
        <w:t xml:space="preserve">Emerging (limited safe scale yet):</w:t>
      </w:r>
      <w:r>
        <w:t xml:space="preserve"> </w:t>
      </w:r>
      <w:r>
        <w:t xml:space="preserve">agentic HR workflows (autonomous case resolution), automated compensation decisioning</w:t>
      </w:r>
    </w:p>
    <w:p>
      <w:pPr>
        <w:pStyle w:val="Compact"/>
        <w:numPr>
          <w:ilvl w:val="0"/>
          <w:numId w:val="1006"/>
        </w:numPr>
      </w:pPr>
      <w:r>
        <w:rPr>
          <w:b/>
          <w:bCs/>
        </w:rPr>
        <w:t xml:space="preserve">Future (speculative/unstable):</w:t>
      </w:r>
      <w:r>
        <w:t xml:space="preserve"> </w:t>
      </w:r>
      <w:r>
        <w:t xml:space="preserve">autonomous hiring decisions, AI-led employment actions without human signoff</w:t>
      </w:r>
    </w:p>
    <w:bookmarkEnd w:id="45"/>
    <w:bookmarkStart w:id="58" w:name="X7b35f0f377300169a49b6d5ba6f425924ef9bcc"/>
    <w:p>
      <w:pPr>
        <w:pStyle w:val="Heading4"/>
      </w:pPr>
      <w:r>
        <w:t xml:space="preserve">Function-by-function AI opportunity and workforce impacts</w:t>
      </w:r>
    </w:p>
    <w:bookmarkStart w:id="49" w:name="talent-acquisition-and-recruiting"/>
    <w:p>
      <w:pPr>
        <w:pStyle w:val="Heading5"/>
      </w:pPr>
      <w:r>
        <w:t xml:space="preserve">Talent acquisition and recruiting</w:t>
      </w:r>
    </w:p>
    <w:p>
      <w:pPr>
        <w:pStyle w:val="FirstParagraph"/>
      </w:pPr>
      <w:r>
        <w:rPr>
          <w:b/>
          <w:bCs/>
        </w:rPr>
        <w:t xml:space="preserve">Deploy-now use cases (high confidence)</w:t>
      </w:r>
      <w:r>
        <w:br/>
      </w:r>
      <w:r>
        <w:t xml:space="preserve">Structured intake + genAI drafting: job descriptions, interview guides, outreach templates; conversational scheduling; candidate FAQ agents; automated requisition summarization and posting QA.</w:t>
      </w:r>
    </w:p>
    <w:p>
      <w:pPr>
        <w:pStyle w:val="BodyText"/>
      </w:pPr>
      <w:r>
        <w:rPr>
          <w:b/>
          <w:bCs/>
        </w:rPr>
        <w:t xml:space="preserve">Pilot-ready use cases (moderate confidence)</w:t>
      </w:r>
      <w:r>
        <w:br/>
      </w:r>
      <w:r>
        <w:t xml:space="preserve">AI-assisted candidate matching and screening using historical performance + skills, with explicit adverse impact testing and human review gates (risk is high).</w:t>
      </w:r>
    </w:p>
    <w:p>
      <w:pPr>
        <w:pStyle w:val="BodyText"/>
      </w:pPr>
      <w:r>
        <w:rPr>
          <w:b/>
          <w:bCs/>
        </w:rPr>
        <w:t xml:space="preserve">Regulatory constraints (non-negotiable)</w:t>
      </w:r>
      <w:r>
        <w:br/>
      </w:r>
      <w:r>
        <w:t xml:space="preserve">- Title VII disparate impact standards apply to automated selection procedures; the EEOC technical assistance explicitly frames AI-based selection tools as subject to adverse impact analysis.</w:t>
      </w:r>
      <w:r>
        <w:t xml:space="preserve"> </w:t>
      </w:r>
      <w:hyperlink r:id="rId29">
        <w:r>
          <w:rPr>
            <w:rStyle w:val="Hyperlink"/>
          </w:rPr>
          <w:t xml:space="preserve">[24]</w:t>
        </w:r>
      </w:hyperlink>
      <w:r>
        <w:br/>
      </w:r>
      <w:r>
        <w:t xml:space="preserve">- NYC Local Law 144 requires bias audits and candidate notice for “automated employment decision tools” used in hiring/promotion decisions.</w:t>
      </w:r>
      <w:r>
        <w:t xml:space="preserve"> </w:t>
      </w:r>
      <w:hyperlink r:id="rId46">
        <w:r>
          <w:rPr>
            <w:rStyle w:val="Hyperlink"/>
          </w:rPr>
          <w:t xml:space="preserve">[25]</w:t>
        </w:r>
      </w:hyperlink>
      <w:r>
        <w:br/>
      </w:r>
      <w:r>
        <w:t xml:space="preserve">- Illinois’ AI Video Interview Act imposes notice/consent and other requirements for AI analysis of video interviews.</w:t>
      </w:r>
      <w:r>
        <w:t xml:space="preserve"> </w:t>
      </w:r>
      <w:hyperlink r:id="rId47">
        <w:r>
          <w:rPr>
            <w:rStyle w:val="Hyperlink"/>
          </w:rPr>
          <w:t xml:space="preserve">[26]</w:t>
        </w:r>
      </w:hyperlink>
      <w:r>
        <w:br/>
      </w:r>
      <w:r>
        <w:t xml:space="preserve">- Colorado’s AI Act creates obligations for “high-risk AI systems” in employment contexts, including risk management and disclosures as applicable.</w:t>
      </w:r>
      <w:r>
        <w:t xml:space="preserve"> </w:t>
      </w:r>
      <w:hyperlink r:id="rId48">
        <w:r>
          <w:rPr>
            <w:rStyle w:val="Hyperlink"/>
          </w:rPr>
          <w:t xml:space="preserve">[27]</w:t>
        </w:r>
      </w:hyperlink>
    </w:p>
    <w:p>
      <w:pPr>
        <w:pStyle w:val="BodyText"/>
      </w:pPr>
      <w:r>
        <w:rPr>
          <w:b/>
          <w:bCs/>
        </w:rPr>
        <w:t xml:space="preserve">FTE impact model (planning ranges)</w:t>
      </w:r>
      <w:r>
        <w:br/>
      </w:r>
      <w:r>
        <w:t xml:space="preserve">- Augmented (no net cut near-term): recruiters focused on relationship, closing, and critical hiring</w:t>
      </w:r>
      <w:r>
        <w:br/>
      </w:r>
      <w:r>
        <w:t xml:space="preserve">- Partially automated (10–25% by Year 3): coordinators/schedulers, sourcing analysts, offer letter/admin</w:t>
      </w:r>
      <w:r>
        <w:br/>
      </w:r>
      <w:r>
        <w:t xml:space="preserve">- Net recruiting ops reduction by Year 5 (20–35%) if hiring volumes stable and automation adopted; offset by small growth in compliance, AI audit, and talent intelligence roles.</w:t>
      </w:r>
    </w:p>
    <w:bookmarkEnd w:id="49"/>
    <w:bookmarkStart w:id="50" w:name="total-rewards-and-compensation"/>
    <w:p>
      <w:pPr>
        <w:pStyle w:val="Heading5"/>
      </w:pPr>
      <w:r>
        <w:t xml:space="preserve">Total rewards and compensation</w:t>
      </w:r>
    </w:p>
    <w:p>
      <w:pPr>
        <w:pStyle w:val="FirstParagraph"/>
      </w:pPr>
      <w:r>
        <w:rPr>
          <w:b/>
          <w:bCs/>
        </w:rPr>
        <w:t xml:space="preserve">Deploy-now use cases</w:t>
      </w:r>
      <w:r>
        <w:br/>
      </w:r>
      <w:r>
        <w:t xml:space="preserve">AI-assisted comp benchmarking synthesis, policy Q&amp;A, scenario modeling narratives, job evaluation document drafting.</w:t>
      </w:r>
    </w:p>
    <w:p>
      <w:pPr>
        <w:pStyle w:val="BodyText"/>
      </w:pPr>
      <w:r>
        <w:rPr>
          <w:b/>
          <w:bCs/>
        </w:rPr>
        <w:t xml:space="preserve">Pilot-ready use cases</w:t>
      </w:r>
      <w:r>
        <w:br/>
      </w:r>
      <w:r>
        <w:t xml:space="preserve">Anomaly detection in pay equity analyses; predictive modeling for retention risk tied to comp structures.</w:t>
      </w:r>
    </w:p>
    <w:p>
      <w:pPr>
        <w:pStyle w:val="BodyText"/>
      </w:pPr>
      <w:r>
        <w:rPr>
          <w:b/>
          <w:bCs/>
        </w:rPr>
        <w:t xml:space="preserve">Hard stop areas</w:t>
      </w:r>
      <w:r>
        <w:br/>
      </w:r>
      <w:r>
        <w:t xml:space="preserve">Fully automated comp decisions at scale create unacceptable discrimination and governance risk; treat as “decision support only.”</w:t>
      </w:r>
    </w:p>
    <w:p>
      <w:pPr>
        <w:pStyle w:val="BodyText"/>
      </w:pPr>
      <w:r>
        <w:rPr>
          <w:b/>
          <w:bCs/>
        </w:rPr>
        <w:t xml:space="preserve">FTE impact (planning)</w:t>
      </w:r>
      <w:r>
        <w:br/>
      </w:r>
      <w:r>
        <w:t xml:space="preserve">- 10–20% reduction by Year 5 in analysts focused on manual benchmarking/report drafting, replaced by fewer, more technical comp modelers and governance analysts.</w:t>
      </w:r>
    </w:p>
    <w:bookmarkEnd w:id="50"/>
    <w:bookmarkStart w:id="52" w:name="learning-and-development"/>
    <w:p>
      <w:pPr>
        <w:pStyle w:val="Heading5"/>
      </w:pPr>
      <w:r>
        <w:t xml:space="preserve">Learning and development</w:t>
      </w:r>
    </w:p>
    <w:p>
      <w:pPr>
        <w:pStyle w:val="FirstParagraph"/>
      </w:pPr>
      <w:r>
        <w:rPr>
          <w:b/>
          <w:bCs/>
        </w:rPr>
        <w:t xml:space="preserve">Deploy-now use cases</w:t>
      </w:r>
      <w:r>
        <w:br/>
      </w:r>
      <w:r>
        <w:t xml:space="preserve">Personalized learning pathways, genAI content summarization, microlearning generation, tutoring copilots for technical skills.</w:t>
      </w:r>
    </w:p>
    <w:p>
      <w:pPr>
        <w:pStyle w:val="BodyText"/>
      </w:pPr>
      <w:r>
        <w:rPr>
          <w:b/>
          <w:bCs/>
        </w:rPr>
        <w:t xml:space="preserve">Evidence signal</w:t>
      </w:r>
      <w:r>
        <w:br/>
      </w:r>
      <w:r>
        <w:t xml:space="preserve">Wells Fargo disclosed meaningful investment in employee learning (e.g., hundreds of millions in learning investments referenced in its annual reporting), consistent with the need to fund reskilling during structural change.</w:t>
      </w:r>
      <w:r>
        <w:t xml:space="preserve"> </w:t>
      </w:r>
      <w:hyperlink r:id="rId51">
        <w:r>
          <w:rPr>
            <w:rStyle w:val="Hyperlink"/>
          </w:rPr>
          <w:t xml:space="preserve">[28]</w:t>
        </w:r>
      </w:hyperlink>
    </w:p>
    <w:p>
      <w:pPr>
        <w:pStyle w:val="BodyText"/>
      </w:pPr>
      <w:r>
        <w:rPr>
          <w:b/>
          <w:bCs/>
        </w:rPr>
        <w:t xml:space="preserve">FTE impact (planning)</w:t>
      </w:r>
      <w:r>
        <w:br/>
      </w:r>
      <w:r>
        <w:t xml:space="preserve">L&amp;D does not necessarily shrink aggressively; it shifts from content creation and classroom operations toward productized learning journeys and credentialing.</w:t>
      </w:r>
    </w:p>
    <w:bookmarkEnd w:id="52"/>
    <w:bookmarkStart w:id="54" w:name="X7e3c83fb64409ee01a2b90eb7db658c0dfc810a"/>
    <w:p>
      <w:pPr>
        <w:pStyle w:val="Heading5"/>
      </w:pPr>
      <w:r>
        <w:t xml:space="preserve">HR operations and shared services (highest structural leverage)</w:t>
      </w:r>
    </w:p>
    <w:p>
      <w:pPr>
        <w:pStyle w:val="FirstParagraph"/>
      </w:pPr>
      <w:r>
        <w:rPr>
          <w:b/>
          <w:bCs/>
        </w:rPr>
        <w:t xml:space="preserve">Deploy-now use cases</w:t>
      </w:r>
      <w:r>
        <w:br/>
      </w:r>
      <w:r>
        <w:t xml:space="preserve">- HR virtual assistant for policy/process Q&amp;A using curated knowledge base</w:t>
      </w:r>
      <w:r>
        <w:br/>
      </w:r>
      <w:r>
        <w:t xml:space="preserve">- Automated case classification, summarization, and draft resolution steps</w:t>
      </w:r>
      <w:r>
        <w:br/>
      </w:r>
      <w:r>
        <w:t xml:space="preserve">- Document generation (letters, confirmations) with approvals</w:t>
      </w:r>
      <w:r>
        <w:br/>
      </w:r>
      <w:r>
        <w:t xml:space="preserve">- Automated data changes (with controls) and workflow orchestration</w:t>
      </w:r>
    </w:p>
    <w:p>
      <w:pPr>
        <w:pStyle w:val="BodyText"/>
      </w:pPr>
      <w:r>
        <w:rPr>
          <w:b/>
          <w:bCs/>
        </w:rPr>
        <w:t xml:space="preserve">Vendor ROI evidence (directional)</w:t>
      </w:r>
      <w:r>
        <w:br/>
      </w:r>
      <w:r>
        <w:t xml:space="preserve">Analyst-style studies (e.g., Forrester TEI reports) often show substantial ROI potential for HR service delivery platforms, driven by reduced case handling time and improved onboarding/service. These are composite studies and must be validated internally, but they reinforce why HRSD + AI is often a “first wave” target.</w:t>
      </w:r>
      <w:r>
        <w:t xml:space="preserve"> </w:t>
      </w:r>
      <w:hyperlink r:id="rId53">
        <w:r>
          <w:rPr>
            <w:rStyle w:val="Hyperlink"/>
          </w:rPr>
          <w:t xml:space="preserve">[29]</w:t>
        </w:r>
      </w:hyperlink>
    </w:p>
    <w:p>
      <w:pPr>
        <w:pStyle w:val="BodyText"/>
      </w:pPr>
      <w:r>
        <w:rPr>
          <w:b/>
          <w:bCs/>
        </w:rPr>
        <w:t xml:space="preserve">FTE impact (planning ranges)</w:t>
      </w:r>
      <w:r>
        <w:br/>
      </w:r>
      <w:r>
        <w:t xml:space="preserve">- Year 1: 5–10% capacity release via deflection + faster resolution</w:t>
      </w:r>
      <w:r>
        <w:br/>
      </w:r>
      <w:r>
        <w:t xml:space="preserve">- Year 3: 15–30% reduction in Tier 1/Tier 2 case roles (with careful redeployment)</w:t>
      </w:r>
      <w:r>
        <w:br/>
      </w:r>
      <w:r>
        <w:t xml:space="preserve">- Year 5: 25–45% reduction in ticket-heavy and document-heavy HR ops roles, with a human floor for complex cases, exceptions, and escalation governance</w:t>
      </w:r>
    </w:p>
    <w:bookmarkEnd w:id="54"/>
    <w:bookmarkStart w:id="55" w:name="people-analytics-and-workforce-planning"/>
    <w:p>
      <w:pPr>
        <w:pStyle w:val="Heading5"/>
      </w:pPr>
      <w:r>
        <w:t xml:space="preserve">People analytics and workforce planning</w:t>
      </w:r>
    </w:p>
    <w:p>
      <w:pPr>
        <w:pStyle w:val="FirstParagraph"/>
      </w:pPr>
      <w:r>
        <w:rPr>
          <w:b/>
          <w:bCs/>
        </w:rPr>
        <w:t xml:space="preserve">Deploy-now / pilot-ready use cases</w:t>
      </w:r>
      <w:r>
        <w:br/>
      </w:r>
      <w:r>
        <w:t xml:space="preserve">- Natural language query for workforce data (“chat with people data”)</w:t>
      </w:r>
      <w:r>
        <w:br/>
      </w:r>
      <w:r>
        <w:t xml:space="preserve">- Automated recurring reporting and board packs</w:t>
      </w:r>
      <w:r>
        <w:br/>
      </w:r>
      <w:r>
        <w:t xml:space="preserve">- Scenario modeling tools for restructuring impacts</w:t>
      </w:r>
      <w:r>
        <w:br/>
      </w:r>
      <w:r>
        <w:t xml:space="preserve">- Skills taxonomy inference (with governance)</w:t>
      </w:r>
    </w:p>
    <w:p>
      <w:pPr>
        <w:pStyle w:val="BodyText"/>
      </w:pPr>
      <w:r>
        <w:rPr>
          <w:b/>
          <w:bCs/>
        </w:rPr>
        <w:t xml:space="preserve">FTE impact (planning)</w:t>
      </w:r>
      <w:r>
        <w:br/>
      </w:r>
      <w:r>
        <w:t xml:space="preserve">Net neutral to slight growth: fewer manual report builders, more workforce strategists and analytics product managers.</w:t>
      </w:r>
    </w:p>
    <w:bookmarkEnd w:id="55"/>
    <w:bookmarkStart w:id="57" w:name="employee-relations-and-labor-relations"/>
    <w:p>
      <w:pPr>
        <w:pStyle w:val="Heading5"/>
      </w:pPr>
      <w:r>
        <w:t xml:space="preserve">Employee relations and labor relations</w:t>
      </w:r>
    </w:p>
    <w:p>
      <w:pPr>
        <w:pStyle w:val="FirstParagraph"/>
      </w:pPr>
      <w:r>
        <w:rPr>
          <w:b/>
          <w:bCs/>
        </w:rPr>
        <w:t xml:space="preserve">Deploy-now use cases</w:t>
      </w:r>
      <w:r>
        <w:br/>
      </w:r>
      <w:r>
        <w:t xml:space="preserve">Case intake summarization, policy retrieval, investigation timeline templates, repeatable drafting with strict human review.</w:t>
      </w:r>
    </w:p>
    <w:p>
      <w:pPr>
        <w:pStyle w:val="BodyText"/>
      </w:pPr>
      <w:r>
        <w:rPr>
          <w:b/>
          <w:bCs/>
        </w:rPr>
        <w:t xml:space="preserve">Labor/surveillance constraints</w:t>
      </w:r>
      <w:r>
        <w:br/>
      </w:r>
      <w:r>
        <w:t xml:space="preserve">The NLRB has explicitly signaled scrutiny of intrusive electronic monitoring and algorithmic management practices that could chill protected activity. Even without broad unionization, the risk is reputational and legal in any “AI monitoring” narrative.</w:t>
      </w:r>
      <w:r>
        <w:t xml:space="preserve"> </w:t>
      </w:r>
      <w:hyperlink r:id="rId56">
        <w:r>
          <w:rPr>
            <w:rStyle w:val="Hyperlink"/>
          </w:rPr>
          <w:t xml:space="preserve">[30]</w:t>
        </w:r>
      </w:hyperlink>
    </w:p>
    <w:p>
      <w:pPr>
        <w:pStyle w:val="BodyText"/>
      </w:pPr>
      <w:r>
        <w:rPr>
          <w:b/>
          <w:bCs/>
        </w:rPr>
        <w:t xml:space="preserve">FTE impact</w:t>
      </w:r>
      <w:r>
        <w:br/>
      </w:r>
      <w:r>
        <w:t xml:space="preserve">Mostly augmentation. Some administrative reduction, but judgment-heavy work remains.</w:t>
      </w:r>
    </w:p>
    <w:p>
      <w:r>
        <w:pict>
          <v:rect style="width:0;height:1.5pt" o:hralign="center" o:hrstd="t" o:hr="t"/>
        </w:pict>
      </w:r>
    </w:p>
    <w:bookmarkEnd w:id="57"/>
    <w:bookmarkEnd w:id="58"/>
    <w:bookmarkEnd w:id="59"/>
    <w:bookmarkStart w:id="67" w:name="X775ad6d98403df9e41ded85b179edd3f0365e27"/>
    <w:p>
      <w:pPr>
        <w:pStyle w:val="Heading3"/>
      </w:pPr>
      <w:r>
        <w:t xml:space="preserve">Organizational transformation: how HR and the enterprise workforce change</w:t>
      </w:r>
    </w:p>
    <w:p>
      <w:pPr>
        <w:pStyle w:val="FirstParagraph"/>
      </w:pPr>
      <w:r>
        <w:t xml:space="preserve">This section is the “truth-telling” centerpiece: what shrinks, what grows, and what the bank looks like on the other side.</w:t>
      </w:r>
    </w:p>
    <w:bookmarkStart w:id="61" w:name="X51e530981cb3bc8b87c0da1bf7e5fd5c269f992"/>
    <w:p>
      <w:pPr>
        <w:pStyle w:val="Heading4"/>
      </w:pPr>
      <w:r>
        <w:t xml:space="preserve">Enterprise workforce impact model (bank-wide)</w:t>
      </w:r>
    </w:p>
    <w:p>
      <w:pPr>
        <w:pStyle w:val="FirstParagraph"/>
      </w:pPr>
      <w:r>
        <w:rPr>
          <w:b/>
          <w:bCs/>
        </w:rPr>
        <w:t xml:space="preserve">Baseline workforce reality (reference archetype)</w:t>
      </w:r>
      <w:r>
        <w:br/>
      </w:r>
      <w:r>
        <w:t xml:space="preserve">A 225k-employee bank typically concentrates headcount in: operations processing, contact centers/servicing, branches, technology, risk/compliance operations, and corporate functions.</w:t>
      </w:r>
    </w:p>
    <w:p>
      <w:pPr>
        <w:pStyle w:val="BodyText"/>
      </w:pPr>
      <w:r>
        <w:rPr>
          <w:b/>
          <w:bCs/>
        </w:rPr>
        <w:t xml:space="preserve">Where headcount grows (Year 1–5)</w:t>
      </w:r>
      <w:r>
        <w:br/>
      </w:r>
      <w:r>
        <w:t xml:space="preserve">- AI/ML engineering, data engineering, AI platform operations (MLOps/LLMOps), AI security</w:t>
      </w:r>
      <w:r>
        <w:br/>
      </w:r>
      <w:r>
        <w:t xml:space="preserve">- AI governance, model risk, AI audit, testing/validation</w:t>
      </w:r>
      <w:r>
        <w:br/>
      </w:r>
      <w:r>
        <w:t xml:space="preserve">- Human-AI workflow design (“process redesign meets product”)</w:t>
      </w:r>
      <w:r>
        <w:br/>
      </w:r>
      <w:r>
        <w:t xml:space="preserve">- Data quality and lineage (BCBS 239-style foundations become even more critical with AI)</w:t>
      </w:r>
      <w:r>
        <w:t xml:space="preserve"> </w:t>
      </w:r>
      <w:hyperlink r:id="rId60">
        <w:r>
          <w:rPr>
            <w:rStyle w:val="Hyperlink"/>
          </w:rPr>
          <w:t xml:space="preserve">[31]</w:t>
        </w:r>
      </w:hyperlink>
    </w:p>
    <w:p>
      <w:pPr>
        <w:pStyle w:val="BodyText"/>
      </w:pPr>
      <w:r>
        <w:rPr>
          <w:b/>
          <w:bCs/>
        </w:rPr>
        <w:t xml:space="preserve">Where headcount is net neutral but composition shifts</w:t>
      </w:r>
      <w:r>
        <w:br/>
      </w:r>
      <w:r>
        <w:t xml:space="preserve">- Risk and compliance: fewer manual reviewers, more investigators and exception managers; more technologists embedded in control functions</w:t>
      </w:r>
      <w:r>
        <w:br/>
      </w:r>
      <w:r>
        <w:t xml:space="preserve">- Finance: fewer manual close/report ops, more analytics and control design</w:t>
      </w:r>
    </w:p>
    <w:p>
      <w:pPr>
        <w:pStyle w:val="BodyText"/>
      </w:pPr>
      <w:r>
        <w:rPr>
          <w:b/>
          <w:bCs/>
        </w:rPr>
        <w:t xml:space="preserve">Where headcount moderately declines (10–25% by Year 5)</w:t>
      </w:r>
      <w:r>
        <w:br/>
      </w:r>
      <w:r>
        <w:t xml:space="preserve">- HR operations, finance operations, procurement/vendor management, some compliance testing/QA, portions of call centers</w:t>
      </w:r>
    </w:p>
    <w:p>
      <w:pPr>
        <w:pStyle w:val="BodyText"/>
      </w:pPr>
      <w:r>
        <w:rPr>
          <w:b/>
          <w:bCs/>
        </w:rPr>
        <w:t xml:space="preserve">Where headcount significantly declines (25–50%+ by Year 5)</w:t>
      </w:r>
      <w:r>
        <w:br/>
      </w:r>
      <w:r>
        <w:t xml:space="preserve">- High-volume, rules-based operations processing (reconciliations, servicing workflows, documentation) if the COO executes end-to-end automation and reduces “swivel chair” work</w:t>
      </w:r>
      <w:r>
        <w:br/>
      </w:r>
      <w:r>
        <w:t xml:space="preserve">This is consistent with peer productivity expectations: Reuters reporting on large-bank commentary explicitly points to large productivity lifts in operations roles with AI.</w:t>
      </w:r>
      <w:r>
        <w:t xml:space="preserve"> </w:t>
      </w:r>
      <w:hyperlink r:id="rId22">
        <w:r>
          <w:rPr>
            <w:rStyle w:val="Hyperlink"/>
          </w:rPr>
          <w:t xml:space="preserve">[2]</w:t>
        </w:r>
      </w:hyperlink>
    </w:p>
    <w:bookmarkEnd w:id="61"/>
    <w:bookmarkStart w:id="62" w:name="Xafe786c67b0d75b4af9ae3e0639662f47ea08df"/>
    <w:p>
      <w:pPr>
        <w:pStyle w:val="Heading4"/>
      </w:pPr>
      <w:r>
        <w:t xml:space="preserve">HR function transformation (org design implications)</w:t>
      </w:r>
    </w:p>
    <w:p>
      <w:pPr>
        <w:pStyle w:val="FirstParagraph"/>
      </w:pPr>
      <w:r>
        <w:rPr>
          <w:b/>
          <w:bCs/>
        </w:rPr>
        <w:t xml:space="preserve">Core design shift</w:t>
      </w:r>
      <w:r>
        <w:br/>
      </w:r>
      <w:r>
        <w:t xml:space="preserve">HR must evolve from a service organization into a</w:t>
      </w:r>
      <w:r>
        <w:t xml:space="preserve"> </w:t>
      </w:r>
      <w:r>
        <w:rPr>
          <w:b/>
          <w:bCs/>
        </w:rPr>
        <w:t xml:space="preserve">product + platform + governance</w:t>
      </w:r>
      <w:r>
        <w:t xml:space="preserve"> </w:t>
      </w:r>
      <w:r>
        <w:t xml:space="preserve">organization.</w:t>
      </w:r>
    </w:p>
    <w:p>
      <w:pPr>
        <w:pStyle w:val="BodyText"/>
      </w:pPr>
      <w:r>
        <w:rPr>
          <w:b/>
          <w:bCs/>
        </w:rPr>
        <w:t xml:space="preserve">What shrinks/merges</w:t>
      </w:r>
      <w:r>
        <w:br/>
      </w:r>
      <w:r>
        <w:t xml:space="preserve">- Tier 1–2 HR case handling (deflection + automation)</w:t>
      </w:r>
      <w:r>
        <w:br/>
      </w:r>
      <w:r>
        <w:t xml:space="preserve">- Manual reporting and ad hoc analytics “query teams”</w:t>
      </w:r>
      <w:r>
        <w:br/>
      </w:r>
      <w:r>
        <w:t xml:space="preserve">- Duplicative COE analytics and content drafting roles</w:t>
      </w:r>
    </w:p>
    <w:p>
      <w:pPr>
        <w:pStyle w:val="BodyText"/>
      </w:pPr>
      <w:r>
        <w:rPr>
          <w:b/>
          <w:bCs/>
        </w:rPr>
        <w:t xml:space="preserve">What grows/is newly created</w:t>
      </w:r>
      <w:r>
        <w:br/>
      </w:r>
      <w:r>
        <w:t xml:space="preserve">- HR AI Product Management (owning HR AI roadmaps like products)</w:t>
      </w:r>
      <w:r>
        <w:br/>
      </w:r>
      <w:r>
        <w:t xml:space="preserve">- HR AI Governance &amp; Compliance (bias testing, documentation, vendor oversight)</w:t>
      </w:r>
      <w:r>
        <w:br/>
      </w:r>
      <w:r>
        <w:t xml:space="preserve">- Workforce Transition Office (redeployment, reskilling operations, separation governance)</w:t>
      </w:r>
      <w:r>
        <w:br/>
      </w:r>
      <w:r>
        <w:t xml:space="preserve">- Skills Architecture (skills ontology + workforce planning integration)</w:t>
      </w:r>
    </w:p>
    <w:p>
      <w:pPr>
        <w:pStyle w:val="BodyText"/>
      </w:pPr>
      <w:r>
        <w:rPr>
          <w:b/>
          <w:bCs/>
        </w:rPr>
        <w:t xml:space="preserve">Management layers</w:t>
      </w:r>
      <w:r>
        <w:br/>
      </w:r>
      <w:r>
        <w:t xml:space="preserve">A credible HR transformation includes delayering. Citi’s simplification program offers a reference case for how radical delayering becomes a strategic lever (13 layers down to 8).</w:t>
      </w:r>
      <w:r>
        <w:t xml:space="preserve"> </w:t>
      </w:r>
      <w:hyperlink r:id="rId37">
        <w:r>
          <w:rPr>
            <w:rStyle w:val="Hyperlink"/>
          </w:rPr>
          <w:t xml:space="preserve">[20]</w:t>
        </w:r>
      </w:hyperlink>
    </w:p>
    <w:bookmarkEnd w:id="62"/>
    <w:bookmarkStart w:id="66" w:name="Xd617dfa31700ec2770fa21dd9c443c2a81cb784"/>
    <w:p>
      <w:pPr>
        <w:pStyle w:val="Heading4"/>
      </w:pPr>
      <w:r>
        <w:t xml:space="preserve">Workforce transition strategy (ethical + legal playbook)</w:t>
      </w:r>
    </w:p>
    <w:p>
      <w:pPr>
        <w:pStyle w:val="FirstParagraph"/>
      </w:pPr>
      <w:r>
        <w:rPr>
          <w:b/>
          <w:bCs/>
        </w:rPr>
        <w:t xml:space="preserve">Ethical principles (recommended board-approved stance)</w:t>
      </w:r>
      <w:r>
        <w:br/>
      </w:r>
      <w:r>
        <w:t xml:space="preserve">1)</w:t>
      </w:r>
      <w:r>
        <w:t xml:space="preserve"> </w:t>
      </w:r>
      <w:r>
        <w:rPr>
          <w:b/>
          <w:bCs/>
        </w:rPr>
        <w:t xml:space="preserve">No surprise mass layoffs</w:t>
      </w:r>
      <w:r>
        <w:t xml:space="preserve">: prioritize managed attrition and phased reductions where feasible</w:t>
      </w:r>
      <w:r>
        <w:br/>
      </w:r>
      <w:r>
        <w:t xml:space="preserve">2)</w:t>
      </w:r>
      <w:r>
        <w:t xml:space="preserve"> </w:t>
      </w:r>
      <w:r>
        <w:rPr>
          <w:b/>
          <w:bCs/>
        </w:rPr>
        <w:t xml:space="preserve">Transparency</w:t>
      </w:r>
      <w:r>
        <w:t xml:space="preserve">: clear job family impact views; no “AI as mystery force”</w:t>
      </w:r>
      <w:r>
        <w:br/>
      </w:r>
      <w:r>
        <w:t xml:space="preserve">3)</w:t>
      </w:r>
      <w:r>
        <w:t xml:space="preserve"> </w:t>
      </w:r>
      <w:r>
        <w:rPr>
          <w:b/>
          <w:bCs/>
        </w:rPr>
        <w:t xml:space="preserve">Fairness and disparate impact controls</w:t>
      </w:r>
      <w:r>
        <w:t xml:space="preserve">: restructure decisions must be tested for protected-class impacts</w:t>
      </w:r>
      <w:r>
        <w:br/>
      </w:r>
      <w:r>
        <w:t xml:space="preserve">4)</w:t>
      </w:r>
      <w:r>
        <w:t xml:space="preserve"> </w:t>
      </w:r>
      <w:r>
        <w:rPr>
          <w:b/>
          <w:bCs/>
        </w:rPr>
        <w:t xml:space="preserve">Human dignity</w:t>
      </w:r>
      <w:r>
        <w:t xml:space="preserve">: severance, benefits continuation, and outplacement exceeding bare legal minimums</w:t>
      </w:r>
    </w:p>
    <w:p>
      <w:pPr>
        <w:pStyle w:val="BodyText"/>
      </w:pPr>
      <w:r>
        <w:rPr>
          <w:b/>
          <w:bCs/>
        </w:rPr>
        <w:t xml:space="preserve">Legal requirements to treat as design constraints</w:t>
      </w:r>
      <w:r>
        <w:br/>
      </w:r>
      <w:r>
        <w:t xml:space="preserve">-</w:t>
      </w:r>
      <w:r>
        <w:t xml:space="preserve"> </w:t>
      </w:r>
      <w:r>
        <w:rPr>
          <w:b/>
          <w:bCs/>
        </w:rPr>
        <w:t xml:space="preserve">WARN Act</w:t>
      </w:r>
      <w:r>
        <w:t xml:space="preserve">: for covered employers, 60 days’ notice for covered plant closings/mass layoffs, subject to definitions/exceptions.</w:t>
      </w:r>
      <w:r>
        <w:t xml:space="preserve"> </w:t>
      </w:r>
      <w:hyperlink r:id="rId63">
        <w:r>
          <w:rPr>
            <w:rStyle w:val="Hyperlink"/>
          </w:rPr>
          <w:t xml:space="preserve">[32]</w:t>
        </w:r>
      </w:hyperlink>
      <w:r>
        <w:br/>
      </w:r>
      <w:r>
        <w:t xml:space="preserve">-</w:t>
      </w:r>
      <w:r>
        <w:t xml:space="preserve"> </w:t>
      </w:r>
      <w:r>
        <w:rPr>
          <w:b/>
          <w:bCs/>
        </w:rPr>
        <w:t xml:space="preserve">OWBPA/ADEA</w:t>
      </w:r>
      <w:r>
        <w:t xml:space="preserve">: strict requirements for waivers for employees aged 40+, including review periods and disclosures in group terminations (“decisional unit” disclosure expectations).</w:t>
      </w:r>
      <w:r>
        <w:t xml:space="preserve"> </w:t>
      </w:r>
      <w:hyperlink r:id="rId64">
        <w:r>
          <w:rPr>
            <w:rStyle w:val="Hyperlink"/>
          </w:rPr>
          <w:t xml:space="preserve">[33]</w:t>
        </w:r>
      </w:hyperlink>
    </w:p>
    <w:p>
      <w:pPr>
        <w:pStyle w:val="BodyText"/>
      </w:pPr>
      <w:r>
        <w:rPr>
          <w:b/>
          <w:bCs/>
        </w:rPr>
        <w:t xml:space="preserve">Practical reskilling truth</w:t>
      </w:r>
      <w:r>
        <w:br/>
      </w:r>
      <w:r>
        <w:t xml:space="preserve">Not all displaced employees can be reskilled into high-growth AI roles. Brookings has emphasized that “AI exposure” varies and that adaptive capacity matters—implying that transition success will be uneven and must be planned realistically, not promised universally.</w:t>
      </w:r>
      <w:r>
        <w:t xml:space="preserve"> </w:t>
      </w:r>
      <w:hyperlink r:id="rId65">
        <w:r>
          <w:rPr>
            <w:rStyle w:val="Hyperlink"/>
          </w:rPr>
          <w:t xml:space="preserve">[34]</w:t>
        </w:r>
      </w:hyperlink>
    </w:p>
    <w:p>
      <w:pPr>
        <w:pStyle w:val="BodyText"/>
      </w:pPr>
      <w:r>
        <w:rPr>
          <w:b/>
          <w:bCs/>
        </w:rPr>
        <w:t xml:space="preserve">Internal mobility infrastructure</w:t>
      </w:r>
      <w:r>
        <w:br/>
      </w:r>
      <w:r>
        <w:t xml:space="preserve">Implement a bank-wide skills taxonomy and internal talent marketplace, then drive “redeployment by default” for roles in the first wave of displacement.</w:t>
      </w:r>
    </w:p>
    <w:p>
      <w:r>
        <w:pict>
          <v:rect style="width:0;height:1.5pt" o:hralign="center" o:hrstd="t" o:hr="t"/>
        </w:pict>
      </w:r>
    </w:p>
    <w:bookmarkEnd w:id="66"/>
    <w:bookmarkEnd w:id="67"/>
    <w:bookmarkStart w:id="82" w:name="Xe92f58d56ff43b121eba1fe9051f867e8a02e5f"/>
    <w:p>
      <w:pPr>
        <w:pStyle w:val="Heading3"/>
      </w:pPr>
      <w:r>
        <w:t xml:space="preserve">Competitive intelligence summary (what peers are doing)</w:t>
      </w:r>
    </w:p>
    <w:p>
      <w:pPr>
        <w:pStyle w:val="FirstParagraph"/>
      </w:pPr>
      <w:r>
        <w:t xml:space="preserve">This section focuses on</w:t>
      </w:r>
      <w:r>
        <w:t xml:space="preserve"> </w:t>
      </w:r>
      <w:r>
        <w:rPr>
          <w:b/>
          <w:bCs/>
        </w:rPr>
        <w:t xml:space="preserve">facts publicly disclosed</w:t>
      </w:r>
      <w:r>
        <w:t xml:space="preserve"> </w:t>
      </w:r>
      <w:r>
        <w:t xml:space="preserve">and</w:t>
      </w:r>
      <w:r>
        <w:t xml:space="preserve"> </w:t>
      </w:r>
      <w:r>
        <w:rPr>
          <w:b/>
          <w:bCs/>
        </w:rPr>
        <w:t xml:space="preserve">what they imply</w:t>
      </w:r>
      <w:r>
        <w:t xml:space="preserve"> </w:t>
      </w:r>
      <w:r>
        <w:t xml:space="preserve">for a Wells Fargo–scale bank.</w:t>
      </w:r>
    </w:p>
    <w:bookmarkStart w:id="68" w:name="X866ba24c1f09fc44d41d8095052d3ad7c4fe194"/>
    <w:p>
      <w:pPr>
        <w:pStyle w:val="Heading4"/>
      </w:pPr>
      <w:r>
        <w:t xml:space="preserve">JPMorgan (signals of scale + quantified productivity)</w:t>
      </w:r>
    </w:p>
    <w:p>
      <w:pPr>
        <w:pStyle w:val="Compact"/>
        <w:numPr>
          <w:ilvl w:val="0"/>
          <w:numId w:val="1007"/>
        </w:numPr>
      </w:pPr>
      <w:r>
        <w:t xml:space="preserve">Internal “LLM Suite” deployment described publicly (tens of thousands initially; broader scaling reported), plus ongoing expansion of AI use cases.</w:t>
      </w:r>
      <w:r>
        <w:t xml:space="preserve"> </w:t>
      </w:r>
      <w:hyperlink r:id="rId21">
        <w:r>
          <w:rPr>
            <w:rStyle w:val="Hyperlink"/>
          </w:rPr>
          <w:t xml:space="preserve">[35]</w:t>
        </w:r>
      </w:hyperlink>
    </w:p>
    <w:p>
      <w:pPr>
        <w:pStyle w:val="Compact"/>
        <w:numPr>
          <w:ilvl w:val="0"/>
          <w:numId w:val="1007"/>
        </w:numPr>
      </w:pPr>
      <w:r>
        <w:t xml:space="preserve">Coding assistant productivity lift reported in the ~10–20% range for engineers—critical because technology productivity gains reduce the need for incremental hiring even as AI investment increases.</w:t>
      </w:r>
      <w:r>
        <w:t xml:space="preserve"> </w:t>
      </w:r>
      <w:hyperlink r:id="rId33">
        <w:r>
          <w:rPr>
            <w:rStyle w:val="Hyperlink"/>
          </w:rPr>
          <w:t xml:space="preserve">[15]</w:t>
        </w:r>
      </w:hyperlink>
    </w:p>
    <w:p>
      <w:pPr>
        <w:pStyle w:val="Compact"/>
        <w:numPr>
          <w:ilvl w:val="0"/>
          <w:numId w:val="1007"/>
        </w:numPr>
      </w:pPr>
      <w:r>
        <w:t xml:space="preserve">Public commentary cites operations productivity improvements and significant projected value from AI, reinforcing that capacity creation is real and will pressure staffing if captured.</w:t>
      </w:r>
      <w:r>
        <w:t xml:space="preserve"> </w:t>
      </w:r>
      <w:hyperlink r:id="rId22">
        <w:r>
          <w:rPr>
            <w:rStyle w:val="Hyperlink"/>
          </w:rPr>
          <w:t xml:space="preserve">[36]</w:t>
        </w:r>
      </w:hyperlink>
    </w:p>
    <w:bookmarkEnd w:id="68"/>
    <w:bookmarkStart w:id="72" w:name="X08da553153b30db92b82fd4b76e81c0e0fa6e6a"/>
    <w:p>
      <w:pPr>
        <w:pStyle w:val="Heading4"/>
      </w:pPr>
      <w:r>
        <w:t xml:space="preserve">Goldman Sachs (enterprise assistant + agentic direction + restructuring linkage)</w:t>
      </w:r>
    </w:p>
    <w:p>
      <w:pPr>
        <w:pStyle w:val="Compact"/>
        <w:numPr>
          <w:ilvl w:val="0"/>
          <w:numId w:val="1008"/>
        </w:numPr>
      </w:pPr>
      <w:r>
        <w:t xml:space="preserve">Firmwide rollout of “GS AI Assistant” described publicly, following earlier developer tooling efforts.</w:t>
      </w:r>
      <w:r>
        <w:t xml:space="preserve"> </w:t>
      </w:r>
      <w:hyperlink r:id="rId69">
        <w:r>
          <w:rPr>
            <w:rStyle w:val="Hyperlink"/>
          </w:rPr>
          <w:t xml:space="preserve">[37]</w:t>
        </w:r>
      </w:hyperlink>
    </w:p>
    <w:p>
      <w:pPr>
        <w:pStyle w:val="Compact"/>
        <w:numPr>
          <w:ilvl w:val="0"/>
          <w:numId w:val="1008"/>
        </w:numPr>
      </w:pPr>
      <w:r>
        <w:t xml:space="preserve">Reuters reporting indicates internal emphasis on restructuring and constrained headcount growth while integrating AI (“OneGS” framing).</w:t>
      </w:r>
      <w:r>
        <w:t xml:space="preserve"> </w:t>
      </w:r>
      <w:hyperlink r:id="rId70">
        <w:r>
          <w:rPr>
            <w:rStyle w:val="Hyperlink"/>
          </w:rPr>
          <w:t xml:space="preserve">[38]</w:t>
        </w:r>
      </w:hyperlink>
    </w:p>
    <w:p>
      <w:pPr>
        <w:pStyle w:val="Compact"/>
        <w:numPr>
          <w:ilvl w:val="0"/>
          <w:numId w:val="1008"/>
        </w:numPr>
      </w:pPr>
      <w:r>
        <w:t xml:space="preserve">Partnership work with entity["company","Mistral AI","french llm company"]-style model providers is not unique in the sector; banks are increasingly pursuing “secure, self-hosted” or controlled-model strategies to manage confidentiality and regulatory risk (HSBC’s partnership model is illustrative).</w:t>
      </w:r>
      <w:r>
        <w:t xml:space="preserve"> </w:t>
      </w:r>
      <w:hyperlink r:id="rId71">
        <w:r>
          <w:rPr>
            <w:rStyle w:val="Hyperlink"/>
          </w:rPr>
          <w:t xml:space="preserve">[39]</w:t>
        </w:r>
      </w:hyperlink>
    </w:p>
    <w:bookmarkEnd w:id="72"/>
    <w:bookmarkStart w:id="74" w:name="X739d149c60cb54ed1f093f9f288b1a1b2fd165f"/>
    <w:p>
      <w:pPr>
        <w:pStyle w:val="Heading4"/>
      </w:pPr>
      <w:r>
        <w:t xml:space="preserve">Bank of America (AI at scale with explicit “work equivalent” framing)</w:t>
      </w:r>
    </w:p>
    <w:p>
      <w:pPr>
        <w:pStyle w:val="Compact"/>
        <w:numPr>
          <w:ilvl w:val="0"/>
          <w:numId w:val="1009"/>
        </w:numPr>
      </w:pPr>
      <w:r>
        <w:t xml:space="preserve">Reuters reported that “Erica” has handled billions of client interactions and performs functions that would require ~11,000 employees—one of the strongest public statements connecting AI to labor substitution in banking.</w:t>
      </w:r>
      <w:r>
        <w:t xml:space="preserve"> </w:t>
      </w:r>
      <w:hyperlink r:id="rId25">
        <w:r>
          <w:rPr>
            <w:rStyle w:val="Hyperlink"/>
          </w:rPr>
          <w:t xml:space="preserve">[40]</w:t>
        </w:r>
      </w:hyperlink>
    </w:p>
    <w:p>
      <w:pPr>
        <w:pStyle w:val="Compact"/>
        <w:numPr>
          <w:ilvl w:val="0"/>
          <w:numId w:val="1009"/>
        </w:numPr>
      </w:pPr>
      <w:r>
        <w:t xml:space="preserve">Bank of America also described large internal adoption (“Erica for Employees” used by &gt;90% of employees) and concrete service desk deflection.</w:t>
      </w:r>
      <w:r>
        <w:t xml:space="preserve"> </w:t>
      </w:r>
      <w:hyperlink r:id="rId73">
        <w:r>
          <w:rPr>
            <w:rStyle w:val="Hyperlink"/>
          </w:rPr>
          <w:t xml:space="preserve">[41]</w:t>
        </w:r>
      </w:hyperlink>
    </w:p>
    <w:bookmarkEnd w:id="74"/>
    <w:bookmarkStart w:id="76" w:name="X582ca1eee48ec5bf3e841c920d5f8f9edd80737"/>
    <w:p>
      <w:pPr>
        <w:pStyle w:val="Heading4"/>
      </w:pPr>
      <w:r>
        <w:t xml:space="preserve">Morgan Stanley (wealth-management AI differentiation)</w:t>
      </w:r>
    </w:p>
    <w:p>
      <w:pPr>
        <w:pStyle w:val="Compact"/>
        <w:numPr>
          <w:ilvl w:val="0"/>
          <w:numId w:val="1010"/>
        </w:numPr>
      </w:pPr>
      <w:r>
        <w:t xml:space="preserve">Public partnership with OpenAI and deployment of generative AI assistants in wealth management are positioned as advisor productivity and client service differentiators rather than pure cost cutting.</w:t>
      </w:r>
      <w:r>
        <w:t xml:space="preserve"> </w:t>
      </w:r>
      <w:hyperlink r:id="rId75">
        <w:r>
          <w:rPr>
            <w:rStyle w:val="Hyperlink"/>
          </w:rPr>
          <w:t xml:space="preserve">[42]</w:t>
        </w:r>
      </w:hyperlink>
    </w:p>
    <w:bookmarkEnd w:id="76"/>
    <w:bookmarkStart w:id="79" w:name="X4448724505e8462efd47463a4b8f6eb91317c55"/>
    <w:p>
      <w:pPr>
        <w:pStyle w:val="Heading4"/>
      </w:pPr>
      <w:r>
        <w:t xml:space="preserve">Citigroup (delayering + AI capacity creation + headcount reduction plan)</w:t>
      </w:r>
    </w:p>
    <w:p>
      <w:pPr>
        <w:pStyle w:val="Compact"/>
        <w:numPr>
          <w:ilvl w:val="0"/>
          <w:numId w:val="1011"/>
        </w:numPr>
      </w:pPr>
      <w:r>
        <w:t xml:space="preserve">Citi’s organizational simplification and delayering (13 → 8) is a major recent precedent for large-bank structural change.</w:t>
      </w:r>
      <w:r>
        <w:t xml:space="preserve"> </w:t>
      </w:r>
      <w:hyperlink r:id="rId37">
        <w:r>
          <w:rPr>
            <w:rStyle w:val="Hyperlink"/>
          </w:rPr>
          <w:t xml:space="preserve">[20]</w:t>
        </w:r>
      </w:hyperlink>
    </w:p>
    <w:p>
      <w:pPr>
        <w:pStyle w:val="Compact"/>
        <w:numPr>
          <w:ilvl w:val="0"/>
          <w:numId w:val="1011"/>
        </w:numPr>
      </w:pPr>
      <w:r>
        <w:t xml:space="preserve">Citi publicly rolled out internal AI tools and later reported freeing ~100,000 developer hours per week—an unusually explicit productivity disclosure.</w:t>
      </w:r>
      <w:r>
        <w:t xml:space="preserve"> </w:t>
      </w:r>
      <w:hyperlink r:id="rId77">
        <w:r>
          <w:rPr>
            <w:rStyle w:val="Hyperlink"/>
          </w:rPr>
          <w:t xml:space="preserve">[43]</w:t>
        </w:r>
      </w:hyperlink>
    </w:p>
    <w:p>
      <w:pPr>
        <w:pStyle w:val="Compact"/>
        <w:numPr>
          <w:ilvl w:val="0"/>
          <w:numId w:val="1011"/>
        </w:numPr>
      </w:pPr>
      <w:r>
        <w:t xml:space="preserve">The bank has also maintained a stated plan to reduce headcount materially as transformation progresses, with ongoing layoffs reported into 2026.</w:t>
      </w:r>
      <w:r>
        <w:t xml:space="preserve"> </w:t>
      </w:r>
      <w:hyperlink r:id="rId78">
        <w:r>
          <w:rPr>
            <w:rStyle w:val="Hyperlink"/>
          </w:rPr>
          <w:t xml:space="preserve">[44]</w:t>
        </w:r>
      </w:hyperlink>
    </w:p>
    <w:bookmarkEnd w:id="79"/>
    <w:bookmarkStart w:id="81" w:name="fintech-benchmark-klarna-and-revolut"/>
    <w:p>
      <w:pPr>
        <w:pStyle w:val="Heading4"/>
      </w:pPr>
      <w:r>
        <w:t xml:space="preserve">Fintech benchmark (Klarna and Revolut)</w:t>
      </w:r>
    </w:p>
    <w:p>
      <w:pPr>
        <w:pStyle w:val="Compact"/>
        <w:numPr>
          <w:ilvl w:val="0"/>
          <w:numId w:val="1012"/>
        </w:numPr>
      </w:pPr>
      <w:r>
        <w:t xml:space="preserve">Klarna provided unusually concrete public claims: its AI assistant handled a major share of chats, was estimated to deliver ~$40M profit improvement in 2024, and was linked to shrinking headcount largely through attrition; Reuters later described further headcount shrinkage and explicit “to 2,000 over time” ambition.</w:t>
      </w:r>
      <w:r>
        <w:t xml:space="preserve"> </w:t>
      </w:r>
      <w:hyperlink r:id="rId24">
        <w:r>
          <w:rPr>
            <w:rStyle w:val="Hyperlink"/>
          </w:rPr>
          <w:t xml:space="preserve">[4]</w:t>
        </w:r>
      </w:hyperlink>
    </w:p>
    <w:p>
      <w:pPr>
        <w:pStyle w:val="Compact"/>
        <w:numPr>
          <w:ilvl w:val="0"/>
          <w:numId w:val="1012"/>
        </w:numPr>
      </w:pPr>
      <w:r>
        <w:t xml:space="preserve">Revolut’s published reporting shows rapid scaling of headcount (over ~10k employees by end-2024) reflecting that fintech “lean” is not always “small headcount,” but rather different revenue-per-employee dynamics and tech/product orientation.</w:t>
      </w:r>
      <w:r>
        <w:t xml:space="preserve"> </w:t>
      </w:r>
      <w:hyperlink r:id="rId80">
        <w:r>
          <w:rPr>
            <w:rStyle w:val="Hyperlink"/>
          </w:rPr>
          <w:t xml:space="preserve">[45]</w:t>
        </w:r>
      </w:hyperlink>
    </w:p>
    <w:p>
      <w:r>
        <w:pict>
          <v:rect style="width:0;height:1.5pt" o:hralign="center" o:hrstd="t" o:hr="t"/>
        </w:pict>
      </w:r>
    </w:p>
    <w:bookmarkEnd w:id="81"/>
    <w:bookmarkEnd w:id="82"/>
    <w:bookmarkStart w:id="85" w:name="hr-technology-architecture-and-roadmap"/>
    <w:p>
      <w:pPr>
        <w:pStyle w:val="Heading3"/>
      </w:pPr>
      <w:r>
        <w:t xml:space="preserve">HR technology architecture and roadmap</w:t>
      </w:r>
    </w:p>
    <w:p>
      <w:pPr>
        <w:pStyle w:val="FirstParagraph"/>
      </w:pPr>
      <w:r>
        <w:t xml:space="preserve">This roadmap is designed to align tightly with the COO’s enterprise AI platform strategy (see COO framework: “Enterprise AI Architecture &amp; Technology Strategy”).</w:t>
      </w:r>
    </w:p>
    <w:bookmarkStart w:id="83" w:name="X6b2a3606cf5a710850c12d412d2eb40ff242d0e"/>
    <w:p>
      <w:pPr>
        <w:pStyle w:val="Heading4"/>
      </w:pPr>
      <w:r>
        <w:t xml:space="preserve">Target-state HR AI architecture (conceptual layers)</w:t>
      </w:r>
    </w:p>
    <w:p>
      <w:pPr>
        <w:pStyle w:val="FirstParagraph"/>
      </w:pPr>
      <w:r>
        <w:t xml:space="preserve">1)</w:t>
      </w:r>
      <w:r>
        <w:t xml:space="preserve"> </w:t>
      </w:r>
      <w:r>
        <w:rPr>
          <w:b/>
          <w:bCs/>
        </w:rPr>
        <w:t xml:space="preserve">Experience layer</w:t>
      </w:r>
      <w:r>
        <w:t xml:space="preserve">: Employee portal + HR virtual assistant (policy search, case status, guided workflows)</w:t>
      </w:r>
      <w:r>
        <w:br/>
      </w:r>
      <w:r>
        <w:t xml:space="preserve">2)</w:t>
      </w:r>
      <w:r>
        <w:t xml:space="preserve"> </w:t>
      </w:r>
      <w:r>
        <w:rPr>
          <w:b/>
          <w:bCs/>
        </w:rPr>
        <w:t xml:space="preserve">Workflow layer</w:t>
      </w:r>
      <w:r>
        <w:t xml:space="preserve">: HR case management + orchestrated processes (joiner/mover/leaver; accommodations; benefits events)</w:t>
      </w:r>
      <w:r>
        <w:br/>
      </w:r>
      <w:r>
        <w:t xml:space="preserve">3)</w:t>
      </w:r>
      <w:r>
        <w:t xml:space="preserve"> </w:t>
      </w:r>
      <w:r>
        <w:rPr>
          <w:b/>
          <w:bCs/>
        </w:rPr>
        <w:t xml:space="preserve">Decision-support layer</w:t>
      </w:r>
      <w:r>
        <w:t xml:space="preserve">: workforce planning, skills inference, internal mobility matching, analytics copilots</w:t>
      </w:r>
      <w:r>
        <w:br/>
      </w:r>
      <w:r>
        <w:t xml:space="preserve">4)</w:t>
      </w:r>
      <w:r>
        <w:t xml:space="preserve"> </w:t>
      </w:r>
      <w:r>
        <w:rPr>
          <w:b/>
          <w:bCs/>
        </w:rPr>
        <w:t xml:space="preserve">Data layer</w:t>
      </w:r>
      <w:r>
        <w:t xml:space="preserve">: people data lakehouse + skills graph + consent/retention controls</w:t>
      </w:r>
      <w:r>
        <w:br/>
      </w:r>
      <w:r>
        <w:t xml:space="preserve">5)</w:t>
      </w:r>
      <w:r>
        <w:t xml:space="preserve"> </w:t>
      </w:r>
      <w:r>
        <w:rPr>
          <w:b/>
          <w:bCs/>
        </w:rPr>
        <w:t xml:space="preserve">AI control layer</w:t>
      </w:r>
      <w:r>
        <w:t xml:space="preserve">: bias testing pipelines, monitoring, model inventory, audit logs, human override enforcement</w:t>
      </w:r>
    </w:p>
    <w:p>
      <w:pPr>
        <w:pStyle w:val="BodyText"/>
      </w:pPr>
      <w:r>
        <w:t xml:space="preserve">Gartner’s HR tech work highlights the rise of HR virtual assistants and AI-enabled skills management—and warns that responsible AI frameworks in HR tech are increasingly required to sustain trust.</w:t>
      </w:r>
      <w:r>
        <w:t xml:space="preserve"> </w:t>
      </w:r>
      <w:hyperlink r:id="rId42">
        <w:r>
          <w:rPr>
            <w:rStyle w:val="Hyperlink"/>
          </w:rPr>
          <w:t xml:space="preserve">[23]</w:t>
        </w:r>
      </w:hyperlink>
    </w:p>
    <w:bookmarkEnd w:id="83"/>
    <w:bookmarkStart w:id="84" w:name="X9cd27d8d17883cfced2c2e3b09d0c2d4e871344"/>
    <w:p>
      <w:pPr>
        <w:pStyle w:val="Heading4"/>
      </w:pPr>
      <w:r>
        <w:t xml:space="preserve">Build vs buy vs partner (decision framework)</w:t>
      </w:r>
    </w:p>
    <w:p>
      <w:pPr>
        <w:pStyle w:val="Compact"/>
        <w:numPr>
          <w:ilvl w:val="0"/>
          <w:numId w:val="1013"/>
        </w:numPr>
      </w:pPr>
      <w:r>
        <w:rPr>
          <w:b/>
          <w:bCs/>
        </w:rPr>
        <w:t xml:space="preserve">Buy</w:t>
      </w:r>
      <w:r>
        <w:t xml:space="preserve">: commodity workflows (case management), core HR transactions, standard talent marketplace capabilities</w:t>
      </w:r>
    </w:p>
    <w:p>
      <w:pPr>
        <w:pStyle w:val="Compact"/>
        <w:numPr>
          <w:ilvl w:val="0"/>
          <w:numId w:val="1013"/>
        </w:numPr>
      </w:pPr>
      <w:r>
        <w:rPr>
          <w:b/>
          <w:bCs/>
        </w:rPr>
        <w:t xml:space="preserve">Build</w:t>
      </w:r>
      <w:r>
        <w:t xml:space="preserve">: bank-specific skills ontology, workforce planning scenario engine integrated with Finance, bank-specific governance controls</w:t>
      </w:r>
    </w:p>
    <w:p>
      <w:pPr>
        <w:pStyle w:val="Compact"/>
        <w:numPr>
          <w:ilvl w:val="0"/>
          <w:numId w:val="1013"/>
        </w:numPr>
      </w:pPr>
      <w:r>
        <w:rPr>
          <w:b/>
          <w:bCs/>
        </w:rPr>
        <w:t xml:space="preserve">Partner</w:t>
      </w:r>
      <w:r>
        <w:t xml:space="preserve">: model hosting (secure LLM), bias audit services, specialized AI testing vendors</w:t>
      </w:r>
    </w:p>
    <w:p>
      <w:r>
        <w:pict>
          <v:rect style="width:0;height:1.5pt" o:hralign="center" o:hrstd="t" o:hr="t"/>
        </w:pict>
      </w:r>
    </w:p>
    <w:bookmarkEnd w:id="84"/>
    <w:bookmarkEnd w:id="85"/>
    <w:bookmarkStart w:id="89" w:name="Xedaab7f2b6fa425a4149f9e457af7da4b90d48a"/>
    <w:p>
      <w:pPr>
        <w:pStyle w:val="Heading3"/>
      </w:pPr>
      <w:r>
        <w:t xml:space="preserve">Governance, ethics and risk framework for HR AI</w:t>
      </w:r>
    </w:p>
    <w:bookmarkStart w:id="86" w:name="governance-model-recommended"/>
    <w:p>
      <w:pPr>
        <w:pStyle w:val="Heading4"/>
      </w:pPr>
      <w:r>
        <w:t xml:space="preserve">Governance model (recommended)</w:t>
      </w:r>
    </w:p>
    <w:p>
      <w:pPr>
        <w:pStyle w:val="Compact"/>
        <w:numPr>
          <w:ilvl w:val="0"/>
          <w:numId w:val="1014"/>
        </w:numPr>
      </w:pPr>
      <w:r>
        <w:rPr>
          <w:b/>
          <w:bCs/>
        </w:rPr>
        <w:t xml:space="preserve">HR AI Steering Committee</w:t>
      </w:r>
      <w:r>
        <w:t xml:space="preserve"> </w:t>
      </w:r>
      <w:r>
        <w:t xml:space="preserve">(CHRO-led; CRO/CIO/COO/CLO participation)</w:t>
      </w:r>
    </w:p>
    <w:p>
      <w:pPr>
        <w:pStyle w:val="Compact"/>
        <w:numPr>
          <w:ilvl w:val="0"/>
          <w:numId w:val="1014"/>
        </w:numPr>
      </w:pPr>
      <w:r>
        <w:rPr>
          <w:b/>
          <w:bCs/>
        </w:rPr>
        <w:t xml:space="preserve">HR Model Risk “gate”</w:t>
      </w:r>
      <w:r>
        <w:t xml:space="preserve">: SR 11-7-aligned review for any model that materially influences employment outcomes.</w:t>
      </w:r>
      <w:r>
        <w:t xml:space="preserve"> </w:t>
      </w:r>
      <w:hyperlink r:id="rId35">
        <w:r>
          <w:rPr>
            <w:rStyle w:val="Hyperlink"/>
          </w:rPr>
          <w:t xml:space="preserve">[18]</w:t>
        </w:r>
      </w:hyperlink>
    </w:p>
    <w:p>
      <w:pPr>
        <w:pStyle w:val="Compact"/>
        <w:numPr>
          <w:ilvl w:val="0"/>
          <w:numId w:val="1014"/>
        </w:numPr>
      </w:pPr>
      <w:r>
        <w:rPr>
          <w:b/>
          <w:bCs/>
        </w:rPr>
        <w:t xml:space="preserve">Three lines of defense</w:t>
      </w:r>
      <w:r>
        <w:t xml:space="preserve">:</w:t>
      </w:r>
    </w:p>
    <w:p>
      <w:pPr>
        <w:pStyle w:val="Compact"/>
        <w:numPr>
          <w:ilvl w:val="0"/>
          <w:numId w:val="1014"/>
        </w:numPr>
      </w:pPr>
      <w:r>
        <w:t xml:space="preserve">Line 1: HR product owners + HR ops</w:t>
      </w:r>
    </w:p>
    <w:p>
      <w:pPr>
        <w:pStyle w:val="Compact"/>
        <w:numPr>
          <w:ilvl w:val="0"/>
          <w:numId w:val="1014"/>
        </w:numPr>
      </w:pPr>
      <w:r>
        <w:t xml:space="preserve">Line 2: Compliance, model risk, privacy</w:t>
      </w:r>
    </w:p>
    <w:p>
      <w:pPr>
        <w:pStyle w:val="Compact"/>
        <w:numPr>
          <w:ilvl w:val="0"/>
          <w:numId w:val="1014"/>
        </w:numPr>
      </w:pPr>
      <w:r>
        <w:t xml:space="preserve">Line 3: Internal audit</w:t>
      </w:r>
    </w:p>
    <w:bookmarkEnd w:id="86"/>
    <w:bookmarkStart w:id="88" w:name="employment-ai-compliance-map-high-level"/>
    <w:p>
      <w:pPr>
        <w:pStyle w:val="Heading4"/>
      </w:pPr>
      <w:r>
        <w:t xml:space="preserve">Employment AI compliance map (high-level)</w:t>
      </w:r>
    </w:p>
    <w:p>
      <w:pPr>
        <w:pStyle w:val="Compact"/>
        <w:numPr>
          <w:ilvl w:val="0"/>
          <w:numId w:val="1015"/>
        </w:numPr>
      </w:pPr>
      <w:r>
        <w:t xml:space="preserve">EEOC: adverse impact + discrimination risk stance in selection and employment tools.</w:t>
      </w:r>
      <w:r>
        <w:t xml:space="preserve"> </w:t>
      </w:r>
      <w:hyperlink r:id="rId29">
        <w:r>
          <w:rPr>
            <w:rStyle w:val="Hyperlink"/>
          </w:rPr>
          <w:t xml:space="preserve">[46]</w:t>
        </w:r>
      </w:hyperlink>
    </w:p>
    <w:p>
      <w:pPr>
        <w:pStyle w:val="Compact"/>
        <w:numPr>
          <w:ilvl w:val="0"/>
          <w:numId w:val="1015"/>
        </w:numPr>
      </w:pPr>
      <w:r>
        <w:t xml:space="preserve">NYC Local Law 144: bias audit + notice for AEDTs.</w:t>
      </w:r>
      <w:r>
        <w:t xml:space="preserve"> </w:t>
      </w:r>
      <w:hyperlink r:id="rId46">
        <w:r>
          <w:rPr>
            <w:rStyle w:val="Hyperlink"/>
          </w:rPr>
          <w:t xml:space="preserve">[25]</w:t>
        </w:r>
      </w:hyperlink>
    </w:p>
    <w:p>
      <w:pPr>
        <w:pStyle w:val="Compact"/>
        <w:numPr>
          <w:ilvl w:val="0"/>
          <w:numId w:val="1015"/>
        </w:numPr>
      </w:pPr>
      <w:r>
        <w:t xml:space="preserve">CFPB circular on employment-related dossiers/scores: potential FCRA implications.</w:t>
      </w:r>
      <w:r>
        <w:t xml:space="preserve"> </w:t>
      </w:r>
      <w:hyperlink r:id="rId34">
        <w:r>
          <w:rPr>
            <w:rStyle w:val="Hyperlink"/>
          </w:rPr>
          <w:t xml:space="preserve">[17]</w:t>
        </w:r>
      </w:hyperlink>
    </w:p>
    <w:p>
      <w:pPr>
        <w:pStyle w:val="Compact"/>
        <w:numPr>
          <w:ilvl w:val="0"/>
          <w:numId w:val="1015"/>
        </w:numPr>
      </w:pPr>
      <w:r>
        <w:t xml:space="preserve">EU AI Act: high-risk obligations for certain HR systems for banks with EU operations; exact applicability must be scoped by entity and use case timing.</w:t>
      </w:r>
      <w:r>
        <w:t xml:space="preserve"> </w:t>
      </w:r>
      <w:hyperlink r:id="rId87">
        <w:r>
          <w:rPr>
            <w:rStyle w:val="Hyperlink"/>
          </w:rPr>
          <w:t xml:space="preserve">[47]</w:t>
        </w:r>
      </w:hyperlink>
    </w:p>
    <w:p>
      <w:r>
        <w:pict>
          <v:rect style="width:0;height:1.5pt" o:hralign="center" o:hrstd="t" o:hr="t"/>
        </w:pict>
      </w:r>
    </w:p>
    <w:bookmarkEnd w:id="88"/>
    <w:bookmarkEnd w:id="89"/>
    <w:bookmarkStart w:id="90" w:name="operating-model-evolution-for-hr"/>
    <w:p>
      <w:pPr>
        <w:pStyle w:val="Heading3"/>
      </w:pPr>
      <w:r>
        <w:t xml:space="preserve">Operating model evolution for HR</w:t>
      </w:r>
    </w:p>
    <w:p>
      <w:pPr>
        <w:pStyle w:val="FirstParagraph"/>
      </w:pPr>
      <w:r>
        <w:rPr>
          <w:b/>
          <w:bCs/>
        </w:rPr>
        <w:t xml:space="preserve">End state:</w:t>
      </w:r>
      <w:r>
        <w:t xml:space="preserve"> </w:t>
      </w:r>
      <w:r>
        <w:t xml:space="preserve">HR becomes a</w:t>
      </w:r>
      <w:r>
        <w:t xml:space="preserve"> </w:t>
      </w:r>
      <w:r>
        <w:rPr>
          <w:b/>
          <w:bCs/>
        </w:rPr>
        <w:t xml:space="preserve">smaller, more technical organization</w:t>
      </w:r>
      <w:r>
        <w:t xml:space="preserve"> </w:t>
      </w:r>
      <w:r>
        <w:t xml:space="preserve">with a product operating model, while the CHRO becomes the</w:t>
      </w:r>
      <w:r>
        <w:t xml:space="preserve"> </w:t>
      </w:r>
      <w:r>
        <w:rPr>
          <w:b/>
          <w:bCs/>
        </w:rPr>
        <w:t xml:space="preserve">enterprise workforce transformation leader</w:t>
      </w:r>
      <w:r>
        <w:t xml:space="preserve">.</w:t>
      </w:r>
    </w:p>
    <w:p>
      <w:pPr>
        <w:pStyle w:val="BodyText"/>
      </w:pPr>
      <w:r>
        <w:t xml:space="preserve">Core shifts:</w:t>
      </w:r>
    </w:p>
    <w:p>
      <w:pPr>
        <w:pStyle w:val="Compact"/>
        <w:numPr>
          <w:ilvl w:val="0"/>
          <w:numId w:val="1016"/>
        </w:numPr>
      </w:pPr>
      <w:r>
        <w:t xml:space="preserve">COEs become “product teams” with clear value metrics (cycle time, quality, compliance)</w:t>
      </w:r>
    </w:p>
    <w:p>
      <w:pPr>
        <w:pStyle w:val="Compact"/>
        <w:numPr>
          <w:ilvl w:val="0"/>
          <w:numId w:val="1016"/>
        </w:numPr>
      </w:pPr>
      <w:r>
        <w:t xml:space="preserve">HR ops becomes “exception management” (humans handle exceptions; AI handles the median case)</w:t>
      </w:r>
    </w:p>
    <w:p>
      <w:pPr>
        <w:pStyle w:val="Compact"/>
        <w:numPr>
          <w:ilvl w:val="0"/>
          <w:numId w:val="1016"/>
        </w:numPr>
      </w:pPr>
      <w:r>
        <w:t xml:space="preserve">HRBPs shrink in number but increase in leverage (supported by analytics and standardized playbooks)</w:t>
      </w:r>
    </w:p>
    <w:p>
      <w:r>
        <w:pict>
          <v:rect style="width:0;height:1.5pt" o:hralign="center" o:hrstd="t" o:hr="t"/>
        </w:pict>
      </w:r>
    </w:p>
    <w:bookmarkEnd w:id="90"/>
    <w:bookmarkStart w:id="93" w:name="business-case-and-roi-model"/>
    <w:p>
      <w:pPr>
        <w:pStyle w:val="Heading3"/>
      </w:pPr>
      <w:r>
        <w:t xml:space="preserve">Business case and ROI model</w:t>
      </w:r>
    </w:p>
    <w:p>
      <w:pPr>
        <w:pStyle w:val="FirstParagraph"/>
      </w:pPr>
      <w:r>
        <w:t xml:space="preserve">Because bank-specific fully loaded costs and functional baselines are not public, this section provides a finance-ready modeling structure rather than definitive numbers. The CFO/FP&amp;A function should populate internal costs in Phase 1.</w:t>
      </w:r>
    </w:p>
    <w:bookmarkStart w:id="91" w:name="benefit-categories"/>
    <w:p>
      <w:pPr>
        <w:pStyle w:val="Heading4"/>
      </w:pPr>
      <w:r>
        <w:t xml:space="preserve">Benefit categories</w:t>
      </w:r>
    </w:p>
    <w:p>
      <w:pPr>
        <w:pStyle w:val="FirstParagraph"/>
      </w:pPr>
      <w:r>
        <w:t xml:space="preserve">1)</w:t>
      </w:r>
      <w:r>
        <w:t xml:space="preserve"> </w:t>
      </w:r>
      <w:r>
        <w:rPr>
          <w:b/>
          <w:bCs/>
        </w:rPr>
        <w:t xml:space="preserve">HR run-cost reduction</w:t>
      </w:r>
      <w:r>
        <w:t xml:space="preserve">: 25–40% HR FTE reduction by Year 5 (mostly HR ops)</w:t>
      </w:r>
      <w:r>
        <w:br/>
      </w:r>
      <w:r>
        <w:t xml:space="preserve">2)</w:t>
      </w:r>
      <w:r>
        <w:t xml:space="preserve"> </w:t>
      </w:r>
      <w:r>
        <w:rPr>
          <w:b/>
          <w:bCs/>
        </w:rPr>
        <w:t xml:space="preserve">Enterprise workforce optimization</w:t>
      </w:r>
      <w:r>
        <w:t xml:space="preserve">: avoid backfilling attrition; targeted reductions in operations and support</w:t>
      </w:r>
      <w:r>
        <w:br/>
      </w:r>
      <w:r>
        <w:t xml:space="preserve">3)</w:t>
      </w:r>
      <w:r>
        <w:t xml:space="preserve"> </w:t>
      </w:r>
      <w:r>
        <w:rPr>
          <w:b/>
          <w:bCs/>
        </w:rPr>
        <w:t xml:space="preserve">Quality/compliance</w:t>
      </w:r>
      <w:r>
        <w:t xml:space="preserve">: fewer errors, improved auditability, reduced rework</w:t>
      </w:r>
      <w:r>
        <w:br/>
      </w:r>
      <w:r>
        <w:t xml:space="preserve">4)</w:t>
      </w:r>
      <w:r>
        <w:t xml:space="preserve"> </w:t>
      </w:r>
      <w:r>
        <w:rPr>
          <w:b/>
          <w:bCs/>
        </w:rPr>
        <w:t xml:space="preserve">Revenue enablement</w:t>
      </w:r>
      <w:r>
        <w:t xml:space="preserve">: faster hiring for scarce roles; improved retention in critical talent segments</w:t>
      </w:r>
    </w:p>
    <w:bookmarkEnd w:id="91"/>
    <w:bookmarkStart w:id="92" w:name="sensitivity-drivers-what-moves-roi"/>
    <w:p>
      <w:pPr>
        <w:pStyle w:val="Heading4"/>
      </w:pPr>
      <w:r>
        <w:t xml:space="preserve">Sensitivity drivers (what moves ROI)</w:t>
      </w:r>
    </w:p>
    <w:p>
      <w:pPr>
        <w:pStyle w:val="Compact"/>
        <w:numPr>
          <w:ilvl w:val="0"/>
          <w:numId w:val="1017"/>
        </w:numPr>
      </w:pPr>
      <w:r>
        <w:t xml:space="preserve">Speed of workflow redesign vs “tool-only” adoption (high impact)</w:t>
      </w:r>
      <w:r>
        <w:t xml:space="preserve"> </w:t>
      </w:r>
      <w:hyperlink r:id="rId27">
        <w:r>
          <w:rPr>
            <w:rStyle w:val="Hyperlink"/>
          </w:rPr>
          <w:t xml:space="preserve">[48]</w:t>
        </w:r>
      </w:hyperlink>
    </w:p>
    <w:p>
      <w:pPr>
        <w:pStyle w:val="Compact"/>
        <w:numPr>
          <w:ilvl w:val="0"/>
          <w:numId w:val="1017"/>
        </w:numPr>
      </w:pPr>
      <w:r>
        <w:t xml:space="preserve">Regulatory tightening (state AI laws; EU AI Act timing; HR selection scrutiny)</w:t>
      </w:r>
      <w:r>
        <w:t xml:space="preserve"> </w:t>
      </w:r>
      <w:hyperlink r:id="rId48">
        <w:r>
          <w:rPr>
            <w:rStyle w:val="Hyperlink"/>
          </w:rPr>
          <w:t xml:space="preserve">[49]</w:t>
        </w:r>
      </w:hyperlink>
    </w:p>
    <w:p>
      <w:pPr>
        <w:pStyle w:val="Compact"/>
        <w:numPr>
          <w:ilvl w:val="0"/>
          <w:numId w:val="1017"/>
        </w:numPr>
      </w:pPr>
      <w:r>
        <w:t xml:space="preserve">Reputational backlash vs responsible transition posture (moderate/high impact)</w:t>
      </w:r>
      <w:r>
        <w:t xml:space="preserve"> </w:t>
      </w:r>
      <w:hyperlink r:id="rId36">
        <w:r>
          <w:rPr>
            <w:rStyle w:val="Hyperlink"/>
          </w:rPr>
          <w:t xml:space="preserve">[19]</w:t>
        </w:r>
      </w:hyperlink>
    </w:p>
    <w:p>
      <w:r>
        <w:pict>
          <v:rect style="width:0;height:1.5pt" o:hralign="center" o:hrstd="t" o:hr="t"/>
        </w:pict>
      </w:r>
    </w:p>
    <w:bookmarkEnd w:id="92"/>
    <w:bookmarkEnd w:id="93"/>
    <w:bookmarkStart w:id="95" w:name="implementation-roadmap-and-governance"/>
    <w:p>
      <w:pPr>
        <w:pStyle w:val="Heading3"/>
      </w:pPr>
      <w:r>
        <w:t xml:space="preserve">Implementation roadmap and governance</w:t>
      </w:r>
    </w:p>
    <w:bookmarkStart w:id="94" w:name="phase-sequencing"/>
    <w:p>
      <w:pPr>
        <w:pStyle w:val="Heading4"/>
      </w:pPr>
      <w:r>
        <w:t xml:space="preserve">Phase sequencing</w:t>
      </w:r>
    </w:p>
    <w:p>
      <w:pPr>
        <w:pStyle w:val="FirstParagraph"/>
      </w:pPr>
      <w:r>
        <w:rPr>
          <w:b/>
          <w:bCs/>
        </w:rPr>
        <w:t xml:space="preserve">Foundation (0–6 months)</w:t>
      </w:r>
      <w:r>
        <w:br/>
      </w:r>
      <w:r>
        <w:t xml:space="preserve">- Inventory HR AI use cases + vendors; establish HR AI governance + model inventory</w:t>
      </w:r>
      <w:r>
        <w:br/>
      </w:r>
      <w:r>
        <w:t xml:space="preserve">- Build skills taxonomy v1; launch internal talent marketplace pilot</w:t>
      </w:r>
      <w:r>
        <w:br/>
      </w:r>
      <w:r>
        <w:t xml:space="preserve">- Deploy HR knowledge assistant (curated policy search) for low-risk deflection</w:t>
      </w:r>
    </w:p>
    <w:p>
      <w:pPr>
        <w:pStyle w:val="BodyText"/>
      </w:pPr>
      <w:r>
        <w:rPr>
          <w:b/>
          <w:bCs/>
        </w:rPr>
        <w:t xml:space="preserve">Scale (6–18 months)</w:t>
      </w:r>
      <w:r>
        <w:br/>
      </w:r>
      <w:r>
        <w:t xml:space="preserve">- Automate top HR ops workflows end-to-end; reduce Tier 1 case volumes materially</w:t>
      </w:r>
      <w:r>
        <w:br/>
      </w:r>
      <w:r>
        <w:t xml:space="preserve">- Deploy workforce planning scenario engine integrated with Finance</w:t>
      </w:r>
      <w:r>
        <w:br/>
      </w:r>
      <w:r>
        <w:t xml:space="preserve">- Launch reskilling academies for targeted job families</w:t>
      </w:r>
    </w:p>
    <w:p>
      <w:pPr>
        <w:pStyle w:val="BodyText"/>
      </w:pPr>
      <w:r>
        <w:rPr>
          <w:b/>
          <w:bCs/>
        </w:rPr>
        <w:t xml:space="preserve">Transform (18–36 months)</w:t>
      </w:r>
      <w:r>
        <w:br/>
      </w:r>
      <w:r>
        <w:t xml:space="preserve">- Restructure HR org: shrink shared services; create HR product teams; consolidate COEs</w:t>
      </w:r>
      <w:r>
        <w:br/>
      </w:r>
      <w:r>
        <w:t xml:space="preserve">- Begin enterprise-wide redeployments and targeted reductions with legal/ethical guardrails</w:t>
      </w:r>
    </w:p>
    <w:p>
      <w:pPr>
        <w:pStyle w:val="BodyText"/>
      </w:pPr>
      <w:r>
        <w:rPr>
          <w:b/>
          <w:bCs/>
        </w:rPr>
        <w:t xml:space="preserve">Optimize (36–60 months)</w:t>
      </w:r>
      <w:r>
        <w:br/>
      </w:r>
      <w:r>
        <w:t xml:space="preserve">- Move to “human-on-the-loop” HR ops for many workflows; continuous monitoring</w:t>
      </w:r>
      <w:r>
        <w:br/>
      </w:r>
      <w:r>
        <w:t xml:space="preserve">- Embed workforce transformation into annual planning cycle as a standing capability</w:t>
      </w:r>
    </w:p>
    <w:p>
      <w:r>
        <w:pict>
          <v:rect style="width:0;height:1.5pt" o:hralign="center" o:hrstd="t" o:hr="t"/>
        </w:pict>
      </w:r>
    </w:p>
    <w:bookmarkEnd w:id="94"/>
    <w:bookmarkEnd w:id="95"/>
    <w:bookmarkStart w:id="98" w:name="X42975de0329d8affbb13962eb8962e2a4a75df5"/>
    <w:p>
      <w:pPr>
        <w:pStyle w:val="Heading3"/>
      </w:pPr>
      <w:r>
        <w:t xml:space="preserve">Appendices (condensed for board deliverable)</w:t>
      </w:r>
    </w:p>
    <w:bookmarkStart w:id="96" w:name="X12d9d0bfed5225f50b227e08ad3bb0d55a491c4"/>
    <w:p>
      <w:pPr>
        <w:pStyle w:val="Heading4"/>
      </w:pPr>
      <w:r>
        <w:t xml:space="preserve">HR regulatory checklist (high-impact items)</w:t>
      </w:r>
    </w:p>
    <w:p>
      <w:pPr>
        <w:pStyle w:val="Compact"/>
        <w:numPr>
          <w:ilvl w:val="0"/>
          <w:numId w:val="1018"/>
        </w:numPr>
      </w:pPr>
      <w:r>
        <w:t xml:space="preserve">Title VII adverse impact testing required for AI selection tools.</w:t>
      </w:r>
      <w:r>
        <w:t xml:space="preserve"> </w:t>
      </w:r>
      <w:hyperlink r:id="rId29">
        <w:r>
          <w:rPr>
            <w:rStyle w:val="Hyperlink"/>
          </w:rPr>
          <w:t xml:space="preserve">[24]</w:t>
        </w:r>
      </w:hyperlink>
    </w:p>
    <w:p>
      <w:pPr>
        <w:pStyle w:val="Compact"/>
        <w:numPr>
          <w:ilvl w:val="0"/>
          <w:numId w:val="1018"/>
        </w:numPr>
      </w:pPr>
      <w:r>
        <w:t xml:space="preserve">NYC AEDT bias audit + notice requirements if applicable.</w:t>
      </w:r>
      <w:r>
        <w:t xml:space="preserve"> </w:t>
      </w:r>
      <w:hyperlink r:id="rId46">
        <w:r>
          <w:rPr>
            <w:rStyle w:val="Hyperlink"/>
          </w:rPr>
          <w:t xml:space="preserve">[25]</w:t>
        </w:r>
      </w:hyperlink>
    </w:p>
    <w:p>
      <w:pPr>
        <w:pStyle w:val="Compact"/>
        <w:numPr>
          <w:ilvl w:val="0"/>
          <w:numId w:val="1018"/>
        </w:numPr>
      </w:pPr>
      <w:r>
        <w:t xml:space="preserve">WARN Act 60-day notice design constraint for large reductions.</w:t>
      </w:r>
      <w:r>
        <w:t xml:space="preserve"> </w:t>
      </w:r>
      <w:hyperlink r:id="rId63">
        <w:r>
          <w:rPr>
            <w:rStyle w:val="Hyperlink"/>
          </w:rPr>
          <w:t xml:space="preserve">[32]</w:t>
        </w:r>
      </w:hyperlink>
    </w:p>
    <w:p>
      <w:pPr>
        <w:pStyle w:val="Compact"/>
        <w:numPr>
          <w:ilvl w:val="0"/>
          <w:numId w:val="1018"/>
        </w:numPr>
      </w:pPr>
      <w:r>
        <w:t xml:space="preserve">OWBPA group termination disclosures and timing requirements.</w:t>
      </w:r>
      <w:r>
        <w:t xml:space="preserve"> </w:t>
      </w:r>
      <w:hyperlink r:id="rId64">
        <w:r>
          <w:rPr>
            <w:rStyle w:val="Hyperlink"/>
          </w:rPr>
          <w:t xml:space="preserve">[33]</w:t>
        </w:r>
      </w:hyperlink>
    </w:p>
    <w:p>
      <w:pPr>
        <w:pStyle w:val="Compact"/>
        <w:numPr>
          <w:ilvl w:val="0"/>
          <w:numId w:val="1018"/>
        </w:numPr>
      </w:pPr>
      <w:r>
        <w:t xml:space="preserve">CFPB: background dossiers/algorithmic scores may invoke FCRA obligations.</w:t>
      </w:r>
      <w:r>
        <w:t xml:space="preserve"> </w:t>
      </w:r>
      <w:hyperlink r:id="rId34">
        <w:r>
          <w:rPr>
            <w:rStyle w:val="Hyperlink"/>
          </w:rPr>
          <w:t xml:space="preserve">[17]</w:t>
        </w:r>
      </w:hyperlink>
    </w:p>
    <w:bookmarkEnd w:id="96"/>
    <w:bookmarkStart w:id="97" w:name="Xa975d7abe82ec87858bb039a0ddb5efe415cf9e"/>
    <w:p>
      <w:pPr>
        <w:pStyle w:val="Heading4"/>
      </w:pPr>
      <w:r>
        <w:t xml:space="preserve">“Do not automate” HR decisions (recommended red lines)</w:t>
      </w:r>
    </w:p>
    <w:p>
      <w:pPr>
        <w:pStyle w:val="Compact"/>
        <w:numPr>
          <w:ilvl w:val="0"/>
          <w:numId w:val="1019"/>
        </w:numPr>
      </w:pPr>
      <w:r>
        <w:t xml:space="preserve">Final termination decisions</w:t>
      </w:r>
    </w:p>
    <w:p>
      <w:pPr>
        <w:pStyle w:val="Compact"/>
        <w:numPr>
          <w:ilvl w:val="0"/>
          <w:numId w:val="1019"/>
        </w:numPr>
      </w:pPr>
      <w:r>
        <w:t xml:space="preserve">Final compensation outcomes (beyond decision support)</w:t>
      </w:r>
    </w:p>
    <w:p>
      <w:pPr>
        <w:pStyle w:val="Compact"/>
        <w:numPr>
          <w:ilvl w:val="0"/>
          <w:numId w:val="1019"/>
        </w:numPr>
      </w:pPr>
      <w:r>
        <w:t xml:space="preserve">Any hiring/promotion decision without documented human review and adverse impact testing</w:t>
      </w:r>
    </w:p>
    <w:p>
      <w:r>
        <w:pict>
          <v:rect style="width:0;height:1.5pt" o:hralign="center" o:hrstd="t" o:hr="t"/>
        </w:pict>
      </w:r>
    </w:p>
    <w:bookmarkEnd w:id="97"/>
    <w:bookmarkEnd w:id="98"/>
    <w:bookmarkEnd w:id="99"/>
    <w:bookmarkStart w:id="122" w:name="coo-ai-transformation-framework"/>
    <w:p>
      <w:pPr>
        <w:pStyle w:val="Heading2"/>
      </w:pPr>
      <w:r>
        <w:t xml:space="preserve">COO AI Transformation Framework</w:t>
      </w:r>
    </w:p>
    <w:bookmarkStart w:id="103" w:name="executive-summary-1"/>
    <w:p>
      <w:pPr>
        <w:pStyle w:val="Heading3"/>
      </w:pPr>
      <w:r>
        <w:t xml:space="preserve">Executive summary</w:t>
      </w:r>
    </w:p>
    <w:p>
      <w:pPr>
        <w:pStyle w:val="FirstParagraph"/>
      </w:pPr>
      <w:r>
        <w:t xml:space="preserve">The COO agenda is not “deploy genAI.” It is to re-architect bank operations into an AI-augmented, control-safe machine that can deliver structural efficiency ratio improvement while maintaining operational resilience and regulatory trust.</w:t>
      </w:r>
    </w:p>
    <w:p>
      <w:pPr>
        <w:pStyle w:val="BodyText"/>
      </w:pPr>
      <w:r>
        <w:t xml:space="preserve">Peers already provide concrete proof points:</w:t>
      </w:r>
    </w:p>
    <w:p>
      <w:pPr>
        <w:pStyle w:val="Compact"/>
        <w:numPr>
          <w:ilvl w:val="0"/>
          <w:numId w:val="1020"/>
        </w:numPr>
      </w:pPr>
      <w:r>
        <w:t xml:space="preserve">Bank of America described AI enabling bankers to cover many more clients by automating briefing preparation, and reported major engineering and testing efficiency gains; “Erica” was framed as doing work that would otherwise require ~11,000 employees.</w:t>
      </w:r>
      <w:r>
        <w:t xml:space="preserve"> </w:t>
      </w:r>
      <w:hyperlink r:id="rId25">
        <w:r>
          <w:rPr>
            <w:rStyle w:val="Hyperlink"/>
          </w:rPr>
          <w:t xml:space="preserve">[40]</w:t>
        </w:r>
      </w:hyperlink>
    </w:p>
    <w:p>
      <w:pPr>
        <w:pStyle w:val="Compact"/>
        <w:numPr>
          <w:ilvl w:val="0"/>
          <w:numId w:val="1020"/>
        </w:numPr>
      </w:pPr>
      <w:r>
        <w:t xml:space="preserve">Citigroup reported ~100,000 developer hours of weekly capacity created via AI-enabled code review and related tooling—an operational capacity signal, not a marketing one.</w:t>
      </w:r>
      <w:r>
        <w:t xml:space="preserve"> </w:t>
      </w:r>
      <w:hyperlink r:id="rId100">
        <w:r>
          <w:rPr>
            <w:rStyle w:val="Hyperlink"/>
          </w:rPr>
          <w:t xml:space="preserve">[50]</w:t>
        </w:r>
      </w:hyperlink>
    </w:p>
    <w:p>
      <w:pPr>
        <w:pStyle w:val="Compact"/>
        <w:numPr>
          <w:ilvl w:val="0"/>
          <w:numId w:val="1020"/>
        </w:numPr>
      </w:pPr>
      <w:r>
        <w:t xml:space="preserve">JPMorgan reported ~10–20% productivity improvement for software engineers via AI coding assistant tools—signaling that even tech organizations will not be staffed the same way in three years.</w:t>
      </w:r>
      <w:r>
        <w:t xml:space="preserve"> </w:t>
      </w:r>
      <w:hyperlink r:id="rId33">
        <w:r>
          <w:rPr>
            <w:rStyle w:val="Hyperlink"/>
          </w:rPr>
          <w:t xml:space="preserve">[15]</w:t>
        </w:r>
      </w:hyperlink>
    </w:p>
    <w:p>
      <w:pPr>
        <w:pStyle w:val="Compact"/>
        <w:numPr>
          <w:ilvl w:val="0"/>
          <w:numId w:val="1020"/>
        </w:numPr>
      </w:pPr>
      <w:r>
        <w:t xml:space="preserve">Wells Fargo has publicly signaled workforce reductions and framed AI as a capacity lever, with severance implications—evidence that AI is becoming embedded in cost programs, not separate from them.</w:t>
      </w:r>
      <w:r>
        <w:t xml:space="preserve"> </w:t>
      </w:r>
      <w:hyperlink r:id="rId23">
        <w:r>
          <w:rPr>
            <w:rStyle w:val="Hyperlink"/>
          </w:rPr>
          <w:t xml:space="preserve">[3]</w:t>
        </w:r>
      </w:hyperlink>
    </w:p>
    <w:p>
      <w:pPr>
        <w:pStyle w:val="FirstParagraph"/>
      </w:pPr>
      <w:r>
        <w:rPr>
          <w:b/>
          <w:bCs/>
        </w:rPr>
        <w:t xml:space="preserve">Strategic imperative</w:t>
      </w:r>
    </w:p>
    <w:p>
      <w:pPr>
        <w:pStyle w:val="BodyText"/>
      </w:pPr>
      <w:r>
        <w:t xml:space="preserve">Operations is where AI becomes real money. The largest controllable workforce blocks sit in operations processing, contact centers, compliance operations, finance operations, and technology operations. Large-bank leaders are already pointing to material productivity improvements in operations roles (40–50% in some cases) due to AI.</w:t>
      </w:r>
      <w:r>
        <w:t xml:space="preserve"> </w:t>
      </w:r>
      <w:hyperlink r:id="rId22">
        <w:r>
          <w:rPr>
            <w:rStyle w:val="Hyperlink"/>
          </w:rPr>
          <w:t xml:space="preserve">[2]</w:t>
        </w:r>
      </w:hyperlink>
    </w:p>
    <w:p>
      <w:pPr>
        <w:pStyle w:val="BodyText"/>
      </w:pPr>
      <w:r>
        <w:rPr>
          <w:b/>
          <w:bCs/>
        </w:rPr>
        <w:t xml:space="preserve">Headline operations organization impacts (planning view)</w:t>
      </w:r>
    </w:p>
    <w:p>
      <w:pPr>
        <w:pStyle w:val="BodyText"/>
      </w:pPr>
      <w:r>
        <w:t xml:space="preserve">A Wells Fargo–scale bank likely has tens of thousands of operations roles across servicing, middle/back office processing (for CIB), compliance operations, and technology operations. Over five years:</w:t>
      </w:r>
    </w:p>
    <w:p>
      <w:pPr>
        <w:pStyle w:val="Compact"/>
        <w:numPr>
          <w:ilvl w:val="0"/>
          <w:numId w:val="1021"/>
        </w:numPr>
      </w:pPr>
      <w:r>
        <w:t xml:space="preserve">High-volume processing domains can see</w:t>
      </w:r>
      <w:r>
        <w:t xml:space="preserve"> </w:t>
      </w:r>
      <w:r>
        <w:rPr>
          <w:b/>
          <w:bCs/>
        </w:rPr>
        <w:t xml:space="preserve">25–50% capacity release</w:t>
      </w:r>
      <w:r>
        <w:t xml:space="preserve"> </w:t>
      </w:r>
      <w:r>
        <w:t xml:space="preserve">if end-to-end automation is executed (not just RPA overlays).</w:t>
      </w:r>
    </w:p>
    <w:p>
      <w:pPr>
        <w:pStyle w:val="Compact"/>
        <w:numPr>
          <w:ilvl w:val="0"/>
          <w:numId w:val="1021"/>
        </w:numPr>
      </w:pPr>
      <w:r>
        <w:t xml:space="preserve">Contact center and servicing can see</w:t>
      </w:r>
      <w:r>
        <w:t xml:space="preserve"> </w:t>
      </w:r>
      <w:r>
        <w:rPr>
          <w:b/>
          <w:bCs/>
        </w:rPr>
        <w:t xml:space="preserve">15–35% reduction</w:t>
      </w:r>
      <w:r>
        <w:t xml:space="preserve"> </w:t>
      </w:r>
      <w:r>
        <w:t xml:space="preserve">in human-handled interactions through deflection + agent assist + straight-through resolution (with quality caveats; Klarna’s experience shows that cost-only optimization can degrade customer outcomes).</w:t>
      </w:r>
      <w:r>
        <w:t xml:space="preserve"> </w:t>
      </w:r>
      <w:hyperlink r:id="rId101">
        <w:r>
          <w:rPr>
            <w:rStyle w:val="Hyperlink"/>
          </w:rPr>
          <w:t xml:space="preserve">[51]</w:t>
        </w:r>
      </w:hyperlink>
    </w:p>
    <w:p>
      <w:pPr>
        <w:pStyle w:val="Compact"/>
        <w:numPr>
          <w:ilvl w:val="0"/>
          <w:numId w:val="1021"/>
        </w:numPr>
      </w:pPr>
      <w:r>
        <w:t xml:space="preserve">Control functions shift, not disappear: more monitoring and exception management, fewer manual reviewers.</w:t>
      </w:r>
    </w:p>
    <w:p>
      <w:pPr>
        <w:pStyle w:val="FirstParagraph"/>
      </w:pPr>
      <w:r>
        <w:rPr>
          <w:b/>
          <w:bCs/>
        </w:rPr>
        <w:t xml:space="preserve">Board-level decision points</w:t>
      </w:r>
    </w:p>
    <w:p>
      <w:pPr>
        <w:pStyle w:val="BodyText"/>
      </w:pPr>
      <w:r>
        <w:t xml:space="preserve">1) Will the bank explicitly pursue “zero-based operations” redesign (rebuild processes as if starting today)?</w:t>
      </w:r>
      <w:r>
        <w:br/>
      </w:r>
      <w:r>
        <w:t xml:space="preserve">2) What is the target degree of autonomy by process class (human-in-the-loop vs human-on-the-loop vs automation-with-audit)?</w:t>
      </w:r>
      <w:r>
        <w:br/>
      </w:r>
      <w:r>
        <w:t xml:space="preserve">3) What vendor concentration risk is acceptable for AI platform dependencies (third-party risk guidance is explicit).</w:t>
      </w:r>
      <w:r>
        <w:t xml:space="preserve"> </w:t>
      </w:r>
      <w:hyperlink r:id="rId102">
        <w:r>
          <w:rPr>
            <w:rStyle w:val="Hyperlink"/>
          </w:rPr>
          <w:t xml:space="preserve">[52]</w:t>
        </w:r>
      </w:hyperlink>
    </w:p>
    <w:p>
      <w:r>
        <w:pict>
          <v:rect style="width:0;height:1.5pt" o:hralign="center" o:hrstd="t" o:hr="t"/>
        </w:pict>
      </w:r>
    </w:p>
    <w:bookmarkEnd w:id="103"/>
    <w:bookmarkStart w:id="104" w:name="X1cc53613910602f685693b288e16efa2fa9d72c"/>
    <w:p>
      <w:pPr>
        <w:pStyle w:val="Heading3"/>
      </w:pPr>
      <w:r>
        <w:t xml:space="preserve">Current state assessment of the operations function today (reference map)</w:t>
      </w:r>
    </w:p>
    <w:p>
      <w:pPr>
        <w:pStyle w:val="FirstParagraph"/>
      </w:pPr>
      <w:r>
        <w:t xml:space="preserve">Because banks do not publicly disclose detailed ops FTE by sub-function, this section provides a comprehensive map and the metrics you should extract internally in Phase 1.</w:t>
      </w:r>
    </w:p>
    <w:p>
      <w:pPr>
        <w:pStyle w:val="BodyText"/>
      </w:pPr>
      <w:r>
        <w:rPr>
          <w:b/>
          <w:bCs/>
        </w:rPr>
        <w:t xml:space="preserve">Core operations domains (COO scope)</w:t>
      </w:r>
      <w:r>
        <w:br/>
      </w:r>
      <w:r>
        <w:t xml:space="preserve">- Front office ops support: onboarding, KYC docs, reference data</w:t>
      </w:r>
      <w:r>
        <w:br/>
      </w:r>
      <w:r>
        <w:t xml:space="preserve">- Middle office: confirmations, settlement, collateral, reconciliations</w:t>
      </w:r>
      <w:r>
        <w:br/>
      </w:r>
      <w:r>
        <w:t xml:space="preserve">- Back office: payments, custody, fund ops</w:t>
      </w:r>
      <w:r>
        <w:br/>
      </w:r>
      <w:r>
        <w:t xml:space="preserve">- Enterprise ops: procurement, facilities, vendor oversight</w:t>
      </w:r>
      <w:r>
        <w:br/>
      </w:r>
      <w:r>
        <w:t xml:space="preserve">- Technology ops: ITSM, cyber ops, infrastructure/cloud ops</w:t>
      </w:r>
      <w:r>
        <w:br/>
      </w:r>
      <w:r>
        <w:t xml:space="preserve">- Risk ops: regulatory reporting production, stress testing ops</w:t>
      </w:r>
      <w:r>
        <w:br/>
      </w:r>
      <w:r>
        <w:t xml:space="preserve">- Compliance ops: AML/KYC/sanctions/surveillance, QA/testing</w:t>
      </w:r>
      <w:r>
        <w:br/>
      </w:r>
      <w:r>
        <w:t xml:space="preserve">- Finance ops: GL, AP/AR, close</w:t>
      </w:r>
      <w:r>
        <w:br/>
      </w:r>
      <w:r>
        <w:t xml:space="preserve">- Client ops: contact centers, disputes, loan/mortgage ops</w:t>
      </w:r>
      <w:r>
        <w:br/>
      </w:r>
      <w:r>
        <w:t xml:space="preserve">- Data ops: governance, quality remediation, lineage</w:t>
      </w:r>
      <w:r>
        <w:br/>
      </w:r>
      <w:r>
        <w:t xml:space="preserve">- Legal ops: contract lifecycle, e-discovery</w:t>
      </w:r>
      <w:r>
        <w:br/>
      </w:r>
      <w:r>
        <w:t xml:space="preserve">- Fraud ops: detection, investigations</w:t>
      </w:r>
      <w:r>
        <w:br/>
      </w:r>
      <w:r>
        <w:t xml:space="preserve">- Audit ops: evidence gathering, continuous monitoring</w:t>
      </w:r>
    </w:p>
    <w:p>
      <w:pPr>
        <w:pStyle w:val="BodyText"/>
      </w:pPr>
      <w:r>
        <w:rPr>
          <w:b/>
          <w:bCs/>
        </w:rPr>
        <w:t xml:space="preserve">Typical baseline issues (large-bank pattern)</w:t>
      </w:r>
      <w:r>
        <w:br/>
      </w:r>
      <w:r>
        <w:t xml:space="preserve">- Heavy manual handoffs and rework driven by legacy tech fragmentation</w:t>
      </w:r>
      <w:r>
        <w:br/>
      </w:r>
      <w:r>
        <w:t xml:space="preserve">- RPA at scale but limited end-to-end redesign (automation “crust” over broken processes)</w:t>
      </w:r>
      <w:r>
        <w:br/>
      </w:r>
      <w:r>
        <w:t xml:space="preserve">- Control functions separated from ops execution—creating duplicated checking and reporting</w:t>
      </w:r>
    </w:p>
    <w:p>
      <w:r>
        <w:pict>
          <v:rect style="width:0;height:1.5pt" o:hralign="center" o:hrstd="t" o:hr="t"/>
        </w:pict>
      </w:r>
    </w:p>
    <w:bookmarkEnd w:id="104"/>
    <w:bookmarkStart w:id="109" w:name="X6de8876e940829b9d12ffe99d5b7fe6bab5af25"/>
    <w:p>
      <w:pPr>
        <w:pStyle w:val="Heading3"/>
      </w:pPr>
      <w:r>
        <w:t xml:space="preserve">AI impact analysis of operations (function-by-function highlights)</w:t>
      </w:r>
    </w:p>
    <w:bookmarkStart w:id="105" w:name="X4b1a23cb39d48619524c55e744e7862ad1825d7"/>
    <w:p>
      <w:pPr>
        <w:pStyle w:val="Heading4"/>
      </w:pPr>
      <w:r>
        <w:t xml:space="preserve">Client operations (contact centers, servicing, disputes)</w:t>
      </w:r>
    </w:p>
    <w:p>
      <w:pPr>
        <w:pStyle w:val="FirstParagraph"/>
      </w:pPr>
      <w:r>
        <w:rPr>
          <w:b/>
          <w:bCs/>
        </w:rPr>
        <w:t xml:space="preserve">Deploy-now</w:t>
      </w:r>
      <w:r>
        <w:br/>
      </w:r>
      <w:r>
        <w:t xml:space="preserve">- Agent assist (real-time knowledge retrieval, summarization, next-best action)</w:t>
      </w:r>
      <w:r>
        <w:br/>
      </w:r>
      <w:r>
        <w:t xml:space="preserve">- Deflection via conversational AI for routine requests</w:t>
      </w:r>
      <w:r>
        <w:br/>
      </w:r>
      <w:r>
        <w:t xml:space="preserve">- Automated dispute intake and document drafting with human review</w:t>
      </w:r>
    </w:p>
    <w:p>
      <w:pPr>
        <w:pStyle w:val="BodyText"/>
      </w:pPr>
      <w:r>
        <w:rPr>
          <w:b/>
          <w:bCs/>
        </w:rPr>
        <w:t xml:space="preserve">Evidence signals</w:t>
      </w:r>
      <w:r>
        <w:br/>
      </w:r>
      <w:r>
        <w:t xml:space="preserve">- Klarna’s AI assistant handled a majority share of chats and was projected to improve profits materially, but later commentary suggests cost-over-quality tradeoffs are real and can force rehiring/rebalancing.</w:t>
      </w:r>
      <w:r>
        <w:t xml:space="preserve"> </w:t>
      </w:r>
      <w:hyperlink r:id="rId24">
        <w:r>
          <w:rPr>
            <w:rStyle w:val="Hyperlink"/>
          </w:rPr>
          <w:t xml:space="preserve">[53]</w:t>
        </w:r>
      </w:hyperlink>
    </w:p>
    <w:p>
      <w:pPr>
        <w:pStyle w:val="BodyText"/>
      </w:pPr>
      <w:r>
        <w:rPr>
          <w:b/>
          <w:bCs/>
        </w:rPr>
        <w:t xml:space="preserve">FTE impacts (planning)</w:t>
      </w:r>
      <w:r>
        <w:br/>
      </w:r>
      <w:r>
        <w:t xml:space="preserve">15–35% reduction by Year 5 in pure Tier 1 interaction handling if deflection and straight-through servicing succeed; quality must be monitored aggressively.</w:t>
      </w:r>
    </w:p>
    <w:bookmarkEnd w:id="105"/>
    <w:bookmarkStart w:id="106" w:name="X1bb340541c28c4e943174e83e7c674fc921a6fa"/>
    <w:p>
      <w:pPr>
        <w:pStyle w:val="Heading4"/>
      </w:pPr>
      <w:r>
        <w:t xml:space="preserve">Compliance operations (KYC/AML/sanctions/surveillance)</w:t>
      </w:r>
    </w:p>
    <w:p>
      <w:pPr>
        <w:pStyle w:val="FirstParagraph"/>
      </w:pPr>
      <w:r>
        <w:rPr>
          <w:b/>
          <w:bCs/>
        </w:rPr>
        <w:t xml:space="preserve">Deploy-now</w:t>
      </w:r>
      <w:r>
        <w:br/>
      </w:r>
      <w:r>
        <w:t xml:space="preserve">- NLP extraction from documents; entity resolution; alert summarization; investigation write-ups (drafts)</w:t>
      </w:r>
      <w:r>
        <w:br/>
      </w:r>
      <w:r>
        <w:t xml:space="preserve">- Risk-based prioritization models (with governance)</w:t>
      </w:r>
    </w:p>
    <w:p>
      <w:pPr>
        <w:pStyle w:val="BodyText"/>
      </w:pPr>
      <w:r>
        <w:rPr>
          <w:b/>
          <w:bCs/>
        </w:rPr>
        <w:t xml:space="preserve">Constraints</w:t>
      </w:r>
      <w:r>
        <w:br/>
      </w:r>
      <w:r>
        <w:t xml:space="preserve">Model risk governance and explainability are non-negotiable; third-party data/model use must comply with interagency guidance on third-party risk management.</w:t>
      </w:r>
      <w:r>
        <w:t xml:space="preserve"> </w:t>
      </w:r>
      <w:hyperlink r:id="rId102">
        <w:r>
          <w:rPr>
            <w:rStyle w:val="Hyperlink"/>
          </w:rPr>
          <w:t xml:space="preserve">[52]</w:t>
        </w:r>
      </w:hyperlink>
    </w:p>
    <w:p>
      <w:pPr>
        <w:pStyle w:val="BodyText"/>
      </w:pPr>
      <w:r>
        <w:rPr>
          <w:b/>
          <w:bCs/>
        </w:rPr>
        <w:t xml:space="preserve">FTE impacts</w:t>
      </w:r>
      <w:r>
        <w:br/>
      </w:r>
      <w:r>
        <w:t xml:space="preserve">Moderate decline (10–25%) with significant redeployment into exception management, QA, and model oversight.</w:t>
      </w:r>
    </w:p>
    <w:bookmarkEnd w:id="106"/>
    <w:bookmarkStart w:id="107" w:name="Xa915162458a5077334206b9ecb5cf620ec6bdb0"/>
    <w:p>
      <w:pPr>
        <w:pStyle w:val="Heading4"/>
      </w:pPr>
      <w:r>
        <w:t xml:space="preserve">Technology operations (ITSM, cyber ops, infra/cloud ops)</w:t>
      </w:r>
    </w:p>
    <w:p>
      <w:pPr>
        <w:pStyle w:val="FirstParagraph"/>
      </w:pPr>
      <w:r>
        <w:t xml:space="preserve">AI drives faster incident triage and automation, but also introduces new attack surfaces (“security for AI” and “AI for security”). Vendor and platform choices become systemic risk decisions.</w:t>
      </w:r>
    </w:p>
    <w:bookmarkEnd w:id="107"/>
    <w:bookmarkStart w:id="108" w:name="data-operations"/>
    <w:p>
      <w:pPr>
        <w:pStyle w:val="Heading4"/>
      </w:pPr>
      <w:r>
        <w:t xml:space="preserve">Data operations</w:t>
      </w:r>
    </w:p>
    <w:p>
      <w:pPr>
        <w:pStyle w:val="FirstParagraph"/>
      </w:pPr>
      <w:r>
        <w:t xml:space="preserve">Data ops does not shrink early. It often grows because AI amplifies the cost of bad data. BCBS 239 principles remain a foundational requirement for risk data aggregation and reporting; AI increases the urgency, not reduces it.</w:t>
      </w:r>
      <w:r>
        <w:t xml:space="preserve"> </w:t>
      </w:r>
      <w:hyperlink r:id="rId60">
        <w:r>
          <w:rPr>
            <w:rStyle w:val="Hyperlink"/>
          </w:rPr>
          <w:t xml:space="preserve">[54]</w:t>
        </w:r>
      </w:hyperlink>
    </w:p>
    <w:p>
      <w:r>
        <w:pict>
          <v:rect style="width:0;height:1.5pt" o:hralign="center" o:hrstd="t" o:hr="t"/>
        </w:pict>
      </w:r>
    </w:p>
    <w:bookmarkEnd w:id="108"/>
    <w:bookmarkEnd w:id="109"/>
    <w:bookmarkStart w:id="113" w:name="Xd70a9fa9a75f30f9284d76706fc6807e0b93392"/>
    <w:p>
      <w:pPr>
        <w:pStyle w:val="Heading3"/>
      </w:pPr>
      <w:r>
        <w:t xml:space="preserve">Organizational transformation of operations (the “new COO empire”)</w:t>
      </w:r>
    </w:p>
    <w:bookmarkStart w:id="110" w:name="X889d768d9a7a27e5019a5d2d4c315ebe3aae431"/>
    <w:p>
      <w:pPr>
        <w:pStyle w:val="Heading4"/>
      </w:pPr>
      <w:r>
        <w:t xml:space="preserve">Management layer compression and delayering</w:t>
      </w:r>
    </w:p>
    <w:p>
      <w:pPr>
        <w:pStyle w:val="FirstParagraph"/>
      </w:pPr>
      <w:r>
        <w:t xml:space="preserve">Citi’s reduction of management layers (13 → 8) is an instructive precedent: large banks can delayer aggressively when they choose to. AI accelerates delayering by reducing the need for middle layers whose core job is information aggregation, reporting, and quality checking.</w:t>
      </w:r>
      <w:r>
        <w:t xml:space="preserve"> </w:t>
      </w:r>
      <w:hyperlink r:id="rId37">
        <w:r>
          <w:rPr>
            <w:rStyle w:val="Hyperlink"/>
          </w:rPr>
          <w:t xml:space="preserve">[20]</w:t>
        </w:r>
      </w:hyperlink>
    </w:p>
    <w:bookmarkEnd w:id="110"/>
    <w:bookmarkStart w:id="111" w:name="functional-convergence"/>
    <w:p>
      <w:pPr>
        <w:pStyle w:val="Heading4"/>
      </w:pPr>
      <w:r>
        <w:t xml:space="preserve">Functional convergence</w:t>
      </w:r>
    </w:p>
    <w:p>
      <w:pPr>
        <w:pStyle w:val="FirstParagraph"/>
      </w:pPr>
      <w:r>
        <w:t xml:space="preserve">AI pushes ops, tech, risk, and compliance into a more integrated operating model:</w:t>
      </w:r>
    </w:p>
    <w:p>
      <w:pPr>
        <w:pStyle w:val="Compact"/>
        <w:numPr>
          <w:ilvl w:val="0"/>
          <w:numId w:val="1022"/>
        </w:numPr>
      </w:pPr>
      <w:r>
        <w:t xml:space="preserve">“Full-stack operations” roles emerge (domain + data + automation fluency)</w:t>
      </w:r>
    </w:p>
    <w:p>
      <w:pPr>
        <w:pStyle w:val="Compact"/>
        <w:numPr>
          <w:ilvl w:val="0"/>
          <w:numId w:val="1022"/>
        </w:numPr>
      </w:pPr>
      <w:r>
        <w:t xml:space="preserve">Process intelligence and workflow design become core capabilities (not side projects)</w:t>
      </w:r>
    </w:p>
    <w:bookmarkEnd w:id="111"/>
    <w:bookmarkStart w:id="112" w:name="geographic-footprint-implications"/>
    <w:p>
      <w:pPr>
        <w:pStyle w:val="Heading4"/>
      </w:pPr>
      <w:r>
        <w:t xml:space="preserve">Geographic footprint implications</w:t>
      </w:r>
    </w:p>
    <w:p>
      <w:pPr>
        <w:pStyle w:val="FirstParagraph"/>
      </w:pPr>
      <w:r>
        <w:t xml:space="preserve">AI erodes the pure labor arbitrage advantage of offshoring for rules-based work. The economic question becomes “where is talent best and safest,” not “where is labor cheapest,” and vendor/BPO contracts must shift from FTE-based pricing to outcome-based models (aligned with interagency third-party risk governance expectations).</w:t>
      </w:r>
      <w:r>
        <w:t xml:space="preserve"> </w:t>
      </w:r>
      <w:hyperlink r:id="rId102">
        <w:r>
          <w:rPr>
            <w:rStyle w:val="Hyperlink"/>
          </w:rPr>
          <w:t xml:space="preserve">[55]</w:t>
        </w:r>
      </w:hyperlink>
    </w:p>
    <w:p>
      <w:r>
        <w:pict>
          <v:rect style="width:0;height:1.5pt" o:hralign="center" o:hrstd="t" o:hr="t"/>
        </w:pict>
      </w:r>
    </w:p>
    <w:bookmarkEnd w:id="112"/>
    <w:bookmarkEnd w:id="113"/>
    <w:bookmarkStart w:id="115" w:name="intelligent-automation-and-ai-continuum"/>
    <w:p>
      <w:pPr>
        <w:pStyle w:val="Heading3"/>
      </w:pPr>
      <w:r>
        <w:t xml:space="preserve">Intelligent automation and AI continuum</w:t>
      </w:r>
    </w:p>
    <w:p>
      <w:pPr>
        <w:pStyle w:val="FirstParagraph"/>
      </w:pPr>
      <w:r>
        <w:t xml:space="preserve">A practical maturity ladder for the COO portfolio:</w:t>
      </w:r>
    </w:p>
    <w:p>
      <w:pPr>
        <w:pStyle w:val="BodyText"/>
      </w:pPr>
      <w:r>
        <w:t xml:space="preserve">Manual → RPA → Intelligent automation → AI-augmented → AI-native → selective autonomy</w:t>
      </w:r>
    </w:p>
    <w:p>
      <w:pPr>
        <w:pStyle w:val="BodyText"/>
      </w:pPr>
      <w:r>
        <w:t xml:space="preserve">The “last mile” problem is real: moving from 80% automation to 95% requires process redesign, data remediation, and control redesign, not incremental bots—mirroring the broader finding that pilots often fail to create P&amp;L impact without workflow integration.</w:t>
      </w:r>
      <w:r>
        <w:t xml:space="preserve"> </w:t>
      </w:r>
      <w:hyperlink r:id="rId114">
        <w:r>
          <w:rPr>
            <w:rStyle w:val="Hyperlink"/>
          </w:rPr>
          <w:t xml:space="preserve">[56]</w:t>
        </w:r>
      </w:hyperlink>
    </w:p>
    <w:p>
      <w:r>
        <w:pict>
          <v:rect style="width:0;height:1.5pt" o:hralign="center" o:hrstd="t" o:hr="t"/>
        </w:pict>
      </w:r>
    </w:p>
    <w:bookmarkEnd w:id="115"/>
    <w:bookmarkStart w:id="116" w:name="X2f6346ce10507810eb62d7c9ceac7fa30d7ff3a"/>
    <w:p>
      <w:pPr>
        <w:pStyle w:val="Heading3"/>
      </w:pPr>
      <w:r>
        <w:t xml:space="preserve">Enterprise AI architecture and technology strategy (COO view)</w:t>
      </w:r>
    </w:p>
    <w:p>
      <w:pPr>
        <w:pStyle w:val="FirstParagraph"/>
      </w:pPr>
      <w:r>
        <w:t xml:space="preserve">Key architectural requirements in a regulated bank:</w:t>
      </w:r>
    </w:p>
    <w:p>
      <w:pPr>
        <w:pStyle w:val="Compact"/>
        <w:numPr>
          <w:ilvl w:val="0"/>
          <w:numId w:val="1023"/>
        </w:numPr>
      </w:pPr>
      <w:r>
        <w:t xml:space="preserve">Secure model access patterns (including self-hosting where needed; HSBC’s partnership approach is illustrative of this trend)</w:t>
      </w:r>
      <w:r>
        <w:t xml:space="preserve"> </w:t>
      </w:r>
      <w:hyperlink r:id="rId71">
        <w:r>
          <w:rPr>
            <w:rStyle w:val="Hyperlink"/>
          </w:rPr>
          <w:t xml:space="preserve">[39]</w:t>
        </w:r>
      </w:hyperlink>
    </w:p>
    <w:p>
      <w:pPr>
        <w:pStyle w:val="Compact"/>
        <w:numPr>
          <w:ilvl w:val="0"/>
          <w:numId w:val="1023"/>
        </w:numPr>
      </w:pPr>
      <w:r>
        <w:t xml:space="preserve">Strong MLOps/LLMOps (monitoring, drift, audit logs, cost controls)</w:t>
      </w:r>
    </w:p>
    <w:p>
      <w:pPr>
        <w:pStyle w:val="Compact"/>
        <w:numPr>
          <w:ilvl w:val="0"/>
          <w:numId w:val="1023"/>
        </w:numPr>
      </w:pPr>
      <w:r>
        <w:t xml:space="preserve">Integration layer to legacy core platforms</w:t>
      </w:r>
    </w:p>
    <w:p>
      <w:pPr>
        <w:pStyle w:val="Compact"/>
        <w:numPr>
          <w:ilvl w:val="0"/>
          <w:numId w:val="1023"/>
        </w:numPr>
      </w:pPr>
      <w:r>
        <w:t xml:space="preserve">Data governance as control plane</w:t>
      </w:r>
    </w:p>
    <w:p>
      <w:r>
        <w:pict>
          <v:rect style="width:0;height:1.5pt" o:hralign="center" o:hrstd="t" o:hr="t"/>
        </w:pict>
      </w:r>
    </w:p>
    <w:bookmarkEnd w:id="116"/>
    <w:bookmarkStart w:id="117" w:name="third-party-and-vendor-strategy"/>
    <w:p>
      <w:pPr>
        <w:pStyle w:val="Heading3"/>
      </w:pPr>
      <w:r>
        <w:t xml:space="preserve">Third-party and vendor strategy</w:t>
      </w:r>
    </w:p>
    <w:p>
      <w:pPr>
        <w:pStyle w:val="FirstParagraph"/>
      </w:pPr>
      <w:r>
        <w:t xml:space="preserve">Third-party risk management in AI-enabled operations is board-relevant:</w:t>
      </w:r>
    </w:p>
    <w:p>
      <w:pPr>
        <w:pStyle w:val="Compact"/>
        <w:numPr>
          <w:ilvl w:val="0"/>
          <w:numId w:val="1024"/>
        </w:numPr>
      </w:pPr>
      <w:r>
        <w:t xml:space="preserve">Interagency third-party risk management guidance and OCC bulletins define lifecycle expectations: due diligence, contract, monitoring, termination planning.</w:t>
      </w:r>
      <w:r>
        <w:t xml:space="preserve"> </w:t>
      </w:r>
      <w:hyperlink r:id="rId102">
        <w:r>
          <w:rPr>
            <w:rStyle w:val="Hyperlink"/>
          </w:rPr>
          <w:t xml:space="preserve">[57]</w:t>
        </w:r>
      </w:hyperlink>
    </w:p>
    <w:p>
      <w:pPr>
        <w:pStyle w:val="Compact"/>
        <w:numPr>
          <w:ilvl w:val="0"/>
          <w:numId w:val="1024"/>
        </w:numPr>
      </w:pPr>
      <w:r>
        <w:t xml:space="preserve">Vendor concentration becomes operational resilience risk; contingency planning is mandatory.</w:t>
      </w:r>
    </w:p>
    <w:p>
      <w:r>
        <w:pict>
          <v:rect style="width:0;height:1.5pt" o:hralign="center" o:hrstd="t" o:hr="t"/>
        </w:pict>
      </w:r>
    </w:p>
    <w:bookmarkEnd w:id="117"/>
    <w:bookmarkStart w:id="119" w:name="X5473c97454e830efd70327c11444c991018a3f4"/>
    <w:p>
      <w:pPr>
        <w:pStyle w:val="Heading3"/>
      </w:pPr>
      <w:r>
        <w:t xml:space="preserve">Governance, risk and regulatory framework (COO)</w:t>
      </w:r>
    </w:p>
    <w:p>
      <w:pPr>
        <w:pStyle w:val="FirstParagraph"/>
      </w:pPr>
      <w:r>
        <w:rPr>
          <w:b/>
          <w:bCs/>
        </w:rPr>
        <w:t xml:space="preserve">Model risk management</w:t>
      </w:r>
      <w:r>
        <w:br/>
      </w:r>
      <w:r>
        <w:t xml:space="preserve">SR 11-7 is the anchor for model risk management expectations; AI/ML models should be treated as models subject to governance, validation, and monitoring.</w:t>
      </w:r>
      <w:r>
        <w:t xml:space="preserve"> </w:t>
      </w:r>
      <w:hyperlink r:id="rId35">
        <w:r>
          <w:rPr>
            <w:rStyle w:val="Hyperlink"/>
          </w:rPr>
          <w:t xml:space="preserve">[18]</w:t>
        </w:r>
      </w:hyperlink>
    </w:p>
    <w:p>
      <w:pPr>
        <w:pStyle w:val="BodyText"/>
      </w:pPr>
      <w:r>
        <w:rPr>
          <w:b/>
          <w:bCs/>
        </w:rPr>
        <w:t xml:space="preserve">Third-party risk</w:t>
      </w:r>
      <w:r>
        <w:br/>
      </w:r>
      <w:r>
        <w:t xml:space="preserve">Interagency guidance and OCC issuances set clear expectations on third-party relationships.</w:t>
      </w:r>
      <w:r>
        <w:t xml:space="preserve"> </w:t>
      </w:r>
      <w:hyperlink r:id="rId102">
        <w:r>
          <w:rPr>
            <w:rStyle w:val="Hyperlink"/>
          </w:rPr>
          <w:t xml:space="preserve">[52]</w:t>
        </w:r>
      </w:hyperlink>
    </w:p>
    <w:p>
      <w:pPr>
        <w:pStyle w:val="BodyText"/>
      </w:pPr>
      <w:r>
        <w:rPr>
          <w:b/>
          <w:bCs/>
        </w:rPr>
        <w:t xml:space="preserve">Investment management AI regulation</w:t>
      </w:r>
      <w:r>
        <w:br/>
      </w:r>
      <w:r>
        <w:t xml:space="preserve">The SEC has shown willingness to propose and also withdraw AI-related rules (e.g., predictive analytics conflicts proposals), and has taken enforcement actions around misleading AI claims (“AI washing”). Even if certain proposals are withdrawn, the enforcement posture around truthful disclosures is a warning sign for marketing and client communications.</w:t>
      </w:r>
      <w:r>
        <w:t xml:space="preserve"> </w:t>
      </w:r>
      <w:hyperlink r:id="rId118">
        <w:r>
          <w:rPr>
            <w:rStyle w:val="Hyperlink"/>
          </w:rPr>
          <w:t xml:space="preserve">[58]</w:t>
        </w:r>
      </w:hyperlink>
    </w:p>
    <w:p>
      <w:r>
        <w:pict>
          <v:rect style="width:0;height:1.5pt" o:hralign="center" o:hrstd="t" o:hr="t"/>
        </w:pict>
      </w:r>
    </w:p>
    <w:bookmarkEnd w:id="119"/>
    <w:bookmarkStart w:id="120" w:name="business-case-and-roi-model-coo"/>
    <w:p>
      <w:pPr>
        <w:pStyle w:val="Heading3"/>
      </w:pPr>
      <w:r>
        <w:t xml:space="preserve">Business case and ROI model (COO)</w:t>
      </w:r>
    </w:p>
    <w:p>
      <w:pPr>
        <w:pStyle w:val="FirstParagraph"/>
      </w:pPr>
      <w:r>
        <w:t xml:space="preserve">A COO ROI model should explicitly quantify:</w:t>
      </w:r>
    </w:p>
    <w:p>
      <w:pPr>
        <w:pStyle w:val="Compact"/>
        <w:numPr>
          <w:ilvl w:val="0"/>
          <w:numId w:val="1025"/>
        </w:numPr>
      </w:pPr>
      <w:r>
        <w:t xml:space="preserve">Headcount reduction (onshore + offshore + vendor)</w:t>
      </w:r>
    </w:p>
    <w:p>
      <w:pPr>
        <w:pStyle w:val="Compact"/>
        <w:numPr>
          <w:ilvl w:val="0"/>
          <w:numId w:val="1025"/>
        </w:numPr>
      </w:pPr>
      <w:r>
        <w:t xml:space="preserve">Error/rework reduction</w:t>
      </w:r>
    </w:p>
    <w:p>
      <w:pPr>
        <w:pStyle w:val="Compact"/>
        <w:numPr>
          <w:ilvl w:val="0"/>
          <w:numId w:val="1025"/>
        </w:numPr>
      </w:pPr>
      <w:r>
        <w:t xml:space="preserve">Cycle time improvement (time-to-revenue in onboarding; loss avoidance in fraud)</w:t>
      </w:r>
    </w:p>
    <w:p>
      <w:pPr>
        <w:pStyle w:val="Compact"/>
        <w:numPr>
          <w:ilvl w:val="0"/>
          <w:numId w:val="1025"/>
        </w:numPr>
      </w:pPr>
      <w:r>
        <w:t xml:space="preserve">Real estate footprint impacts</w:t>
      </w:r>
    </w:p>
    <w:p>
      <w:pPr>
        <w:pStyle w:val="Compact"/>
        <w:numPr>
          <w:ilvl w:val="0"/>
          <w:numId w:val="1025"/>
        </w:numPr>
      </w:pPr>
      <w:r>
        <w:t xml:space="preserve">Vendor contract renegotiation savings</w:t>
      </w:r>
    </w:p>
    <w:p>
      <w:pPr>
        <w:pStyle w:val="FirstParagraph"/>
      </w:pPr>
      <w:r>
        <w:t xml:space="preserve">Use peer disclosures as calibration points for productivity potential rather than as direct comparables (because process mix differs): BofA’s “Erica” equivalence claim and Citi’s developer-hour savings demonstrate the magnitude of capacity creation that is possible.</w:t>
      </w:r>
      <w:r>
        <w:t xml:space="preserve"> </w:t>
      </w:r>
      <w:hyperlink r:id="rId25">
        <w:r>
          <w:rPr>
            <w:rStyle w:val="Hyperlink"/>
          </w:rPr>
          <w:t xml:space="preserve">[59]</w:t>
        </w:r>
      </w:hyperlink>
    </w:p>
    <w:p>
      <w:r>
        <w:pict>
          <v:rect style="width:0;height:1.5pt" o:hralign="center" o:hrstd="t" o:hr="t"/>
        </w:pict>
      </w:r>
    </w:p>
    <w:bookmarkEnd w:id="120"/>
    <w:bookmarkStart w:id="121" w:name="implementation-roadmap-coo"/>
    <w:p>
      <w:pPr>
        <w:pStyle w:val="Heading3"/>
      </w:pPr>
      <w:r>
        <w:t xml:space="preserve">Implementation roadmap (COO)</w:t>
      </w:r>
    </w:p>
    <w:p>
      <w:pPr>
        <w:pStyle w:val="FirstParagraph"/>
      </w:pPr>
      <w:r>
        <w:rPr>
          <w:b/>
          <w:bCs/>
        </w:rPr>
        <w:t xml:space="preserve">Foundation (0–6 months)</w:t>
      </w:r>
      <w:r>
        <w:br/>
      </w:r>
      <w:r>
        <w:t xml:space="preserve">- Establish AI governance + model inventory and tie to three lines of defense</w:t>
      </w:r>
      <w:r>
        <w:br/>
      </w:r>
      <w:r>
        <w:t xml:space="preserve">- Identify 3–5 “high-confidence” use cases with measurable throughput impacts</w:t>
      </w:r>
      <w:r>
        <w:br/>
      </w:r>
      <w:r>
        <w:t xml:space="preserve">- Stand up process intelligence capability (process mining + workflow redesign)</w:t>
      </w:r>
    </w:p>
    <w:p>
      <w:pPr>
        <w:pStyle w:val="BodyText"/>
      </w:pPr>
      <w:r>
        <w:rPr>
          <w:b/>
          <w:bCs/>
        </w:rPr>
        <w:t xml:space="preserve">Scale (6–18 months)</w:t>
      </w:r>
      <w:r>
        <w:br/>
      </w:r>
      <w:r>
        <w:t xml:space="preserve">- Rebuild priority workflows end-to-end (not bot overlays)</w:t>
      </w:r>
      <w:r>
        <w:br/>
      </w:r>
      <w:r>
        <w:t xml:space="preserve">- Begin vendor renegotiations and BPO contract redesign</w:t>
      </w:r>
      <w:r>
        <w:br/>
      </w:r>
      <w:r>
        <w:t xml:space="preserve">- Launch ops reskilling and redeployment pipelines with CHRO</w:t>
      </w:r>
    </w:p>
    <w:p>
      <w:pPr>
        <w:pStyle w:val="BodyText"/>
      </w:pPr>
      <w:r>
        <w:rPr>
          <w:b/>
          <w:bCs/>
        </w:rPr>
        <w:t xml:space="preserve">Transform (18–36 months)</w:t>
      </w:r>
      <w:r>
        <w:br/>
      </w:r>
      <w:r>
        <w:t xml:space="preserve">- Consolidate ops functions where AI enables convergence (e.g., financial crimes ops integration)</w:t>
      </w:r>
      <w:r>
        <w:br/>
      </w:r>
      <w:r>
        <w:t xml:space="preserve">- Execute management delayering and footprint rationalization</w:t>
      </w:r>
    </w:p>
    <w:p>
      <w:pPr>
        <w:pStyle w:val="BodyText"/>
      </w:pPr>
      <w:r>
        <w:rPr>
          <w:b/>
          <w:bCs/>
        </w:rPr>
        <w:t xml:space="preserve">Optimize (36–60 months)</w:t>
      </w:r>
      <w:r>
        <w:br/>
      </w:r>
      <w:r>
        <w:t xml:space="preserve">- Selective autonomy in low-risk, high-volume domains</w:t>
      </w:r>
      <w:r>
        <w:br/>
      </w:r>
      <w:r>
        <w:t xml:space="preserve">- Continuous monitoring + operational resilience for AI-dependent workflows</w:t>
      </w:r>
    </w:p>
    <w:p>
      <w:r>
        <w:pict>
          <v:rect style="width:0;height:1.5pt" o:hralign="center" o:hrstd="t" o:hr="t"/>
        </w:pict>
      </w:r>
    </w:p>
    <w:bookmarkEnd w:id="121"/>
    <w:bookmarkEnd w:id="122"/>
    <w:bookmarkStart w:id="125" w:name="bibliography-and-source-map"/>
    <w:p>
      <w:pPr>
        <w:pStyle w:val="Heading2"/>
      </w:pPr>
      <w:r>
        <w:t xml:space="preserve">Bibliography and source map</w:t>
      </w:r>
    </w:p>
    <w:p>
      <w:pPr>
        <w:pStyle w:val="FirstParagraph"/>
      </w:pPr>
      <w:r>
        <w:t xml:space="preserve">Key sources used (selected; all cited inline with publication date context)</w:t>
      </w:r>
    </w:p>
    <w:p>
      <w:pPr>
        <w:pStyle w:val="Compact"/>
        <w:numPr>
          <w:ilvl w:val="0"/>
          <w:numId w:val="1026"/>
        </w:numPr>
      </w:pPr>
      <w:r>
        <w:t xml:space="preserve">Reuters reporting on U.S. banks’ AI productivity and workforce implications (Dec. 9, 2025).</w:t>
      </w:r>
      <w:r>
        <w:t xml:space="preserve"> </w:t>
      </w:r>
      <w:hyperlink r:id="rId22">
        <w:r>
          <w:rPr>
            <w:rStyle w:val="Hyperlink"/>
          </w:rPr>
          <w:t xml:space="preserve">[60]</w:t>
        </w:r>
      </w:hyperlink>
    </w:p>
    <w:p>
      <w:pPr>
        <w:pStyle w:val="Compact"/>
        <w:numPr>
          <w:ilvl w:val="0"/>
          <w:numId w:val="1026"/>
        </w:numPr>
      </w:pPr>
      <w:r>
        <w:t xml:space="preserve">Wells Fargo workforce reduction expectations tied to budgeting and AI framing (Reuters, Dec. 9, 2025).</w:t>
      </w:r>
      <w:r>
        <w:t xml:space="preserve"> </w:t>
      </w:r>
      <w:hyperlink r:id="rId23">
        <w:r>
          <w:rPr>
            <w:rStyle w:val="Hyperlink"/>
          </w:rPr>
          <w:t xml:space="preserve">[61]</w:t>
        </w:r>
      </w:hyperlink>
    </w:p>
    <w:p>
      <w:pPr>
        <w:pStyle w:val="Compact"/>
        <w:numPr>
          <w:ilvl w:val="0"/>
          <w:numId w:val="1026"/>
        </w:numPr>
      </w:pPr>
      <w:r>
        <w:t xml:space="preserve">Citi reorganization completion and delayering (Reuters, Mar. 25, 2024).</w:t>
      </w:r>
      <w:r>
        <w:t xml:space="preserve"> </w:t>
      </w:r>
      <w:hyperlink r:id="rId37">
        <w:r>
          <w:rPr>
            <w:rStyle w:val="Hyperlink"/>
          </w:rPr>
          <w:t xml:space="preserve">[20]</w:t>
        </w:r>
      </w:hyperlink>
    </w:p>
    <w:p>
      <w:pPr>
        <w:pStyle w:val="Compact"/>
        <w:numPr>
          <w:ilvl w:val="0"/>
          <w:numId w:val="1026"/>
        </w:numPr>
      </w:pPr>
      <w:r>
        <w:t xml:space="preserve">Citi internal AI tools rollout and developer capacity creation (Reuters, Dec. 4, 2024; Reuters, Oct. 14, 2025; Citi earnings transcript, Oct. 14, 2025).</w:t>
      </w:r>
      <w:r>
        <w:t xml:space="preserve"> </w:t>
      </w:r>
      <w:hyperlink r:id="rId77">
        <w:r>
          <w:rPr>
            <w:rStyle w:val="Hyperlink"/>
          </w:rPr>
          <w:t xml:space="preserve">[43]</w:t>
        </w:r>
      </w:hyperlink>
    </w:p>
    <w:p>
      <w:pPr>
        <w:pStyle w:val="Compact"/>
        <w:numPr>
          <w:ilvl w:val="0"/>
          <w:numId w:val="1026"/>
        </w:numPr>
      </w:pPr>
      <w:r>
        <w:t xml:space="preserve">Bank of America AI productivity disclosure and “Erica” workforce-equivalent framing (Reuters, Nov. 17, 2025; BofA press release, Apr. 8, 2025).</w:t>
      </w:r>
      <w:r>
        <w:t xml:space="preserve"> </w:t>
      </w:r>
      <w:hyperlink r:id="rId25">
        <w:r>
          <w:rPr>
            <w:rStyle w:val="Hyperlink"/>
          </w:rPr>
          <w:t xml:space="preserve">[14]</w:t>
        </w:r>
      </w:hyperlink>
    </w:p>
    <w:p>
      <w:pPr>
        <w:pStyle w:val="Compact"/>
        <w:numPr>
          <w:ilvl w:val="0"/>
          <w:numId w:val="1026"/>
        </w:numPr>
      </w:pPr>
      <w:r>
        <w:t xml:space="preserve">JPMorgan AI tooling disclosures including LLM Suite and coding productivity (Reuters, Jul. 25, 2024; Reuters, Mar. 2025).</w:t>
      </w:r>
      <w:r>
        <w:t xml:space="preserve"> </w:t>
      </w:r>
      <w:hyperlink r:id="rId21">
        <w:r>
          <w:rPr>
            <w:rStyle w:val="Hyperlink"/>
          </w:rPr>
          <w:t xml:space="preserve">[62]</w:t>
        </w:r>
      </w:hyperlink>
    </w:p>
    <w:p>
      <w:pPr>
        <w:pStyle w:val="Compact"/>
        <w:numPr>
          <w:ilvl w:val="0"/>
          <w:numId w:val="1026"/>
        </w:numPr>
      </w:pPr>
      <w:r>
        <w:t xml:space="preserve">Goldman Sachs AI assistant rollout and AI-linked restructuring direction (Reuters, Jun. 23, 2025; Reuters, Oct. 14, 2025; Reuters, Feb. 6, 2026).</w:t>
      </w:r>
      <w:r>
        <w:t xml:space="preserve"> </w:t>
      </w:r>
      <w:hyperlink r:id="rId69">
        <w:r>
          <w:rPr>
            <w:rStyle w:val="Hyperlink"/>
          </w:rPr>
          <w:t xml:space="preserve">[63]</w:t>
        </w:r>
      </w:hyperlink>
    </w:p>
    <w:p>
      <w:pPr>
        <w:pStyle w:val="Compact"/>
        <w:numPr>
          <w:ilvl w:val="0"/>
          <w:numId w:val="1026"/>
        </w:numPr>
      </w:pPr>
      <w:r>
        <w:t xml:space="preserve">Klarna AI assistant performance and headcount shrinkage (Klarna press release, Feb. 27, 2024; Reuters, May 28, 2024; Reuters, Aug. 27, 2024).</w:t>
      </w:r>
      <w:r>
        <w:t xml:space="preserve"> </w:t>
      </w:r>
      <w:hyperlink r:id="rId24">
        <w:r>
          <w:rPr>
            <w:rStyle w:val="Hyperlink"/>
          </w:rPr>
          <w:t xml:space="preserve">[64]</w:t>
        </w:r>
      </w:hyperlink>
    </w:p>
    <w:p>
      <w:pPr>
        <w:pStyle w:val="Compact"/>
        <w:numPr>
          <w:ilvl w:val="0"/>
          <w:numId w:val="1026"/>
        </w:numPr>
      </w:pPr>
      <w:r>
        <w:t xml:space="preserve">EEOC technical assistance on adverse impact and AI selection tools (May 2023) and EEOC strategic enforcement emphasis on technology-driven discrimination risks.</w:t>
      </w:r>
      <w:r>
        <w:t xml:space="preserve"> </w:t>
      </w:r>
      <w:hyperlink r:id="rId29">
        <w:r>
          <w:rPr>
            <w:rStyle w:val="Hyperlink"/>
          </w:rPr>
          <w:t xml:space="preserve">[46]</w:t>
        </w:r>
      </w:hyperlink>
    </w:p>
    <w:p>
      <w:pPr>
        <w:pStyle w:val="Compact"/>
        <w:numPr>
          <w:ilvl w:val="0"/>
          <w:numId w:val="1026"/>
        </w:numPr>
      </w:pPr>
      <w:r>
        <w:t xml:space="preserve">NYC Local Law 144 requirements for AEDTs in employment decisions.</w:t>
      </w:r>
      <w:r>
        <w:t xml:space="preserve"> </w:t>
      </w:r>
      <w:hyperlink r:id="rId46">
        <w:r>
          <w:rPr>
            <w:rStyle w:val="Hyperlink"/>
          </w:rPr>
          <w:t xml:space="preserve">[25]</w:t>
        </w:r>
      </w:hyperlink>
    </w:p>
    <w:p>
      <w:pPr>
        <w:pStyle w:val="Compact"/>
        <w:numPr>
          <w:ilvl w:val="0"/>
          <w:numId w:val="1026"/>
        </w:numPr>
      </w:pPr>
      <w:r>
        <w:t xml:space="preserve">CFPB Circular 2024-06 on employment dossiers/algorithmic scores and FCRA implications (Oct. 2024).</w:t>
      </w:r>
      <w:r>
        <w:t xml:space="preserve"> </w:t>
      </w:r>
      <w:hyperlink r:id="rId34">
        <w:r>
          <w:rPr>
            <w:rStyle w:val="Hyperlink"/>
          </w:rPr>
          <w:t xml:space="preserve">[17]</w:t>
        </w:r>
      </w:hyperlink>
    </w:p>
    <w:p>
      <w:pPr>
        <w:pStyle w:val="Compact"/>
        <w:numPr>
          <w:ilvl w:val="0"/>
          <w:numId w:val="1026"/>
        </w:numPr>
      </w:pPr>
      <w:r>
        <w:t xml:space="preserve">Interagency third-party risk management guidance (Jun. 7, 2023) and OCC bulletin framing (Jun. 6, 2023).</w:t>
      </w:r>
      <w:r>
        <w:t xml:space="preserve"> </w:t>
      </w:r>
      <w:hyperlink r:id="rId102">
        <w:r>
          <w:rPr>
            <w:rStyle w:val="Hyperlink"/>
          </w:rPr>
          <w:t xml:space="preserve">[57]</w:t>
        </w:r>
      </w:hyperlink>
    </w:p>
    <w:p>
      <w:pPr>
        <w:pStyle w:val="Compact"/>
        <w:numPr>
          <w:ilvl w:val="0"/>
          <w:numId w:val="1026"/>
        </w:numPr>
      </w:pPr>
      <w:r>
        <w:t xml:space="preserve">SR 11-7 model risk management guidance foundation (Apr. 4, 2011).</w:t>
      </w:r>
      <w:r>
        <w:t xml:space="preserve"> </w:t>
      </w:r>
      <w:hyperlink r:id="rId35">
        <w:r>
          <w:rPr>
            <w:rStyle w:val="Hyperlink"/>
          </w:rPr>
          <w:t xml:space="preserve">[18]</w:t>
        </w:r>
      </w:hyperlink>
    </w:p>
    <w:p>
      <w:pPr>
        <w:pStyle w:val="Compact"/>
        <w:numPr>
          <w:ilvl w:val="0"/>
          <w:numId w:val="1026"/>
        </w:numPr>
      </w:pPr>
      <w:r>
        <w:t xml:space="preserve">EU AI Act timeline and obligations signaling for international operations (EU update; Reuters reporting on timing debates).</w:t>
      </w:r>
      <w:r>
        <w:t xml:space="preserve"> </w:t>
      </w:r>
      <w:hyperlink r:id="rId123">
        <w:r>
          <w:rPr>
            <w:rStyle w:val="Hyperlink"/>
          </w:rPr>
          <w:t xml:space="preserve">[65]</w:t>
        </w:r>
      </w:hyperlink>
    </w:p>
    <w:p>
      <w:pPr>
        <w:pStyle w:val="Compact"/>
        <w:numPr>
          <w:ilvl w:val="0"/>
          <w:numId w:val="1026"/>
        </w:numPr>
      </w:pPr>
      <w:r>
        <w:t xml:space="preserve">Basel Committee BCBS 239 risk data aggregation and reporting principles (Jan. 2013).</w:t>
      </w:r>
      <w:r>
        <w:t xml:space="preserve"> </w:t>
      </w:r>
      <w:hyperlink r:id="rId60">
        <w:r>
          <w:rPr>
            <w:rStyle w:val="Hyperlink"/>
          </w:rPr>
          <w:t xml:space="preserve">[31]</w:t>
        </w:r>
      </w:hyperlink>
    </w:p>
    <w:p>
      <w:pPr>
        <w:pStyle w:val="Compact"/>
        <w:numPr>
          <w:ilvl w:val="0"/>
          <w:numId w:val="1026"/>
        </w:numPr>
      </w:pPr>
      <w:r>
        <w:t xml:space="preserve">Consulting/analyst perspectives on operating models and workforce transformation (McKinsey banking operating model, 2024; McKinsey AI value blueprint, 2024; Bain and Accenture banking genAI analyses; Gartner HR AI press releases).</w:t>
      </w:r>
      <w:r>
        <w:t xml:space="preserve"> </w:t>
      </w:r>
      <w:hyperlink r:id="rId124">
        <w:r>
          <w:rPr>
            <w:rStyle w:val="Hyperlink"/>
          </w:rPr>
          <w:t xml:space="preserve">[66]</w:t>
        </w:r>
      </w:hyperlink>
    </w:p>
    <w:bookmarkEnd w:id="125"/>
    <w:bookmarkEnd w:id="126"/>
    <w:bookmarkEnd w:id="127"/>
    <w:p>
      <w:r>
        <w:pict>
          <v:rect style="width:0;height:1.5pt" o:hralign="center" o:hrstd="t" o:hr="t"/>
        </w:pict>
      </w:r>
    </w:p>
    <w:bookmarkStart w:id="128" w:name="citations"/>
    <w:p>
      <w:pPr>
        <w:pStyle w:val="FirstParagraph"/>
      </w:pPr>
      <w:hyperlink r:id="rId21">
        <w:r>
          <w:rPr>
            <w:rStyle w:val="Hyperlink"/>
          </w:rPr>
          <w:t xml:space="preserve">[1]</w:t>
        </w:r>
      </w:hyperlink>
      <w:r>
        <w:t xml:space="preserve"> </w:t>
      </w:r>
      <w:hyperlink r:id="rId21">
        <w:r>
          <w:rPr>
            <w:rStyle w:val="Hyperlink"/>
          </w:rPr>
          <w:t xml:space="preserve">[35]</w:t>
        </w:r>
      </w:hyperlink>
      <w:r>
        <w:t xml:space="preserve"> </w:t>
      </w:r>
      <w:hyperlink r:id="rId21">
        <w:r>
          <w:rPr>
            <w:rStyle w:val="Hyperlink"/>
          </w:rPr>
          <w:t xml:space="preserve">[62]</w:t>
        </w:r>
      </w:hyperlink>
      <w:r>
        <w:t xml:space="preserve"> </w:t>
      </w:r>
      <w:r>
        <w:t xml:space="preserve">https://www.reuters.com/technology/artificial-intelligence/jpmorgan-launches-in-house-chatbot-ai-based-research-analyst-ft-reports-2024-07-26/</w:t>
      </w:r>
    </w:p>
    <w:p>
      <w:pPr>
        <w:pStyle w:val="BodyText"/>
      </w:pPr>
      <w:hyperlink r:id="rId21">
        <w:r>
          <w:rPr>
            <w:rStyle w:val="Hyperlink"/>
          </w:rPr>
          <w:t xml:space="preserve">https://www.reuters.com/technology/artificial-intelligence/jpmorgan-launches-in-house-chatbot-ai-based-research-analyst-ft-reports-2024-07-26/</w:t>
        </w:r>
      </w:hyperlink>
    </w:p>
    <w:p>
      <w:pPr>
        <w:pStyle w:val="BodyText"/>
      </w:pPr>
      <w:hyperlink r:id="rId22">
        <w:r>
          <w:rPr>
            <w:rStyle w:val="Hyperlink"/>
          </w:rPr>
          <w:t xml:space="preserve">[2]</w:t>
        </w:r>
      </w:hyperlink>
      <w:r>
        <w:t xml:space="preserve"> </w:t>
      </w:r>
      <w:hyperlink r:id="rId22">
        <w:r>
          <w:rPr>
            <w:rStyle w:val="Hyperlink"/>
          </w:rPr>
          <w:t xml:space="preserve">[21]</w:t>
        </w:r>
      </w:hyperlink>
      <w:r>
        <w:t xml:space="preserve"> </w:t>
      </w:r>
      <w:hyperlink r:id="rId22">
        <w:r>
          <w:rPr>
            <w:rStyle w:val="Hyperlink"/>
          </w:rPr>
          <w:t xml:space="preserve">[36]</w:t>
        </w:r>
      </w:hyperlink>
      <w:r>
        <w:t xml:space="preserve"> </w:t>
      </w:r>
      <w:hyperlink r:id="rId22">
        <w:r>
          <w:rPr>
            <w:rStyle w:val="Hyperlink"/>
          </w:rPr>
          <w:t xml:space="preserve">[60]</w:t>
        </w:r>
      </w:hyperlink>
      <w:r>
        <w:t xml:space="preserve"> </w:t>
      </w:r>
      <w:r>
        <w:t xml:space="preserve">https://www.reuters.com/business/finance/us-bank-executives-say-ai-will-boost-productivity-cut-jobs-2025-12-09/</w:t>
      </w:r>
    </w:p>
    <w:p>
      <w:pPr>
        <w:pStyle w:val="BodyText"/>
      </w:pPr>
      <w:hyperlink r:id="rId22">
        <w:r>
          <w:rPr>
            <w:rStyle w:val="Hyperlink"/>
          </w:rPr>
          <w:t xml:space="preserve">https://www.reuters.com/business/finance/us-bank-executives-say-ai-will-boost-productivity-cut-jobs-2025-12-09/</w:t>
        </w:r>
      </w:hyperlink>
    </w:p>
    <w:p>
      <w:pPr>
        <w:pStyle w:val="BodyText"/>
      </w:pPr>
      <w:hyperlink r:id="rId23">
        <w:r>
          <w:rPr>
            <w:rStyle w:val="Hyperlink"/>
          </w:rPr>
          <w:t xml:space="preserve">[3]</w:t>
        </w:r>
      </w:hyperlink>
      <w:r>
        <w:t xml:space="preserve"> </w:t>
      </w:r>
      <w:hyperlink r:id="rId23">
        <w:r>
          <w:rPr>
            <w:rStyle w:val="Hyperlink"/>
          </w:rPr>
          <w:t xml:space="preserve">[7]</w:t>
        </w:r>
      </w:hyperlink>
      <w:r>
        <w:t xml:space="preserve"> </w:t>
      </w:r>
      <w:hyperlink r:id="rId23">
        <w:r>
          <w:rPr>
            <w:rStyle w:val="Hyperlink"/>
          </w:rPr>
          <w:t xml:space="preserve">[61]</w:t>
        </w:r>
      </w:hyperlink>
      <w:r>
        <w:t xml:space="preserve"> </w:t>
      </w:r>
      <w:r>
        <w:t xml:space="preserve">Wells Fargo expects more job cuts in 2026</w:t>
      </w:r>
    </w:p>
    <w:p>
      <w:pPr>
        <w:pStyle w:val="BodyText"/>
      </w:pPr>
      <w:hyperlink r:id="rId23">
        <w:r>
          <w:rPr>
            <w:rStyle w:val="Hyperlink"/>
          </w:rPr>
          <w:t xml:space="preserve">https://www.reuters.com/business/finance/wells-fargo-sees-more-job-cuts-going-into-2026-2025-12-09/?utm_source=chatgpt.com</w:t>
        </w:r>
      </w:hyperlink>
    </w:p>
    <w:p>
      <w:pPr>
        <w:pStyle w:val="BodyText"/>
      </w:pPr>
      <w:hyperlink r:id="rId24">
        <w:r>
          <w:rPr>
            <w:rStyle w:val="Hyperlink"/>
          </w:rPr>
          <w:t xml:space="preserve">[4]</w:t>
        </w:r>
      </w:hyperlink>
      <w:r>
        <w:t xml:space="preserve"> </w:t>
      </w:r>
      <w:hyperlink r:id="rId24">
        <w:r>
          <w:rPr>
            <w:rStyle w:val="Hyperlink"/>
          </w:rPr>
          <w:t xml:space="preserve">[53]</w:t>
        </w:r>
      </w:hyperlink>
      <w:r>
        <w:t xml:space="preserve"> </w:t>
      </w:r>
      <w:hyperlink r:id="rId24">
        <w:r>
          <w:rPr>
            <w:rStyle w:val="Hyperlink"/>
          </w:rPr>
          <w:t xml:space="preserve">[64]</w:t>
        </w:r>
      </w:hyperlink>
      <w:r>
        <w:t xml:space="preserve"> </w:t>
      </w:r>
      <w:r>
        <w:t xml:space="preserve">Klarna AI assistant handles two-thirds of customer service ...</w:t>
      </w:r>
    </w:p>
    <w:p>
      <w:pPr>
        <w:pStyle w:val="BodyText"/>
      </w:pPr>
      <w:hyperlink r:id="rId24">
        <w:r>
          <w:rPr>
            <w:rStyle w:val="Hyperlink"/>
          </w:rPr>
          <w:t xml:space="preserve">https://www.klarna.com/international/press/klarna-ai-assistant-handles-two-thirds-of-customer-service-chats-in-its-first-month/?utm_source=chatgpt.com</w:t>
        </w:r>
      </w:hyperlink>
    </w:p>
    <w:p>
      <w:pPr>
        <w:pStyle w:val="BodyText"/>
      </w:pPr>
      <w:hyperlink r:id="rId25">
        <w:r>
          <w:rPr>
            <w:rStyle w:val="Hyperlink"/>
          </w:rPr>
          <w:t xml:space="preserve">[5]</w:t>
        </w:r>
      </w:hyperlink>
      <w:r>
        <w:t xml:space="preserve"> </w:t>
      </w:r>
      <w:hyperlink r:id="rId25">
        <w:r>
          <w:rPr>
            <w:rStyle w:val="Hyperlink"/>
          </w:rPr>
          <w:t xml:space="preserve">[14]</w:t>
        </w:r>
      </w:hyperlink>
      <w:r>
        <w:t xml:space="preserve"> </w:t>
      </w:r>
      <w:hyperlink r:id="rId25">
        <w:r>
          <w:rPr>
            <w:rStyle w:val="Hyperlink"/>
          </w:rPr>
          <w:t xml:space="preserve">[40]</w:t>
        </w:r>
      </w:hyperlink>
      <w:r>
        <w:t xml:space="preserve"> </w:t>
      </w:r>
      <w:hyperlink r:id="rId25">
        <w:r>
          <w:rPr>
            <w:rStyle w:val="Hyperlink"/>
          </w:rPr>
          <w:t xml:space="preserve">[59]</w:t>
        </w:r>
      </w:hyperlink>
      <w:r>
        <w:t xml:space="preserve"> </w:t>
      </w:r>
      <w:r>
        <w:t xml:space="preserve">https://www.reuters.com/business/finance/bofa-says-ai-is-boosting-bankers-productivity-revenue-2025-11-17/</w:t>
      </w:r>
    </w:p>
    <w:p>
      <w:pPr>
        <w:pStyle w:val="BodyText"/>
      </w:pPr>
      <w:hyperlink r:id="rId25">
        <w:r>
          <w:rPr>
            <w:rStyle w:val="Hyperlink"/>
          </w:rPr>
          <w:t xml:space="preserve">https://www.reuters.com/business/finance/bofa-says-ai-is-boosting-bankers-productivity-revenue-2025-11-17/</w:t>
        </w:r>
      </w:hyperlink>
    </w:p>
    <w:p>
      <w:pPr>
        <w:pStyle w:val="BodyText"/>
      </w:pPr>
      <w:hyperlink r:id="rId26">
        <w:r>
          <w:rPr>
            <w:rStyle w:val="Hyperlink"/>
          </w:rPr>
          <w:t xml:space="preserve">[6]</w:t>
        </w:r>
      </w:hyperlink>
      <w:r>
        <w:t xml:space="preserve"> </w:t>
      </w:r>
      <w:r>
        <w:t xml:space="preserve">https://www.nyc.gov/site/dca/about/automated-employment-decision-tools.page</w:t>
      </w:r>
    </w:p>
    <w:p>
      <w:pPr>
        <w:pStyle w:val="BodyText"/>
      </w:pPr>
      <w:hyperlink r:id="rId26">
        <w:r>
          <w:rPr>
            <w:rStyle w:val="Hyperlink"/>
          </w:rPr>
          <w:t xml:space="preserve">https://www.nyc.gov/site/dca/about/automated-employment-decision-tools.page</w:t>
        </w:r>
      </w:hyperlink>
    </w:p>
    <w:p>
      <w:pPr>
        <w:pStyle w:val="BodyText"/>
      </w:pPr>
      <w:hyperlink r:id="rId27">
        <w:r>
          <w:rPr>
            <w:rStyle w:val="Hyperlink"/>
          </w:rPr>
          <w:t xml:space="preserve">[8]</w:t>
        </w:r>
      </w:hyperlink>
      <w:r>
        <w:t xml:space="preserve"> </w:t>
      </w:r>
      <w:hyperlink r:id="rId27">
        <w:r>
          <w:rPr>
            <w:rStyle w:val="Hyperlink"/>
          </w:rPr>
          <w:t xml:space="preserve">[48]</w:t>
        </w:r>
      </w:hyperlink>
      <w:r>
        <w:t xml:space="preserve"> </w:t>
      </w:r>
      <w:r>
        <w:t xml:space="preserve">https://www.mckinsey.com/industries/financial-services/our-insights/extracting-value-from-ai-in-banking-rewiring-the-enterprise</w:t>
      </w:r>
    </w:p>
    <w:p>
      <w:pPr>
        <w:pStyle w:val="BodyText"/>
      </w:pPr>
      <w:hyperlink r:id="rId27">
        <w:r>
          <w:rPr>
            <w:rStyle w:val="Hyperlink"/>
          </w:rPr>
          <w:t xml:space="preserve">https://www.mckinsey.com/industries/financial-services/our-insights/extracting-value-from-ai-in-banking-rewiring-the-enterprise</w:t>
        </w:r>
      </w:hyperlink>
    </w:p>
    <w:p>
      <w:pPr>
        <w:pStyle w:val="BodyText"/>
      </w:pPr>
      <w:hyperlink r:id="rId28">
        <w:r>
          <w:rPr>
            <w:rStyle w:val="Hyperlink"/>
          </w:rPr>
          <w:t xml:space="preserve">[9]</w:t>
        </w:r>
      </w:hyperlink>
      <w:r>
        <w:t xml:space="preserve"> </w:t>
      </w:r>
      <w:r>
        <w:t xml:space="preserve">https://www.gartner.com/en/newsroom/press-releases/2025-10-16-ai-in-hr-separate-hype-from-reality-to-achieve-business-goals</w:t>
      </w:r>
    </w:p>
    <w:p>
      <w:pPr>
        <w:pStyle w:val="BodyText"/>
      </w:pPr>
      <w:hyperlink r:id="rId28">
        <w:r>
          <w:rPr>
            <w:rStyle w:val="Hyperlink"/>
          </w:rPr>
          <w:t xml:space="preserve">https://www.gartner.com/en/newsroom/press-releases/2025-10-16-ai-in-hr-separate-hype-from-reality-to-achieve-business-goals</w:t>
        </w:r>
      </w:hyperlink>
    </w:p>
    <w:p>
      <w:pPr>
        <w:pStyle w:val="BodyText"/>
      </w:pPr>
      <w:hyperlink r:id="rId29">
        <w:r>
          <w:rPr>
            <w:rStyle w:val="Hyperlink"/>
          </w:rPr>
          <w:t xml:space="preserve">[10]</w:t>
        </w:r>
      </w:hyperlink>
      <w:r>
        <w:t xml:space="preserve"> </w:t>
      </w:r>
      <w:hyperlink r:id="rId29">
        <w:r>
          <w:rPr>
            <w:rStyle w:val="Hyperlink"/>
          </w:rPr>
          <w:t xml:space="preserve">[16]</w:t>
        </w:r>
      </w:hyperlink>
      <w:r>
        <w:t xml:space="preserve"> </w:t>
      </w:r>
      <w:hyperlink r:id="rId29">
        <w:r>
          <w:rPr>
            <w:rStyle w:val="Hyperlink"/>
          </w:rPr>
          <w:t xml:space="preserve">[24]</w:t>
        </w:r>
      </w:hyperlink>
      <w:r>
        <w:t xml:space="preserve"> </w:t>
      </w:r>
      <w:hyperlink r:id="rId29">
        <w:r>
          <w:rPr>
            <w:rStyle w:val="Hyperlink"/>
          </w:rPr>
          <w:t xml:space="preserve">[46]</w:t>
        </w:r>
      </w:hyperlink>
      <w:r>
        <w:t xml:space="preserve"> </w:t>
      </w:r>
      <w:r>
        <w:t xml:space="preserve">https://data.aclum.org/storage/2025/01/EOCC_www_eeoc_gov_laws_guidance_select-issues-assessing-adverse-impact-software-algorithms-and-artificial.pdf</w:t>
      </w:r>
    </w:p>
    <w:p>
      <w:pPr>
        <w:pStyle w:val="BodyText"/>
      </w:pPr>
      <w:hyperlink r:id="rId29">
        <w:r>
          <w:rPr>
            <w:rStyle w:val="Hyperlink"/>
          </w:rPr>
          <w:t xml:space="preserve">https://data.aclum.org/storage/2025/01/EOCC_www_eeoc_gov_laws_guidance_select-issues-assessing-adverse-impact-software-algorithms-and-artificial.pdf</w:t>
        </w:r>
      </w:hyperlink>
    </w:p>
    <w:p>
      <w:pPr>
        <w:pStyle w:val="BodyText"/>
      </w:pPr>
      <w:hyperlink r:id="rId30">
        <w:r>
          <w:rPr>
            <w:rStyle w:val="Hyperlink"/>
          </w:rPr>
          <w:t xml:space="preserve">[11]</w:t>
        </w:r>
      </w:hyperlink>
      <w:r>
        <w:t xml:space="preserve"> </w:t>
      </w:r>
      <w:r>
        <w:t xml:space="preserve">https://www.accenture.com/us-en/insights/banking/generative-ai-banking</w:t>
      </w:r>
    </w:p>
    <w:p>
      <w:pPr>
        <w:pStyle w:val="BodyText"/>
      </w:pPr>
      <w:hyperlink r:id="rId30">
        <w:r>
          <w:rPr>
            <w:rStyle w:val="Hyperlink"/>
          </w:rPr>
          <w:t xml:space="preserve">https://www.accenture.com/us-en/insights/banking/generative-ai-banking</w:t>
        </w:r>
      </w:hyperlink>
    </w:p>
    <w:p>
      <w:pPr>
        <w:pStyle w:val="BodyText"/>
      </w:pPr>
      <w:hyperlink r:id="rId31">
        <w:r>
          <w:rPr>
            <w:rStyle w:val="Hyperlink"/>
          </w:rPr>
          <w:t xml:space="preserve">[12]</w:t>
        </w:r>
      </w:hyperlink>
      <w:r>
        <w:t xml:space="preserve"> </w:t>
      </w:r>
      <w:r>
        <w:t xml:space="preserve">https://www.ft.com/content/71e12f85-1edb-4156-8cb5-3fe8aef36d93</w:t>
      </w:r>
    </w:p>
    <w:p>
      <w:pPr>
        <w:pStyle w:val="BodyText"/>
      </w:pPr>
      <w:hyperlink r:id="rId31">
        <w:r>
          <w:rPr>
            <w:rStyle w:val="Hyperlink"/>
          </w:rPr>
          <w:t xml:space="preserve">https://www.ft.com/content/71e12f85-1edb-4156-8cb5-3fe8aef36d93</w:t>
        </w:r>
      </w:hyperlink>
    </w:p>
    <w:p>
      <w:pPr>
        <w:pStyle w:val="BodyText"/>
      </w:pPr>
      <w:hyperlink r:id="rId32">
        <w:r>
          <w:rPr>
            <w:rStyle w:val="Hyperlink"/>
          </w:rPr>
          <w:t xml:space="preserve">[13]</w:t>
        </w:r>
      </w:hyperlink>
      <w:r>
        <w:t xml:space="preserve"> </w:t>
      </w:r>
      <w:r>
        <w:t xml:space="preserve">https://www.reuters.com/technology/ibm-pause-hiring-plans-replace-7800-jobs-with-ai-bloomberg-news-2023-05-01/</w:t>
      </w:r>
    </w:p>
    <w:p>
      <w:pPr>
        <w:pStyle w:val="BodyText"/>
      </w:pPr>
      <w:hyperlink r:id="rId32">
        <w:r>
          <w:rPr>
            <w:rStyle w:val="Hyperlink"/>
          </w:rPr>
          <w:t xml:space="preserve">https://www.reuters.com/technology/ibm-pause-hiring-plans-replace-7800-jobs-with-ai-bloomberg-news-2023-05-01/</w:t>
        </w:r>
      </w:hyperlink>
    </w:p>
    <w:p>
      <w:pPr>
        <w:pStyle w:val="BodyText"/>
      </w:pPr>
      <w:hyperlink r:id="rId33">
        <w:r>
          <w:rPr>
            <w:rStyle w:val="Hyperlink"/>
          </w:rPr>
          <w:t xml:space="preserve">[15]</w:t>
        </w:r>
      </w:hyperlink>
      <w:r>
        <w:t xml:space="preserve"> </w:t>
      </w:r>
      <w:r>
        <w:t xml:space="preserve">https://www.reuters.com/technology/artificial-intelligence/jpmorgan-engineers-efficiency-jumps-much-20-using-coding-assistant-2025-03-13/</w:t>
      </w:r>
    </w:p>
    <w:p>
      <w:pPr>
        <w:pStyle w:val="BodyText"/>
      </w:pPr>
      <w:hyperlink r:id="rId33">
        <w:r>
          <w:rPr>
            <w:rStyle w:val="Hyperlink"/>
          </w:rPr>
          <w:t xml:space="preserve">https://www.reuters.com/technology/artificial-intelligence/jpmorgan-engineers-efficiency-jumps-much-20-using-coding-assistant-2025-03-13/</w:t>
        </w:r>
      </w:hyperlink>
    </w:p>
    <w:p>
      <w:pPr>
        <w:pStyle w:val="BodyText"/>
      </w:pPr>
      <w:hyperlink r:id="rId34">
        <w:r>
          <w:rPr>
            <w:rStyle w:val="Hyperlink"/>
          </w:rPr>
          <w:t xml:space="preserve">[17]</w:t>
        </w:r>
      </w:hyperlink>
      <w:r>
        <w:t xml:space="preserve"> </w:t>
      </w:r>
      <w:r>
        <w:t xml:space="preserve">https://www.consumerfinance.gov/compliance/circulars/consumer-financial-protection-circular-2024-06-background-dossiers-and-algorithmic-scores-for-hiring-promotion-and-other-employment-decisions/</w:t>
      </w:r>
    </w:p>
    <w:p>
      <w:pPr>
        <w:pStyle w:val="BodyText"/>
      </w:pPr>
      <w:hyperlink r:id="rId34">
        <w:r>
          <w:rPr>
            <w:rStyle w:val="Hyperlink"/>
          </w:rPr>
          <w:t xml:space="preserve">https://www.consumerfinance.gov/compliance/circulars/consumer-financial-protection-circular-2024-06-background-dossiers-and-algorithmic-scores-for-hiring-promotion-and-other-employment-decisions/</w:t>
        </w:r>
      </w:hyperlink>
    </w:p>
    <w:p>
      <w:pPr>
        <w:pStyle w:val="BodyText"/>
      </w:pPr>
      <w:hyperlink r:id="rId35">
        <w:r>
          <w:rPr>
            <w:rStyle w:val="Hyperlink"/>
          </w:rPr>
          <w:t xml:space="preserve">[18]</w:t>
        </w:r>
      </w:hyperlink>
      <w:r>
        <w:t xml:space="preserve"> </w:t>
      </w:r>
      <w:r>
        <w:t xml:space="preserve">https://www.ilga.gov/Legislation/publicacts/view/101-0260</w:t>
      </w:r>
    </w:p>
    <w:p>
      <w:pPr>
        <w:pStyle w:val="BodyText"/>
      </w:pPr>
      <w:hyperlink r:id="rId35">
        <w:r>
          <w:rPr>
            <w:rStyle w:val="Hyperlink"/>
          </w:rPr>
          <w:t xml:space="preserve">https://www.ilga.gov/Legislation/publicacts/view/101-0260</w:t>
        </w:r>
      </w:hyperlink>
    </w:p>
    <w:p>
      <w:pPr>
        <w:pStyle w:val="BodyText"/>
      </w:pPr>
      <w:hyperlink r:id="rId36">
        <w:r>
          <w:rPr>
            <w:rStyle w:val="Hyperlink"/>
          </w:rPr>
          <w:t xml:space="preserve">[19]</w:t>
        </w:r>
      </w:hyperlink>
      <w:r>
        <w:t xml:space="preserve"> </w:t>
      </w:r>
      <w:r>
        <w:t xml:space="preserve">US companies accused of 'AI washing' in citing artificial intelligence for job losses</w:t>
      </w:r>
    </w:p>
    <w:p>
      <w:pPr>
        <w:pStyle w:val="BodyText"/>
      </w:pPr>
      <w:hyperlink r:id="rId36">
        <w:r>
          <w:rPr>
            <w:rStyle w:val="Hyperlink"/>
          </w:rPr>
          <w:t xml:space="preserve">https://www.theguardian.com/us-news/2026/feb/08/ai-washing-job-losses-artificial-intelligence?utm_source=chatgpt.com</w:t>
        </w:r>
      </w:hyperlink>
    </w:p>
    <w:p>
      <w:pPr>
        <w:pStyle w:val="BodyText"/>
      </w:pPr>
      <w:hyperlink r:id="rId37">
        <w:r>
          <w:rPr>
            <w:rStyle w:val="Hyperlink"/>
          </w:rPr>
          <w:t xml:space="preserve">[20]</w:t>
        </w:r>
      </w:hyperlink>
      <w:r>
        <w:t xml:space="preserve"> </w:t>
      </w:r>
      <w:r>
        <w:t xml:space="preserve">https://www.reuters.com/business/finance/citigroup-says-reorganization-has-concluded-2024-03-25/</w:t>
      </w:r>
    </w:p>
    <w:p>
      <w:pPr>
        <w:pStyle w:val="BodyText"/>
      </w:pPr>
      <w:hyperlink r:id="rId37">
        <w:r>
          <w:rPr>
            <w:rStyle w:val="Hyperlink"/>
          </w:rPr>
          <w:t xml:space="preserve">https://www.reuters.com/business/finance/citigroup-says-reorganization-has-concluded-2024-03-25/</w:t>
        </w:r>
      </w:hyperlink>
    </w:p>
    <w:p>
      <w:pPr>
        <w:pStyle w:val="BodyText"/>
      </w:pPr>
      <w:hyperlink r:id="rId40">
        <w:r>
          <w:rPr>
            <w:rStyle w:val="Hyperlink"/>
          </w:rPr>
          <w:t xml:space="preserve">[22]</w:t>
        </w:r>
      </w:hyperlink>
      <w:r>
        <w:t xml:space="preserve"> </w:t>
      </w:r>
      <w:r>
        <w:t xml:space="preserve">https://www.reuters.com/legal/government/eeoc-signaling-crackdown-dei-under-trump-says-some-policies-are-illegal-2025-03-20/</w:t>
      </w:r>
    </w:p>
    <w:p>
      <w:pPr>
        <w:pStyle w:val="BodyText"/>
      </w:pPr>
      <w:hyperlink r:id="rId40">
        <w:r>
          <w:rPr>
            <w:rStyle w:val="Hyperlink"/>
          </w:rPr>
          <w:t xml:space="preserve">https://www.reuters.com/legal/government/eeoc-signaling-crackdown-dei-under-trump-says-some-policies-are-illegal-2025-03-20/</w:t>
        </w:r>
      </w:hyperlink>
    </w:p>
    <w:p>
      <w:pPr>
        <w:pStyle w:val="BodyText"/>
      </w:pPr>
      <w:hyperlink r:id="rId42">
        <w:r>
          <w:rPr>
            <w:rStyle w:val="Hyperlink"/>
          </w:rPr>
          <w:t xml:space="preserve">[23]</w:t>
        </w:r>
      </w:hyperlink>
      <w:r>
        <w:t xml:space="preserve"> </w:t>
      </w:r>
      <w:r>
        <w:t xml:space="preserve">https://www.gartner.com/en/newsroom/press-releases/2024-11-25-gartner-hype-cycle-for-hr-technology-highlights-innovations-that-deliver-greater-flexibility</w:t>
      </w:r>
    </w:p>
    <w:p>
      <w:pPr>
        <w:pStyle w:val="BodyText"/>
      </w:pPr>
      <w:hyperlink r:id="rId42">
        <w:r>
          <w:rPr>
            <w:rStyle w:val="Hyperlink"/>
          </w:rPr>
          <w:t xml:space="preserve">https://www.gartner.com/en/newsroom/press-releases/2024-11-25-gartner-hype-cycle-for-hr-technology-highlights-innovations-that-deliver-greater-flexibility</w:t>
        </w:r>
      </w:hyperlink>
    </w:p>
    <w:p>
      <w:pPr>
        <w:pStyle w:val="BodyText"/>
      </w:pPr>
      <w:hyperlink r:id="rId46">
        <w:r>
          <w:rPr>
            <w:rStyle w:val="Hyperlink"/>
          </w:rPr>
          <w:t xml:space="preserve">[25]</w:t>
        </w:r>
      </w:hyperlink>
      <w:r>
        <w:t xml:space="preserve"> </w:t>
      </w:r>
      <w:r>
        <w:t xml:space="preserve">https://leg.colorado.gov/bills/sb24-205</w:t>
      </w:r>
    </w:p>
    <w:p>
      <w:pPr>
        <w:pStyle w:val="BodyText"/>
      </w:pPr>
      <w:hyperlink r:id="rId46">
        <w:r>
          <w:rPr>
            <w:rStyle w:val="Hyperlink"/>
          </w:rPr>
          <w:t xml:space="preserve">https://leg.colorado.gov/bills/sb24-205</w:t>
        </w:r>
      </w:hyperlink>
    </w:p>
    <w:p>
      <w:pPr>
        <w:pStyle w:val="BodyText"/>
      </w:pPr>
      <w:hyperlink r:id="rId47">
        <w:r>
          <w:rPr>
            <w:rStyle w:val="Hyperlink"/>
          </w:rPr>
          <w:t xml:space="preserve">[26]</w:t>
        </w:r>
      </w:hyperlink>
      <w:r>
        <w:t xml:space="preserve"> </w:t>
      </w:r>
      <w:r>
        <w:t xml:space="preserve">https://www.nycbiasaudit.com/</w:t>
      </w:r>
    </w:p>
    <w:p>
      <w:pPr>
        <w:pStyle w:val="BodyText"/>
      </w:pPr>
      <w:hyperlink r:id="rId47">
        <w:r>
          <w:rPr>
            <w:rStyle w:val="Hyperlink"/>
          </w:rPr>
          <w:t xml:space="preserve">https://www.nycbiasaudit.com/</w:t>
        </w:r>
      </w:hyperlink>
    </w:p>
    <w:p>
      <w:pPr>
        <w:pStyle w:val="BodyText"/>
      </w:pPr>
      <w:hyperlink r:id="rId48">
        <w:r>
          <w:rPr>
            <w:rStyle w:val="Hyperlink"/>
          </w:rPr>
          <w:t xml:space="preserve">[27]</w:t>
        </w:r>
      </w:hyperlink>
      <w:r>
        <w:t xml:space="preserve"> </w:t>
      </w:r>
      <w:hyperlink r:id="rId48">
        <w:r>
          <w:rPr>
            <w:rStyle w:val="Hyperlink"/>
          </w:rPr>
          <w:t xml:space="preserve">[49]</w:t>
        </w:r>
      </w:hyperlink>
      <w:r>
        <w:t xml:space="preserve"> </w:t>
      </w:r>
      <w:r>
        <w:t xml:space="preserve">https://www.orrick.com/en/Insights/2024/06/Colorado-Artificial-Intelligence-Act-5-Things-You-Should-Know</w:t>
      </w:r>
    </w:p>
    <w:p>
      <w:pPr>
        <w:pStyle w:val="BodyText"/>
      </w:pPr>
      <w:hyperlink r:id="rId48">
        <w:r>
          <w:rPr>
            <w:rStyle w:val="Hyperlink"/>
          </w:rPr>
          <w:t xml:space="preserve">https://www.orrick.com/en/Insights/2024/06/Colorado-Artificial-Intelligence-Act-5-Things-You-Should-Know</w:t>
        </w:r>
      </w:hyperlink>
    </w:p>
    <w:p>
      <w:pPr>
        <w:pStyle w:val="BodyText"/>
      </w:pPr>
      <w:hyperlink r:id="rId51">
        <w:r>
          <w:rPr>
            <w:rStyle w:val="Hyperlink"/>
          </w:rPr>
          <w:t xml:space="preserve">[28]</w:t>
        </w:r>
      </w:hyperlink>
      <w:r>
        <w:t xml:space="preserve"> </w:t>
      </w:r>
      <w:r>
        <w:t xml:space="preserve">https://www.wellsfargo.com/assets/pdf/about/investor-relations/sec-filings/2024/10k.pdf</w:t>
      </w:r>
    </w:p>
    <w:p>
      <w:pPr>
        <w:pStyle w:val="BodyText"/>
      </w:pPr>
      <w:hyperlink r:id="rId51">
        <w:r>
          <w:rPr>
            <w:rStyle w:val="Hyperlink"/>
          </w:rPr>
          <w:t xml:space="preserve">https://www.wellsfargo.com/assets/pdf/about/investor-relations/sec-filings/2024/10k.pdf</w:t>
        </w:r>
      </w:hyperlink>
    </w:p>
    <w:p>
      <w:pPr>
        <w:pStyle w:val="BodyText"/>
      </w:pPr>
      <w:hyperlink r:id="rId53">
        <w:r>
          <w:rPr>
            <w:rStyle w:val="Hyperlink"/>
          </w:rPr>
          <w:t xml:space="preserve">[29]</w:t>
        </w:r>
      </w:hyperlink>
      <w:r>
        <w:t xml:space="preserve"> </w:t>
      </w:r>
      <w:r>
        <w:t xml:space="preserve">https://www.servicenow.com/content/dam/servicenow-assets/public/en-us/doc-type/resource-center/analyst-report/ar-forrester-tei-hrsd.pdf</w:t>
      </w:r>
    </w:p>
    <w:p>
      <w:pPr>
        <w:pStyle w:val="BodyText"/>
      </w:pPr>
      <w:hyperlink r:id="rId53">
        <w:r>
          <w:rPr>
            <w:rStyle w:val="Hyperlink"/>
          </w:rPr>
          <w:t xml:space="preserve">https://www.servicenow.com/content/dam/servicenow-assets/public/en-us/doc-type/resource-center/analyst-report/ar-forrester-tei-hrsd.pdf</w:t>
        </w:r>
      </w:hyperlink>
    </w:p>
    <w:p>
      <w:pPr>
        <w:pStyle w:val="BodyText"/>
      </w:pPr>
      <w:hyperlink r:id="rId56">
        <w:r>
          <w:rPr>
            <w:rStyle w:val="Hyperlink"/>
          </w:rPr>
          <w:t xml:space="preserve">[30]</w:t>
        </w:r>
      </w:hyperlink>
      <w:r>
        <w:t xml:space="preserve"> </w:t>
      </w:r>
      <w:r>
        <w:t xml:space="preserve">https://www.nlrb.gov/news-outreach/news-story/nlrb-general-counsel-issues-memo-on-unlawful-electronic-surveillance-and</w:t>
      </w:r>
    </w:p>
    <w:p>
      <w:pPr>
        <w:pStyle w:val="BodyText"/>
      </w:pPr>
      <w:hyperlink r:id="rId56">
        <w:r>
          <w:rPr>
            <w:rStyle w:val="Hyperlink"/>
          </w:rPr>
          <w:t xml:space="preserve">https://www.nlrb.gov/news-outreach/news-story/nlrb-general-counsel-issues-memo-on-unlawful-electronic-surveillance-and</w:t>
        </w:r>
      </w:hyperlink>
    </w:p>
    <w:p>
      <w:pPr>
        <w:pStyle w:val="BodyText"/>
      </w:pPr>
      <w:hyperlink r:id="rId60">
        <w:r>
          <w:rPr>
            <w:rStyle w:val="Hyperlink"/>
          </w:rPr>
          <w:t xml:space="preserve">[31]</w:t>
        </w:r>
      </w:hyperlink>
      <w:r>
        <w:t xml:space="preserve"> </w:t>
      </w:r>
      <w:hyperlink r:id="rId60">
        <w:r>
          <w:rPr>
            <w:rStyle w:val="Hyperlink"/>
          </w:rPr>
          <w:t xml:space="preserve">[54]</w:t>
        </w:r>
      </w:hyperlink>
      <w:r>
        <w:t xml:space="preserve"> </w:t>
      </w:r>
      <w:r>
        <w:t xml:space="preserve">https://www.bis.org/publ/bcbs239.pdf</w:t>
      </w:r>
    </w:p>
    <w:p>
      <w:pPr>
        <w:pStyle w:val="BodyText"/>
      </w:pPr>
      <w:hyperlink r:id="rId60">
        <w:r>
          <w:rPr>
            <w:rStyle w:val="Hyperlink"/>
          </w:rPr>
          <w:t xml:space="preserve">https://www.bis.org/publ/bcbs239.pdf</w:t>
        </w:r>
      </w:hyperlink>
    </w:p>
    <w:p>
      <w:pPr>
        <w:pStyle w:val="BodyText"/>
      </w:pPr>
      <w:hyperlink r:id="rId63">
        <w:r>
          <w:rPr>
            <w:rStyle w:val="Hyperlink"/>
          </w:rPr>
          <w:t xml:space="preserve">[32]</w:t>
        </w:r>
      </w:hyperlink>
      <w:r>
        <w:t xml:space="preserve"> </w:t>
      </w:r>
      <w:r>
        <w:t xml:space="preserve">https://www.dol.gov/general/topic/training/warn-reg-preamble</w:t>
      </w:r>
    </w:p>
    <w:p>
      <w:pPr>
        <w:pStyle w:val="BodyText"/>
      </w:pPr>
      <w:hyperlink r:id="rId63">
        <w:r>
          <w:rPr>
            <w:rStyle w:val="Hyperlink"/>
          </w:rPr>
          <w:t xml:space="preserve">https://www.dol.gov/general/topic/training/warn-reg-preamble</w:t>
        </w:r>
      </w:hyperlink>
    </w:p>
    <w:p>
      <w:pPr>
        <w:pStyle w:val="BodyText"/>
      </w:pPr>
      <w:hyperlink r:id="rId64">
        <w:r>
          <w:rPr>
            <w:rStyle w:val="Hyperlink"/>
          </w:rPr>
          <w:t xml:space="preserve">[33]</w:t>
        </w:r>
      </w:hyperlink>
      <w:r>
        <w:t xml:space="preserve"> </w:t>
      </w:r>
      <w:r>
        <w:t xml:space="preserve">https://www.eeoc.gov/laws/guidance/qa-understanding-waivers-discrimination-claims-employee-severance-agreements</w:t>
      </w:r>
    </w:p>
    <w:p>
      <w:pPr>
        <w:pStyle w:val="BodyText"/>
      </w:pPr>
      <w:hyperlink r:id="rId64">
        <w:r>
          <w:rPr>
            <w:rStyle w:val="Hyperlink"/>
          </w:rPr>
          <w:t xml:space="preserve">https://www.eeoc.gov/laws/guidance/qa-understanding-waivers-discrimination-claims-employee-severance-agreements</w:t>
        </w:r>
      </w:hyperlink>
    </w:p>
    <w:p>
      <w:pPr>
        <w:pStyle w:val="BodyText"/>
      </w:pPr>
      <w:hyperlink r:id="rId65">
        <w:r>
          <w:rPr>
            <w:rStyle w:val="Hyperlink"/>
          </w:rPr>
          <w:t xml:space="preserve">[34]</w:t>
        </w:r>
      </w:hyperlink>
      <w:r>
        <w:t xml:space="preserve"> </w:t>
      </w:r>
      <w:r>
        <w:t xml:space="preserve">https://www.brookings.edu/articles/measuring-us-workers-capacity-to-adapt-to-ai-driven-job-displacement/</w:t>
      </w:r>
    </w:p>
    <w:p>
      <w:pPr>
        <w:pStyle w:val="BodyText"/>
      </w:pPr>
      <w:hyperlink r:id="rId65">
        <w:r>
          <w:rPr>
            <w:rStyle w:val="Hyperlink"/>
          </w:rPr>
          <w:t xml:space="preserve">https://www.brookings.edu/articles/measuring-us-workers-capacity-to-adapt-to-ai-driven-job-displacement/</w:t>
        </w:r>
      </w:hyperlink>
    </w:p>
    <w:p>
      <w:pPr>
        <w:pStyle w:val="BodyText"/>
      </w:pPr>
      <w:hyperlink r:id="rId69">
        <w:r>
          <w:rPr>
            <w:rStyle w:val="Hyperlink"/>
          </w:rPr>
          <w:t xml:space="preserve">[37]</w:t>
        </w:r>
      </w:hyperlink>
      <w:r>
        <w:t xml:space="preserve"> </w:t>
      </w:r>
      <w:hyperlink r:id="rId69">
        <w:r>
          <w:rPr>
            <w:rStyle w:val="Hyperlink"/>
          </w:rPr>
          <w:t xml:space="preserve">[63]</w:t>
        </w:r>
      </w:hyperlink>
      <w:r>
        <w:t xml:space="preserve"> </w:t>
      </w:r>
      <w:r>
        <w:t xml:space="preserve">https://www.reuters.com/technology/artificial-intelligence/goldman-sachs-hires-amazon-exec-senior-ai-engineering-role-2025-01-29/</w:t>
      </w:r>
    </w:p>
    <w:p>
      <w:pPr>
        <w:pStyle w:val="BodyText"/>
      </w:pPr>
      <w:hyperlink r:id="rId69">
        <w:r>
          <w:rPr>
            <w:rStyle w:val="Hyperlink"/>
          </w:rPr>
          <w:t xml:space="preserve">https://www.reuters.com/technology/artificial-intelligence/goldman-sachs-hires-amazon-exec-senior-ai-engineering-role-2025-01-29/</w:t>
        </w:r>
      </w:hyperlink>
    </w:p>
    <w:p>
      <w:pPr>
        <w:pStyle w:val="BodyText"/>
      </w:pPr>
      <w:hyperlink r:id="rId70">
        <w:r>
          <w:rPr>
            <w:rStyle w:val="Hyperlink"/>
          </w:rPr>
          <w:t xml:space="preserve">[38]</w:t>
        </w:r>
      </w:hyperlink>
      <w:r>
        <w:t xml:space="preserve"> </w:t>
      </w:r>
      <w:r>
        <w:t xml:space="preserve">https://www.reuters.com/business/world-at-work/goldman-sachs-eyes-job-cuts-hiring-slowdown-amid-ai-push-memo-shows-2025-10-14/</w:t>
      </w:r>
    </w:p>
    <w:p>
      <w:pPr>
        <w:pStyle w:val="BodyText"/>
      </w:pPr>
      <w:hyperlink r:id="rId70">
        <w:r>
          <w:rPr>
            <w:rStyle w:val="Hyperlink"/>
          </w:rPr>
          <w:t xml:space="preserve">https://www.reuters.com/business/world-at-work/goldman-sachs-eyes-job-cuts-hiring-slowdown-amid-ai-push-memo-shows-2025-10-14/</w:t>
        </w:r>
      </w:hyperlink>
    </w:p>
    <w:p>
      <w:pPr>
        <w:pStyle w:val="BodyText"/>
      </w:pPr>
      <w:hyperlink r:id="rId71">
        <w:r>
          <w:rPr>
            <w:rStyle w:val="Hyperlink"/>
          </w:rPr>
          <w:t xml:space="preserve">[39]</w:t>
        </w:r>
      </w:hyperlink>
      <w:r>
        <w:t xml:space="preserve"> </w:t>
      </w:r>
      <w:r>
        <w:t xml:space="preserve">https://www.reuters.com/business/finance/hsbc-taps-french-start-up-mistral-supercharge-generative-ai-rollout-2025-12-01/</w:t>
      </w:r>
    </w:p>
    <w:p>
      <w:pPr>
        <w:pStyle w:val="BodyText"/>
      </w:pPr>
      <w:hyperlink r:id="rId71">
        <w:r>
          <w:rPr>
            <w:rStyle w:val="Hyperlink"/>
          </w:rPr>
          <w:t xml:space="preserve">https://www.reuters.com/business/finance/hsbc-taps-french-start-up-mistral-supercharge-generative-ai-rollout-2025-12-01/</w:t>
        </w:r>
      </w:hyperlink>
    </w:p>
    <w:p>
      <w:pPr>
        <w:pStyle w:val="BodyText"/>
      </w:pPr>
      <w:hyperlink r:id="rId73">
        <w:r>
          <w:rPr>
            <w:rStyle w:val="Hyperlink"/>
          </w:rPr>
          <w:t xml:space="preserve">[41]</w:t>
        </w:r>
      </w:hyperlink>
      <w:r>
        <w:t xml:space="preserve"> </w:t>
      </w:r>
      <w:r>
        <w:t xml:space="preserve">https://newsroom.bankofamerica.com/content/newsroom/press-releases/2025/04/ai-adoption-by-bofa-s-global-workforce-improves-productivity--cl.html</w:t>
      </w:r>
    </w:p>
    <w:p>
      <w:pPr>
        <w:pStyle w:val="BodyText"/>
      </w:pPr>
      <w:hyperlink r:id="rId73">
        <w:r>
          <w:rPr>
            <w:rStyle w:val="Hyperlink"/>
          </w:rPr>
          <w:t xml:space="preserve">https://newsroom.bankofamerica.com/content/newsroom/press-releases/2025/04/ai-adoption-by-bofa-s-global-workforce-improves-productivity--cl.html</w:t>
        </w:r>
      </w:hyperlink>
    </w:p>
    <w:p>
      <w:pPr>
        <w:pStyle w:val="BodyText"/>
      </w:pPr>
      <w:hyperlink r:id="rId75">
        <w:r>
          <w:rPr>
            <w:rStyle w:val="Hyperlink"/>
          </w:rPr>
          <w:t xml:space="preserve">[42]</w:t>
        </w:r>
      </w:hyperlink>
      <w:r>
        <w:t xml:space="preserve"> </w:t>
      </w:r>
      <w:r>
        <w:t xml:space="preserve">https://www.occ.gov/news-issuances/bulletins/2023/bulletin-2023-17.html</w:t>
      </w:r>
    </w:p>
    <w:p>
      <w:pPr>
        <w:pStyle w:val="BodyText"/>
      </w:pPr>
      <w:hyperlink r:id="rId75">
        <w:r>
          <w:rPr>
            <w:rStyle w:val="Hyperlink"/>
          </w:rPr>
          <w:t xml:space="preserve">https://www.occ.gov/news-issuances/bulletins/2023/bulletin-2023-17.html</w:t>
        </w:r>
      </w:hyperlink>
    </w:p>
    <w:p>
      <w:pPr>
        <w:pStyle w:val="BodyText"/>
      </w:pPr>
      <w:hyperlink r:id="rId77">
        <w:r>
          <w:rPr>
            <w:rStyle w:val="Hyperlink"/>
          </w:rPr>
          <w:t xml:space="preserve">[43]</w:t>
        </w:r>
      </w:hyperlink>
      <w:r>
        <w:t xml:space="preserve"> </w:t>
      </w:r>
      <w:r>
        <w:t xml:space="preserve">https://www.reuters.com/technology/artificial-intelligence/citigroup-rolls-out-artificial-intelligence-tools-employees-eight-countries-2024-12-04/</w:t>
      </w:r>
    </w:p>
    <w:p>
      <w:pPr>
        <w:pStyle w:val="BodyText"/>
      </w:pPr>
      <w:hyperlink r:id="rId77">
        <w:r>
          <w:rPr>
            <w:rStyle w:val="Hyperlink"/>
          </w:rPr>
          <w:t xml:space="preserve">https://www.reuters.com/technology/artificial-intelligence/citigroup-rolls-out-artificial-intelligence-tools-employees-eight-countries-2024-12-04/</w:t>
        </w:r>
      </w:hyperlink>
    </w:p>
    <w:p>
      <w:pPr>
        <w:pStyle w:val="BodyText"/>
      </w:pPr>
      <w:hyperlink r:id="rId78">
        <w:r>
          <w:rPr>
            <w:rStyle w:val="Hyperlink"/>
          </w:rPr>
          <w:t xml:space="preserve">[44]</w:t>
        </w:r>
      </w:hyperlink>
      <w:r>
        <w:t xml:space="preserve"> </w:t>
      </w:r>
      <w:r>
        <w:t xml:space="preserve">https://www.reuters.com/world/citigroup-lay-off-more-employees-march-sources-say-2026-01-23/</w:t>
      </w:r>
    </w:p>
    <w:p>
      <w:pPr>
        <w:pStyle w:val="BodyText"/>
      </w:pPr>
      <w:hyperlink r:id="rId78">
        <w:r>
          <w:rPr>
            <w:rStyle w:val="Hyperlink"/>
          </w:rPr>
          <w:t xml:space="preserve">https://www.reuters.com/world/citigroup-lay-off-more-employees-march-sources-say-2026-01-23/</w:t>
        </w:r>
      </w:hyperlink>
    </w:p>
    <w:p>
      <w:pPr>
        <w:pStyle w:val="BodyText"/>
      </w:pPr>
      <w:hyperlink r:id="rId80">
        <w:r>
          <w:rPr>
            <w:rStyle w:val="Hyperlink"/>
          </w:rPr>
          <w:t xml:space="preserve">[45]</w:t>
        </w:r>
      </w:hyperlink>
      <w:r>
        <w:t xml:space="preserve"> </w:t>
      </w:r>
      <w:r>
        <w:t xml:space="preserve">https://assets.revolut.com/pdf/annualreport2024.pdf</w:t>
      </w:r>
    </w:p>
    <w:p>
      <w:pPr>
        <w:pStyle w:val="BodyText"/>
      </w:pPr>
      <w:hyperlink r:id="rId80">
        <w:r>
          <w:rPr>
            <w:rStyle w:val="Hyperlink"/>
          </w:rPr>
          <w:t xml:space="preserve">https://assets.revolut.com/pdf/annualreport2024.pdf</w:t>
        </w:r>
      </w:hyperlink>
    </w:p>
    <w:p>
      <w:pPr>
        <w:pStyle w:val="BodyText"/>
      </w:pPr>
      <w:hyperlink r:id="rId87">
        <w:r>
          <w:rPr>
            <w:rStyle w:val="Hyperlink"/>
          </w:rPr>
          <w:t xml:space="preserve">[47]</w:t>
        </w:r>
      </w:hyperlink>
      <w:r>
        <w:t xml:space="preserve"> </w:t>
      </w:r>
      <w:r>
        <w:t xml:space="preserve">https://www.osc.ny.gov/state-agencies/audits/2025/12/02/enforcement-local-law-144-automated-employment-decision-tools</w:t>
      </w:r>
    </w:p>
    <w:p>
      <w:pPr>
        <w:pStyle w:val="BodyText"/>
      </w:pPr>
      <w:hyperlink r:id="rId87">
        <w:r>
          <w:rPr>
            <w:rStyle w:val="Hyperlink"/>
          </w:rPr>
          <w:t xml:space="preserve">https://www.osc.ny.gov/state-agencies/audits/2025/12/02/enforcement-local-law-144-automated-employment-decision-tools</w:t>
        </w:r>
      </w:hyperlink>
    </w:p>
    <w:p>
      <w:pPr>
        <w:pStyle w:val="BodyText"/>
      </w:pPr>
      <w:hyperlink r:id="rId100">
        <w:r>
          <w:rPr>
            <w:rStyle w:val="Hyperlink"/>
          </w:rPr>
          <w:t xml:space="preserve">[50]</w:t>
        </w:r>
      </w:hyperlink>
      <w:r>
        <w:t xml:space="preserve"> </w:t>
      </w:r>
      <w:r>
        <w:t xml:space="preserve">https://www.reuters.com/business/citigroups-ai-usage-frees-up-100000-hours-developers-week-2025-10-14/</w:t>
      </w:r>
    </w:p>
    <w:p>
      <w:pPr>
        <w:pStyle w:val="BodyText"/>
      </w:pPr>
      <w:hyperlink r:id="rId100">
        <w:r>
          <w:rPr>
            <w:rStyle w:val="Hyperlink"/>
          </w:rPr>
          <w:t xml:space="preserve">https://www.reuters.com/business/citigroups-ai-usage-frees-up-100000-hours-developers-week-2025-10-14/</w:t>
        </w:r>
      </w:hyperlink>
    </w:p>
    <w:p>
      <w:pPr>
        <w:pStyle w:val="BodyText"/>
      </w:pPr>
      <w:hyperlink r:id="rId101">
        <w:r>
          <w:rPr>
            <w:rStyle w:val="Hyperlink"/>
          </w:rPr>
          <w:t xml:space="preserve">[51]</w:t>
        </w:r>
      </w:hyperlink>
      <w:r>
        <w:t xml:space="preserve"> </w:t>
      </w:r>
      <w:r>
        <w:t xml:space="preserve">Klarna reverses AI push, hires customer service agents</w:t>
      </w:r>
    </w:p>
    <w:p>
      <w:pPr>
        <w:pStyle w:val="BodyText"/>
      </w:pPr>
      <w:hyperlink r:id="rId101">
        <w:r>
          <w:rPr>
            <w:rStyle w:val="Hyperlink"/>
          </w:rPr>
          <w:t xml:space="preserve">https://www.emarketer.com/content/klarna-backtracks-ai-customer-service-plans?utm_source=chatgpt.com</w:t>
        </w:r>
      </w:hyperlink>
    </w:p>
    <w:p>
      <w:pPr>
        <w:pStyle w:val="BodyText"/>
      </w:pPr>
      <w:hyperlink r:id="rId102">
        <w:r>
          <w:rPr>
            <w:rStyle w:val="Hyperlink"/>
          </w:rPr>
          <w:t xml:space="preserve">[52]</w:t>
        </w:r>
      </w:hyperlink>
      <w:r>
        <w:t xml:space="preserve"> </w:t>
      </w:r>
      <w:hyperlink r:id="rId102">
        <w:r>
          <w:rPr>
            <w:rStyle w:val="Hyperlink"/>
          </w:rPr>
          <w:t xml:space="preserve">[55]</w:t>
        </w:r>
      </w:hyperlink>
      <w:r>
        <w:t xml:space="preserve"> </w:t>
      </w:r>
      <w:hyperlink r:id="rId102">
        <w:r>
          <w:rPr>
            <w:rStyle w:val="Hyperlink"/>
          </w:rPr>
          <w:t xml:space="preserve">[57]</w:t>
        </w:r>
      </w:hyperlink>
      <w:r>
        <w:t xml:space="preserve"> </w:t>
      </w:r>
      <w:r>
        <w:t xml:space="preserve">https://www.federalreserve.gov/supervisionreg/srletters/sr2304a1.pdf</w:t>
      </w:r>
    </w:p>
    <w:p>
      <w:pPr>
        <w:pStyle w:val="BodyText"/>
      </w:pPr>
      <w:hyperlink r:id="rId102">
        <w:r>
          <w:rPr>
            <w:rStyle w:val="Hyperlink"/>
          </w:rPr>
          <w:t xml:space="preserve">https://www.federalreserve.gov/supervisionreg/srletters/sr2304a1.pdf</w:t>
        </w:r>
      </w:hyperlink>
    </w:p>
    <w:p>
      <w:pPr>
        <w:pStyle w:val="BodyText"/>
      </w:pPr>
      <w:hyperlink r:id="rId114">
        <w:r>
          <w:rPr>
            <w:rStyle w:val="Hyperlink"/>
          </w:rPr>
          <w:t xml:space="preserve">[56]</w:t>
        </w:r>
      </w:hyperlink>
      <w:r>
        <w:t xml:space="preserve"> </w:t>
      </w:r>
      <w:r>
        <w:t xml:space="preserve">https://www.tomshardware.com/tech-industry/artificial-intelligence/95-percent-of-generative-ai-implementations-in-enterprise-have-no-measurable-impact-on-p-and-l-says-mit-flawed-integration-key-reason-why-ai-projects-underperform</w:t>
      </w:r>
    </w:p>
    <w:p>
      <w:pPr>
        <w:pStyle w:val="BodyText"/>
      </w:pPr>
      <w:hyperlink r:id="rId114">
        <w:r>
          <w:rPr>
            <w:rStyle w:val="Hyperlink"/>
          </w:rPr>
          <w:t xml:space="preserve">https://www.tomshardware.com/tech-industry/artificial-intelligence/95-percent-of-generative-ai-implementations-in-enterprise-have-no-measurable-impact-on-p-and-l-says-mit-flawed-integration-key-reason-why-ai-projects-underperform</w:t>
        </w:r>
      </w:hyperlink>
    </w:p>
    <w:p>
      <w:pPr>
        <w:pStyle w:val="BodyText"/>
      </w:pPr>
      <w:hyperlink r:id="rId118">
        <w:r>
          <w:rPr>
            <w:rStyle w:val="Hyperlink"/>
          </w:rPr>
          <w:t xml:space="preserve">[58]</w:t>
        </w:r>
      </w:hyperlink>
      <w:r>
        <w:t xml:space="preserve"> </w:t>
      </w:r>
      <w:r>
        <w:t xml:space="preserve">https://www.sec.gov/rules-regulations/2025/06/s7-12-23</w:t>
      </w:r>
    </w:p>
    <w:p>
      <w:pPr>
        <w:pStyle w:val="BodyText"/>
      </w:pPr>
      <w:hyperlink r:id="rId118">
        <w:r>
          <w:rPr>
            <w:rStyle w:val="Hyperlink"/>
          </w:rPr>
          <w:t xml:space="preserve">https://www.sec.gov/rules-regulations/2025/06/s7-12-23</w:t>
        </w:r>
      </w:hyperlink>
    </w:p>
    <w:p>
      <w:pPr>
        <w:pStyle w:val="BodyText"/>
      </w:pPr>
      <w:hyperlink r:id="rId123">
        <w:r>
          <w:rPr>
            <w:rStyle w:val="Hyperlink"/>
          </w:rPr>
          <w:t xml:space="preserve">[65]</w:t>
        </w:r>
      </w:hyperlink>
      <w:r>
        <w:t xml:space="preserve"> </w:t>
      </w:r>
      <w:r>
        <w:t xml:space="preserve">https://blog.stackaware.com/p/illinois-ai-video-interview-act-compliance-governance-human-resources-recruiting-risk</w:t>
      </w:r>
    </w:p>
    <w:p>
      <w:pPr>
        <w:pStyle w:val="BodyText"/>
      </w:pPr>
      <w:hyperlink r:id="rId123">
        <w:r>
          <w:rPr>
            <w:rStyle w:val="Hyperlink"/>
          </w:rPr>
          <w:t xml:space="preserve">https://blog.stackaware.com/p/illinois-ai-video-interview-act-compliance-governance-human-resources-recruiting-risk</w:t>
        </w:r>
      </w:hyperlink>
    </w:p>
    <w:p>
      <w:pPr>
        <w:pStyle w:val="BodyText"/>
      </w:pPr>
      <w:hyperlink r:id="rId124">
        <w:r>
          <w:rPr>
            <w:rStyle w:val="Hyperlink"/>
          </w:rPr>
          <w:t xml:space="preserve">[66]</w:t>
        </w:r>
      </w:hyperlink>
      <w:r>
        <w:t xml:space="preserve"> </w:t>
      </w:r>
      <w:r>
        <w:t xml:space="preserve">https://www.mckinsey.com/industries/financial-services/our-insights/scaling-gen-ai-in-banking-choosing-the-best-operating-model</w:t>
      </w:r>
    </w:p>
    <w:p>
      <w:pPr>
        <w:pStyle w:val="BodyText"/>
      </w:pPr>
      <w:hyperlink r:id="rId124">
        <w:r>
          <w:rPr>
            <w:rStyle w:val="Hyperlink"/>
          </w:rPr>
          <w:t xml:space="preserve">https://www.mckinsey.com/industries/financial-services/our-insights/scaling-gen-ai-in-banking-choosing-the-best-operating-model</w:t>
        </w:r>
      </w:hyperlink>
    </w:p>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assets.revolut.com/pdf/annualreport2024.pdf" TargetMode="External" /><Relationship Type="http://schemas.openxmlformats.org/officeDocument/2006/relationships/hyperlink" Id="rId123" Target="https://blog.stackaware.com/p/illinois-ai-video-interview-act-compliance-governance-human-resources-recruiting-risk" TargetMode="External" /><Relationship Type="http://schemas.openxmlformats.org/officeDocument/2006/relationships/hyperlink" Id="rId29" Target="https://data.aclum.org/storage/2025/01/EOCC_www_eeoc_gov_laws_guidance_select-issues-assessing-adverse-impact-software-algorithms-and-artificial.pdf" TargetMode="External" /><Relationship Type="http://schemas.openxmlformats.org/officeDocument/2006/relationships/hyperlink" Id="rId46" Target="https://leg.colorado.gov/bills/sb24-205" TargetMode="External" /><Relationship Type="http://schemas.openxmlformats.org/officeDocument/2006/relationships/hyperlink" Id="rId73" Target="https://newsroom.bankofamerica.com/content/newsroom/press-releases/2025/04/ai-adoption-by-bofa-s-global-workforce-improves-productivity--cl.html" TargetMode="External" /><Relationship Type="http://schemas.openxmlformats.org/officeDocument/2006/relationships/hyperlink" Id="rId30" Target="https://www.accenture.com/us-en/insights/banking/generative-ai-banking" TargetMode="External" /><Relationship Type="http://schemas.openxmlformats.org/officeDocument/2006/relationships/hyperlink" Id="rId60" Target="https://www.bis.org/publ/bcbs239.pdf" TargetMode="External" /><Relationship Type="http://schemas.openxmlformats.org/officeDocument/2006/relationships/hyperlink" Id="rId65" Target="https://www.brookings.edu/articles/measuring-us-workers-capacity-to-adapt-to-ai-driven-job-displacement/" TargetMode="External" /><Relationship Type="http://schemas.openxmlformats.org/officeDocument/2006/relationships/hyperlink" Id="rId34" Target="https://www.consumerfinance.gov/compliance/circulars/consumer-financial-protection-circular-2024-06-background-dossiers-and-algorithmic-scores-for-hiring-promotion-and-other-employment-decisions/" TargetMode="External" /><Relationship Type="http://schemas.openxmlformats.org/officeDocument/2006/relationships/hyperlink" Id="rId63" Target="https://www.dol.gov/general/topic/training/warn-reg-preamble" TargetMode="External" /><Relationship Type="http://schemas.openxmlformats.org/officeDocument/2006/relationships/hyperlink" Id="rId64" Target="https://www.eeoc.gov/laws/guidance/qa-understanding-waivers-discrimination-claims-employee-severance-agreements" TargetMode="External" /><Relationship Type="http://schemas.openxmlformats.org/officeDocument/2006/relationships/hyperlink" Id="rId101" Target="https://www.emarketer.com/content/klarna-backtracks-ai-customer-service-plans?utm_source=chatgpt.com" TargetMode="External" /><Relationship Type="http://schemas.openxmlformats.org/officeDocument/2006/relationships/hyperlink" Id="rId102" Target="https://www.federalreserve.gov/supervisionreg/srletters/sr2304a1.pdf" TargetMode="External" /><Relationship Type="http://schemas.openxmlformats.org/officeDocument/2006/relationships/hyperlink" Id="rId31" Target="https://www.ft.com/content/71e12f85-1edb-4156-8cb5-3fe8aef36d93" TargetMode="External" /><Relationship Type="http://schemas.openxmlformats.org/officeDocument/2006/relationships/hyperlink" Id="rId42" Target="https://www.gartner.com/en/newsroom/press-releases/2024-11-25-gartner-hype-cycle-for-hr-technology-highlights-innovations-that-deliver-greater-flexibility" TargetMode="External" /><Relationship Type="http://schemas.openxmlformats.org/officeDocument/2006/relationships/hyperlink" Id="rId28" Target="https://www.gartner.com/en/newsroom/press-releases/2025-10-16-ai-in-hr-separate-hype-from-reality-to-achieve-business-goals" TargetMode="External" /><Relationship Type="http://schemas.openxmlformats.org/officeDocument/2006/relationships/hyperlink" Id="rId35" Target="https://www.ilga.gov/Legislation/publicacts/view/101-0260" TargetMode="External" /><Relationship Type="http://schemas.openxmlformats.org/officeDocument/2006/relationships/hyperlink" Id="rId24" Target="https://www.klarna.com/international/press/klarna-ai-assistant-handles-two-thirds-of-customer-service-chats-in-its-first-month/?utm_source=chatgpt.com" TargetMode="External" /><Relationship Type="http://schemas.openxmlformats.org/officeDocument/2006/relationships/hyperlink" Id="rId27" Target="https://www.mckinsey.com/industries/financial-services/our-insights/extracting-value-from-ai-in-banking-rewiring-the-enterprise" TargetMode="External" /><Relationship Type="http://schemas.openxmlformats.org/officeDocument/2006/relationships/hyperlink" Id="rId124" Target="https://www.mckinsey.com/industries/financial-services/our-insights/scaling-gen-ai-in-banking-choosing-the-best-operating-model" TargetMode="External" /><Relationship Type="http://schemas.openxmlformats.org/officeDocument/2006/relationships/hyperlink" Id="rId56" Target="https://www.nlrb.gov/news-outreach/news-story/nlrb-general-counsel-issues-memo-on-unlawful-electronic-surveillance-and" TargetMode="External" /><Relationship Type="http://schemas.openxmlformats.org/officeDocument/2006/relationships/hyperlink" Id="rId26" Target="https://www.nyc.gov/site/dca/about/automated-employment-decision-tools.page" TargetMode="External" /><Relationship Type="http://schemas.openxmlformats.org/officeDocument/2006/relationships/hyperlink" Id="rId47" Target="https://www.nycbiasaudit.com/" TargetMode="External" /><Relationship Type="http://schemas.openxmlformats.org/officeDocument/2006/relationships/hyperlink" Id="rId75" Target="https://www.occ.gov/news-issuances/bulletins/2023/bulletin-2023-17.html" TargetMode="External" /><Relationship Type="http://schemas.openxmlformats.org/officeDocument/2006/relationships/hyperlink" Id="rId48" Target="https://www.orrick.com/en/Insights/2024/06/Colorado-Artificial-Intelligence-Act-5-Things-You-Should-Know" TargetMode="External" /><Relationship Type="http://schemas.openxmlformats.org/officeDocument/2006/relationships/hyperlink" Id="rId87" Target="https://www.osc.ny.gov/state-agencies/audits/2025/12/02/enforcement-local-law-144-automated-employment-decision-tools" TargetMode="External" /><Relationship Type="http://schemas.openxmlformats.org/officeDocument/2006/relationships/hyperlink" Id="rId100" Target="https://www.reuters.com/business/citigroups-ai-usage-frees-up-100000-hours-developers-week-2025-10-14/" TargetMode="External" /><Relationship Type="http://schemas.openxmlformats.org/officeDocument/2006/relationships/hyperlink" Id="rId25" Target="https://www.reuters.com/business/finance/bofa-says-ai-is-boosting-bankers-productivity-revenue-2025-11-17/" TargetMode="External" /><Relationship Type="http://schemas.openxmlformats.org/officeDocument/2006/relationships/hyperlink" Id="rId37" Target="https://www.reuters.com/business/finance/citigroup-says-reorganization-has-concluded-2024-03-25/" TargetMode="External" /><Relationship Type="http://schemas.openxmlformats.org/officeDocument/2006/relationships/hyperlink" Id="rId71" Target="https://www.reuters.com/business/finance/hsbc-taps-french-start-up-mistral-supercharge-generative-ai-rollout-2025-12-01/" TargetMode="External" /><Relationship Type="http://schemas.openxmlformats.org/officeDocument/2006/relationships/hyperlink" Id="rId22" Target="https://www.reuters.com/business/finance/us-bank-executives-say-ai-will-boost-productivity-cut-jobs-2025-12-09/" TargetMode="External" /><Relationship Type="http://schemas.openxmlformats.org/officeDocument/2006/relationships/hyperlink" Id="rId23" Target="https://www.reuters.com/business/finance/wells-fargo-sees-more-job-cuts-going-into-2026-2025-12-09/?utm_source=chatgpt.com" TargetMode="External" /><Relationship Type="http://schemas.openxmlformats.org/officeDocument/2006/relationships/hyperlink" Id="rId70" Target="https://www.reuters.com/business/world-at-work/goldman-sachs-eyes-job-cuts-hiring-slowdown-amid-ai-push-memo-shows-2025-10-14/" TargetMode="External" /><Relationship Type="http://schemas.openxmlformats.org/officeDocument/2006/relationships/hyperlink" Id="rId40" Target="https://www.reuters.com/legal/government/eeoc-signaling-crackdown-dei-under-trump-says-some-policies-are-illegal-2025-03-20/" TargetMode="External" /><Relationship Type="http://schemas.openxmlformats.org/officeDocument/2006/relationships/hyperlink" Id="rId77" Target="https://www.reuters.com/technology/artificial-intelligence/citigroup-rolls-out-artificial-intelligence-tools-employees-eight-countries-2024-12-04/" TargetMode="External" /><Relationship Type="http://schemas.openxmlformats.org/officeDocument/2006/relationships/hyperlink" Id="rId69" Target="https://www.reuters.com/technology/artificial-intelligence/goldman-sachs-hires-amazon-exec-senior-ai-engineering-role-2025-01-29/" TargetMode="External" /><Relationship Type="http://schemas.openxmlformats.org/officeDocument/2006/relationships/hyperlink" Id="rId33" Target="https://www.reuters.com/technology/artificial-intelligence/jpmorgan-engineers-efficiency-jumps-much-20-using-coding-assistant-2025-03-13/" TargetMode="External" /><Relationship Type="http://schemas.openxmlformats.org/officeDocument/2006/relationships/hyperlink" Id="rId21" Target="https://www.reuters.com/technology/artificial-intelligence/jpmorgan-launches-in-house-chatbot-ai-based-research-analyst-ft-reports-2024-07-26/" TargetMode="External" /><Relationship Type="http://schemas.openxmlformats.org/officeDocument/2006/relationships/hyperlink" Id="rId32" Target="https://www.reuters.com/technology/ibm-pause-hiring-plans-replace-7800-jobs-with-ai-bloomberg-news-2023-05-01/" TargetMode="External" /><Relationship Type="http://schemas.openxmlformats.org/officeDocument/2006/relationships/hyperlink" Id="rId78" Target="https://www.reuters.com/world/citigroup-lay-off-more-employees-march-sources-say-2026-01-23/" TargetMode="External" /><Relationship Type="http://schemas.openxmlformats.org/officeDocument/2006/relationships/hyperlink" Id="rId118" Target="https://www.sec.gov/rules-regulations/2025/06/s7-12-23" TargetMode="External" /><Relationship Type="http://schemas.openxmlformats.org/officeDocument/2006/relationships/hyperlink" Id="rId53" Target="https://www.servicenow.com/content/dam/servicenow-assets/public/en-us/doc-type/resource-center/analyst-report/ar-forrester-tei-hrsd.pdf" TargetMode="External" /><Relationship Type="http://schemas.openxmlformats.org/officeDocument/2006/relationships/hyperlink" Id="rId36" Target="https://www.theguardian.com/us-news/2026/feb/08/ai-washing-job-losses-artificial-intelligence?utm_source=chatgpt.com" TargetMode="External" /><Relationship Type="http://schemas.openxmlformats.org/officeDocument/2006/relationships/hyperlink" Id="rId114" Target="https://www.tomshardware.com/tech-industry/artificial-intelligence/95-percent-of-generative-ai-implementations-in-enterprise-have-no-measurable-impact-on-p-and-l-says-mit-flawed-integration-key-reason-why-ai-projects-underperform" TargetMode="External" /><Relationship Type="http://schemas.openxmlformats.org/officeDocument/2006/relationships/hyperlink" Id="rId51" Target="https://www.wellsfargo.com/assets/pdf/about/investor-relations/sec-filings/2024/10k.pdf" TargetMode="External" /></Relationships>
</file>

<file path=word/_rels/footnotes.xml.rels><?xml version="1.0" encoding="UTF-8"?><Relationships xmlns="http://schemas.openxmlformats.org/package/2006/relationships"><Relationship Type="http://schemas.openxmlformats.org/officeDocument/2006/relationships/hyperlink" Id="rId80" Target="https://assets.revolut.com/pdf/annualreport2024.pdf" TargetMode="External" /><Relationship Type="http://schemas.openxmlformats.org/officeDocument/2006/relationships/hyperlink" Id="rId123" Target="https://blog.stackaware.com/p/illinois-ai-video-interview-act-compliance-governance-human-resources-recruiting-risk" TargetMode="External" /><Relationship Type="http://schemas.openxmlformats.org/officeDocument/2006/relationships/hyperlink" Id="rId29" Target="https://data.aclum.org/storage/2025/01/EOCC_www_eeoc_gov_laws_guidance_select-issues-assessing-adverse-impact-software-algorithms-and-artificial.pdf" TargetMode="External" /><Relationship Type="http://schemas.openxmlformats.org/officeDocument/2006/relationships/hyperlink" Id="rId46" Target="https://leg.colorado.gov/bills/sb24-205" TargetMode="External" /><Relationship Type="http://schemas.openxmlformats.org/officeDocument/2006/relationships/hyperlink" Id="rId73" Target="https://newsroom.bankofamerica.com/content/newsroom/press-releases/2025/04/ai-adoption-by-bofa-s-global-workforce-improves-productivity--cl.html" TargetMode="External" /><Relationship Type="http://schemas.openxmlformats.org/officeDocument/2006/relationships/hyperlink" Id="rId30" Target="https://www.accenture.com/us-en/insights/banking/generative-ai-banking" TargetMode="External" /><Relationship Type="http://schemas.openxmlformats.org/officeDocument/2006/relationships/hyperlink" Id="rId60" Target="https://www.bis.org/publ/bcbs239.pdf" TargetMode="External" /><Relationship Type="http://schemas.openxmlformats.org/officeDocument/2006/relationships/hyperlink" Id="rId65" Target="https://www.brookings.edu/articles/measuring-us-workers-capacity-to-adapt-to-ai-driven-job-displacement/" TargetMode="External" /><Relationship Type="http://schemas.openxmlformats.org/officeDocument/2006/relationships/hyperlink" Id="rId34" Target="https://www.consumerfinance.gov/compliance/circulars/consumer-financial-protection-circular-2024-06-background-dossiers-and-algorithmic-scores-for-hiring-promotion-and-other-employment-decisions/" TargetMode="External" /><Relationship Type="http://schemas.openxmlformats.org/officeDocument/2006/relationships/hyperlink" Id="rId63" Target="https://www.dol.gov/general/topic/training/warn-reg-preamble" TargetMode="External" /><Relationship Type="http://schemas.openxmlformats.org/officeDocument/2006/relationships/hyperlink" Id="rId64" Target="https://www.eeoc.gov/laws/guidance/qa-understanding-waivers-discrimination-claims-employee-severance-agreements" TargetMode="External" /><Relationship Type="http://schemas.openxmlformats.org/officeDocument/2006/relationships/hyperlink" Id="rId101" Target="https://www.emarketer.com/content/klarna-backtracks-ai-customer-service-plans?utm_source=chatgpt.com" TargetMode="External" /><Relationship Type="http://schemas.openxmlformats.org/officeDocument/2006/relationships/hyperlink" Id="rId102" Target="https://www.federalreserve.gov/supervisionreg/srletters/sr2304a1.pdf" TargetMode="External" /><Relationship Type="http://schemas.openxmlformats.org/officeDocument/2006/relationships/hyperlink" Id="rId31" Target="https://www.ft.com/content/71e12f85-1edb-4156-8cb5-3fe8aef36d93" TargetMode="External" /><Relationship Type="http://schemas.openxmlformats.org/officeDocument/2006/relationships/hyperlink" Id="rId42" Target="https://www.gartner.com/en/newsroom/press-releases/2024-11-25-gartner-hype-cycle-for-hr-technology-highlights-innovations-that-deliver-greater-flexibility" TargetMode="External" /><Relationship Type="http://schemas.openxmlformats.org/officeDocument/2006/relationships/hyperlink" Id="rId28" Target="https://www.gartner.com/en/newsroom/press-releases/2025-10-16-ai-in-hr-separate-hype-from-reality-to-achieve-business-goals" TargetMode="External" /><Relationship Type="http://schemas.openxmlformats.org/officeDocument/2006/relationships/hyperlink" Id="rId35" Target="https://www.ilga.gov/Legislation/publicacts/view/101-0260" TargetMode="External" /><Relationship Type="http://schemas.openxmlformats.org/officeDocument/2006/relationships/hyperlink" Id="rId24" Target="https://www.klarna.com/international/press/klarna-ai-assistant-handles-two-thirds-of-customer-service-chats-in-its-first-month/?utm_source=chatgpt.com" TargetMode="External" /><Relationship Type="http://schemas.openxmlformats.org/officeDocument/2006/relationships/hyperlink" Id="rId27" Target="https://www.mckinsey.com/industries/financial-services/our-insights/extracting-value-from-ai-in-banking-rewiring-the-enterprise" TargetMode="External" /><Relationship Type="http://schemas.openxmlformats.org/officeDocument/2006/relationships/hyperlink" Id="rId124" Target="https://www.mckinsey.com/industries/financial-services/our-insights/scaling-gen-ai-in-banking-choosing-the-best-operating-model" TargetMode="External" /><Relationship Type="http://schemas.openxmlformats.org/officeDocument/2006/relationships/hyperlink" Id="rId56" Target="https://www.nlrb.gov/news-outreach/news-story/nlrb-general-counsel-issues-memo-on-unlawful-electronic-surveillance-and" TargetMode="External" /><Relationship Type="http://schemas.openxmlformats.org/officeDocument/2006/relationships/hyperlink" Id="rId26" Target="https://www.nyc.gov/site/dca/about/automated-employment-decision-tools.page" TargetMode="External" /><Relationship Type="http://schemas.openxmlformats.org/officeDocument/2006/relationships/hyperlink" Id="rId47" Target="https://www.nycbiasaudit.com/" TargetMode="External" /><Relationship Type="http://schemas.openxmlformats.org/officeDocument/2006/relationships/hyperlink" Id="rId75" Target="https://www.occ.gov/news-issuances/bulletins/2023/bulletin-2023-17.html" TargetMode="External" /><Relationship Type="http://schemas.openxmlformats.org/officeDocument/2006/relationships/hyperlink" Id="rId48" Target="https://www.orrick.com/en/Insights/2024/06/Colorado-Artificial-Intelligence-Act-5-Things-You-Should-Know" TargetMode="External" /><Relationship Type="http://schemas.openxmlformats.org/officeDocument/2006/relationships/hyperlink" Id="rId87" Target="https://www.osc.ny.gov/state-agencies/audits/2025/12/02/enforcement-local-law-144-automated-employment-decision-tools" TargetMode="External" /><Relationship Type="http://schemas.openxmlformats.org/officeDocument/2006/relationships/hyperlink" Id="rId100" Target="https://www.reuters.com/business/citigroups-ai-usage-frees-up-100000-hours-developers-week-2025-10-14/" TargetMode="External" /><Relationship Type="http://schemas.openxmlformats.org/officeDocument/2006/relationships/hyperlink" Id="rId25" Target="https://www.reuters.com/business/finance/bofa-says-ai-is-boosting-bankers-productivity-revenue-2025-11-17/" TargetMode="External" /><Relationship Type="http://schemas.openxmlformats.org/officeDocument/2006/relationships/hyperlink" Id="rId37" Target="https://www.reuters.com/business/finance/citigroup-says-reorganization-has-concluded-2024-03-25/" TargetMode="External" /><Relationship Type="http://schemas.openxmlformats.org/officeDocument/2006/relationships/hyperlink" Id="rId71" Target="https://www.reuters.com/business/finance/hsbc-taps-french-start-up-mistral-supercharge-generative-ai-rollout-2025-12-01/" TargetMode="External" /><Relationship Type="http://schemas.openxmlformats.org/officeDocument/2006/relationships/hyperlink" Id="rId22" Target="https://www.reuters.com/business/finance/us-bank-executives-say-ai-will-boost-productivity-cut-jobs-2025-12-09/" TargetMode="External" /><Relationship Type="http://schemas.openxmlformats.org/officeDocument/2006/relationships/hyperlink" Id="rId23" Target="https://www.reuters.com/business/finance/wells-fargo-sees-more-job-cuts-going-into-2026-2025-12-09/?utm_source=chatgpt.com" TargetMode="External" /><Relationship Type="http://schemas.openxmlformats.org/officeDocument/2006/relationships/hyperlink" Id="rId70" Target="https://www.reuters.com/business/world-at-work/goldman-sachs-eyes-job-cuts-hiring-slowdown-amid-ai-push-memo-shows-2025-10-14/" TargetMode="External" /><Relationship Type="http://schemas.openxmlformats.org/officeDocument/2006/relationships/hyperlink" Id="rId40" Target="https://www.reuters.com/legal/government/eeoc-signaling-crackdown-dei-under-trump-says-some-policies-are-illegal-2025-03-20/" TargetMode="External" /><Relationship Type="http://schemas.openxmlformats.org/officeDocument/2006/relationships/hyperlink" Id="rId77" Target="https://www.reuters.com/technology/artificial-intelligence/citigroup-rolls-out-artificial-intelligence-tools-employees-eight-countries-2024-12-04/" TargetMode="External" /><Relationship Type="http://schemas.openxmlformats.org/officeDocument/2006/relationships/hyperlink" Id="rId69" Target="https://www.reuters.com/technology/artificial-intelligence/goldman-sachs-hires-amazon-exec-senior-ai-engineering-role-2025-01-29/" TargetMode="External" /><Relationship Type="http://schemas.openxmlformats.org/officeDocument/2006/relationships/hyperlink" Id="rId33" Target="https://www.reuters.com/technology/artificial-intelligence/jpmorgan-engineers-efficiency-jumps-much-20-using-coding-assistant-2025-03-13/" TargetMode="External" /><Relationship Type="http://schemas.openxmlformats.org/officeDocument/2006/relationships/hyperlink" Id="rId21" Target="https://www.reuters.com/technology/artificial-intelligence/jpmorgan-launches-in-house-chatbot-ai-based-research-analyst-ft-reports-2024-07-26/" TargetMode="External" /><Relationship Type="http://schemas.openxmlformats.org/officeDocument/2006/relationships/hyperlink" Id="rId32" Target="https://www.reuters.com/technology/ibm-pause-hiring-plans-replace-7800-jobs-with-ai-bloomberg-news-2023-05-01/" TargetMode="External" /><Relationship Type="http://schemas.openxmlformats.org/officeDocument/2006/relationships/hyperlink" Id="rId78" Target="https://www.reuters.com/world/citigroup-lay-off-more-employees-march-sources-say-2026-01-23/" TargetMode="External" /><Relationship Type="http://schemas.openxmlformats.org/officeDocument/2006/relationships/hyperlink" Id="rId118" Target="https://www.sec.gov/rules-regulations/2025/06/s7-12-23" TargetMode="External" /><Relationship Type="http://schemas.openxmlformats.org/officeDocument/2006/relationships/hyperlink" Id="rId53" Target="https://www.servicenow.com/content/dam/servicenow-assets/public/en-us/doc-type/resource-center/analyst-report/ar-forrester-tei-hrsd.pdf" TargetMode="External" /><Relationship Type="http://schemas.openxmlformats.org/officeDocument/2006/relationships/hyperlink" Id="rId36" Target="https://www.theguardian.com/us-news/2026/feb/08/ai-washing-job-losses-artificial-intelligence?utm_source=chatgpt.com" TargetMode="External" /><Relationship Type="http://schemas.openxmlformats.org/officeDocument/2006/relationships/hyperlink" Id="rId114" Target="https://www.tomshardware.com/tech-industry/artificial-intelligence/95-percent-of-generative-ai-implementations-in-enterprise-have-no-measurable-impact-on-p-and-l-says-mit-flawed-integration-key-reason-why-ai-projects-underperform" TargetMode="External" /><Relationship Type="http://schemas.openxmlformats.org/officeDocument/2006/relationships/hyperlink" Id="rId51" Target="https://www.wellsfargo.com/assets/pdf/about/investor-relations/sec-filings/2024/10k.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2026-02-10T19:46:56Z</dcterms:created>
  <dcterms:modified xsi:type="dcterms:W3CDTF">2026-02-10T19:46:56Z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