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DEFINITIVE GUIDE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6B"/>
          <w:sz w:val="48"/>
          <w:szCs w:val="48"/>
        </w:rPr>
        <w:t xml:space="preserve">Driver-Level Taxonomy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6B"/>
          <w:sz w:val="48"/>
          <w:szCs w:val="48"/>
        </w:rPr>
        <w:t xml:space="preserve">Across All Asset Classes</w:t>
      </w:r>
    </w:p>
    <w:p>
      <w:pPr>
        <w:spacing w:before="200"/>
        <w:jc w:val="center"/>
      </w:pPr>
      <w:r>
        <w:rPr>
          <w:color w:val="3B6FA0"/>
          <w:sz w:val="28"/>
          <w:szCs w:val="28"/>
        </w:rPr>
        <w:t xml:space="preserve">────────────────────────────────────────</w:t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Reference for Stress Testing, VaR, &amp; Risk Management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CIB Market Risk | Schedule F Aligned | Regulatory Ready</w:t>
      </w:r>
    </w:p>
    <w:p>
      <w:pPr>
        <w:spacing w:before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I:    Foundation &amp;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1.  Core Design Philosophy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2.  Naming Convention &amp; Parsing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3.  Shift Type Rules (Relative vs. Absolute)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4.  Sensitivity Mapping (Driver to Greek)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II:   Asset Class Taxonomies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5.  Equity (EQ) — 7 Dimensions, 8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6.  Credit / Corporate (CP) — 9 Dimensions, 10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7.  Rates (RT) — 8 Dimensions, 7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8.  FX — 6 Dimensions, 6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9.  Commodities (CO) — 6 Dimensions, 9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10. Volatility (VOL) — 5 Dimensions, 6 Driver Types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11. Securitized Products — Special Taxonomy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12. Municipals — Special Taxonomy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III:  Cross-Cutting Frameworks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13. Hierarchical Propagation (Top-Down / Bottom-Up)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14. Beta &amp; Multiplier Framework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15. Tenor Structure by Asset Class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16. Severity Calibration (Moderate vs. Severe)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17. Horizon Framework (Instantaneous to 9Q)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IV:   Scenario Design Integration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18. Narrative-to-Driver Translation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19. Coherence Constraints &amp; Cross-Asset Logic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20. Schedule F Alignment &amp; Regulatory Mapping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Appendices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A.  Master Shift Type Reference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B.  Complete Driver Type Catalog (All 49 Types)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C.  Dimension Lookup Tables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  D.  Historical Calibration Anchors</w:t>
      </w:r>
    </w:p>
    <w:p>
      <w:r>
        <w:br w:type="page"/>
      </w:r>
    </w:p>
    <w:p>
      <w:pPr>
        <w:pStyle w:val="Heading1"/>
      </w:pPr>
      <w:r>
        <w:t xml:space="preserve">PART I: FOUNDATION &amp; ARCHITECTURE</w:t>
      </w:r>
    </w:p>
    <w:p>
      <w:pPr>
        <w:spacing w:after="80"/>
      </w:pPr>
    </w:p>
    <w:p>
      <w:pPr>
        <w:pStyle w:val="Heading2"/>
      </w:pPr>
      <w:r>
        <w:t xml:space="preserve">1. Core Design Philosophy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driver-level taxonomy is the single source of truth that maps every risk factor in a CIB trading book to a structured, parseable, shock-ready identifier. It answers one question: given a stress narrative, what exact shock does every single position receive, and why?</w:t>
      </w:r>
    </w:p>
    <w:p>
      <w:pPr>
        <w:spacing w:after="80"/>
      </w:pPr>
    </w:p>
    <w:p>
      <w:pPr>
        <w:pStyle w:val="Heading3"/>
      </w:pPr>
      <w:r>
        <w:t xml:space="preserve">1.1 The Three Pillars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Prevents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Coherence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shock must tell a consistent economic narrative. Shocks reflect plausible causal relationships across markets.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Contradictory shocks (e.g., USD rallying while gold rallies in risk-off)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material risk driver in the portfolio receives a shock. No gaps. Requires a full driver taxonomy before scenario design.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Unshocked tail positions that blow up in stress (the 2008 lesson)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Calibration Integrity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Severity levels anchored to empirical distributions or defensible hypothetical reasoning, never arbitrary.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"Made-up" shocks that are either too gentle or absurdly extreme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1.2 The Dual-Direction Principle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well-designed scenario operates on two axes simultaneously: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Top-Down (Strategic)</w:t>
            </w:r>
          </w:p>
        </w:tc>
        <w:tc>
          <w:tcPr>
            <w:tcW w:type="dxa" w:w="4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Narrative → Asset Class Themes → Factor Movements → Driver Shocks</w:t>
            </w:r>
          </w:p>
        </w:tc>
        <w:tc>
          <w:tcPr>
            <w:tcW w:type="dxa" w:w="2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Ensures narrative coherence and completeness</w:t>
            </w:r>
          </w:p>
        </w:tc>
      </w:tr>
      <w:tr>
        <w:tc>
          <w:tcPr>
            <w:tcW w:type="dxa" w:w="2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Bottom-Up (Tactical)</w:t>
            </w:r>
          </w:p>
        </w:tc>
        <w:tc>
          <w:tcPr>
            <w:tcW w:type="dxa" w:w="4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 P&amp;L → Desk Aggregation → Risk Driver Shocks → Validation</w:t>
            </w:r>
          </w:p>
        </w:tc>
        <w:tc>
          <w:tcPr>
            <w:tcW w:type="dxa" w:w="2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Ensures shocks produce realistic P&amp;L outcomes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two directions must reconcile. If your top-down narrative says "risk-off" but bottom-up P&amp;L shows the credit desk gaining, something is wrong.</w:t>
      </w:r>
    </w:p>
    <w:p>
      <w:pPr>
        <w:spacing w:after="80"/>
      </w:pPr>
    </w:p>
    <w:p>
      <w:pPr>
        <w:pStyle w:val="Heading3"/>
      </w:pPr>
      <w:r>
        <w:t xml:space="preserve">1.3 The Four-Layer Translation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 Narrative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Macroeconomic storyline and stress context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"AI Bubble Severe Correction with Credit Contagion"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 Driver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Fundamental economic/market variable shocks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S&amp;P 500 -32%, IG OAS +175bp, VIX +28 pts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 Sensitivity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Asset-class-specific risk factors mapped to Schedule F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DV01, CS01, Equity Delta, FX Delta, Vega, Gamma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 Impact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P&amp;L, RWA, and capital impacts by business line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-$450M Equity, -$280M Credit, +$90M Rates (hedge)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Naming Convention &amp; Parsing Architecture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risk driver in the taxonomy receives a dot-separated identifier. The critical innovation: different asset classes have different numbers of dimensions, and parsing is done by dimension recognition, not position counting.</w:t>
      </w:r>
    </w:p>
    <w:p>
      <w:pPr>
        <w:spacing w:after="80"/>
      </w:pPr>
    </w:p>
    <w:p>
      <w:pPr>
        <w:pStyle w:val="Heading3"/>
      </w:pPr>
      <w:r>
        <w:t xml:space="preserve">2.1 Universal Format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{ASSET_CLASS}.{DIM_1}.{DIM_2}. ... .{DIM_N}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number of dimensions varies by asset class. A driver can have 2 parts or 9 parts. The parser recognizes what each part is by its value, not by its position in the string.</w:t>
      </w:r>
    </w:p>
    <w:p>
      <w:pPr>
        <w:spacing w:after="80"/>
      </w:pPr>
    </w:p>
    <w:p>
      <w:pPr>
        <w:pStyle w:val="Heading3"/>
      </w:pPr>
      <w:r>
        <w:t xml:space="preserve">2.2 Dimension Count by Asset Class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2200"/>
        <w:gridCol w:w="33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Dims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Dims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(Min)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(Max)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(EQ)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EQ.SPX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EQ.DM.US.Tech.Semis.Large.NVDA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(CP)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CP.IG.OAS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CP.US.IG.BBB.Tech.Semis.Senior.Unsec.5Y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(RT)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RT.UST.10Y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RT.IRS.SOFR.USD.5Y5Y.FWD.IMM.LCH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FX.DXY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FX.EURUSD.VOL.25D.3M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Commodities (CO)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CO.WTI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CO.WTI.M1.M2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(VOL)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VOL.VIX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VOL.SPX.25P.3M.SKEW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Parsing Logic: Dimension Recognition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Instead of "part 3 is always sector," the parser asks "what type is this value?" This enables flexible, variable-length driver IDs: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Ratings: </w:t>
      </w:r>
      <w:r>
        <w:rPr>
          <w:rFonts w:ascii="Arial" w:cs="Arial" w:eastAsia="Arial" w:hAnsi="Arial"/>
          <w:sz w:val="22"/>
          <w:szCs w:val="22"/>
        </w:rPr>
        <w:t xml:space="preserve">Recognized from set {AAA, AA+, AA, AA-, A+, A, A-, BBB+, BBB, BBB-, BB+, BB, BB-, B+, B, B-, CCC+, CCC, CCC-, CC, C, 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Tenors: </w:t>
      </w:r>
      <w:r>
        <w:rPr>
          <w:rFonts w:ascii="Arial" w:cs="Arial" w:eastAsia="Arial" w:hAnsi="Arial"/>
          <w:sz w:val="22"/>
          <w:szCs w:val="22"/>
        </w:rPr>
        <w:t xml:space="preserve">Pattern match: digit(s) + D/W/M/Y (e.g., 5Y, 3M, 10Y, ON, 1W)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Sectors: </w:t>
      </w:r>
      <w:r>
        <w:rPr>
          <w:rFonts w:ascii="Arial" w:cs="Arial" w:eastAsia="Arial" w:hAnsi="Arial"/>
          <w:sz w:val="22"/>
          <w:szCs w:val="22"/>
        </w:rPr>
        <w:t xml:space="preserve">Lookup in GICS table (Technology, Financials, Energy, Healthcare,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Countries: </w:t>
      </w:r>
      <w:r>
        <w:rPr>
          <w:rFonts w:ascii="Arial" w:cs="Arial" w:eastAsia="Arial" w:hAnsi="Arial"/>
          <w:sz w:val="22"/>
          <w:szCs w:val="22"/>
        </w:rPr>
        <w:t xml:space="preserve">ISO 2-letter codes (US, GB, DE, JP, CN, KR,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Regions: </w:t>
      </w:r>
      <w:r>
        <w:rPr>
          <w:rFonts w:ascii="Arial" w:cs="Arial" w:eastAsia="Arial" w:hAnsi="Arial"/>
          <w:sz w:val="22"/>
          <w:szCs w:val="22"/>
        </w:rPr>
        <w:t xml:space="preserve">{DM, EM, APAC, EMEA, LATAM, G10, Frontier}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Seniority: </w:t>
      </w:r>
      <w:r>
        <w:rPr>
          <w:rFonts w:ascii="Arial" w:cs="Arial" w:eastAsia="Arial" w:hAnsi="Arial"/>
          <w:sz w:val="22"/>
          <w:szCs w:val="22"/>
        </w:rPr>
        <w:t xml:space="preserve">{Senior, Subordinated, Junior, Mezzanine, Equity}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Secured: </w:t>
      </w:r>
      <w:r>
        <w:rPr>
          <w:rFonts w:ascii="Arial" w:cs="Arial" w:eastAsia="Arial" w:hAnsi="Arial"/>
          <w:sz w:val="22"/>
          <w:szCs w:val="22"/>
        </w:rPr>
        <w:t xml:space="preserve">{Secured, Unsecured, 1stLien, 2ndLien, Collateralized}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Context-Aware Disambiguation: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"EUR" in FX context: </w:t>
      </w:r>
      <w:r>
        <w:rPr>
          <w:rFonts w:ascii="Arial" w:cs="Arial" w:eastAsia="Arial" w:hAnsi="Arial"/>
          <w:sz w:val="22"/>
          <w:szCs w:val="22"/>
        </w:rPr>
        <w:t xml:space="preserve">base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"EUR" in Options context: </w:t>
      </w:r>
      <w:r>
        <w:rPr>
          <w:rFonts w:ascii="Arial" w:cs="Arial" w:eastAsia="Arial" w:hAnsi="Arial"/>
          <w:sz w:val="22"/>
          <w:szCs w:val="22"/>
        </w:rPr>
        <w:t xml:space="preserve">exercise style (European)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"M1" in Commodity context: </w:t>
      </w:r>
      <w:r>
        <w:rPr>
          <w:rFonts w:ascii="Arial" w:cs="Arial" w:eastAsia="Arial" w:hAnsi="Arial"/>
          <w:sz w:val="22"/>
          <w:szCs w:val="22"/>
        </w:rPr>
        <w:t xml:space="preserve">front-month contract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"M1" in Rates context: </w:t>
      </w:r>
      <w:r>
        <w:rPr>
          <w:rFonts w:ascii="Arial" w:cs="Arial" w:eastAsia="Arial" w:hAnsi="Arial"/>
          <w:sz w:val="22"/>
          <w:szCs w:val="22"/>
        </w:rPr>
        <w:t xml:space="preserve">1-month tenor</w:t>
      </w:r>
    </w:p>
    <w:p>
      <w:pPr>
        <w:spacing w:after="80"/>
      </w:pPr>
    </w:p>
    <w:p>
      <w:pPr>
        <w:pStyle w:val="Heading3"/>
      </w:pPr>
      <w:r>
        <w:t xml:space="preserve">2.4 Graceful Degradation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If the parser cannot recognize a part, it still parses everything else and flags the unknown dimension as a warning. The driver still receives a shock via propagation from its recognized parent.</w:t>
      </w:r>
    </w:p>
    <w:p>
      <w:r>
        <w:br w:type="page"/>
      </w:r>
    </w:p>
    <w:p>
      <w:pPr>
        <w:pStyle w:val="Heading2"/>
      </w:pPr>
      <w:r>
        <w:t xml:space="preserve">3. Shift Type Rules (Relative vs. Absolute)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one of the most critical distinctions in the entire framework. Getting shift types wrong produces nonsensical stressed levels.</w:t>
      </w:r>
    </w:p>
    <w:p>
      <w:pPr>
        <w:spacing w:after="80"/>
      </w:pPr>
    </w:p>
    <w:p>
      <w:pPr>
        <w:pStyle w:val="Heading3"/>
      </w:pPr>
      <w:r>
        <w:t xml:space="preserve">3.1 The Universal Rule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000"/>
        <w:gridCol w:w="3760"/>
      </w:tblGrid>
      <w:tr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Type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 Type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Prices in Dollars (Equity, FX, Commodity)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$20 drop means different things at $80 vs $200. Percentage preserves severity.</w:t>
            </w:r>
          </w:p>
        </w:tc>
      </w:tr>
      <w:tr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&amp; Spreads in Basis Points (Credit, Rates)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100bp widening is equally severe whether starting at 100bp or 300bp.</w:t>
            </w:r>
          </w:p>
        </w:tc>
      </w:tr>
      <w:tr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Volatility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3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is already a normalized measure. Adding points preserves the shock meaning.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 Why This Matters: Worked Examples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Equity (RELATIVE correct):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NVDA at $140: </w:t>
      </w:r>
      <w:r>
        <w:rPr>
          <w:rFonts w:ascii="Arial" w:cs="Arial" w:eastAsia="Arial" w:hAnsi="Arial"/>
          <w:sz w:val="22"/>
          <w:szCs w:val="22"/>
        </w:rPr>
        <w:t xml:space="preserve">shock -45% → stressed $77 — same severity as...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NVDA at $900: </w:t>
      </w:r>
      <w:r>
        <w:rPr>
          <w:rFonts w:ascii="Arial" w:cs="Arial" w:eastAsia="Arial" w:hAnsi="Arial"/>
          <w:sz w:val="22"/>
          <w:szCs w:val="22"/>
        </w:rPr>
        <w:t xml:space="preserve">shock -45% → stressed $495 — proportional demand destruction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used ABSOLUTE -$63: </w:t>
      </w:r>
      <w:r>
        <w:rPr>
          <w:rFonts w:ascii="Arial" w:cs="Arial" w:eastAsia="Arial" w:hAnsi="Arial"/>
          <w:sz w:val="22"/>
          <w:szCs w:val="22"/>
        </w:rPr>
        <w:t xml:space="preserve">at $140 that is -45%, but at $900 it is only -7%. Totally wrong.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Spreads (ABSOLUTE correct):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 OAS at 90bp: </w:t>
      </w:r>
      <w:r>
        <w:rPr>
          <w:rFonts w:ascii="Arial" w:cs="Arial" w:eastAsia="Arial" w:hAnsi="Arial"/>
          <w:sz w:val="22"/>
          <w:szCs w:val="22"/>
        </w:rPr>
        <w:t xml:space="preserve">shock +175bp → stressed 265bp — GFC-like widening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 OAS at 200bp: </w:t>
      </w:r>
      <w:r>
        <w:rPr>
          <w:rFonts w:ascii="Arial" w:cs="Arial" w:eastAsia="Arial" w:hAnsi="Arial"/>
          <w:sz w:val="22"/>
          <w:szCs w:val="22"/>
        </w:rPr>
        <w:t xml:space="preserve">shock +175bp → stressed 375bp — same additive stress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used RELATIVE +194%: </w:t>
      </w:r>
      <w:r>
        <w:rPr>
          <w:rFonts w:ascii="Arial" w:cs="Arial" w:eastAsia="Arial" w:hAnsi="Arial"/>
          <w:sz w:val="22"/>
          <w:szCs w:val="22"/>
        </w:rPr>
        <w:t xml:space="preserve">at 90bp you get 265bp fine, but at 200bp you get 588bp (absurdly wide)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Volatility (ABSOLUTE correct):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VIX at 14: </w:t>
      </w:r>
      <w:r>
        <w:rPr>
          <w:rFonts w:ascii="Arial" w:cs="Arial" w:eastAsia="Arial" w:hAnsi="Arial"/>
          <w:sz w:val="22"/>
          <w:szCs w:val="22"/>
        </w:rPr>
        <w:t xml:space="preserve">shock +28 pts → stressed 42 — panic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VIX at 25: </w:t>
      </w:r>
      <w:r>
        <w:rPr>
          <w:rFonts w:ascii="Arial" w:cs="Arial" w:eastAsia="Arial" w:hAnsi="Arial"/>
          <w:sz w:val="22"/>
          <w:szCs w:val="22"/>
        </w:rPr>
        <w:t xml:space="preserve">shock +28 pts → stressed 53 — extreme panic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used RELATIVE +200%: </w:t>
      </w:r>
      <w:r>
        <w:rPr>
          <w:rFonts w:ascii="Arial" w:cs="Arial" w:eastAsia="Arial" w:hAnsi="Arial"/>
          <w:sz w:val="22"/>
          <w:szCs w:val="22"/>
        </w:rPr>
        <w:t xml:space="preserve">at VIX 14 you get 42 fine, but at VIX 25 you get 75 (VIX has never been sustained there)</w:t>
      </w:r>
    </w:p>
    <w:p>
      <w:pPr>
        <w:spacing w:after="80"/>
      </w:pPr>
    </w:p>
    <w:p>
      <w:pPr>
        <w:pStyle w:val="Heading3"/>
      </w:pPr>
      <w:r>
        <w:t xml:space="preserve">3.3 Master Shift Type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Price/Rate Driver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Driver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Trick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(Equity)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(%)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 dollars → relative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 (Credit)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(bp)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in bp → absolute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 (Rates)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(bp)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 in bp → absolute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(%)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 dollars → relative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 (Commodity)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(%)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 dollars → relative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 (vol pts)</w:t>
            </w:r>
          </w:p>
        </w:tc>
        <w:tc>
          <w:tcPr>
            <w:tcW w:type="dxa" w:w="2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is always absolute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The memory trick: If it is a price quoted in dollars, use RELATIVE. If it is a rate or spread quoted in basis points, use ABSOLUTE. Volatility is always ABSOLUTE.</w:t>
      </w:r>
    </w:p>
    <w:p>
      <w:r>
        <w:br w:type="page"/>
      </w:r>
    </w:p>
    <w:p>
      <w:pPr>
        <w:pStyle w:val="Heading2"/>
      </w:pPr>
      <w:r>
        <w:t xml:space="preserve">4. Sensitivity Mapping (Driver to Greek)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driver shock must ultimately flow through to a P&amp;L impact. This requires mapping each driver type to the appropriate risk sensitivity (Greek) that the trading desk reports.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Type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(Greek)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Formula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Price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 (Δ)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Delta × ΔS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Vega (ν)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Vega × Δσ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Spread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CS01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CS01 × ΔSpread (bp)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Prob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JTD (Jump-to-Default)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Notional × (1 - Recovery)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Yield/Rate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DV01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DV01 × ΔYield (bp)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Swaption Vol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Vega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Vega × ΔVol (bp)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Rate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Delta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FXDelta × ΔRate (%)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Vol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Vega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FXVega × ΔVol (pts)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Spot/Future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Delta × ΔPrice (%)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Vol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Vega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P&amp;L ≈ Vega × ΔVol (pts)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Second-order effects (Gamma, Cross-Gamma, Convexity) must also be captured for large shocks, particularly in options-heavy books.</w:t>
      </w:r>
    </w:p>
    <w:p>
      <w:r>
        <w:br w:type="page"/>
      </w:r>
    </w:p>
    <w:p>
      <w:pPr>
        <w:pStyle w:val="Heading1"/>
      </w:pPr>
      <w:r>
        <w:t xml:space="preserve">PART II: ASSET CLASS TAXONOMIES</w:t>
      </w:r>
    </w:p>
    <w:p>
      <w:pPr>
        <w:spacing w:after="80"/>
      </w:pPr>
    </w:p>
    <w:p>
      <w:pPr>
        <w:pStyle w:val="Heading2"/>
      </w:pPr>
      <w:r>
        <w:t xml:space="preserve">5. Equity (EQ)</w:t>
      </w:r>
    </w:p>
    <w:p>
      <w:pPr>
        <w:spacing w:after="80"/>
      </w:pPr>
    </w:p>
    <w:p>
      <w:pPr>
        <w:pStyle w:val="Heading3"/>
      </w:pPr>
      <w:r>
        <w:t xml:space="preserve">5.1 Dimensional Structure (Up to 7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EQ.{REGION}.{COUNTRY}.{SECTOR}.{SUBSECTOR}.{MCAP}.{TICKER}.{SHARE_CLASS}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30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DM, EM, APAC, EMEA, LATAM, G10, Frontier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indices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US, GB, DE, JP, CN, KR, TW, IN, BR, MX, ZA...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GICS Level 1 (11 sectors)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sector drivers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Subsector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GICS L2/L3/L4 (24 → 69 → 158)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subsector drivers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 Cap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Mega, Large, Mid, Small, Micro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cap-weighted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Company identifier (NVDA, AAPL, JPM...)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single names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Class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A, B, C, ADR, GDR, Pref, Common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specific lines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Driver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EQ.DM.US.Tech.Semis.Large.NVDA — NVIDIA common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EQ.EM.CN.ConsDisc.Auto.Mid.NIO.ADR — NIO ADR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EQ.US.SPX — S&amp;P 500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EQ.DM.US.Financials.Banks.Regional — US regional bank subsector</w:t>
      </w:r>
    </w:p>
    <w:p>
      <w:pPr>
        <w:spacing w:after="80"/>
      </w:pPr>
    </w:p>
    <w:p>
      <w:pPr>
        <w:pStyle w:val="Heading3"/>
      </w:pPr>
      <w:r>
        <w:t xml:space="preserve">5.2 Driver Types (8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200"/>
        <w:gridCol w:w="900"/>
        <w:gridCol w:w="4660"/>
      </w:tblGrid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Code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 Type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SPT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Price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market price. NVDA -45% means if at $140, stressed to $77.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IDX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 Level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 market benchmark. S&amp;P -32% in severe = 2008-level drawdown.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dividend stream. Cut during stress = further equity devaluation.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Systematic Beta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Sensitivity to broad market. AI stocks: beta 1.4-1.8x the index move.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Pairwise correlation spikes to ~0.85 in crisis. Kills diversification.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Dispersion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Single-stock vs index vol spread. Collapses in panic (macro dominates).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 + single-name IV. VIX shock +28pts in severe. NVDA IV +40pts.</w:t>
            </w:r>
          </w:p>
        </w:tc>
      </w:tr>
      <w:tr>
        <w:tc>
          <w:tcPr>
            <w:tcW w:type="dxa" w:w="11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SKEW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Skew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OTM put premium over ATM. Steepens as crash protection gets bid.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5.3 Equity Hierarchy (Propagation Tree)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Shocks propagate from anchors (broad indices) down through sectors, subsectors, and single names: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Source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 Logic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L0: Global Index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EQ.MSCI.ACWI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Anchor (direct calibration)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1.0x (baseline)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L1: Regional Index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EQ.US.SPX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to ACWI (~0.95)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regression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L2: Sector Index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EQ.US.Tech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to SPX (~1.25)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 beta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L3: Subsector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EQ.US.Tech.Semis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to Tech (~1.15)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Subsector beta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L4: Single Name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EQ.US.Tech.Semis.NVDA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to Semis (~1.30)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Idiosyncratic + sector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L5: Share Class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EQ.US.NVDA.ADR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1:1 to common + ADR basis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Typically 1.0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Final Shock = Parent_Shock × Beta × Sector_Mult × MCap_Mult × Idiosyncratic_Adj</w:t>
      </w:r>
    </w:p>
    <w:p>
      <w:r>
        <w:br w:type="page"/>
      </w:r>
    </w:p>
    <w:p>
      <w:pPr>
        <w:pStyle w:val="Heading2"/>
      </w:pPr>
      <w:r>
        <w:t xml:space="preserve">6. Credit / Corporate (CP)</w:t>
      </w:r>
    </w:p>
    <w:p>
      <w:pPr>
        <w:spacing w:after="80"/>
      </w:pPr>
    </w:p>
    <w:p>
      <w:pPr>
        <w:pStyle w:val="Heading3"/>
      </w:pPr>
      <w:r>
        <w:t xml:space="preserve">6.1 Dimensional Structure (Up to 9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CP.{MARKET}.{RATING_BUCKET}.{RATING}.{SECTOR}.{SUBSECTOR}.{SENIORITY}.{SECURED}.{TENOR}.{ISSUER}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800"/>
        <w:gridCol w:w="30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US, EUR, GBP, EM, APAC, Global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Bucket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IG, HY, Crossover, Distressed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 through D (22 notch scale)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rating-level shocks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Financials, Industrials, Utilities, Sovereign, Securitized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sector shocks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Subsector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Banks, Insurance, Tech, Energy, Healthcare... (50+)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subsector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Seniority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Senior, Subordinated, Junior, Mezzanine, Equity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capital structure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Secured Status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Secured, Unsecured, 1stLien, 2ndLien, Collateralized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recovery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1Y, 2Y, 3Y, 5Y, 7Y, 10Y, 15Y, 20Y, 30Y, Perpetual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curve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Issuer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issuer ticker (NVDA, OXY, JPM...)</w:t>
            </w:r>
          </w:p>
        </w:tc>
        <w:tc>
          <w:tcPr>
            <w:tcW w:type="dxa" w:w="3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single names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Driver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CP.US.IG.OAS — US IG composite spread (anchor)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CP.US.IG.BBB.Tech.Semis.Senior.Unsec.5Y.NVDA — NVIDIA 5Y senior unsecured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CP.US.HY.B.Energy.ExplProd.Sub.Secured.10Y.OXY — OXY 10Y subordinated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CP.EUR.IG.A.Financials.Banks.Senior.Unsec.7Y — European A-rated bank senior 7Y</w:t>
      </w:r>
    </w:p>
    <w:p>
      <w:pPr>
        <w:spacing w:after="80"/>
      </w:pPr>
    </w:p>
    <w:p>
      <w:pPr>
        <w:pStyle w:val="Heading3"/>
      </w:pPr>
      <w:r>
        <w:t xml:space="preserve">6.2 Driver Types (10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800"/>
        <w:gridCol w:w="900"/>
        <w:gridCol w:w="4860"/>
      </w:tblGrid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Code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Option-Adjusted Spread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Compensation for credit risk above risk-free. The primary credit driver.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Default Swap Spread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 cost against default. More liquid than cash bonds for hedging.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CDSI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 Index (CDX/iTraxx)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Standardized basket of 125 (IG) or 100 (HY) names. Macro credit anchor.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RCV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cents-on-dollar in bankruptcy. Typically 40% senior unsecured.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DFL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Probability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Risk-neutral PD from spreads. PD ≈ Spread / LGD.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CRVOL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Vol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 of credit spreads from CDS options/swaptions on CDX.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Leveraged Loan Spread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Bank loan spread (floating rate). Separate curve from bonds.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Cash-CDS Basis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between cash bond OAS and CDS. Blows out in liquidity stress.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Rate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transition probability. Downgrade waves hit IG/HY boundary.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LIQP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Liquidity Premium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spread for illiquidity. Widens dramatically in stress.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6.3 Credit Shock Ranges by Product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are the calibrated shock ranges for the full credit taxonomy: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000"/>
        <w:gridCol w:w="23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 Range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 Range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 Shock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Shock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Corporate Bonds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 to D/NR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 to 30Y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 to +150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+75 to +500 bp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 Single-Name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 to CCC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 to 30Y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 to +50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 to +300 bp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CDX IG Index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 composite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 standard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+125 bp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CDX HY Index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 composite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 standard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+350 bp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iTraxx Main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 composite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 standard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+100 bp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Leveraged Loans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 to CCC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Floating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 to +200 bp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+150 to +600 bp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6.4 Credit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 Applied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L0: Index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CP.US.IG.OAS or CDX.IG.5Y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1.0x (anchor)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L1: Rating Bucket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mult: AAA=0.30, AA=0.50, A=0.75, BBB=1.30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L2: Sector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CP.US.IG.BBB.Technology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 mult: Tech=1.40, Fins=1.20, Utils=0.70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L3: Subsector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CP.US.IG.BBB.Technology.Semis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Subsector mult: Semis=1.15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L4: Seniority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CP.US.IG.BBB.Tech.Senior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Seniority mult: Senior=1.0, Sub=1.50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L5: Tenor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CP.US.IG.BBB.Tech.Senior.5Y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 mult: front-end=0.6, belly=1.0, long-end=1.3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L6: Issuer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CP.US.IG.BBB.Tech.NVDA</w:t>
            </w:r>
          </w:p>
        </w:tc>
        <w:tc>
          <w:tcPr>
            <w:tcW w:type="dxa" w:w="4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Idiosyncratic adj: AI-exposed +overlay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Final Credit Shock = Anchor_Shock × Rating_Mult × Sector_Mult × Tenor_Mult × Seniority_Mult × Idiosyncratic_Adj</w:t>
      </w:r>
    </w:p>
    <w:p>
      <w:r>
        <w:br w:type="page"/>
      </w:r>
    </w:p>
    <w:p>
      <w:pPr>
        <w:pStyle w:val="Heading2"/>
      </w:pPr>
      <w:r>
        <w:t xml:space="preserve">7. Rates (RT)</w:t>
      </w:r>
    </w:p>
    <w:p>
      <w:pPr>
        <w:spacing w:after="80"/>
      </w:pPr>
    </w:p>
    <w:p>
      <w:pPr>
        <w:pStyle w:val="Heading3"/>
      </w:pPr>
      <w:r>
        <w:t xml:space="preserve">7.1 Dimensional Structure (Up to 8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{INSTRUMENT}.{CURVE}.{CCY}.{TENOR}.{FORWARD}.{ROLL}.{CLEARING}.{QUOTE_TYPE}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Instrument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UST, GOVT, IRS, OIS, XCCY, TIPS, INFL, BEI, FUT, BOND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SOFR, ESTR, SONIA, TONAR, GOVT, BUND, GILT, JGB, OAT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USD, EUR, GBP, JPY, CHF, AUD, CAD, NZD, SEK, NOK...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ON, 1W, 1M, 3M, 6M, 1Y, 2Y, 3Y, 5Y, 7Y, 10Y, 15Y, 20Y, 30Y, 50Y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SPOT, 1Y1Y, 2Y2Y, 5Y5Y, 10Y10Y, 1M1M, 3M3M...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OTR (on-the-run), OFR (off-the-run), CTD, IMM, Monthly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Clearing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LCH, CME, JSCC, Eurex, Bilateral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Quote Type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YIELD, RATE, PRICE, SPREAD, REAL, BREAKEVEN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Driver IDs: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RT.UST.GOVT.USD.10Y.SPOT.OTR.CASH.YIELD — 10Y Treasury yield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RT.IRS.SOFR.USD.5Y.SPOT.IMM.LCH.RATE — 5Y SOFR swap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RT.IRS.SOFR.USD.5Y5Y.FWD — 5Y5Y forward SOFR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RT.XCCY.EURUSD.BASIS.5Y — EUR/USD cross-currency basis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RT.TIPS.GOVT.USD.10Y.REAL — 10Y TIPS real yield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RT.INFL.BEI.USD.10Y — 10Y breakeven inflation</w:t>
      </w:r>
    </w:p>
    <w:p>
      <w:pPr>
        <w:spacing w:after="80"/>
      </w:pPr>
    </w:p>
    <w:p>
      <w:pPr>
        <w:pStyle w:val="Heading3"/>
      </w:pPr>
      <w:r>
        <w:t xml:space="preserve">7.2 Driver Types (7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00"/>
        <w:gridCol w:w="900"/>
        <w:gridCol w:w="53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Risk-free rate by maturity. 10Y -40bp in flight-to-quality. P&amp;L = -Duration × ΔY × Notional.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rate exchanged for floating SOFR. Foundation of rates derivatives pricing.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Difference between tenors (2s10s = 10Y - 2Y). Steepening/flattening/inversion.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future rate. f(t1,t2) = [z2×t2 - z1×t1]/(t2-t1). For forward-starting swaps.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Swaption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implied vol from swaptions. Determines caps/floors cost.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TIPS yield = Nominal - Breakeven. Real rate spikes crush long-duration growth.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 Inflation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Nominal minus TIPS. Falling = deflation fear. Rising = inflation concern.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7.3 Standard Tenor Ladder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rates curve is shocked at each standard tenor point independently, with interpolation between points: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600"/>
        <w:gridCol w:w="3560"/>
      </w:tblGrid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Instrument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Behavior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to 10Y Anchor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 Funds / SOFR overnight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Anchored by policy rate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Independent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T-Bills / SOFR 1M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 policy rate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T-Bills / SOFR 3M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 policy rate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6M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T-Bills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 zone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 zone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 / 2Y Swap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expectations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 / 3Y Swap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Belly of curve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 / 5Y Swap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Belly of curve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0.95x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Transition to long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0.98x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T-Notes / 10Y Swap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 anchor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1.0x (ANCHOR)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T-Bonds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end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1.05x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T-Bonds / 30Y Swap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Ultra-long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 FX</w:t>
      </w:r>
    </w:p>
    <w:p>
      <w:pPr>
        <w:spacing w:after="80"/>
      </w:pPr>
    </w:p>
    <w:p>
      <w:pPr>
        <w:pStyle w:val="Heading3"/>
      </w:pPr>
      <w:r>
        <w:t xml:space="preserve">8.1 Dimensional Structure (Up to 6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FX.{PAIR/INDEX}.{DRIVER_TYPE}.{DELTA/STRIKE}.{TENOR}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Pair/Index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EURUSD, USDJPY, GBPUSD, USDCNY, USDMXN, DXY, BBDXY...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Driver Type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SPOT, FWD, VOL, RR, BFY, BASIS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Delta/Strike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ATM, 25D, 10D, 25P, 25C, 10P, 10C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ON, 1W, 1M, 3M, 6M, 1Y, 2Y, 5Y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Point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FX forwards: spot differential by tenor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Cross-currency basis (XCCY) for non-USD funding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8.2 Driver Types (6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00"/>
        <w:gridCol w:w="900"/>
        <w:gridCol w:w="53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 rate for T+2. EURUSD -8% = strong USD in risk-off.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 delivery via interest rate parity. Forward pts = carry cost.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options IV. Spikes in risk-off. USDJPY vol +10pts in severe.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RR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25D call - 25D put. Negative = demand for downside protection.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BFY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Butterfly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Wing premium: (25D call + 25D put)/2 - ATM. Higher = tail risk bid.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1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Cross-Ccy Basis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XCCY basis beyond covered interest parity. Negative = USD funding stress.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8.3 FX Sign Convention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a common source of confusion. The convention depends on quote direction: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Pair Format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 Strength Means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Sign in Risk-Off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XXX/USD (e.g., EUR/USD)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goes DOWN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(e.g., EURUSD -8%)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USD/XXX (e.g., USD/JPY)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goes UP... usually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 JPY strengthens in risk-off → USD/JPY FALLS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USD/EM (e.g., USD/MXN)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goes UP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(e.g., USDMXN +18%)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Safe haven exceptions: JPY and CHF typically strengthen in risk-off, meaning USD/JPY falls even as USD is broadly strong. Always model these separately.</w:t>
      </w:r>
    </w:p>
    <w:p>
      <w:pPr>
        <w:spacing w:after="80"/>
      </w:pPr>
    </w:p>
    <w:p>
      <w:pPr>
        <w:pStyle w:val="Heading3"/>
      </w:pPr>
      <w:r>
        <w:t xml:space="preserve">8.4 Vol Term Structure Decay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FX vol shocks decay by tenor. Short-dated vol spikes hardest: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 of 1M Shock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1W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1.20x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Ultra-short highest spike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1.00x (anchor)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anchor tenor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0.75x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Decaying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6M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0.55x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decay</w:t>
            </w:r>
          </w:p>
        </w:tc>
      </w:tr>
      <w:tr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1Y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0.40x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Long-dated vol is sticky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 Commodities (CO)</w:t>
      </w:r>
    </w:p>
    <w:p>
      <w:pPr>
        <w:spacing w:after="80"/>
      </w:pPr>
    </w:p>
    <w:p>
      <w:pPr>
        <w:pStyle w:val="Heading3"/>
      </w:pPr>
      <w:r>
        <w:t xml:space="preserve">9.1 Dimensional Structure (Up to 6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CO.{COMPLEX}.{COMMODITY}.{CONTRACT}.{SPREAD_TYPE}.{TENOR}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ENERGY, PRECIOUS, INDUSTRIAL, AGRICULTURAL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WTI, BRENT, NG, XAU, XAG, HG, AL, CORN, WHEAT, SOYB...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Contract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SPOT, M1 (front month), M2, M3, M6, M12, Cal25, Cal26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 Type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 (M1-M2), BASIS (location), CRACK (refining), CALENDAR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Tenor/Expiry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options: 1M, 3M, 6M, 1Y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Surface</w:t>
            </w:r>
          </w:p>
        </w:tc>
        <w:tc>
          <w:tcPr>
            <w:tcW w:type="dxa" w:w="68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ATM, 25D, 10D skew dimensions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9.2 Driver Types (9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 delivery price. WTI -25% = demand destruction / supply glut.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 delivery via cost-of-carry: Fwd = Spot × e^(r+storage-convenience)×T.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Futures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Exchange-traded standardized forward. Converges to spot at expiry.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Basis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$/bbl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Location/quality differential. Widens when logistics stressed.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$/bbl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diff between months. Contango hurts longs who roll.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SPRD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Inter-Commodity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value (WTI-Brent, corn-wheat). Substitution effects.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CRACK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Crack/Refining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$/bbl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Refining margin: 3-2-1 = (2×Gas + HO)/3 - Crude.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options IV. Typically higher than equity due to supply shocks.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CVA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Convenience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Benefit of holding physical. High = backwardation, rewards inventory.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10. Volatility (VOL)</w:t>
      </w:r>
    </w:p>
    <w:p>
      <w:pPr>
        <w:spacing w:after="80"/>
      </w:pPr>
    </w:p>
    <w:p>
      <w:pPr>
        <w:pStyle w:val="Heading3"/>
      </w:pPr>
      <w:r>
        <w:t xml:space="preserve">10.1 Dimensional Structure (Up to 5 Dimensions)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Format: VOL.{UNDERLYING_CLASS}.{UNDERLYING}.{STRIKE_DELTA}.{TENOR}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 #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Underlying Class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EQ, FX, RT, CO (which asset class the vol belongs to)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Underlying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SPX, NDX, NVDA, EURUSD, UST10Y, WTI...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Strike/Delta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ATM, 25P, 25C, 10P, 10C, 90%, 95%, 100%, 105%, 110%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1W, 1M, 3M, 6M, 1Y, 2Y, 5Y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Surface Metric</w:t>
            </w:r>
          </w:p>
        </w:tc>
        <w:tc>
          <w:tcPr>
            <w:tcW w:type="dxa" w:w="6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VIX, VVIX, SKEW, TERM, CORR, VAR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10.2 Driver Types (6 Types)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700"/>
        <w:gridCol w:w="900"/>
        <w:gridCol w:w="5060"/>
      </w:tblGrid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Index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30-day SPX implied vol. VIX at 38 = market expects ~2.4% daily moves.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VVIX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of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 of VIX. Spiking to 135 = VIX itself expected to move wildly.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Term Structure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 vs 3M vs 1Y shape. Inverts in crisis (near-term fear dominates).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SKEW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Skew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CBOE SKEW = tail risk via OTM put pricing. 150+ = significant crash risk.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Correlation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pairwise corr from index vs single-stock options. →1.0 in crisis.</w:t>
            </w:r>
          </w:p>
        </w:tc>
      </w:tr>
      <w:tr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Variance Swap Strike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 pts</w:t>
            </w:r>
          </w:p>
        </w:tc>
        <w:tc>
          <w:tcPr>
            <w:tcW w:type="dxa" w:w="50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Pays realized var minus strike. Convex: var buyers profit more from spikes.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11. Securitized Products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Securitized products require a special taxonomy because they combine credit, rates, and prepayment dimensions that do not exist in other asset classes.</w:t>
      </w:r>
    </w:p>
    <w:p>
      <w:pPr>
        <w:spacing w:after="80"/>
      </w:pPr>
    </w:p>
    <w:p>
      <w:pPr>
        <w:pStyle w:val="Heading3"/>
      </w:pPr>
      <w:r>
        <w:t xml:space="preserve">11.1 Product Sub-Types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Risk Drivers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Dimensions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RMBS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SEC.AGENCY.RMBS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Prepayment, duration, spread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Coupon, seasoning, geography, LTV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Non-Agency RMBS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SEC.NA.RMBS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Credit, prepayment, loss severity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Vintage, subordination, loan type (Alt-A, subprime)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CMBS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SEC.CMBS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Credit, extension, property type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Tranche (AAA-EQ), property type, vintage, LTV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SEC.CLO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Credit, default, recovery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Tranche, vintage, manager, portfolio quality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SEC.ABS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Credit, prepayment (auto/student)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Collateral type, vintage, issuer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CMO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SEC.AGENCY.CMO</w:t>
            </w:r>
          </w:p>
        </w:tc>
        <w:tc>
          <w:tcPr>
            <w:tcW w:type="dxa" w:w="2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Prepayment, negative convexity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Tranche type (PAC, TAC, Z, IO, PO)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11.2 Unique Sensitivities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AG01 (Agency CR01): </w:t>
      </w:r>
      <w:r>
        <w:rPr>
          <w:rFonts w:ascii="Arial" w:cs="Arial" w:eastAsia="Arial" w:hAnsi="Arial"/>
          <w:sz w:val="22"/>
          <w:szCs w:val="22"/>
        </w:rPr>
        <w:t xml:space="preserve">Sensitivity to agency MBS spread. Critical for RMBS desks. Not based on hazard curves.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OAS Duration: </w:t>
      </w:r>
      <w:r>
        <w:rPr>
          <w:rFonts w:ascii="Arial" w:cs="Arial" w:eastAsia="Arial" w:hAnsi="Arial"/>
          <w:sz w:val="22"/>
          <w:szCs w:val="22"/>
        </w:rPr>
        <w:t xml:space="preserve">Duration net of prepayment optionality. Much shorter than nominal duration due to negative convexity.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Prepayment Model Sensitivity: </w:t>
      </w:r>
      <w:r>
        <w:rPr>
          <w:rFonts w:ascii="Arial" w:cs="Arial" w:eastAsia="Arial" w:hAnsi="Arial"/>
          <w:sz w:val="22"/>
          <w:szCs w:val="22"/>
        </w:rPr>
        <w:t xml:space="preserve">P&amp;L impact of prepayment speed changes (CPR). 1% CPR change can move IO/PO by 5-10%.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Convexity: </w:t>
      </w:r>
      <w:r>
        <w:rPr>
          <w:rFonts w:ascii="Arial" w:cs="Arial" w:eastAsia="Arial" w:hAnsi="Arial"/>
          <w:sz w:val="22"/>
          <w:szCs w:val="22"/>
        </w:rPr>
        <w:t xml:space="preserve">Negative for MBS because prepayments accelerate as rates fall. This is the defining MBS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CR01 for securitized vs. CDS: </w:t>
      </w:r>
      <w:r>
        <w:rPr>
          <w:rFonts w:ascii="Arial" w:cs="Arial" w:eastAsia="Arial" w:hAnsi="Arial"/>
          <w:sz w:val="22"/>
          <w:szCs w:val="22"/>
        </w:rPr>
        <w:t xml:space="preserve">Securitized CR01 does NOT use hazard curves. CDS CR01 does. Aggregation is still appropriate but methodology differs.</w:t>
      </w:r>
    </w:p>
    <w:p>
      <w:r>
        <w:br w:type="page"/>
      </w:r>
    </w:p>
    <w:p>
      <w:pPr>
        <w:pStyle w:val="Heading2"/>
      </w:pPr>
      <w:r>
        <w:t xml:space="preserve">12. Municipals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municipal market is uniquely fragmented: 1,000,000+ active CUSIPs, 50,000+ issuers, and median daily trading volume per CUSIP of zero. This creates a special taxonomy:</w:t>
      </w:r>
    </w:p>
    <w:p>
      <w:pPr>
        <w:spacing w:after="80"/>
      </w:pPr>
    </w:p>
    <w:p>
      <w:pPr>
        <w:pStyle w:val="Heading3"/>
      </w:pPr>
      <w:r>
        <w:t xml:space="preserve">12.1 Dimensional Structure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(General Obligation), Revenue, Pre-Refunded, Housing, Hospital, Airport, Toll Road, Water/Sewer, Higher Ed, K-12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Different credit profiles and volatility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50 states + territories (PR, GU, VI)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tax treatment creates basis risk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 to unrated (Moody's/S&amp;P/Fitch)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 = primary risk bucketing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Status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Tax-Exempt, Taxable, AMT-subject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After-tax yield comparison changes behavior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Feature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Callable, Non-Callable, Make-Whole, Sinking Fund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convexity for callables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Tenor/Maturity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1Y to 40Y+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Much longer curve than corporates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Insured (AGM, BAM), Uninsured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Insurance wrap = AA credit floor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12.2 Key Sensitivities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DV01: </w:t>
      </w:r>
      <w:r>
        <w:rPr>
          <w:rFonts w:ascii="Arial" w:cs="Arial" w:eastAsia="Arial" w:hAnsi="Arial"/>
          <w:sz w:val="22"/>
          <w:szCs w:val="22"/>
        </w:rPr>
        <w:t xml:space="preserve">Dollar value of 1bp rate move. If DV01 = $100K and rates +25bp, lose $2.5M.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Rate Duration (KRD): </w:t>
      </w:r>
      <w:r>
        <w:rPr>
          <w:rFonts w:ascii="Arial" w:cs="Arial" w:eastAsia="Arial" w:hAnsi="Arial"/>
          <w:sz w:val="22"/>
          <w:szCs w:val="22"/>
        </w:rPr>
        <w:t xml:space="preserve">Sensitivity at each curve point. Munis have a 1-40Y curve.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Muni Ratio: </w:t>
      </w:r>
      <w:r>
        <w:rPr>
          <w:rFonts w:ascii="Arial" w:cs="Arial" w:eastAsia="Arial" w:hAnsi="Arial"/>
          <w:sz w:val="22"/>
          <w:szCs w:val="22"/>
        </w:rPr>
        <w:t xml:space="preserve">Muni yield / Treasury yield. Normally 80-85% for AAA 10Y. Blows out to 120%+ in crisis (March 2020).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Spread Duration: </w:t>
      </w:r>
      <w:r>
        <w:rPr>
          <w:rFonts w:ascii="Arial" w:cs="Arial" w:eastAsia="Arial" w:hAnsi="Arial"/>
          <w:sz w:val="22"/>
          <w:szCs w:val="22"/>
        </w:rPr>
        <w:t xml:space="preserve">Sensitivity to muni-Treasury spread. The primary muni-specific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Convexity: </w:t>
      </w:r>
      <w:r>
        <w:rPr>
          <w:rFonts w:ascii="Arial" w:cs="Arial" w:eastAsia="Arial" w:hAnsi="Arial"/>
          <w:sz w:val="22"/>
          <w:szCs w:val="22"/>
        </w:rPr>
        <w:t xml:space="preserve">Negative for callable bonds (most munis are callable at par after 10Y).</w:t>
      </w:r>
    </w:p>
    <w:p>
      <w:r>
        <w:br w:type="page"/>
      </w:r>
    </w:p>
    <w:p>
      <w:pPr>
        <w:pStyle w:val="Heading1"/>
      </w:pPr>
      <w:r>
        <w:t xml:space="preserve">PART III: CROSS-CUTTING FRAMEWORKS</w:t>
      </w:r>
    </w:p>
    <w:p>
      <w:pPr>
        <w:spacing w:after="80"/>
      </w:pPr>
    </w:p>
    <w:p>
      <w:pPr>
        <w:pStyle w:val="Heading2"/>
      </w:pPr>
      <w:r>
        <w:t xml:space="preserve">13. Hierarchical Propagation (Top-Down / Bottom-Up)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propagation system ensures every driver receives a shock, even if not explicitly calibrated. Shocks flow from anchors (broad indices/composites) down to granular drivers via beta multipliers.</w:t>
      </w:r>
    </w:p>
    <w:p>
      <w:pPr>
        <w:spacing w:after="80"/>
      </w:pPr>
    </w:p>
    <w:p>
      <w:pPr>
        <w:pStyle w:val="Heading3"/>
      </w:pPr>
      <w:r>
        <w:t xml:space="preserve">13.1 Universal Propagation Formula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Final_Shock = Parent_Shock × Beta × Rating_Mult × Sector_Mult × Tenor_Mult × Seniority_Mult × Geo_Mult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multipliers stack multiplicatively. If a dimension is not applicable to the asset class, its multiplier is 1.0.</w:t>
      </w:r>
    </w:p>
    <w:p>
      <w:pPr>
        <w:spacing w:after="80"/>
      </w:pPr>
    </w:p>
    <w:p>
      <w:pPr>
        <w:pStyle w:val="Heading3"/>
      </w:pPr>
      <w:r>
        <w:t xml:space="preserve">13.2 Anchor Definition by Asset Class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Anchor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Shocked Directly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EQ.US.SPX (S&amp;P 500)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 level shock (e.g., -32%)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IG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CP.US.IG.OAS or CDX.IG.5Y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IG spread (e.g., +175bp)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HY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CP.US.HY.OAS or CDX.HY.5Y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 HY spread (e.g., +500bp)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USD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RT.UST.GOVT.USD.10Y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 Treasury yield (e.g., -40bp)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FX.DXY (Dollar Index)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 USD move (e.g., +8%)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CO.ENERGY.WTI (Crude Oil)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Oil price (e.g., -25%)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Vol</w:t>
            </w:r>
          </w:p>
        </w:tc>
        <w:tc>
          <w:tcPr>
            <w:tcW w:type="dxa" w:w="3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VOL.EQ.VIX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 level (e.g., +28 pts)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13.3 Propagation Example: Credit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Starting from anchor: CDX IG 5Y = +125bp severe shock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CP.US.IG.OAS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125bp × 1.0 (anchor)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+125 bp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125bp × 1.30 (BBB rating mult)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+163 bp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CP.US.IG.BBB.Technology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163bp × 1.40 (tech sector mult)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+228 bp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CP.US.IG.BBB.Tech.5Y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228bp × 1.00 (5Y = belly = 1.0)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+228 bp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CP.US.IG.BBB.Tech.30Y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228bp × 1.30 (30Y tenor mult)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+296 bp</w:t>
            </w:r>
          </w:p>
        </w:tc>
      </w:tr>
      <w:tr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CP.US.IG.BBB.Tech.5Y.NVDA</w:t>
            </w:r>
          </w:p>
        </w:tc>
        <w:tc>
          <w:tcPr>
            <w:tcW w:type="dxa" w:w="3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228bp + 50bp (AI overlay)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+278 bp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driver gets a shock. Every shock has an audit trail showing exactly how it was derived from the anchor.</w:t>
      </w:r>
    </w:p>
    <w:p>
      <w:r>
        <w:br w:type="page"/>
      </w:r>
    </w:p>
    <w:p>
      <w:pPr>
        <w:pStyle w:val="Heading2"/>
      </w:pPr>
      <w:r>
        <w:t xml:space="preserve">14. Beta &amp; Multiplier Framework</w:t>
      </w:r>
    </w:p>
    <w:p>
      <w:pPr>
        <w:spacing w:after="80"/>
      </w:pPr>
    </w:p>
    <w:p>
      <w:pPr>
        <w:pStyle w:val="Heading3"/>
      </w:pPr>
      <w:r>
        <w:t xml:space="preserve">14.1 How Betas Are Estimated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Requirement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OLS Regression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relationships, sufficient data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2-3Y weekly returns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Rolling Beta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Regime-dependent relationships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 daily, 60-day rolling window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 Beta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Crisis-specific behavior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stress episodes only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Judgment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data, new products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MRO/trader input + documentation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(requires governance)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Cross-asset (e.g., oil beta to airlines)</w:t>
            </w:r>
          </w:p>
        </w:tc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Earnings sensitivity analysis</w:t>
            </w:r>
          </w:p>
        </w:tc>
        <w:tc>
          <w:tcPr>
            <w:tcW w:type="dxa" w:w="27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14.2 Standard Multiplier Tables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Rating Multipliers (relative to composite IG/HY anchor):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000"/>
        <w:gridCol w:w="1300"/>
        <w:gridCol w:w="1300"/>
        <w:gridCol w:w="3460"/>
      </w:tblGrid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AAA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BBB+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B+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AA+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BBB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2.60x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BBB-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1.60x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B-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AA-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BB+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CCC+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A+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CCC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BB-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2.00x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CCC-/CC/C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5.00x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A-</w:t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0.85x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D/NR</w:t>
            </w:r>
          </w:p>
        </w:tc>
        <w:tc>
          <w:tcPr>
            <w:tcW w:type="dxa" w:w="3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6.00x+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 Multipliers (relative to composite):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 Mult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Mult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1.25x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1.40x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beta, growth-sensitive, rate-sensitive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Leverage, credit cycle exposure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price sensitivity, capex cycle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Defensive, inelastic demand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Regulated, stable cash flows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Staples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Non-cyclical, pricing power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Discretionary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Cyclical, consumer confidence sensitive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1.05x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Capex cycle, manufacturing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Rate-sensitive, leverage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Services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1.05x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 (mega-cap tech + legacy media)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Materials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1.15x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1.20x</w:t>
            </w:r>
          </w:p>
        </w:tc>
        <w:tc>
          <w:tcPr>
            <w:tcW w:type="dxa" w:w="4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Commodity-linked, cyclical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15. Tenor Structure by Asset Class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3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Tenor Ladder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Tenor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ON, 1W, 1M, 3M, 6M, 1Y, 2Y, 3Y, 5Y, 7Y, 10Y, 15Y, 20Y, 30Y, 50Y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(Corp)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3M, 6M, 1Y, 2Y, 3Y, 5Y, 7Y, 10Y, 15Y, 20Y, 30Y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(CDS)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6M, 1Y, 2Y, 3Y, 5Y, 7Y, 10Y, 20Y, 30Y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5Y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(Vol)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ON, 1W, 1M, 3M, 6M, 1Y, 2Y, 5Y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(Vol)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1W, 1M, 3M, 6M, 1Y, 2Y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M1, M2, M3, M6, M12, Cal+1, Cal+2, Cal+3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 (front month)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Muni</w:t>
            </w:r>
          </w:p>
        </w:tc>
        <w:tc>
          <w:tcPr>
            <w:tcW w:type="dxa" w:w="5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1Y, 2Y, 3Y, 5Y, 7Y, 10Y, 15Y, 20Y, 25Y, 30Y, 40Y</w:t>
            </w:r>
          </w:p>
        </w:tc>
        <w:tc>
          <w:tcPr>
            <w:tcW w:type="dxa" w:w="2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15.1 Tenor Multiplier Curves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Shocks vary by tenor. The anchor tenor gets multiplier 1.0x; other tenors scale relative to it: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200"/>
        <w:gridCol w:w="3360"/>
      </w:tblGrid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Tenor Zone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(&lt; 1Y)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0.50-0.70x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Policy-driven (independent)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1.20x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Credit: less duration exposure. Vol: short-dated spikes hardest.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Belly (2-5Y)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0.85-1.00x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0.80-0.95x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1.00x (anchor)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traded, most liquid, benchmark zone.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Anchor (5Y cr / 10Y rt)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calibration point.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(10-20Y)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1.10-1.20x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1.00-1.05x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0.55-0.75x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Credit: illiquidity premium. Vol: mean-reverts.</w:t>
            </w:r>
          </w:p>
        </w:tc>
      </w:tr>
      <w:tr>
        <w:tc>
          <w:tcPr>
            <w:tcW w:type="dxa" w:w="16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Ultra-Long (30Y+)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1.25-1.40x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1.05-1.15x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0.40x</w:t>
            </w:r>
          </w:p>
        </w:tc>
        <w:tc>
          <w:tcPr>
            <w:tcW w:type="dxa" w:w="3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illiquidity premium. Vol very sticky long-dated.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16. Severity Calibration (Moderate vs. Severe)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1-in-3 to 1-in-5 year event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1-in-10 to 1-in-20 year event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Basis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 standard deviation move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~3-4 standard deviation move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Historical Analogue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2011 EU crisis, 2015 China deval, 2018 Q4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2008 GFC, March 2020, 2000 dot-com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Typically 10 business days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Typically 60 business days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Assumption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 recovery within horizon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recovery within horizon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Assumption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Elevated but not extreme (~0.6)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Near-maximum (~0.85-0.95)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Liquidity Assumption</w:t>
            </w:r>
          </w:p>
        </w:tc>
        <w:tc>
          <w:tcPr>
            <w:tcW w:type="dxa" w:w="3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Moderately impaired (2x normal bid-ask)</w:t>
            </w:r>
          </w:p>
        </w:tc>
        <w:tc>
          <w:tcPr>
            <w:tcW w:type="dxa" w:w="36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Severely impaired (5-10x normal bid-ask)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16.1 Anchor Shock Ranges by Severity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Driver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Historical Analogue (Severe)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-12% to -18%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-28% to -38%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-34% (2020), -57% (2008-09)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IG OAS (CDX)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 to +80 bp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+125 to +250 bp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+400bp peak (2008), +130bp (2020)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HY OAS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+150 to +250 bp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+350 to +700 bp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+1400bp peak (2008), +600bp (2020)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 UST Yield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+/-30 to 50 bp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+/-60 to 120 bp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-140bp (2020 flight to quality)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 to +18 pts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+25 to +45 pts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+66 pts (peak 82 in 2020)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WTI Crude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+/-12% to 20%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+/-25% to 45%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-75% (2020), -$37 intraday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 (DXY)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 to 5%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+6% to 12%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+8% (2020 dash for cash)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EURUSD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-3% to -5%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-6% to -10%</w:t>
            </w:r>
          </w:p>
        </w:tc>
        <w:tc>
          <w:tcPr>
            <w:tcW w:type="dxa" w:w="39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-15% (2014-15 ECB QE)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17. Horizon Framework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000"/>
        <w:gridCol w:w="4160"/>
      </w:tblGrid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Shock Calibration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Instantaneous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T+0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 limit monitoring, flash crash scenarios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shock applied immediately, no path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1-Day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VaR/ES, overnight gap risk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1-day return distribution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10-Day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Regulatory VaR (FRTB), moderate scenarios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Square-root-of-time scaling or direct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1-Month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stress testing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calibration to monthly returns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60-Day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Severe scenarios, CCAR-like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calibration to crisis drawdown paths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~63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CCAR/DFAST path scenarios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macro variable paths</w:t>
            </w:r>
          </w:p>
        </w:tc>
      </w:tr>
      <w:tr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9-Quarter</w:t>
            </w:r>
          </w:p>
        </w:tc>
        <w:tc>
          <w:tcPr>
            <w:tcW w:type="dxa" w:w="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~567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CCAR planning horizon</w:t>
            </w:r>
          </w:p>
        </w:tc>
        <w:tc>
          <w:tcPr>
            <w:tcW w:type="dxa" w:w="4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macro path with recovery assumptions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Key principle: Do NOT use square-root-of-time scaling for horizons beyond 10 days. Stress events exhibit volatility clustering and fat tails that make T×√t scaling dangerously conservative for short horizons and dangerously lenient for long horizons. Use direct historical calibration for horizons ≥10 days.</w:t>
      </w:r>
    </w:p>
    <w:p>
      <w:r>
        <w:br w:type="page"/>
      </w:r>
    </w:p>
    <w:p>
      <w:pPr>
        <w:pStyle w:val="Heading1"/>
      </w:pPr>
      <w:r>
        <w:t xml:space="preserve">PART IV: SCENARIO DESIGN INTEGRATION</w:t>
      </w:r>
    </w:p>
    <w:p>
      <w:pPr>
        <w:spacing w:after="80"/>
      </w:pPr>
    </w:p>
    <w:p>
      <w:pPr>
        <w:pStyle w:val="Heading2"/>
      </w:pPr>
      <w:r>
        <w:t xml:space="preserve">18. Narrative-to-Driver Translation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stress scenario begins with a narrative (the "story") that must be systematically translated into driver-level shocks. This is the most critical and error-prone step in the entire process.</w:t>
      </w:r>
    </w:p>
    <w:p>
      <w:pPr>
        <w:spacing w:after="80"/>
      </w:pPr>
    </w:p>
    <w:p>
      <w:pPr>
        <w:pStyle w:val="Heading3"/>
      </w:pPr>
      <w:r>
        <w:t xml:space="preserve">18.1 Translation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the macro narrative and primary transmission channels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anchor drivers that are directly impacted by the narrative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Calibrate anchor shocks using historical analogues, statistical distributions, or expert judgment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Propagate from anchors to all child drivers using the beta/multiplier framework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scenario-specific overlays (e.g., AI sector overlay, geographic overlay)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coherence: do all shocks tell the same story?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completeness: does every material risk driver have a shock?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severity: are shocked levels historically defensible?</w:t>
      </w:r>
    </w:p>
    <w:p>
      <w:pPr>
        <w:spacing w:after="80"/>
      </w:pPr>
    </w:p>
    <w:p>
      <w:pPr>
        <w:pStyle w:val="Heading3"/>
      </w:pPr>
      <w:r>
        <w:t xml:space="preserve">18.2 Common Narrative Templates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Anchors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Cross-Asset Signature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Risk-Off / Flight to Quality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selloff, credit widening, UST rally, USD strength, gold rally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SPX, CDX, 10Y UST, VIX, DXY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down, CR wide, RT down (bull flattener), FX USD up, CO gold up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Inflation Shock / Rate Spike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Rates surge, equity rotation, credit widens, USD mixed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 UST, 2Y UST, BEI, VIX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down (growth), CR wide, RT up (bear steepener), CO energy up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Crisis / Contagion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Spreads blow out, equity crash, rates rally, liquidity freeze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CDX IG/HY, SPX, VIX, XCCY basis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crash, CR massive widen, RT rally, FX USD spike then drop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 Bubble Burst (e.g., AI)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Concentrated equity/credit selloff, rotation, moderate rates move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 index, single names, sector CDS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 EQ crash, broad EQ moderate, CR sector wide, CO moderate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Crisis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FX collapse, EM credit widening, commodity crash, safe-haven rally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FX, EM CDX, WTI, DXY, UST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EQ crash, EM CR wide, DM EQ moderate, UST rally, USD surge</w:t>
            </w:r>
          </w:p>
        </w:tc>
      </w:tr>
      <w:tr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Geopolitical Shock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Oil spike, equity selloff, rates rally, gold rally, FX mixed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WTI, SPX, 10Y UST, XAU, VIX</w:t>
            </w:r>
          </w:p>
        </w:tc>
        <w:tc>
          <w:tcPr>
            <w:tcW w:type="dxa" w:w="31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down, CO energy up, RT down, FX risk-off, VOL spike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19. Coherence Constraints &amp; Cross-Asset Logic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Coherence is what separates a professional stress scenario from a random collection of shocks. Every shock must be logically consistent with the narrative and with every other shock.</w:t>
      </w:r>
    </w:p>
    <w:p>
      <w:pPr>
        <w:spacing w:after="80"/>
      </w:pPr>
    </w:p>
    <w:p>
      <w:pPr>
        <w:pStyle w:val="Heading3"/>
      </w:pPr>
      <w:r>
        <w:t xml:space="preserve">19.1 Universal Coherence Rules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Example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equities crash, VIX must spike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vol is negatively correlated with equity returns (-0.7 to -0.9)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SPX -30% but VIX only +5 pts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risk-off, credit must widen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 from credit risk is fundamental to risk-off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SPX -25% but IG spreads unchanged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USD rallies in risk-off, EM FX must weaken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 currencies have negative beta to USD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DXY +8% but USDMXN unchanged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flight-to-quality, UST yields must fall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 haven demand pushes Treasury prices up / yields down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SPX -30% but 10Y yield +50bp (contradictory)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credit widens, recovery rates should decline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 increases LGD expectations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 +200bp but recovery still at 40%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oil crashes, energy credit must widen disproportionately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P&amp;L impact on energy issuers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WTI -40% but energy credit = IG composite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rates spike, XCCY basis must widen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Dollar funding stress increases in rate vol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10Y +100bp but XCCY basis unchanged</w:t>
            </w:r>
          </w:p>
        </w:tc>
      </w:tr>
      <w:tr>
        <w:tc>
          <w:tcPr>
            <w:tcW w:type="dxa" w:w="2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 and USD can both rally in extreme risk-off</w:t>
            </w:r>
          </w:p>
        </w:tc>
        <w:tc>
          <w:tcPr>
            <w:tcW w:type="dxa" w:w="3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are safe havens, but gold typically lags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 violation, but gold rally should be moderate vs USD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19.2 Correlation Regime Shifts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Normal correlations break down in stress. The scenario must account for this: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Correlation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Stress Correlation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Changes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Equity-Credit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~0.5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~0.85-0.95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driven by risk premium in crisis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Cross-Equity (single stocks)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~0.3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~0.70-0.85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overwhelms idiosyncratic factors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Equity-Rates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~0.2 (variable)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Strongly negative (-0.6)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Flight-to-quality dominates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FX-Equity (EM)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~0.4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~0.80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Risk-off = sell EM everything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Commodity-Equity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~0.3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~0.60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Demand destruction affects both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Vol-Equity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-0.7</w:t>
            </w:r>
          </w:p>
        </w:tc>
        <w:tc>
          <w:tcPr>
            <w:tcW w:type="dxa" w:w="1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-0.85 to -0.95</w:t>
            </w:r>
          </w:p>
        </w:tc>
        <w:tc>
          <w:tcPr>
            <w:tcW w:type="dxa" w:w="35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Asymmetric: vol spikes far more in selloffs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20. Schedule F Alignment &amp; Regulatory Mapping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driver taxonomy must map cleanly to Schedule F sensitivity reporting for regulatory stress testing (CCAR/DFAST). Every driver shock must flow through to a Schedule F sensitivity to produce a P&amp;L impact.</w:t>
      </w:r>
    </w:p>
    <w:p>
      <w:pPr>
        <w:spacing w:after="80"/>
      </w:pPr>
    </w:p>
    <w:p>
      <w:pPr>
        <w:pStyle w:val="Heading3"/>
      </w:pPr>
      <w:r>
        <w:t xml:space="preserve">20.1 Schedule F Sensitivity Categories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F Category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Measure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Types That Feed It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Interest Rate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DV01 (by tenor bucket)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RT.YIELD, RT.SWAP, RT.CURVE, RT.FWD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Spread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CS01 / CSRR01 (by rating, sector, tenor)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CP.OAS, CP.CDS, CP.CDSI, CP.LOAN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Equity Delta / Gamma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EQ.SPT, EQ.IDX, EQ.BETA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Delta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FX.SPOT, FX.FWD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Delta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CO.SPT, CO.FUT, CO.FWD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Risk (IR)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 Vega / Gamma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RT.VOL, VOL.RT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Risk (EQ)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 Vega / Gamma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EQ.VOL, VOL.EQ.VIX, VOL.EQ.SKEW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Risk (FX)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Vega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FX.VOL, FX.RR, FX.BFY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 sensitivities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RT.XCCY.BASIS, CP.BASIS, CO.BASIS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 sensitivities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EQ.CORR, VOL.CORR</w:t>
            </w:r>
          </w:p>
        </w:tc>
      </w:tr>
      <w:tr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Prepayment Risk</w:t>
            </w:r>
          </w:p>
        </w:tc>
        <w:tc>
          <w:tcPr>
            <w:tcW w:type="dxa" w:w="28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 Duration / Convexity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SEC.AGENCY, SEC.CMO (prepay model drivers)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20.2 P&amp;L Calculation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complete flow from narrative to P&amp;L: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 defines the scenario (e.g., "AI Bubble Severe Correction")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Anchor shocks are calibrated (SPX -32%, CDX IG +125bp, VIX +28,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Propagation engine generates all child driver shocks via multipliers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driver shock maps to a Schedule F sensitivity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P&amp;L = Sensitivity × Shock for each driver-position pair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Aggregate: Position → Book → Desk → Business Line → 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Second-order: Add Gamma/Convexity terms for large shocks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Validate: Total firm P&amp;L should be within expected range for stated severity</w:t>
      </w:r>
    </w:p>
    <w:p>
      <w:r>
        <w:br w:type="page"/>
      </w:r>
    </w:p>
    <w:p>
      <w:pPr>
        <w:pStyle w:val="Heading1"/>
      </w:pPr>
      <w:r>
        <w:t xml:space="preserve">APPENDICES</w:t>
      </w:r>
    </w:p>
    <w:p>
      <w:pPr>
        <w:spacing w:after="80"/>
      </w:pPr>
    </w:p>
    <w:p>
      <w:pPr>
        <w:pStyle w:val="Heading2"/>
      </w:pPr>
      <w:r>
        <w:t xml:space="preserve">Appendix A: Master Shift Type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1000"/>
        <w:gridCol w:w="4460"/>
      </w:tblGrid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Type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Convention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/ Index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selloff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Dividend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cut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crisis convergence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 / CDS Spread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widening (stress)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lower recovery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Prob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higher default risk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uncertainty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 / Swap Rate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 on scenario (+/-)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 Spread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steepening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Swaption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uncertainty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 Inflation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 on scenario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Rate (XXX/USD)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USD strength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Rate (USD/EM)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EM weakness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downside demand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XCCY Basis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USD funding stress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/ Futures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= demand destruction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 / Basis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$/bbl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Depends on direction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Commodity Vol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 / VVIX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fear spike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SKEW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ABSOLUTE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  <w:tc>
          <w:tcPr>
            <w:tcW w:type="dxa" w:w="44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 = tail risk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Appendix B: Complete Driver Type Catalog (All 49 Types)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driver type across all six asset classes, organized for reference:</w:t>
      </w:r>
    </w:p>
    <w:p>
      <w:pPr>
        <w:spacing w:after="8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900"/>
        <w:gridCol w:w="2200"/>
        <w:gridCol w:w="700"/>
        <w:gridCol w:w="1200"/>
      </w:tblGrid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Shift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SPT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 Level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Dividend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Systematic Beta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Dispersion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SKEW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Skew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OAS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Option-Adj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CDSI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CDS Index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RCV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DFL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Probability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Leveraged Loan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Cash-CDS Basis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LIQP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Liquidity Premium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YIELD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Curve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Swaption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Yield (TIPS)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Breakeven Inflation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Rate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Reversal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BFY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Butterfly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Cross-Ccy Basis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SPT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Spot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FWD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Forward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Futures Price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Location Basis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$/unit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$/unit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SPRD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Inter-Commodity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CRACK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Crack/Refining Spread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$/bbl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CVA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Convenience Yield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Volatility Index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VVIX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of Vol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Term Structure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SKEW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 Skew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Correlation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Variance Swap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 pts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AG01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Agency Spread Sens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PPY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Prepayment Speed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CPR</w:t>
            </w:r>
          </w:p>
        </w:tc>
      </w:tr>
      <w:tr>
        <w:tc>
          <w:tcPr>
            <w:tcW w:type="dxa" w:w="5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CVX</w:t>
            </w:r>
          </w:p>
        </w:tc>
        <w:tc>
          <w:tcPr>
            <w:tcW w:type="dxa" w:w="2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Negative Convexity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</w:t>
            </w:r>
          </w:p>
        </w:tc>
        <w:tc>
          <w:tcPr>
            <w:tcW w:type="dxa" w:w="12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 pts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Appendix C: Dimension Lookup Tables</w:t>
      </w:r>
    </w:p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GICS Sector Codes (Level 1):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000"/>
        <w:gridCol w:w="4360"/>
      </w:tblGrid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Care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Materials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Financials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Industrials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Discretionary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 Services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Consumer Staples</w:t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</w:t>
            </w:r>
          </w:p>
        </w:tc>
      </w:tr>
      <w:tr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Estate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Currency Codes:</w:t>
      </w: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700"/>
        <w:gridCol w:w="1700"/>
        <w:gridCol w:w="700"/>
        <w:gridCol w:w="1700"/>
      </w:tblGrid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USD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 Dollar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CHF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Swiss Franc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CNY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Chinese Yuan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Australian Dollar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KRW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Korean Won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GBP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British Pound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CAD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Canadian Dollar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TWD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Taiwan Dollar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JPY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Japanese Yen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NZD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Zealand Dollar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MXN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Mexican Peso</w:t>
            </w:r>
          </w:p>
        </w:tc>
      </w:tr>
      <w:tr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Swedish Krona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BRL</w:t>
            </w:r>
          </w:p>
        </w:tc>
        <w:tc>
          <w:tcPr>
            <w:tcW w:type="dxa" w:w="1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Brazilian Real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 Scale (22 Notches):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AAA → AA+ → AA → AA- → A+ → A → A- → BBB+ → BBB → BBB- → BB+ → BB → BB- → B+ → B → B- → CCC+ → CCC → CCC- → CC → C → D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IG/HY boundary: BBB- is the lowest investment-grade rating. BB+ is the highest high-yield (junk) rating.</w:t>
      </w:r>
    </w:p>
    <w:p>
      <w:r>
        <w:br w:type="page"/>
      </w:r>
    </w:p>
    <w:p>
      <w:pPr>
        <w:pStyle w:val="Heading2"/>
      </w:pPr>
      <w:r>
        <w:t xml:space="preserve">Appendix D: Historical Calibration Anchors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Key historical stress episodes used to calibrate shock magnitudes:</w:t>
      </w:r>
    </w:p>
    <w:p>
      <w:pPr>
        <w:spacing w:after="8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700"/>
        <w:gridCol w:w="900"/>
        <w:gridCol w:w="900"/>
        <w:gridCol w:w="700"/>
        <w:gridCol w:w="900"/>
        <w:gridCol w:w="700"/>
      </w:tblGrid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Episode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 OAS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 OAS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10Y UST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DXY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GFC (Lehman)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 2008 - Mar 2009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-57%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+400bp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80+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+12%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COVID Crash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- Mar 2020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-34%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-140bp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Dot-Com Bust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2000 - Oct 2002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-49%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-150bp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Debt Crisis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2011-2012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-19%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+350bp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-80bp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Taper Tantrum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- Sep 2013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-6%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+140bp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China Deval / Oil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 2015 - Feb 2016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-14%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+60bp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Vol-mageddon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2018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-10%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+75bp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2018 Selloff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Oct - Dec 2018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-20%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-40bp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UK Gilt Crisis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 - Oct 2022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+30bp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+80bp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</w:tr>
      <w:tr>
        <w:tc>
          <w:tcPr>
            <w:tcW w:type="dxa" w:w="13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SVB / Banking</w:t>
            </w:r>
          </w:p>
        </w:tc>
        <w:tc>
          <w:tcPr>
            <w:tcW w:type="dxa" w:w="14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2023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-8%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+25bp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-60bp</w:t>
            </w:r>
          </w:p>
        </w:tc>
        <w:tc>
          <w:tcPr>
            <w:tcW w:type="dxa" w:w="700"/>
            <w:tcBorders>
              <w:top w:val="single" w:color="B0B8C4" w:sz="1"/>
              <w:left w:val="single" w:color="B0B8C4" w:sz="1"/>
              <w:bottom w:val="single" w:color="B0B8C4" w:sz="1"/>
              <w:right w:val="single" w:color="B0B8C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-1%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historical episodes serve as empirical guardrails. Any scenario with shocks significantly exceeding GFC levels should be treated as a hypothetical extreme and flagged for additional governance review.</w:t>
      </w:r>
    </w:p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color w:val="3B6FA0"/>
          <w:sz w:val="28"/>
          <w:szCs w:val="28"/>
        </w:rPr>
        <w:t xml:space="preserve">────────────────────────────────────────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taxonomy is designed to be the single authoritative reference for driver-level risk factor classification, shock calibration, and stress scenario construction across all CIB asset classes.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Driver-Level Taxonomy — Definitive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6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2026-02-05T22:27:29.530Z</dcterms:created>
  <dcterms:modified xsi:type="dcterms:W3CDTF">2026-02-05T22:27:29.531Z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