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00"/>
      </w:pPr>
    </w:p>
    <w:p>
      <w:pPr>
        <w:spacing w:after="200"/>
        <w:jc w:val="center"/>
      </w:pPr>
      <w:r>
        <w:rPr>
          <w:rFonts w:ascii="Arial" w:cs="Arial" w:eastAsia="Arial" w:hAnsi="Arial"/>
          <w:b/>
          <w:bCs/>
          <w:color w:val="1B2A4A"/>
          <w:sz w:val="56"/>
          <w:szCs w:val="56"/>
        </w:rPr>
        <w:t xml:space="preserve">STRESS P&amp;L</w:t>
      </w:r>
    </w:p>
    <w:p>
      <w:pPr>
        <w:spacing w:after="100"/>
        <w:jc w:val="center"/>
      </w:pPr>
      <w:r>
        <w:rPr>
          <w:rFonts w:ascii="Arial" w:cs="Arial" w:eastAsia="Arial" w:hAnsi="Arial"/>
          <w:b/>
          <w:bCs/>
          <w:color w:val="2C3E6B"/>
          <w:sz w:val="42"/>
          <w:szCs w:val="42"/>
        </w:rPr>
        <w:t xml:space="preserve">Valuation, Propagation &amp; Quantitative Mechanics</w:t>
      </w:r>
    </w:p>
    <w:p>
      <w:pPr>
        <w:spacing w:before="200"/>
        <w:jc w:val="center"/>
      </w:pPr>
      <w:r>
        <w:rPr>
          <w:color w:val="3B6FA0"/>
          <w:sz w:val="28"/>
          <w:szCs w:val="28"/>
        </w:rPr>
        <w:t xml:space="preserve">────────────────────────────────────────</w:t>
      </w:r>
    </w:p>
    <w:p>
      <w:pPr>
        <w:spacing w:before="300" w:after="100"/>
        <w:jc w:val="center"/>
      </w:pPr>
      <w:r>
        <w:rPr>
          <w:rFonts w:ascii="Arial" w:cs="Arial" w:eastAsia="Arial" w:hAnsi="Arial"/>
          <w:i/>
          <w:iCs/>
          <w:color w:val="555555"/>
          <w:sz w:val="26"/>
          <w:szCs w:val="26"/>
        </w:rPr>
        <w:t xml:space="preserve">The Complete Quantitative Engine Behind Stress Testing</w:t>
      </w:r>
    </w:p>
    <w:p>
      <w:pPr>
        <w:spacing w:before="100"/>
        <w:jc w:val="center"/>
      </w:pPr>
      <w:r>
        <w:rPr>
          <w:rFonts w:ascii="Arial" w:cs="Arial" w:eastAsia="Arial" w:hAnsi="Arial"/>
          <w:color w:val="777777"/>
          <w:sz w:val="22"/>
          <w:szCs w:val="22"/>
        </w:rPr>
        <w:t xml:space="preserve">From Sensitivities to Dollar P&amp;L — Every Formula, Method &amp; Intuition</w:t>
      </w:r>
    </w:p>
    <w:p>
      <w:pPr>
        <w:spacing w:before="600"/>
        <w:jc w:val="center"/>
      </w:pPr>
      <w:r>
        <w:rPr>
          <w:rFonts w:ascii="Arial" w:cs="Arial" w:eastAsia="Arial" w:hAnsi="Arial"/>
          <w:color w:val="555555"/>
          <w:sz w:val="24"/>
          <w:szCs w:val="24"/>
        </w:rPr>
        <w:t xml:space="preserve">February 2026</w:t>
      </w:r>
    </w:p>
    <w:p>
      <w:r>
        <w:br w:type="page"/>
      </w:r>
    </w:p>
    <w:p>
      <w:pPr>
        <w:pStyle w:val="Heading1"/>
      </w:pPr>
      <w:r>
        <w:t xml:space="preserve">Table of Contents</w:t>
      </w:r>
    </w:p>
    <w:p>
      <w:pPr>
        <w:spacing w:after="80"/>
      </w:pPr>
    </w:p>
    <w:p>
      <w:pPr>
        <w:spacing w:after="120" w:before="0"/>
      </w:pPr>
      <w:r>
        <w:rPr>
          <w:rFonts w:ascii="Arial" w:cs="Arial" w:eastAsia="Arial" w:hAnsi="Arial"/>
          <w:b/>
          <w:bCs/>
          <w:sz w:val="22"/>
          <w:szCs w:val="22"/>
        </w:rPr>
        <w:t xml:space="preserve">Part I: The P&amp;L Calculation Engine</w:t>
      </w:r>
    </w:p>
    <w:p>
      <w:pPr>
        <w:spacing w:after="120" w:before="0"/>
      </w:pPr>
      <w:r>
        <w:rPr>
          <w:rFonts w:ascii="Arial" w:cs="Arial" w:eastAsia="Arial" w:hAnsi="Arial"/>
          <w:sz w:val="22"/>
          <w:szCs w:val="22"/>
        </w:rPr>
        <w:t xml:space="preserve">  1.  The Fundamental Equation: Sensitivity × Shock = P&amp;L</w:t>
      </w:r>
    </w:p>
    <w:p>
      <w:pPr>
        <w:spacing w:after="120" w:before="0"/>
      </w:pPr>
      <w:r>
        <w:rPr>
          <w:rFonts w:ascii="Arial" w:cs="Arial" w:eastAsia="Arial" w:hAnsi="Arial"/>
          <w:sz w:val="22"/>
          <w:szCs w:val="22"/>
        </w:rPr>
        <w:t xml:space="preserve">  2.  Three Valuation Methods (Greeks, Full Reval, Hybrid)</w:t>
      </w:r>
    </w:p>
    <w:p>
      <w:pPr>
        <w:spacing w:after="120" w:before="0"/>
      </w:pPr>
      <w:r>
        <w:rPr>
          <w:rFonts w:ascii="Arial" w:cs="Arial" w:eastAsia="Arial" w:hAnsi="Arial"/>
          <w:sz w:val="22"/>
          <w:szCs w:val="22"/>
        </w:rPr>
        <w:t xml:space="preserve">  3.  First-Order Greeks: Delta, DV01, CS01, FX Delta</w:t>
      </w:r>
    </w:p>
    <w:p>
      <w:pPr>
        <w:spacing w:after="120" w:before="0"/>
      </w:pPr>
      <w:r>
        <w:rPr>
          <w:rFonts w:ascii="Arial" w:cs="Arial" w:eastAsia="Arial" w:hAnsi="Arial"/>
          <w:sz w:val="22"/>
          <w:szCs w:val="22"/>
        </w:rPr>
        <w:t xml:space="preserve">  4.  Second-Order Effects: Gamma, Convexity, Vanna, Volga</w:t>
      </w:r>
    </w:p>
    <w:p>
      <w:pPr>
        <w:spacing w:after="120" w:before="0"/>
      </w:pPr>
      <w:r>
        <w:rPr>
          <w:rFonts w:ascii="Arial" w:cs="Arial" w:eastAsia="Arial" w:hAnsi="Arial"/>
          <w:sz w:val="22"/>
          <w:szCs w:val="22"/>
        </w:rPr>
        <w:t xml:space="preserve">  5.  Cross-Greeks &amp; Higher-Order Adjustments</w:t>
      </w:r>
    </w:p>
    <w:p>
      <w:pPr>
        <w:spacing w:after="120" w:before="0"/>
      </w:pPr>
      <w:r>
        <w:rPr>
          <w:rFonts w:ascii="Arial" w:cs="Arial" w:eastAsia="Arial" w:hAnsi="Arial"/>
          <w:sz w:val="22"/>
          <w:szCs w:val="22"/>
        </w:rPr>
        <w:t xml:space="preserve">  6.  Worked Example: Complete Position P&amp;L Decomposition</w:t>
      </w:r>
    </w:p>
    <w:p>
      <w:pPr>
        <w:spacing w:after="80"/>
      </w:pPr>
    </w:p>
    <w:p>
      <w:pPr>
        <w:spacing w:after="120" w:before="0"/>
      </w:pPr>
      <w:r>
        <w:rPr>
          <w:rFonts w:ascii="Arial" w:cs="Arial" w:eastAsia="Arial" w:hAnsi="Arial"/>
          <w:b/>
          <w:bCs/>
          <w:sz w:val="22"/>
          <w:szCs w:val="22"/>
        </w:rPr>
        <w:t xml:space="preserve">Part II: Shock Propagation Engine</w:t>
      </w:r>
    </w:p>
    <w:p>
      <w:pPr>
        <w:spacing w:after="120" w:before="0"/>
      </w:pPr>
      <w:r>
        <w:rPr>
          <w:rFonts w:ascii="Arial" w:cs="Arial" w:eastAsia="Arial" w:hAnsi="Arial"/>
          <w:sz w:val="22"/>
          <w:szCs w:val="22"/>
        </w:rPr>
        <w:t xml:space="preserve">  7.  Beta Estimation Methods (OLS, Rolling, Stress, Fundamental)</w:t>
      </w:r>
    </w:p>
    <w:p>
      <w:pPr>
        <w:spacing w:after="120" w:before="0"/>
      </w:pPr>
      <w:r>
        <w:rPr>
          <w:rFonts w:ascii="Arial" w:cs="Arial" w:eastAsia="Arial" w:hAnsi="Arial"/>
          <w:sz w:val="22"/>
          <w:szCs w:val="22"/>
        </w:rPr>
        <w:t xml:space="preserve">  8.  Shrinkage, Clamping &amp; Robustification</w:t>
      </w:r>
    </w:p>
    <w:p>
      <w:pPr>
        <w:spacing w:after="120" w:before="0"/>
      </w:pPr>
      <w:r>
        <w:rPr>
          <w:rFonts w:ascii="Arial" w:cs="Arial" w:eastAsia="Arial" w:hAnsi="Arial"/>
          <w:sz w:val="22"/>
          <w:szCs w:val="22"/>
        </w:rPr>
        <w:t xml:space="preserve">  9.  Multiplier Stacking: Rating × Sector × Tenor × Seniority</w:t>
      </w:r>
    </w:p>
    <w:p>
      <w:pPr>
        <w:spacing w:after="120" w:before="0"/>
      </w:pPr>
      <w:r>
        <w:rPr>
          <w:rFonts w:ascii="Arial" w:cs="Arial" w:eastAsia="Arial" w:hAnsi="Arial"/>
          <w:sz w:val="22"/>
          <w:szCs w:val="22"/>
        </w:rPr>
        <w:t xml:space="preserve">  10. Propagation Methods (Beta, Ratio, Matrix, PCA)</w:t>
      </w:r>
    </w:p>
    <w:p>
      <w:pPr>
        <w:spacing w:after="120" w:before="0"/>
      </w:pPr>
      <w:r>
        <w:rPr>
          <w:rFonts w:ascii="Arial" w:cs="Arial" w:eastAsia="Arial" w:hAnsi="Arial"/>
          <w:sz w:val="22"/>
          <w:szCs w:val="22"/>
        </w:rPr>
        <w:t xml:space="preserve">  11. Idiosyncratic Treatment &amp; Overlay Framework</w:t>
      </w:r>
    </w:p>
    <w:p>
      <w:pPr>
        <w:spacing w:after="120" w:before="0"/>
      </w:pPr>
      <w:r>
        <w:rPr>
          <w:rFonts w:ascii="Arial" w:cs="Arial" w:eastAsia="Arial" w:hAnsi="Arial"/>
          <w:sz w:val="22"/>
          <w:szCs w:val="22"/>
        </w:rPr>
        <w:t xml:space="preserve">  12. Worked Example: Anchor → Child Driver Chain</w:t>
      </w:r>
    </w:p>
    <w:p>
      <w:pPr>
        <w:spacing w:after="80"/>
      </w:pPr>
    </w:p>
    <w:p>
      <w:pPr>
        <w:spacing w:after="120" w:before="0"/>
      </w:pPr>
      <w:r>
        <w:rPr>
          <w:rFonts w:ascii="Arial" w:cs="Arial" w:eastAsia="Arial" w:hAnsi="Arial"/>
          <w:b/>
          <w:bCs/>
          <w:sz w:val="22"/>
          <w:szCs w:val="22"/>
        </w:rPr>
        <w:t xml:space="preserve">Part III: Aggregation &amp; Attribution</w:t>
      </w:r>
    </w:p>
    <w:p>
      <w:pPr>
        <w:spacing w:after="120" w:before="0"/>
      </w:pPr>
      <w:r>
        <w:rPr>
          <w:rFonts w:ascii="Arial" w:cs="Arial" w:eastAsia="Arial" w:hAnsi="Arial"/>
          <w:sz w:val="22"/>
          <w:szCs w:val="22"/>
        </w:rPr>
        <w:t xml:space="preserve">  13. The Aggregation Hierarchy (Position → Desk → Firm)</w:t>
      </w:r>
    </w:p>
    <w:p>
      <w:pPr>
        <w:spacing w:after="120" w:before="0"/>
      </w:pPr>
      <w:r>
        <w:rPr>
          <w:rFonts w:ascii="Arial" w:cs="Arial" w:eastAsia="Arial" w:hAnsi="Arial"/>
          <w:sz w:val="22"/>
          <w:szCs w:val="22"/>
        </w:rPr>
        <w:t xml:space="preserve">  14. P&amp;L Attribution by Risk Type, Asset Class &amp; Driver</w:t>
      </w:r>
    </w:p>
    <w:p>
      <w:pPr>
        <w:spacing w:after="120" w:before="0"/>
      </w:pPr>
      <w:r>
        <w:rPr>
          <w:rFonts w:ascii="Arial" w:cs="Arial" w:eastAsia="Arial" w:hAnsi="Arial"/>
          <w:sz w:val="22"/>
          <w:szCs w:val="22"/>
        </w:rPr>
        <w:t xml:space="preserve">  15. Hedging Offset Recognition &amp; Net vs. Gross</w:t>
      </w:r>
    </w:p>
    <w:p>
      <w:pPr>
        <w:spacing w:after="120" w:before="0"/>
      </w:pPr>
      <w:r>
        <w:rPr>
          <w:rFonts w:ascii="Arial" w:cs="Arial" w:eastAsia="Arial" w:hAnsi="Arial"/>
          <w:sz w:val="22"/>
          <w:szCs w:val="22"/>
        </w:rPr>
        <w:t xml:space="preserve">  16. Sensitivity vs. Full Reval: When They Diverge</w:t>
      </w:r>
    </w:p>
    <w:p>
      <w:pPr>
        <w:spacing w:after="80"/>
      </w:pPr>
    </w:p>
    <w:p>
      <w:pPr>
        <w:spacing w:after="120" w:before="0"/>
      </w:pPr>
      <w:r>
        <w:rPr>
          <w:rFonts w:ascii="Arial" w:cs="Arial" w:eastAsia="Arial" w:hAnsi="Arial"/>
          <w:b/>
          <w:bCs/>
          <w:sz w:val="22"/>
          <w:szCs w:val="22"/>
        </w:rPr>
        <w:t xml:space="preserve">Part IV: Coherence, Validation &amp; Calibration</w:t>
      </w:r>
    </w:p>
    <w:p>
      <w:pPr>
        <w:spacing w:after="120" w:before="0"/>
      </w:pPr>
      <w:r>
        <w:rPr>
          <w:rFonts w:ascii="Arial" w:cs="Arial" w:eastAsia="Arial" w:hAnsi="Arial"/>
          <w:sz w:val="22"/>
          <w:szCs w:val="22"/>
        </w:rPr>
        <w:t xml:space="preserve">  17. Sign Consistency Checks</w:t>
      </w:r>
    </w:p>
    <w:p>
      <w:pPr>
        <w:spacing w:after="120" w:before="0"/>
      </w:pPr>
      <w:r>
        <w:rPr>
          <w:rFonts w:ascii="Arial" w:cs="Arial" w:eastAsia="Arial" w:hAnsi="Arial"/>
          <w:sz w:val="22"/>
          <w:szCs w:val="22"/>
        </w:rPr>
        <w:t xml:space="preserve">  18. Magnitude Bounds &amp; Historical Reasonableness</w:t>
      </w:r>
    </w:p>
    <w:p>
      <w:pPr>
        <w:spacing w:after="120" w:before="0"/>
      </w:pPr>
      <w:r>
        <w:rPr>
          <w:rFonts w:ascii="Arial" w:cs="Arial" w:eastAsia="Arial" w:hAnsi="Arial"/>
          <w:sz w:val="22"/>
          <w:szCs w:val="22"/>
        </w:rPr>
        <w:t xml:space="preserve">  19. Mahalanobis Distance (Statistical Coherence)</w:t>
      </w:r>
    </w:p>
    <w:p>
      <w:pPr>
        <w:spacing w:after="120" w:before="0"/>
      </w:pPr>
      <w:r>
        <w:rPr>
          <w:rFonts w:ascii="Arial" w:cs="Arial" w:eastAsia="Arial" w:hAnsi="Arial"/>
          <w:sz w:val="22"/>
          <w:szCs w:val="22"/>
        </w:rPr>
        <w:t xml:space="preserve">  20. Correlation Regime Stress</w:t>
      </w:r>
    </w:p>
    <w:p>
      <w:pPr>
        <w:spacing w:after="120" w:before="0"/>
      </w:pPr>
      <w:r>
        <w:rPr>
          <w:rFonts w:ascii="Arial" w:cs="Arial" w:eastAsia="Arial" w:hAnsi="Arial"/>
          <w:sz w:val="22"/>
          <w:szCs w:val="22"/>
        </w:rPr>
        <w:t xml:space="preserve">  21. Backtesting &amp; Coverage Ratio</w:t>
      </w:r>
    </w:p>
    <w:p>
      <w:pPr>
        <w:spacing w:after="80"/>
      </w:pPr>
    </w:p>
    <w:p>
      <w:pPr>
        <w:spacing w:after="120" w:before="0"/>
      </w:pPr>
      <w:r>
        <w:rPr>
          <w:rFonts w:ascii="Arial" w:cs="Arial" w:eastAsia="Arial" w:hAnsi="Arial"/>
          <w:b/>
          <w:bCs/>
          <w:sz w:val="22"/>
          <w:szCs w:val="22"/>
        </w:rPr>
        <w:t xml:space="preserve">Part V: Advanced Quantitative Topics</w:t>
      </w:r>
    </w:p>
    <w:p>
      <w:pPr>
        <w:spacing w:after="120" w:before="0"/>
      </w:pPr>
      <w:r>
        <w:rPr>
          <w:rFonts w:ascii="Arial" w:cs="Arial" w:eastAsia="Arial" w:hAnsi="Arial"/>
          <w:sz w:val="22"/>
          <w:szCs w:val="22"/>
        </w:rPr>
        <w:t xml:space="preserve">  22. PCA-Based Scenario Construction</w:t>
      </w:r>
    </w:p>
    <w:p>
      <w:pPr>
        <w:spacing w:after="120" w:before="0"/>
      </w:pPr>
      <w:r>
        <w:rPr>
          <w:rFonts w:ascii="Arial" w:cs="Arial" w:eastAsia="Arial" w:hAnsi="Arial"/>
          <w:sz w:val="22"/>
          <w:szCs w:val="22"/>
        </w:rPr>
        <w:t xml:space="preserve">  23. Copulas &amp; Non-Linear Dependence</w:t>
      </w:r>
    </w:p>
    <w:p>
      <w:pPr>
        <w:spacing w:after="120" w:before="0"/>
      </w:pPr>
      <w:r>
        <w:rPr>
          <w:rFonts w:ascii="Arial" w:cs="Arial" w:eastAsia="Arial" w:hAnsi="Arial"/>
          <w:sz w:val="22"/>
          <w:szCs w:val="22"/>
        </w:rPr>
        <w:t xml:space="preserve">  24. Square-Root-of-Time and When It Fails</w:t>
      </w:r>
    </w:p>
    <w:p>
      <w:pPr>
        <w:spacing w:after="120" w:before="0"/>
      </w:pPr>
      <w:r>
        <w:rPr>
          <w:rFonts w:ascii="Arial" w:cs="Arial" w:eastAsia="Arial" w:hAnsi="Arial"/>
          <w:sz w:val="22"/>
          <w:szCs w:val="22"/>
        </w:rPr>
        <w:t xml:space="preserve">  25. VaR / ES Integration with Stress P&amp;L</w:t>
      </w:r>
    </w:p>
    <w:p>
      <w:pPr>
        <w:spacing w:after="120" w:before="0"/>
      </w:pPr>
      <w:r>
        <w:rPr>
          <w:rFonts w:ascii="Arial" w:cs="Arial" w:eastAsia="Arial" w:hAnsi="Arial"/>
          <w:sz w:val="22"/>
          <w:szCs w:val="22"/>
        </w:rPr>
        <w:t xml:space="preserve">  26. Model Risk in Stress Testing</w:t>
      </w:r>
    </w:p>
    <w:p>
      <w:r>
        <w:br w:type="page"/>
      </w:r>
    </w:p>
    <w:p>
      <w:pPr>
        <w:pStyle w:val="Heading1"/>
      </w:pPr>
      <w:r>
        <w:t xml:space="preserve">PART I: THE P&amp;L CALCULATION ENGINE</w:t>
      </w:r>
    </w:p>
    <w:p>
      <w:pPr>
        <w:spacing w:after="80"/>
      </w:pPr>
    </w:p>
    <w:p>
      <w:pPr>
        <w:pStyle w:val="Heading2"/>
      </w:pPr>
      <w:r>
        <w:t xml:space="preserve">1. The Fundamental Equation</w:t>
      </w:r>
    </w:p>
    <w:p>
      <w:pPr>
        <w:spacing w:after="120" w:before="0"/>
      </w:pPr>
      <w:r>
        <w:rPr>
          <w:rFonts w:ascii="Arial" w:cs="Arial" w:eastAsia="Arial" w:hAnsi="Arial"/>
          <w:sz w:val="22"/>
          <w:szCs w:val="22"/>
        </w:rPr>
        <w:t xml:space="preserve">At every level of a stress test, the same equation applies:</w:t>
      </w:r>
    </w:p>
    <w:p>
      <w:pPr>
        <w:spacing w:after="140" w:before="80"/>
        <w:jc w:val="center"/>
      </w:pPr>
      <w:r>
        <w:rPr>
          <w:rFonts w:ascii="Courier New" w:cs="Courier New" w:eastAsia="Courier New" w:hAnsi="Courier New"/>
          <w:b/>
          <w:bCs/>
          <w:color w:val="2C3E6B"/>
          <w:sz w:val="24"/>
          <w:szCs w:val="24"/>
        </w:rPr>
        <w:t xml:space="preserve">Stress P&amp;L = Σ ( Sensitivityᵢ × Shockᵢ )</w:t>
      </w:r>
    </w:p>
    <w:p>
      <w:pPr>
        <w:spacing w:after="120" w:before="0"/>
      </w:pPr>
      <w:r>
        <w:rPr>
          <w:rFonts w:ascii="Arial" w:cs="Arial" w:eastAsia="Arial" w:hAnsi="Arial"/>
          <w:sz w:val="22"/>
          <w:szCs w:val="22"/>
        </w:rPr>
        <w:t xml:space="preserve">This is deceptively simple. The complexity lies in three questions: What are the sensitivities? What are the shocks? And what happens when the shock is large enough that the linear approximation breaks down?</w:t>
      </w:r>
    </w:p>
    <w:p>
      <w:pPr>
        <w:spacing w:after="80"/>
      </w:pPr>
    </w:p>
    <w:p>
      <w:pPr>
        <w:pStyle w:val="Heading3"/>
      </w:pPr>
      <w:r>
        <w:t xml:space="preserve">1.1 What “Sensitivity” Actually Means</w:t>
      </w:r>
    </w:p>
    <w:p>
      <w:pPr>
        <w:spacing w:after="120" w:before="0"/>
      </w:pPr>
      <w:r>
        <w:rPr>
          <w:rFonts w:ascii="Arial" w:cs="Arial" w:eastAsia="Arial" w:hAnsi="Arial"/>
          <w:sz w:val="22"/>
          <w:szCs w:val="22"/>
        </w:rPr>
        <w:t xml:space="preserve">A sensitivity is the partial derivative of a position’s value with respect to a specific risk factor. Different asset classes report different sensitivities: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3400"/>
        <w:gridCol w:w="2360"/>
      </w:tblGrid>
      <w:tr>
        <w:tc>
          <w:tcPr>
            <w:tcW w:type="dxa" w:w="1800"/>
            <w:tcBorders>
              <w:top w:val="single" w:color="B0B8C4" w:sz="1"/>
              <w:left w:val="single" w:color="B0B8C4" w:sz="1"/>
              <w:bottom w:val="single" w:color="B0B8C4" w:sz="1"/>
              <w:right w:val="single" w:color="B0B8C4"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Asset Class</w:t>
            </w:r>
          </w:p>
        </w:tc>
        <w:tc>
          <w:tcPr>
            <w:tcW w:type="dxa" w:w="1800"/>
            <w:tcBorders>
              <w:top w:val="single" w:color="B0B8C4" w:sz="1"/>
              <w:left w:val="single" w:color="B0B8C4" w:sz="1"/>
              <w:bottom w:val="single" w:color="B0B8C4" w:sz="1"/>
              <w:right w:val="single" w:color="B0B8C4"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Primary Sensitivity</w:t>
            </w:r>
          </w:p>
        </w:tc>
        <w:tc>
          <w:tcPr>
            <w:tcW w:type="dxa" w:w="3400"/>
            <w:tcBorders>
              <w:top w:val="single" w:color="B0B8C4" w:sz="1"/>
              <w:left w:val="single" w:color="B0B8C4" w:sz="1"/>
              <w:bottom w:val="single" w:color="B0B8C4" w:sz="1"/>
              <w:right w:val="single" w:color="B0B8C4"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Definition</w:t>
            </w:r>
          </w:p>
        </w:tc>
        <w:tc>
          <w:tcPr>
            <w:tcW w:type="dxa" w:w="2360"/>
            <w:tcBorders>
              <w:top w:val="single" w:color="B0B8C4" w:sz="1"/>
              <w:left w:val="single" w:color="B0B8C4" w:sz="1"/>
              <w:bottom w:val="single" w:color="B0B8C4" w:sz="1"/>
              <w:right w:val="single" w:color="B0B8C4"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Units</w:t>
            </w:r>
          </w:p>
        </w:tc>
      </w:tr>
      <w:tr>
        <w:tc>
          <w:tcPr>
            <w:tcW w:type="dxa" w:w="1800"/>
            <w:tcBorders>
              <w:top w:val="single" w:color="B0B8C4" w:sz="1"/>
              <w:left w:val="single" w:color="B0B8C4" w:sz="1"/>
              <w:bottom w:val="single" w:color="B0B8C4" w:sz="1"/>
              <w:right w:val="single" w:color="B0B8C4" w:sz="1"/>
            </w:tcBorders>
            <w:shd w:fill="EDF2F7" w:val="clear"/>
            <w:tcMar>
              <w:top w:type="dxa" w:w="60"/>
              <w:left w:type="dxa" w:w="100"/>
              <w:bottom w:type="dxa" w:w="60"/>
              <w:right w:type="dxa" w:w="100"/>
            </w:tcMar>
          </w:tcPr>
          <w:p>
            <w:r>
              <w:rPr>
                <w:rFonts w:ascii="Arial" w:cs="Arial" w:eastAsia="Arial" w:hAnsi="Arial"/>
                <w:b w:val="false"/>
                <w:bCs w:val="false"/>
                <w:color w:val="333333"/>
                <w:sz w:val="20"/>
                <w:szCs w:val="20"/>
              </w:rPr>
              <w:t xml:space="preserve">Equity (spot)</w:t>
            </w:r>
          </w:p>
        </w:tc>
        <w:tc>
          <w:tcPr>
            <w:tcW w:type="dxa" w:w="1800"/>
            <w:tcBorders>
              <w:top w:val="single" w:color="B0B8C4" w:sz="1"/>
              <w:left w:val="single" w:color="B0B8C4" w:sz="1"/>
              <w:bottom w:val="single" w:color="B0B8C4" w:sz="1"/>
              <w:right w:val="single" w:color="B0B8C4" w:sz="1"/>
            </w:tcBorders>
            <w:shd w:fill="EDF2F7" w:val="clear"/>
            <w:tcMar>
              <w:top w:type="dxa" w:w="60"/>
              <w:left w:type="dxa" w:w="100"/>
              <w:bottom w:type="dxa" w:w="60"/>
              <w:right w:type="dxa" w:w="100"/>
            </w:tcMar>
          </w:tcPr>
          <w:p>
            <w:r>
              <w:rPr>
                <w:rFonts w:ascii="Arial" w:cs="Arial" w:eastAsia="Arial" w:hAnsi="Arial"/>
                <w:b w:val="false"/>
                <w:bCs w:val="false"/>
                <w:color w:val="333333"/>
                <w:sz w:val="20"/>
                <w:szCs w:val="20"/>
              </w:rPr>
              <w:t xml:space="preserve">Delta (Δ)</w:t>
            </w:r>
          </w:p>
        </w:tc>
        <w:tc>
          <w:tcPr>
            <w:tcW w:type="dxa" w:w="3400"/>
            <w:tcBorders>
              <w:top w:val="single" w:color="B0B8C4" w:sz="1"/>
              <w:left w:val="single" w:color="B0B8C4" w:sz="1"/>
              <w:bottom w:val="single" w:color="B0B8C4" w:sz="1"/>
              <w:right w:val="single" w:color="B0B8C4" w:sz="1"/>
            </w:tcBorders>
            <w:shd w:fill="EDF2F7" w:val="clear"/>
            <w:tcMar>
              <w:top w:type="dxa" w:w="60"/>
              <w:left w:type="dxa" w:w="100"/>
              <w:bottom w:type="dxa" w:w="60"/>
              <w:right w:type="dxa" w:w="100"/>
            </w:tcMar>
          </w:tcPr>
          <w:p>
            <w:r>
              <w:rPr>
                <w:rFonts w:ascii="Arial" w:cs="Arial" w:eastAsia="Arial" w:hAnsi="Arial"/>
                <w:b w:val="false"/>
                <w:bCs w:val="false"/>
                <w:color w:val="333333"/>
                <w:sz w:val="20"/>
                <w:szCs w:val="20"/>
              </w:rPr>
              <w:t xml:space="preserve">∂V / ∂S = dollar change per $1 move in underlying</w:t>
            </w:r>
          </w:p>
        </w:tc>
        <w:tc>
          <w:tcPr>
            <w:tcW w:type="dxa" w:w="2360"/>
            <w:tcBorders>
              <w:top w:val="single" w:color="B0B8C4" w:sz="1"/>
              <w:left w:val="single" w:color="B0B8C4" w:sz="1"/>
              <w:bottom w:val="single" w:color="B0B8C4" w:sz="1"/>
              <w:right w:val="single" w:color="B0B8C4" w:sz="1"/>
            </w:tcBorders>
            <w:shd w:fill="EDF2F7" w:val="clear"/>
            <w:tcMar>
              <w:top w:type="dxa" w:w="60"/>
              <w:left w:type="dxa" w:w="100"/>
              <w:bottom w:type="dxa" w:w="60"/>
              <w:right w:type="dxa" w:w="100"/>
            </w:tcMar>
          </w:tcPr>
          <w:p>
            <w:r>
              <w:rPr>
                <w:rFonts w:ascii="Arial" w:cs="Arial" w:eastAsia="Arial" w:hAnsi="Arial"/>
                <w:b w:val="false"/>
                <w:bCs w:val="false"/>
                <w:color w:val="333333"/>
                <w:sz w:val="20"/>
                <w:szCs w:val="20"/>
              </w:rPr>
              <w:t xml:space="preserve">$/$ or shares</w:t>
            </w:r>
          </w:p>
        </w:tc>
      </w:tr>
      <w:tr>
        <w:tc>
          <w:tcPr>
            <w:tcW w:type="dxa" w:w="18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Equity (options)</w:t>
            </w:r>
          </w:p>
        </w:tc>
        <w:tc>
          <w:tcPr>
            <w:tcW w:type="dxa" w:w="18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Delta + Gamma + Vega</w:t>
            </w:r>
          </w:p>
        </w:tc>
        <w:tc>
          <w:tcPr>
            <w:tcW w:type="dxa" w:w="34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First, second, and vol derivatives</w:t>
            </w:r>
          </w:p>
        </w:tc>
        <w:tc>
          <w:tcPr>
            <w:tcW w:type="dxa" w:w="236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See below</w:t>
            </w:r>
          </w:p>
        </w:tc>
      </w:tr>
      <w:tr>
        <w:tc>
          <w:tcPr>
            <w:tcW w:type="dxa" w:w="1800"/>
            <w:tcBorders>
              <w:top w:val="single" w:color="B0B8C4" w:sz="1"/>
              <w:left w:val="single" w:color="B0B8C4" w:sz="1"/>
              <w:bottom w:val="single" w:color="B0B8C4" w:sz="1"/>
              <w:right w:val="single" w:color="B0B8C4" w:sz="1"/>
            </w:tcBorders>
            <w:shd w:fill="EDF2F7" w:val="clear"/>
            <w:tcMar>
              <w:top w:type="dxa" w:w="60"/>
              <w:left w:type="dxa" w:w="100"/>
              <w:bottom w:type="dxa" w:w="60"/>
              <w:right w:type="dxa" w:w="100"/>
            </w:tcMar>
          </w:tcPr>
          <w:p>
            <w:r>
              <w:rPr>
                <w:rFonts w:ascii="Arial" w:cs="Arial" w:eastAsia="Arial" w:hAnsi="Arial"/>
                <w:b w:val="false"/>
                <w:bCs w:val="false"/>
                <w:color w:val="333333"/>
                <w:sz w:val="20"/>
                <w:szCs w:val="20"/>
              </w:rPr>
              <w:t xml:space="preserve">Rates / Fixed Income</w:t>
            </w:r>
          </w:p>
        </w:tc>
        <w:tc>
          <w:tcPr>
            <w:tcW w:type="dxa" w:w="1800"/>
            <w:tcBorders>
              <w:top w:val="single" w:color="B0B8C4" w:sz="1"/>
              <w:left w:val="single" w:color="B0B8C4" w:sz="1"/>
              <w:bottom w:val="single" w:color="B0B8C4" w:sz="1"/>
              <w:right w:val="single" w:color="B0B8C4" w:sz="1"/>
            </w:tcBorders>
            <w:shd w:fill="EDF2F7" w:val="clear"/>
            <w:tcMar>
              <w:top w:type="dxa" w:w="60"/>
              <w:left w:type="dxa" w:w="100"/>
              <w:bottom w:type="dxa" w:w="60"/>
              <w:right w:type="dxa" w:w="100"/>
            </w:tcMar>
          </w:tcPr>
          <w:p>
            <w:r>
              <w:rPr>
                <w:rFonts w:ascii="Arial" w:cs="Arial" w:eastAsia="Arial" w:hAnsi="Arial"/>
                <w:b w:val="false"/>
                <w:bCs w:val="false"/>
                <w:color w:val="333333"/>
                <w:sz w:val="20"/>
                <w:szCs w:val="20"/>
              </w:rPr>
              <w:t xml:space="preserve">DV01</w:t>
            </w:r>
          </w:p>
        </w:tc>
        <w:tc>
          <w:tcPr>
            <w:tcW w:type="dxa" w:w="3400"/>
            <w:tcBorders>
              <w:top w:val="single" w:color="B0B8C4" w:sz="1"/>
              <w:left w:val="single" w:color="B0B8C4" w:sz="1"/>
              <w:bottom w:val="single" w:color="B0B8C4" w:sz="1"/>
              <w:right w:val="single" w:color="B0B8C4" w:sz="1"/>
            </w:tcBorders>
            <w:shd w:fill="EDF2F7" w:val="clear"/>
            <w:tcMar>
              <w:top w:type="dxa" w:w="60"/>
              <w:left w:type="dxa" w:w="100"/>
              <w:bottom w:type="dxa" w:w="60"/>
              <w:right w:type="dxa" w:w="100"/>
            </w:tcMar>
          </w:tcPr>
          <w:p>
            <w:r>
              <w:rPr>
                <w:rFonts w:ascii="Arial" w:cs="Arial" w:eastAsia="Arial" w:hAnsi="Arial"/>
                <w:b w:val="false"/>
                <w:bCs w:val="false"/>
                <w:color w:val="333333"/>
                <w:sz w:val="20"/>
                <w:szCs w:val="20"/>
              </w:rPr>
              <w:t xml:space="preserve">∂V / ∂y = dollar change per 1bp yield change</w:t>
            </w:r>
          </w:p>
        </w:tc>
        <w:tc>
          <w:tcPr>
            <w:tcW w:type="dxa" w:w="2360"/>
            <w:tcBorders>
              <w:top w:val="single" w:color="B0B8C4" w:sz="1"/>
              <w:left w:val="single" w:color="B0B8C4" w:sz="1"/>
              <w:bottom w:val="single" w:color="B0B8C4" w:sz="1"/>
              <w:right w:val="single" w:color="B0B8C4" w:sz="1"/>
            </w:tcBorders>
            <w:shd w:fill="EDF2F7" w:val="clear"/>
            <w:tcMar>
              <w:top w:type="dxa" w:w="60"/>
              <w:left w:type="dxa" w:w="100"/>
              <w:bottom w:type="dxa" w:w="60"/>
              <w:right w:type="dxa" w:w="100"/>
            </w:tcMar>
          </w:tcPr>
          <w:p>
            <w:r>
              <w:rPr>
                <w:rFonts w:ascii="Arial" w:cs="Arial" w:eastAsia="Arial" w:hAnsi="Arial"/>
                <w:b w:val="false"/>
                <w:bCs w:val="false"/>
                <w:color w:val="333333"/>
                <w:sz w:val="20"/>
                <w:szCs w:val="20"/>
              </w:rPr>
              <w:t xml:space="preserve">$/ bp</w:t>
            </w:r>
          </w:p>
        </w:tc>
      </w:tr>
      <w:tr>
        <w:tc>
          <w:tcPr>
            <w:tcW w:type="dxa" w:w="18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Credit</w:t>
            </w:r>
          </w:p>
        </w:tc>
        <w:tc>
          <w:tcPr>
            <w:tcW w:type="dxa" w:w="18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CS01</w:t>
            </w:r>
          </w:p>
        </w:tc>
        <w:tc>
          <w:tcPr>
            <w:tcW w:type="dxa" w:w="34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∂V / ∂s = dollar change per 1bp spread change</w:t>
            </w:r>
          </w:p>
        </w:tc>
        <w:tc>
          <w:tcPr>
            <w:tcW w:type="dxa" w:w="236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$/bp</w:t>
            </w:r>
          </w:p>
        </w:tc>
      </w:tr>
      <w:tr>
        <w:tc>
          <w:tcPr>
            <w:tcW w:type="dxa" w:w="1800"/>
            <w:tcBorders>
              <w:top w:val="single" w:color="B0B8C4" w:sz="1"/>
              <w:left w:val="single" w:color="B0B8C4" w:sz="1"/>
              <w:bottom w:val="single" w:color="B0B8C4" w:sz="1"/>
              <w:right w:val="single" w:color="B0B8C4" w:sz="1"/>
            </w:tcBorders>
            <w:shd w:fill="EDF2F7" w:val="clear"/>
            <w:tcMar>
              <w:top w:type="dxa" w:w="60"/>
              <w:left w:type="dxa" w:w="100"/>
              <w:bottom w:type="dxa" w:w="60"/>
              <w:right w:type="dxa" w:w="100"/>
            </w:tcMar>
          </w:tcPr>
          <w:p>
            <w:r>
              <w:rPr>
                <w:rFonts w:ascii="Arial" w:cs="Arial" w:eastAsia="Arial" w:hAnsi="Arial"/>
                <w:b w:val="false"/>
                <w:bCs w:val="false"/>
                <w:color w:val="333333"/>
                <w:sz w:val="20"/>
                <w:szCs w:val="20"/>
              </w:rPr>
              <w:t xml:space="preserve">FX</w:t>
            </w:r>
          </w:p>
        </w:tc>
        <w:tc>
          <w:tcPr>
            <w:tcW w:type="dxa" w:w="1800"/>
            <w:tcBorders>
              <w:top w:val="single" w:color="B0B8C4" w:sz="1"/>
              <w:left w:val="single" w:color="B0B8C4" w:sz="1"/>
              <w:bottom w:val="single" w:color="B0B8C4" w:sz="1"/>
              <w:right w:val="single" w:color="B0B8C4" w:sz="1"/>
            </w:tcBorders>
            <w:shd w:fill="EDF2F7" w:val="clear"/>
            <w:tcMar>
              <w:top w:type="dxa" w:w="60"/>
              <w:left w:type="dxa" w:w="100"/>
              <w:bottom w:type="dxa" w:w="60"/>
              <w:right w:type="dxa" w:w="100"/>
            </w:tcMar>
          </w:tcPr>
          <w:p>
            <w:r>
              <w:rPr>
                <w:rFonts w:ascii="Arial" w:cs="Arial" w:eastAsia="Arial" w:hAnsi="Arial"/>
                <w:b w:val="false"/>
                <w:bCs w:val="false"/>
                <w:color w:val="333333"/>
                <w:sz w:val="20"/>
                <w:szCs w:val="20"/>
              </w:rPr>
              <w:t xml:space="preserve">FX Delta</w:t>
            </w:r>
          </w:p>
        </w:tc>
        <w:tc>
          <w:tcPr>
            <w:tcW w:type="dxa" w:w="3400"/>
            <w:tcBorders>
              <w:top w:val="single" w:color="B0B8C4" w:sz="1"/>
              <w:left w:val="single" w:color="B0B8C4" w:sz="1"/>
              <w:bottom w:val="single" w:color="B0B8C4" w:sz="1"/>
              <w:right w:val="single" w:color="B0B8C4" w:sz="1"/>
            </w:tcBorders>
            <w:shd w:fill="EDF2F7" w:val="clear"/>
            <w:tcMar>
              <w:top w:type="dxa" w:w="60"/>
              <w:left w:type="dxa" w:w="100"/>
              <w:bottom w:type="dxa" w:w="60"/>
              <w:right w:type="dxa" w:w="100"/>
            </w:tcMar>
          </w:tcPr>
          <w:p>
            <w:r>
              <w:rPr>
                <w:rFonts w:ascii="Arial" w:cs="Arial" w:eastAsia="Arial" w:hAnsi="Arial"/>
                <w:b w:val="false"/>
                <w:bCs w:val="false"/>
                <w:color w:val="333333"/>
                <w:sz w:val="20"/>
                <w:szCs w:val="20"/>
              </w:rPr>
              <w:t xml:space="preserve">∂V / ∂(FX rate) = dollar change per 1% FX move</w:t>
            </w:r>
          </w:p>
        </w:tc>
        <w:tc>
          <w:tcPr>
            <w:tcW w:type="dxa" w:w="2360"/>
            <w:tcBorders>
              <w:top w:val="single" w:color="B0B8C4" w:sz="1"/>
              <w:left w:val="single" w:color="B0B8C4" w:sz="1"/>
              <w:bottom w:val="single" w:color="B0B8C4" w:sz="1"/>
              <w:right w:val="single" w:color="B0B8C4" w:sz="1"/>
            </w:tcBorders>
            <w:shd w:fill="EDF2F7" w:val="clear"/>
            <w:tcMar>
              <w:top w:type="dxa" w:w="60"/>
              <w:left w:type="dxa" w:w="100"/>
              <w:bottom w:type="dxa" w:w="60"/>
              <w:right w:type="dxa" w:w="100"/>
            </w:tcMar>
          </w:tcPr>
          <w:p>
            <w:r>
              <w:rPr>
                <w:rFonts w:ascii="Arial" w:cs="Arial" w:eastAsia="Arial" w:hAnsi="Arial"/>
                <w:b w:val="false"/>
                <w:bCs w:val="false"/>
                <w:color w:val="333333"/>
                <w:sz w:val="20"/>
                <w:szCs w:val="20"/>
              </w:rPr>
              <w:t xml:space="preserve">$/%</w:t>
            </w:r>
          </w:p>
        </w:tc>
      </w:tr>
      <w:tr>
        <w:tc>
          <w:tcPr>
            <w:tcW w:type="dxa" w:w="18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Commodities</w:t>
            </w:r>
          </w:p>
        </w:tc>
        <w:tc>
          <w:tcPr>
            <w:tcW w:type="dxa" w:w="18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Commodity Delta</w:t>
            </w:r>
          </w:p>
        </w:tc>
        <w:tc>
          <w:tcPr>
            <w:tcW w:type="dxa" w:w="34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∂V / ∂P = dollar change per 1% price move</w:t>
            </w:r>
          </w:p>
        </w:tc>
        <w:tc>
          <w:tcPr>
            <w:tcW w:type="dxa" w:w="236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w:t>
            </w:r>
          </w:p>
        </w:tc>
      </w:tr>
      <w:tr>
        <w:tc>
          <w:tcPr>
            <w:tcW w:type="dxa" w:w="1800"/>
            <w:tcBorders>
              <w:top w:val="single" w:color="B0B8C4" w:sz="1"/>
              <w:left w:val="single" w:color="B0B8C4" w:sz="1"/>
              <w:bottom w:val="single" w:color="B0B8C4" w:sz="1"/>
              <w:right w:val="single" w:color="B0B8C4" w:sz="1"/>
            </w:tcBorders>
            <w:shd w:fill="EDF2F7" w:val="clear"/>
            <w:tcMar>
              <w:top w:type="dxa" w:w="60"/>
              <w:left w:type="dxa" w:w="100"/>
              <w:bottom w:type="dxa" w:w="60"/>
              <w:right w:type="dxa" w:w="100"/>
            </w:tcMar>
          </w:tcPr>
          <w:p>
            <w:r>
              <w:rPr>
                <w:rFonts w:ascii="Arial" w:cs="Arial" w:eastAsia="Arial" w:hAnsi="Arial"/>
                <w:b w:val="false"/>
                <w:bCs w:val="false"/>
                <w:color w:val="333333"/>
                <w:sz w:val="20"/>
                <w:szCs w:val="20"/>
              </w:rPr>
              <w:t xml:space="preserve">Volatility</w:t>
            </w:r>
          </w:p>
        </w:tc>
        <w:tc>
          <w:tcPr>
            <w:tcW w:type="dxa" w:w="1800"/>
            <w:tcBorders>
              <w:top w:val="single" w:color="B0B8C4" w:sz="1"/>
              <w:left w:val="single" w:color="B0B8C4" w:sz="1"/>
              <w:bottom w:val="single" w:color="B0B8C4" w:sz="1"/>
              <w:right w:val="single" w:color="B0B8C4" w:sz="1"/>
            </w:tcBorders>
            <w:shd w:fill="EDF2F7" w:val="clear"/>
            <w:tcMar>
              <w:top w:type="dxa" w:w="60"/>
              <w:left w:type="dxa" w:w="100"/>
              <w:bottom w:type="dxa" w:w="60"/>
              <w:right w:type="dxa" w:w="100"/>
            </w:tcMar>
          </w:tcPr>
          <w:p>
            <w:r>
              <w:rPr>
                <w:rFonts w:ascii="Arial" w:cs="Arial" w:eastAsia="Arial" w:hAnsi="Arial"/>
                <w:b w:val="false"/>
                <w:bCs w:val="false"/>
                <w:color w:val="333333"/>
                <w:sz w:val="20"/>
                <w:szCs w:val="20"/>
              </w:rPr>
              <w:t xml:space="preserve">Vega (ν)</w:t>
            </w:r>
          </w:p>
        </w:tc>
        <w:tc>
          <w:tcPr>
            <w:tcW w:type="dxa" w:w="3400"/>
            <w:tcBorders>
              <w:top w:val="single" w:color="B0B8C4" w:sz="1"/>
              <w:left w:val="single" w:color="B0B8C4" w:sz="1"/>
              <w:bottom w:val="single" w:color="B0B8C4" w:sz="1"/>
              <w:right w:val="single" w:color="B0B8C4" w:sz="1"/>
            </w:tcBorders>
            <w:shd w:fill="EDF2F7" w:val="clear"/>
            <w:tcMar>
              <w:top w:type="dxa" w:w="60"/>
              <w:left w:type="dxa" w:w="100"/>
              <w:bottom w:type="dxa" w:w="60"/>
              <w:right w:type="dxa" w:w="100"/>
            </w:tcMar>
          </w:tcPr>
          <w:p>
            <w:r>
              <w:rPr>
                <w:rFonts w:ascii="Arial" w:cs="Arial" w:eastAsia="Arial" w:hAnsi="Arial"/>
                <w:b w:val="false"/>
                <w:bCs w:val="false"/>
                <w:color w:val="333333"/>
                <w:sz w:val="20"/>
                <w:szCs w:val="20"/>
              </w:rPr>
              <w:t xml:space="preserve">∂V / ∂σ = dollar change per 1 vol point move</w:t>
            </w:r>
          </w:p>
        </w:tc>
        <w:tc>
          <w:tcPr>
            <w:tcW w:type="dxa" w:w="2360"/>
            <w:tcBorders>
              <w:top w:val="single" w:color="B0B8C4" w:sz="1"/>
              <w:left w:val="single" w:color="B0B8C4" w:sz="1"/>
              <w:bottom w:val="single" w:color="B0B8C4" w:sz="1"/>
              <w:right w:val="single" w:color="B0B8C4" w:sz="1"/>
            </w:tcBorders>
            <w:shd w:fill="EDF2F7" w:val="clear"/>
            <w:tcMar>
              <w:top w:type="dxa" w:w="60"/>
              <w:left w:type="dxa" w:w="100"/>
              <w:bottom w:type="dxa" w:w="60"/>
              <w:right w:type="dxa" w:w="100"/>
            </w:tcMar>
          </w:tcPr>
          <w:p>
            <w:r>
              <w:rPr>
                <w:rFonts w:ascii="Arial" w:cs="Arial" w:eastAsia="Arial" w:hAnsi="Arial"/>
                <w:b w:val="false"/>
                <w:bCs w:val="false"/>
                <w:color w:val="333333"/>
                <w:sz w:val="20"/>
                <w:szCs w:val="20"/>
              </w:rPr>
              <w:t xml:space="preserve">$/vol pt</w:t>
            </w:r>
          </w:p>
        </w:tc>
      </w:tr>
    </w:tbl>
    <w:p>
      <w:pPr>
        <w:spacing w:after="80"/>
      </w:pPr>
    </w:p>
    <w:p>
      <w:pPr>
        <w:pStyle w:val="Heading3"/>
      </w:pPr>
      <w:r>
        <w:t xml:space="preserve">1.2 What “Shock” Actually Means</w:t>
      </w:r>
    </w:p>
    <w:p>
      <w:pPr>
        <w:spacing w:after="120" w:before="0"/>
      </w:pPr>
      <w:r>
        <w:rPr>
          <w:rFonts w:ascii="Arial" w:cs="Arial" w:eastAsia="Arial" w:hAnsi="Arial"/>
          <w:sz w:val="22"/>
          <w:szCs w:val="22"/>
        </w:rPr>
        <w:t xml:space="preserve">The shock is the scenario-defined change in the risk factor. The critical detail: the shock must be in the same units as the sensitivity denominator.</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200"/>
        <w:gridCol w:w="3160"/>
      </w:tblGrid>
      <w:tr>
        <w:tc>
          <w:tcPr>
            <w:tcW w:type="dxa" w:w="2000"/>
            <w:tcBorders>
              <w:top w:val="single" w:color="B0B8C4" w:sz="1"/>
              <w:left w:val="single" w:color="B0B8C4" w:sz="1"/>
              <w:bottom w:val="single" w:color="B0B8C4" w:sz="1"/>
              <w:right w:val="single" w:color="B0B8C4"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Sensitivity</w:t>
            </w:r>
          </w:p>
        </w:tc>
        <w:tc>
          <w:tcPr>
            <w:tcW w:type="dxa" w:w="2000"/>
            <w:tcBorders>
              <w:top w:val="single" w:color="B0B8C4" w:sz="1"/>
              <w:left w:val="single" w:color="B0B8C4" w:sz="1"/>
              <w:bottom w:val="single" w:color="B0B8C4" w:sz="1"/>
              <w:right w:val="single" w:color="B0B8C4"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Sensitivity Unit</w:t>
            </w:r>
          </w:p>
        </w:tc>
        <w:tc>
          <w:tcPr>
            <w:tcW w:type="dxa" w:w="2200"/>
            <w:tcBorders>
              <w:top w:val="single" w:color="B0B8C4" w:sz="1"/>
              <w:left w:val="single" w:color="B0B8C4" w:sz="1"/>
              <w:bottom w:val="single" w:color="B0B8C4" w:sz="1"/>
              <w:right w:val="single" w:color="B0B8C4"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Shock Must Be In</w:t>
            </w:r>
          </w:p>
        </w:tc>
        <w:tc>
          <w:tcPr>
            <w:tcW w:type="dxa" w:w="3160"/>
            <w:tcBorders>
              <w:top w:val="single" w:color="B0B8C4" w:sz="1"/>
              <w:left w:val="single" w:color="B0B8C4" w:sz="1"/>
              <w:bottom w:val="single" w:color="B0B8C4" w:sz="1"/>
              <w:right w:val="single" w:color="B0B8C4"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P&amp;L Calculation</w:t>
            </w:r>
          </w:p>
        </w:tc>
      </w:tr>
      <w:tr>
        <w:tc>
          <w:tcPr>
            <w:tcW w:type="dxa" w:w="2000"/>
            <w:tcBorders>
              <w:top w:val="single" w:color="B0B8C4" w:sz="1"/>
              <w:left w:val="single" w:color="B0B8C4" w:sz="1"/>
              <w:bottom w:val="single" w:color="B0B8C4" w:sz="1"/>
              <w:right w:val="single" w:color="B0B8C4" w:sz="1"/>
            </w:tcBorders>
            <w:shd w:fill="EDF2F7" w:val="clear"/>
            <w:tcMar>
              <w:top w:type="dxa" w:w="60"/>
              <w:left w:type="dxa" w:w="100"/>
              <w:bottom w:type="dxa" w:w="60"/>
              <w:right w:type="dxa" w:w="100"/>
            </w:tcMar>
          </w:tcPr>
          <w:p>
            <w:r>
              <w:rPr>
                <w:rFonts w:ascii="Arial" w:cs="Arial" w:eastAsia="Arial" w:hAnsi="Arial"/>
                <w:b w:val="false"/>
                <w:bCs w:val="false"/>
                <w:color w:val="333333"/>
                <w:sz w:val="20"/>
                <w:szCs w:val="20"/>
              </w:rPr>
              <w:t xml:space="preserve">DV01 = $50K/bp</w:t>
            </w:r>
          </w:p>
        </w:tc>
        <w:tc>
          <w:tcPr>
            <w:tcW w:type="dxa" w:w="2000"/>
            <w:tcBorders>
              <w:top w:val="single" w:color="B0B8C4" w:sz="1"/>
              <w:left w:val="single" w:color="B0B8C4" w:sz="1"/>
              <w:bottom w:val="single" w:color="B0B8C4" w:sz="1"/>
              <w:right w:val="single" w:color="B0B8C4" w:sz="1"/>
            </w:tcBorders>
            <w:shd w:fill="EDF2F7" w:val="clear"/>
            <w:tcMar>
              <w:top w:type="dxa" w:w="60"/>
              <w:left w:type="dxa" w:w="100"/>
              <w:bottom w:type="dxa" w:w="60"/>
              <w:right w:type="dxa" w:w="100"/>
            </w:tcMar>
          </w:tcPr>
          <w:p>
            <w:r>
              <w:rPr>
                <w:rFonts w:ascii="Arial" w:cs="Arial" w:eastAsia="Arial" w:hAnsi="Arial"/>
                <w:b w:val="false"/>
                <w:bCs w:val="false"/>
                <w:color w:val="333333"/>
                <w:sz w:val="20"/>
                <w:szCs w:val="20"/>
              </w:rPr>
              <w:t xml:space="preserve">dollars per basis point</w:t>
            </w:r>
          </w:p>
        </w:tc>
        <w:tc>
          <w:tcPr>
            <w:tcW w:type="dxa" w:w="2200"/>
            <w:tcBorders>
              <w:top w:val="single" w:color="B0B8C4" w:sz="1"/>
              <w:left w:val="single" w:color="B0B8C4" w:sz="1"/>
              <w:bottom w:val="single" w:color="B0B8C4" w:sz="1"/>
              <w:right w:val="single" w:color="B0B8C4" w:sz="1"/>
            </w:tcBorders>
            <w:shd w:fill="EDF2F7" w:val="clear"/>
            <w:tcMar>
              <w:top w:type="dxa" w:w="60"/>
              <w:left w:type="dxa" w:w="100"/>
              <w:bottom w:type="dxa" w:w="60"/>
              <w:right w:type="dxa" w:w="100"/>
            </w:tcMar>
          </w:tcPr>
          <w:p>
            <w:r>
              <w:rPr>
                <w:rFonts w:ascii="Arial" w:cs="Arial" w:eastAsia="Arial" w:hAnsi="Arial"/>
                <w:b w:val="false"/>
                <w:bCs w:val="false"/>
                <w:color w:val="333333"/>
                <w:sz w:val="20"/>
                <w:szCs w:val="20"/>
              </w:rPr>
              <w:t xml:space="preserve">basis points (e.g., -75bp)</w:t>
            </w:r>
          </w:p>
        </w:tc>
        <w:tc>
          <w:tcPr>
            <w:tcW w:type="dxa" w:w="3160"/>
            <w:tcBorders>
              <w:top w:val="single" w:color="B0B8C4" w:sz="1"/>
              <w:left w:val="single" w:color="B0B8C4" w:sz="1"/>
              <w:bottom w:val="single" w:color="B0B8C4" w:sz="1"/>
              <w:right w:val="single" w:color="B0B8C4" w:sz="1"/>
            </w:tcBorders>
            <w:shd w:fill="EDF2F7" w:val="clear"/>
            <w:tcMar>
              <w:top w:type="dxa" w:w="60"/>
              <w:left w:type="dxa" w:w="100"/>
              <w:bottom w:type="dxa" w:w="60"/>
              <w:right w:type="dxa" w:w="100"/>
            </w:tcMar>
          </w:tcPr>
          <w:p>
            <w:r>
              <w:rPr>
                <w:rFonts w:ascii="Arial" w:cs="Arial" w:eastAsia="Arial" w:hAnsi="Arial"/>
                <w:b w:val="false"/>
                <w:bCs w:val="false"/>
                <w:color w:val="333333"/>
                <w:sz w:val="20"/>
                <w:szCs w:val="20"/>
              </w:rPr>
              <w:t xml:space="preserve">$50K × (-75) = -$3.75M</w:t>
            </w:r>
          </w:p>
        </w:tc>
      </w:tr>
      <w:tr>
        <w:tc>
          <w:tcPr>
            <w:tcW w:type="dxa" w:w="20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CS01 = -$80K/bp</w:t>
            </w:r>
          </w:p>
        </w:tc>
        <w:tc>
          <w:tcPr>
            <w:tcW w:type="dxa" w:w="20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dollars per basis point</w:t>
            </w:r>
          </w:p>
        </w:tc>
        <w:tc>
          <w:tcPr>
            <w:tcW w:type="dxa" w:w="22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basis points (e.g., +175bp)</w:t>
            </w:r>
          </w:p>
        </w:tc>
        <w:tc>
          <w:tcPr>
            <w:tcW w:type="dxa" w:w="316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-$80K × (+175) = -$14.0M</w:t>
            </w:r>
          </w:p>
        </w:tc>
      </w:tr>
      <w:tr>
        <w:tc>
          <w:tcPr>
            <w:tcW w:type="dxa" w:w="2000"/>
            <w:tcBorders>
              <w:top w:val="single" w:color="B0B8C4" w:sz="1"/>
              <w:left w:val="single" w:color="B0B8C4" w:sz="1"/>
              <w:bottom w:val="single" w:color="B0B8C4" w:sz="1"/>
              <w:right w:val="single" w:color="B0B8C4" w:sz="1"/>
            </w:tcBorders>
            <w:shd w:fill="EDF2F7" w:val="clear"/>
            <w:tcMar>
              <w:top w:type="dxa" w:w="60"/>
              <w:left w:type="dxa" w:w="100"/>
              <w:bottom w:type="dxa" w:w="60"/>
              <w:right w:type="dxa" w:w="100"/>
            </w:tcMar>
          </w:tcPr>
          <w:p>
            <w:r>
              <w:rPr>
                <w:rFonts w:ascii="Arial" w:cs="Arial" w:eastAsia="Arial" w:hAnsi="Arial"/>
                <w:b w:val="false"/>
                <w:bCs w:val="false"/>
                <w:color w:val="333333"/>
                <w:sz w:val="20"/>
                <w:szCs w:val="20"/>
              </w:rPr>
              <w:t xml:space="preserve">EQ Delta = $2M per 1%</w:t>
            </w:r>
          </w:p>
        </w:tc>
        <w:tc>
          <w:tcPr>
            <w:tcW w:type="dxa" w:w="2000"/>
            <w:tcBorders>
              <w:top w:val="single" w:color="B0B8C4" w:sz="1"/>
              <w:left w:val="single" w:color="B0B8C4" w:sz="1"/>
              <w:bottom w:val="single" w:color="B0B8C4" w:sz="1"/>
              <w:right w:val="single" w:color="B0B8C4" w:sz="1"/>
            </w:tcBorders>
            <w:shd w:fill="EDF2F7" w:val="clear"/>
            <w:tcMar>
              <w:top w:type="dxa" w:w="60"/>
              <w:left w:type="dxa" w:w="100"/>
              <w:bottom w:type="dxa" w:w="60"/>
              <w:right w:type="dxa" w:w="100"/>
            </w:tcMar>
          </w:tcPr>
          <w:p>
            <w:r>
              <w:rPr>
                <w:rFonts w:ascii="Arial" w:cs="Arial" w:eastAsia="Arial" w:hAnsi="Arial"/>
                <w:b w:val="false"/>
                <w:bCs w:val="false"/>
                <w:color w:val="333333"/>
                <w:sz w:val="20"/>
                <w:szCs w:val="20"/>
              </w:rPr>
              <w:t xml:space="preserve">dollars per percent</w:t>
            </w:r>
          </w:p>
        </w:tc>
        <w:tc>
          <w:tcPr>
            <w:tcW w:type="dxa" w:w="2200"/>
            <w:tcBorders>
              <w:top w:val="single" w:color="B0B8C4" w:sz="1"/>
              <w:left w:val="single" w:color="B0B8C4" w:sz="1"/>
              <w:bottom w:val="single" w:color="B0B8C4" w:sz="1"/>
              <w:right w:val="single" w:color="B0B8C4" w:sz="1"/>
            </w:tcBorders>
            <w:shd w:fill="EDF2F7" w:val="clear"/>
            <w:tcMar>
              <w:top w:type="dxa" w:w="60"/>
              <w:left w:type="dxa" w:w="100"/>
              <w:bottom w:type="dxa" w:w="60"/>
              <w:right w:type="dxa" w:w="100"/>
            </w:tcMar>
          </w:tcPr>
          <w:p>
            <w:r>
              <w:rPr>
                <w:rFonts w:ascii="Arial" w:cs="Arial" w:eastAsia="Arial" w:hAnsi="Arial"/>
                <w:b w:val="false"/>
                <w:bCs w:val="false"/>
                <w:color w:val="333333"/>
                <w:sz w:val="20"/>
                <w:szCs w:val="20"/>
              </w:rPr>
              <w:t xml:space="preserve">percent (e.g., -32%)</w:t>
            </w:r>
          </w:p>
        </w:tc>
        <w:tc>
          <w:tcPr>
            <w:tcW w:type="dxa" w:w="3160"/>
            <w:tcBorders>
              <w:top w:val="single" w:color="B0B8C4" w:sz="1"/>
              <w:left w:val="single" w:color="B0B8C4" w:sz="1"/>
              <w:bottom w:val="single" w:color="B0B8C4" w:sz="1"/>
              <w:right w:val="single" w:color="B0B8C4" w:sz="1"/>
            </w:tcBorders>
            <w:shd w:fill="EDF2F7" w:val="clear"/>
            <w:tcMar>
              <w:top w:type="dxa" w:w="60"/>
              <w:left w:type="dxa" w:w="100"/>
              <w:bottom w:type="dxa" w:w="60"/>
              <w:right w:type="dxa" w:w="100"/>
            </w:tcMar>
          </w:tcPr>
          <w:p>
            <w:r>
              <w:rPr>
                <w:rFonts w:ascii="Arial" w:cs="Arial" w:eastAsia="Arial" w:hAnsi="Arial"/>
                <w:b w:val="false"/>
                <w:bCs w:val="false"/>
                <w:color w:val="333333"/>
                <w:sz w:val="20"/>
                <w:szCs w:val="20"/>
              </w:rPr>
              <w:t xml:space="preserve">$2M × (-32) = -$64.0M</w:t>
            </w:r>
          </w:p>
        </w:tc>
      </w:tr>
      <w:tr>
        <w:tc>
          <w:tcPr>
            <w:tcW w:type="dxa" w:w="20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FX Delta = $5M per 1%</w:t>
            </w:r>
          </w:p>
        </w:tc>
        <w:tc>
          <w:tcPr>
            <w:tcW w:type="dxa" w:w="20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dollars per percent</w:t>
            </w:r>
          </w:p>
        </w:tc>
        <w:tc>
          <w:tcPr>
            <w:tcW w:type="dxa" w:w="22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percent (e.g., -8%)</w:t>
            </w:r>
          </w:p>
        </w:tc>
        <w:tc>
          <w:tcPr>
            <w:tcW w:type="dxa" w:w="316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$5M × (-8) = -$40.0M</w:t>
            </w:r>
          </w:p>
        </w:tc>
      </w:tr>
      <w:tr>
        <w:tc>
          <w:tcPr>
            <w:tcW w:type="dxa" w:w="2000"/>
            <w:tcBorders>
              <w:top w:val="single" w:color="B0B8C4" w:sz="1"/>
              <w:left w:val="single" w:color="B0B8C4" w:sz="1"/>
              <w:bottom w:val="single" w:color="B0B8C4" w:sz="1"/>
              <w:right w:val="single" w:color="B0B8C4" w:sz="1"/>
            </w:tcBorders>
            <w:shd w:fill="EDF2F7" w:val="clear"/>
            <w:tcMar>
              <w:top w:type="dxa" w:w="60"/>
              <w:left w:type="dxa" w:w="100"/>
              <w:bottom w:type="dxa" w:w="60"/>
              <w:right w:type="dxa" w:w="100"/>
            </w:tcMar>
          </w:tcPr>
          <w:p>
            <w:r>
              <w:rPr>
                <w:rFonts w:ascii="Arial" w:cs="Arial" w:eastAsia="Arial" w:hAnsi="Arial"/>
                <w:b w:val="false"/>
                <w:bCs w:val="false"/>
                <w:color w:val="333333"/>
                <w:sz w:val="20"/>
                <w:szCs w:val="20"/>
              </w:rPr>
              <w:t xml:space="preserve">Vega = $300K/vol pt</w:t>
            </w:r>
          </w:p>
        </w:tc>
        <w:tc>
          <w:tcPr>
            <w:tcW w:type="dxa" w:w="2000"/>
            <w:tcBorders>
              <w:top w:val="single" w:color="B0B8C4" w:sz="1"/>
              <w:left w:val="single" w:color="B0B8C4" w:sz="1"/>
              <w:bottom w:val="single" w:color="B0B8C4" w:sz="1"/>
              <w:right w:val="single" w:color="B0B8C4" w:sz="1"/>
            </w:tcBorders>
            <w:shd w:fill="EDF2F7" w:val="clear"/>
            <w:tcMar>
              <w:top w:type="dxa" w:w="60"/>
              <w:left w:type="dxa" w:w="100"/>
              <w:bottom w:type="dxa" w:w="60"/>
              <w:right w:type="dxa" w:w="100"/>
            </w:tcMar>
          </w:tcPr>
          <w:p>
            <w:r>
              <w:rPr>
                <w:rFonts w:ascii="Arial" w:cs="Arial" w:eastAsia="Arial" w:hAnsi="Arial"/>
                <w:b w:val="false"/>
                <w:bCs w:val="false"/>
                <w:color w:val="333333"/>
                <w:sz w:val="20"/>
                <w:szCs w:val="20"/>
              </w:rPr>
              <w:t xml:space="preserve">dollars per vol point</w:t>
            </w:r>
          </w:p>
        </w:tc>
        <w:tc>
          <w:tcPr>
            <w:tcW w:type="dxa" w:w="2200"/>
            <w:tcBorders>
              <w:top w:val="single" w:color="B0B8C4" w:sz="1"/>
              <w:left w:val="single" w:color="B0B8C4" w:sz="1"/>
              <w:bottom w:val="single" w:color="B0B8C4" w:sz="1"/>
              <w:right w:val="single" w:color="B0B8C4" w:sz="1"/>
            </w:tcBorders>
            <w:shd w:fill="EDF2F7" w:val="clear"/>
            <w:tcMar>
              <w:top w:type="dxa" w:w="60"/>
              <w:left w:type="dxa" w:w="100"/>
              <w:bottom w:type="dxa" w:w="60"/>
              <w:right w:type="dxa" w:w="100"/>
            </w:tcMar>
          </w:tcPr>
          <w:p>
            <w:r>
              <w:rPr>
                <w:rFonts w:ascii="Arial" w:cs="Arial" w:eastAsia="Arial" w:hAnsi="Arial"/>
                <w:b w:val="false"/>
                <w:bCs w:val="false"/>
                <w:color w:val="333333"/>
                <w:sz w:val="20"/>
                <w:szCs w:val="20"/>
              </w:rPr>
              <w:t xml:space="preserve">vol points (e.g., +28 pts)</w:t>
            </w:r>
          </w:p>
        </w:tc>
        <w:tc>
          <w:tcPr>
            <w:tcW w:type="dxa" w:w="3160"/>
            <w:tcBorders>
              <w:top w:val="single" w:color="B0B8C4" w:sz="1"/>
              <w:left w:val="single" w:color="B0B8C4" w:sz="1"/>
              <w:bottom w:val="single" w:color="B0B8C4" w:sz="1"/>
              <w:right w:val="single" w:color="B0B8C4" w:sz="1"/>
            </w:tcBorders>
            <w:shd w:fill="EDF2F7" w:val="clear"/>
            <w:tcMar>
              <w:top w:type="dxa" w:w="60"/>
              <w:left w:type="dxa" w:w="100"/>
              <w:bottom w:type="dxa" w:w="60"/>
              <w:right w:type="dxa" w:w="100"/>
            </w:tcMar>
          </w:tcPr>
          <w:p>
            <w:r>
              <w:rPr>
                <w:rFonts w:ascii="Arial" w:cs="Arial" w:eastAsia="Arial" w:hAnsi="Arial"/>
                <w:b w:val="false"/>
                <w:bCs w:val="false"/>
                <w:color w:val="333333"/>
                <w:sz w:val="20"/>
                <w:szCs w:val="20"/>
              </w:rPr>
              <w:t xml:space="preserve">$300K × (+28) = +$8.4M</w:t>
            </w:r>
          </w:p>
        </w:tc>
      </w:tr>
    </w:tbl>
    <w:p>
      <w:pPr>
        <w:spacing w:after="120" w:before="0"/>
      </w:pPr>
      <w:r>
        <w:rPr>
          <w:rFonts w:ascii="Arial" w:cs="Arial" w:eastAsia="Arial" w:hAnsi="Arial"/>
          <w:b/>
          <w:bCs/>
          <w:i/>
          <w:iCs/>
          <w:sz w:val="22"/>
          <w:szCs w:val="22"/>
        </w:rPr>
        <w:t xml:space="preserve">Getting the units wrong is the #1 source of errors in stress P&amp;L. Always verify that sensitivity units and shock units are compatible.</w:t>
      </w:r>
    </w:p>
    <w:p>
      <w:r>
        <w:br w:type="page"/>
      </w:r>
    </w:p>
    <w:p>
      <w:pPr>
        <w:pStyle w:val="Heading2"/>
      </w:pPr>
      <w:r>
        <w:t xml:space="preserve">2. Three Valuation Methods</w:t>
      </w:r>
    </w:p>
    <w:p>
      <w:pPr>
        <w:spacing w:after="120" w:before="0"/>
      </w:pPr>
      <w:r>
        <w:rPr>
          <w:rFonts w:ascii="Arial" w:cs="Arial" w:eastAsia="Arial" w:hAnsi="Arial"/>
          <w:sz w:val="22"/>
          <w:szCs w:val="22"/>
        </w:rPr>
        <w:t xml:space="preserve">There are three ways to calculate stress P&amp;L, each with different tradeoffs between speed and accuracy:</w:t>
      </w:r>
    </w:p>
    <w:p>
      <w:pPr>
        <w:spacing w:after="80"/>
      </w:pPr>
    </w:p>
    <w:p>
      <w:pPr>
        <w:pStyle w:val="Heading3"/>
      </w:pPr>
      <w:r>
        <w:t xml:space="preserve">2.1 Method 1: Greeks-Based (Taylor Expansion)</w:t>
      </w:r>
    </w:p>
    <w:p>
      <w:pPr>
        <w:spacing w:after="120" w:before="0"/>
      </w:pPr>
      <w:r>
        <w:rPr>
          <w:rFonts w:ascii="Arial" w:cs="Arial" w:eastAsia="Arial" w:hAnsi="Arial"/>
          <w:sz w:val="22"/>
          <w:szCs w:val="22"/>
        </w:rPr>
        <w:t xml:space="preserve">The fastest method. Uses pre-computed sensitivities (Greeks) to approximate P&amp;L without repricing:</w:t>
      </w:r>
    </w:p>
    <w:p>
      <w:pPr>
        <w:spacing w:after="140" w:before="80"/>
        <w:jc w:val="center"/>
      </w:pPr>
      <w:r>
        <w:rPr>
          <w:rFonts w:ascii="Courier New" w:cs="Courier New" w:eastAsia="Courier New" w:hAnsi="Courier New"/>
          <w:b/>
          <w:bCs/>
          <w:color w:val="2C3E6B"/>
          <w:sz w:val="24"/>
          <w:szCs w:val="24"/>
        </w:rPr>
        <w:t xml:space="preserve">ΔP&amp;L ≈ Δ × ΔS + ½ × Γ × ΔS² + ν × Δσ + ρ × Δr + Θ × Δt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1400"/>
        <w:gridCol w:w="4760"/>
      </w:tblGrid>
      <w:tr>
        <w:tc>
          <w:tcPr>
            <w:tcW w:type="dxa" w:w="2200"/>
            <w:tcBorders>
              <w:top w:val="single" w:color="B0B8C4" w:sz="1"/>
              <w:left w:val="single" w:color="B0B8C4" w:sz="1"/>
              <w:bottom w:val="single" w:color="B0B8C4" w:sz="1"/>
              <w:right w:val="single" w:color="B0B8C4"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Term</w:t>
            </w:r>
          </w:p>
        </w:tc>
        <w:tc>
          <w:tcPr>
            <w:tcW w:type="dxa" w:w="1000"/>
            <w:tcBorders>
              <w:top w:val="single" w:color="B0B8C4" w:sz="1"/>
              <w:left w:val="single" w:color="B0B8C4" w:sz="1"/>
              <w:bottom w:val="single" w:color="B0B8C4" w:sz="1"/>
              <w:right w:val="single" w:color="B0B8C4"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Greek</w:t>
            </w:r>
          </w:p>
        </w:tc>
        <w:tc>
          <w:tcPr>
            <w:tcW w:type="dxa" w:w="1400"/>
            <w:tcBorders>
              <w:top w:val="single" w:color="B0B8C4" w:sz="1"/>
              <w:left w:val="single" w:color="B0B8C4" w:sz="1"/>
              <w:bottom w:val="single" w:color="B0B8C4" w:sz="1"/>
              <w:right w:val="single" w:color="B0B8C4"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Order</w:t>
            </w:r>
          </w:p>
        </w:tc>
        <w:tc>
          <w:tcPr>
            <w:tcW w:type="dxa" w:w="4760"/>
            <w:tcBorders>
              <w:top w:val="single" w:color="B0B8C4" w:sz="1"/>
              <w:left w:val="single" w:color="B0B8C4" w:sz="1"/>
              <w:bottom w:val="single" w:color="B0B8C4" w:sz="1"/>
              <w:right w:val="single" w:color="B0B8C4"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When It Matters</w:t>
            </w:r>
          </w:p>
        </w:tc>
      </w:tr>
      <w:tr>
        <w:tc>
          <w:tcPr>
            <w:tcW w:type="dxa" w:w="2200"/>
            <w:tcBorders>
              <w:top w:val="single" w:color="B0B8C4" w:sz="1"/>
              <w:left w:val="single" w:color="B0B8C4" w:sz="1"/>
              <w:bottom w:val="single" w:color="B0B8C4" w:sz="1"/>
              <w:right w:val="single" w:color="B0B8C4" w:sz="1"/>
            </w:tcBorders>
            <w:shd w:fill="EDF2F7" w:val="clear"/>
            <w:tcMar>
              <w:top w:type="dxa" w:w="60"/>
              <w:left w:type="dxa" w:w="100"/>
              <w:bottom w:type="dxa" w:w="60"/>
              <w:right w:type="dxa" w:w="100"/>
            </w:tcMar>
          </w:tcPr>
          <w:p>
            <w:r>
              <w:rPr>
                <w:rFonts w:ascii="Arial" w:cs="Arial" w:eastAsia="Arial" w:hAnsi="Arial"/>
                <w:b w:val="false"/>
                <w:bCs w:val="false"/>
                <w:color w:val="333333"/>
                <w:sz w:val="20"/>
                <w:szCs w:val="20"/>
              </w:rPr>
              <w:t xml:space="preserve">Δ × ΔS</w:t>
            </w:r>
          </w:p>
        </w:tc>
        <w:tc>
          <w:tcPr>
            <w:tcW w:type="dxa" w:w="1000"/>
            <w:tcBorders>
              <w:top w:val="single" w:color="B0B8C4" w:sz="1"/>
              <w:left w:val="single" w:color="B0B8C4" w:sz="1"/>
              <w:bottom w:val="single" w:color="B0B8C4" w:sz="1"/>
              <w:right w:val="single" w:color="B0B8C4" w:sz="1"/>
            </w:tcBorders>
            <w:shd w:fill="EDF2F7" w:val="clear"/>
            <w:tcMar>
              <w:top w:type="dxa" w:w="60"/>
              <w:left w:type="dxa" w:w="100"/>
              <w:bottom w:type="dxa" w:w="60"/>
              <w:right w:type="dxa" w:w="100"/>
            </w:tcMar>
          </w:tcPr>
          <w:p>
            <w:r>
              <w:rPr>
                <w:rFonts w:ascii="Arial" w:cs="Arial" w:eastAsia="Arial" w:hAnsi="Arial"/>
                <w:b w:val="false"/>
                <w:bCs w:val="false"/>
                <w:color w:val="333333"/>
                <w:sz w:val="20"/>
                <w:szCs w:val="20"/>
              </w:rPr>
              <w:t xml:space="preserve">Delta</w:t>
            </w:r>
          </w:p>
        </w:tc>
        <w:tc>
          <w:tcPr>
            <w:tcW w:type="dxa" w:w="1400"/>
            <w:tcBorders>
              <w:top w:val="single" w:color="B0B8C4" w:sz="1"/>
              <w:left w:val="single" w:color="B0B8C4" w:sz="1"/>
              <w:bottom w:val="single" w:color="B0B8C4" w:sz="1"/>
              <w:right w:val="single" w:color="B0B8C4" w:sz="1"/>
            </w:tcBorders>
            <w:shd w:fill="EDF2F7" w:val="clear"/>
            <w:tcMar>
              <w:top w:type="dxa" w:w="60"/>
              <w:left w:type="dxa" w:w="100"/>
              <w:bottom w:type="dxa" w:w="60"/>
              <w:right w:type="dxa" w:w="100"/>
            </w:tcMar>
          </w:tcPr>
          <w:p>
            <w:r>
              <w:rPr>
                <w:rFonts w:ascii="Arial" w:cs="Arial" w:eastAsia="Arial" w:hAnsi="Arial"/>
                <w:b w:val="false"/>
                <w:bCs w:val="false"/>
                <w:color w:val="333333"/>
                <w:sz w:val="20"/>
                <w:szCs w:val="20"/>
              </w:rPr>
              <w:t xml:space="preserve">1st</w:t>
            </w:r>
          </w:p>
        </w:tc>
        <w:tc>
          <w:tcPr>
            <w:tcW w:type="dxa" w:w="4760"/>
            <w:tcBorders>
              <w:top w:val="single" w:color="B0B8C4" w:sz="1"/>
              <w:left w:val="single" w:color="B0B8C4" w:sz="1"/>
              <w:bottom w:val="single" w:color="B0B8C4" w:sz="1"/>
              <w:right w:val="single" w:color="B0B8C4" w:sz="1"/>
            </w:tcBorders>
            <w:shd w:fill="EDF2F7" w:val="clear"/>
            <w:tcMar>
              <w:top w:type="dxa" w:w="60"/>
              <w:left w:type="dxa" w:w="100"/>
              <w:bottom w:type="dxa" w:w="60"/>
              <w:right w:type="dxa" w:w="100"/>
            </w:tcMar>
          </w:tcPr>
          <w:p>
            <w:r>
              <w:rPr>
                <w:rFonts w:ascii="Arial" w:cs="Arial" w:eastAsia="Arial" w:hAnsi="Arial"/>
                <w:b w:val="false"/>
                <w:bCs w:val="false"/>
                <w:color w:val="333333"/>
                <w:sz w:val="20"/>
                <w:szCs w:val="20"/>
              </w:rPr>
              <w:t xml:space="preserve">Always. Dominant term for linear instruments (stocks, bonds, forwards).</w:t>
            </w:r>
          </w:p>
        </w:tc>
      </w:tr>
      <w:tr>
        <w:tc>
          <w:tcPr>
            <w:tcW w:type="dxa" w:w="22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½ × Γ × ΔS²</w:t>
            </w:r>
          </w:p>
        </w:tc>
        <w:tc>
          <w:tcPr>
            <w:tcW w:type="dxa" w:w="10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Gamma</w:t>
            </w:r>
          </w:p>
        </w:tc>
        <w:tc>
          <w:tcPr>
            <w:tcW w:type="dxa" w:w="14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2nd</w:t>
            </w:r>
          </w:p>
        </w:tc>
        <w:tc>
          <w:tcPr>
            <w:tcW w:type="dxa" w:w="476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Large moves (&gt;5%). Critical for options. Always positive for long options.</w:t>
            </w:r>
          </w:p>
        </w:tc>
      </w:tr>
      <w:tr>
        <w:tc>
          <w:tcPr>
            <w:tcW w:type="dxa" w:w="2200"/>
            <w:tcBorders>
              <w:top w:val="single" w:color="B0B8C4" w:sz="1"/>
              <w:left w:val="single" w:color="B0B8C4" w:sz="1"/>
              <w:bottom w:val="single" w:color="B0B8C4" w:sz="1"/>
              <w:right w:val="single" w:color="B0B8C4" w:sz="1"/>
            </w:tcBorders>
            <w:shd w:fill="EDF2F7" w:val="clear"/>
            <w:tcMar>
              <w:top w:type="dxa" w:w="60"/>
              <w:left w:type="dxa" w:w="100"/>
              <w:bottom w:type="dxa" w:w="60"/>
              <w:right w:type="dxa" w:w="100"/>
            </w:tcMar>
          </w:tcPr>
          <w:p>
            <w:r>
              <w:rPr>
                <w:rFonts w:ascii="Arial" w:cs="Arial" w:eastAsia="Arial" w:hAnsi="Arial"/>
                <w:b w:val="false"/>
                <w:bCs w:val="false"/>
                <w:color w:val="333333"/>
                <w:sz w:val="20"/>
                <w:szCs w:val="20"/>
              </w:rPr>
              <w:t xml:space="preserve">ν × Δσ</w:t>
            </w:r>
          </w:p>
        </w:tc>
        <w:tc>
          <w:tcPr>
            <w:tcW w:type="dxa" w:w="1000"/>
            <w:tcBorders>
              <w:top w:val="single" w:color="B0B8C4" w:sz="1"/>
              <w:left w:val="single" w:color="B0B8C4" w:sz="1"/>
              <w:bottom w:val="single" w:color="B0B8C4" w:sz="1"/>
              <w:right w:val="single" w:color="B0B8C4" w:sz="1"/>
            </w:tcBorders>
            <w:shd w:fill="EDF2F7" w:val="clear"/>
            <w:tcMar>
              <w:top w:type="dxa" w:w="60"/>
              <w:left w:type="dxa" w:w="100"/>
              <w:bottom w:type="dxa" w:w="60"/>
              <w:right w:type="dxa" w:w="100"/>
            </w:tcMar>
          </w:tcPr>
          <w:p>
            <w:r>
              <w:rPr>
                <w:rFonts w:ascii="Arial" w:cs="Arial" w:eastAsia="Arial" w:hAnsi="Arial"/>
                <w:b w:val="false"/>
                <w:bCs w:val="false"/>
                <w:color w:val="333333"/>
                <w:sz w:val="20"/>
                <w:szCs w:val="20"/>
              </w:rPr>
              <w:t xml:space="preserve">Vega</w:t>
            </w:r>
          </w:p>
        </w:tc>
        <w:tc>
          <w:tcPr>
            <w:tcW w:type="dxa" w:w="1400"/>
            <w:tcBorders>
              <w:top w:val="single" w:color="B0B8C4" w:sz="1"/>
              <w:left w:val="single" w:color="B0B8C4" w:sz="1"/>
              <w:bottom w:val="single" w:color="B0B8C4" w:sz="1"/>
              <w:right w:val="single" w:color="B0B8C4" w:sz="1"/>
            </w:tcBorders>
            <w:shd w:fill="EDF2F7" w:val="clear"/>
            <w:tcMar>
              <w:top w:type="dxa" w:w="60"/>
              <w:left w:type="dxa" w:w="100"/>
              <w:bottom w:type="dxa" w:w="60"/>
              <w:right w:type="dxa" w:w="100"/>
            </w:tcMar>
          </w:tcPr>
          <w:p>
            <w:r>
              <w:rPr>
                <w:rFonts w:ascii="Arial" w:cs="Arial" w:eastAsia="Arial" w:hAnsi="Arial"/>
                <w:b w:val="false"/>
                <w:bCs w:val="false"/>
                <w:color w:val="333333"/>
                <w:sz w:val="20"/>
                <w:szCs w:val="20"/>
              </w:rPr>
              <w:t xml:space="preserve">1st (in vol)</w:t>
            </w:r>
          </w:p>
        </w:tc>
        <w:tc>
          <w:tcPr>
            <w:tcW w:type="dxa" w:w="4760"/>
            <w:tcBorders>
              <w:top w:val="single" w:color="B0B8C4" w:sz="1"/>
              <w:left w:val="single" w:color="B0B8C4" w:sz="1"/>
              <w:bottom w:val="single" w:color="B0B8C4" w:sz="1"/>
              <w:right w:val="single" w:color="B0B8C4" w:sz="1"/>
            </w:tcBorders>
            <w:shd w:fill="EDF2F7" w:val="clear"/>
            <w:tcMar>
              <w:top w:type="dxa" w:w="60"/>
              <w:left w:type="dxa" w:w="100"/>
              <w:bottom w:type="dxa" w:w="60"/>
              <w:right w:type="dxa" w:w="100"/>
            </w:tcMar>
          </w:tcPr>
          <w:p>
            <w:r>
              <w:rPr>
                <w:rFonts w:ascii="Arial" w:cs="Arial" w:eastAsia="Arial" w:hAnsi="Arial"/>
                <w:b w:val="false"/>
                <w:bCs w:val="false"/>
                <w:color w:val="333333"/>
                <w:sz w:val="20"/>
                <w:szCs w:val="20"/>
              </w:rPr>
              <w:t xml:space="preserve">Any vol change. Critical for options books. Dominates in vol-driven scenarios.</w:t>
            </w:r>
          </w:p>
        </w:tc>
      </w:tr>
      <w:tr>
        <w:tc>
          <w:tcPr>
            <w:tcW w:type="dxa" w:w="22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ρ × Δr</w:t>
            </w:r>
          </w:p>
        </w:tc>
        <w:tc>
          <w:tcPr>
            <w:tcW w:type="dxa" w:w="10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Rho</w:t>
            </w:r>
          </w:p>
        </w:tc>
        <w:tc>
          <w:tcPr>
            <w:tcW w:type="dxa" w:w="14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1st (in rates)</w:t>
            </w:r>
          </w:p>
        </w:tc>
        <w:tc>
          <w:tcPr>
            <w:tcW w:type="dxa" w:w="476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Rate-sensitive instruments. Often small for equity options, large for rates.</w:t>
            </w:r>
          </w:p>
        </w:tc>
      </w:tr>
      <w:tr>
        <w:tc>
          <w:tcPr>
            <w:tcW w:type="dxa" w:w="2200"/>
            <w:tcBorders>
              <w:top w:val="single" w:color="B0B8C4" w:sz="1"/>
              <w:left w:val="single" w:color="B0B8C4" w:sz="1"/>
              <w:bottom w:val="single" w:color="B0B8C4" w:sz="1"/>
              <w:right w:val="single" w:color="B0B8C4" w:sz="1"/>
            </w:tcBorders>
            <w:shd w:fill="EDF2F7" w:val="clear"/>
            <w:tcMar>
              <w:top w:type="dxa" w:w="60"/>
              <w:left w:type="dxa" w:w="100"/>
              <w:bottom w:type="dxa" w:w="60"/>
              <w:right w:type="dxa" w:w="100"/>
            </w:tcMar>
          </w:tcPr>
          <w:p>
            <w:r>
              <w:rPr>
                <w:rFonts w:ascii="Arial" w:cs="Arial" w:eastAsia="Arial" w:hAnsi="Arial"/>
                <w:b w:val="false"/>
                <w:bCs w:val="false"/>
                <w:color w:val="333333"/>
                <w:sz w:val="20"/>
                <w:szCs w:val="20"/>
              </w:rPr>
              <w:t xml:space="preserve">Θ × Δt</w:t>
            </w:r>
          </w:p>
        </w:tc>
        <w:tc>
          <w:tcPr>
            <w:tcW w:type="dxa" w:w="1000"/>
            <w:tcBorders>
              <w:top w:val="single" w:color="B0B8C4" w:sz="1"/>
              <w:left w:val="single" w:color="B0B8C4" w:sz="1"/>
              <w:bottom w:val="single" w:color="B0B8C4" w:sz="1"/>
              <w:right w:val="single" w:color="B0B8C4" w:sz="1"/>
            </w:tcBorders>
            <w:shd w:fill="EDF2F7" w:val="clear"/>
            <w:tcMar>
              <w:top w:type="dxa" w:w="60"/>
              <w:left w:type="dxa" w:w="100"/>
              <w:bottom w:type="dxa" w:w="60"/>
              <w:right w:type="dxa" w:w="100"/>
            </w:tcMar>
          </w:tcPr>
          <w:p>
            <w:r>
              <w:rPr>
                <w:rFonts w:ascii="Arial" w:cs="Arial" w:eastAsia="Arial" w:hAnsi="Arial"/>
                <w:b w:val="false"/>
                <w:bCs w:val="false"/>
                <w:color w:val="333333"/>
                <w:sz w:val="20"/>
                <w:szCs w:val="20"/>
              </w:rPr>
              <w:t xml:space="preserve">Theta</w:t>
            </w:r>
          </w:p>
        </w:tc>
        <w:tc>
          <w:tcPr>
            <w:tcW w:type="dxa" w:w="1400"/>
            <w:tcBorders>
              <w:top w:val="single" w:color="B0B8C4" w:sz="1"/>
              <w:left w:val="single" w:color="B0B8C4" w:sz="1"/>
              <w:bottom w:val="single" w:color="B0B8C4" w:sz="1"/>
              <w:right w:val="single" w:color="B0B8C4" w:sz="1"/>
            </w:tcBorders>
            <w:shd w:fill="EDF2F7" w:val="clear"/>
            <w:tcMar>
              <w:top w:type="dxa" w:w="60"/>
              <w:left w:type="dxa" w:w="100"/>
              <w:bottom w:type="dxa" w:w="60"/>
              <w:right w:type="dxa" w:w="100"/>
            </w:tcMar>
          </w:tcPr>
          <w:p>
            <w:r>
              <w:rPr>
                <w:rFonts w:ascii="Arial" w:cs="Arial" w:eastAsia="Arial" w:hAnsi="Arial"/>
                <w:b w:val="false"/>
                <w:bCs w:val="false"/>
                <w:color w:val="333333"/>
                <w:sz w:val="20"/>
                <w:szCs w:val="20"/>
              </w:rPr>
              <w:t xml:space="preserve">Time decay</w:t>
            </w:r>
          </w:p>
        </w:tc>
        <w:tc>
          <w:tcPr>
            <w:tcW w:type="dxa" w:w="4760"/>
            <w:tcBorders>
              <w:top w:val="single" w:color="B0B8C4" w:sz="1"/>
              <w:left w:val="single" w:color="B0B8C4" w:sz="1"/>
              <w:bottom w:val="single" w:color="B0B8C4" w:sz="1"/>
              <w:right w:val="single" w:color="B0B8C4" w:sz="1"/>
            </w:tcBorders>
            <w:shd w:fill="EDF2F7" w:val="clear"/>
            <w:tcMar>
              <w:top w:type="dxa" w:w="60"/>
              <w:left w:type="dxa" w:w="100"/>
              <w:bottom w:type="dxa" w:w="60"/>
              <w:right w:type="dxa" w:w="100"/>
            </w:tcMar>
          </w:tcPr>
          <w:p>
            <w:r>
              <w:rPr>
                <w:rFonts w:ascii="Arial" w:cs="Arial" w:eastAsia="Arial" w:hAnsi="Arial"/>
                <w:b w:val="false"/>
                <w:bCs w:val="false"/>
                <w:color w:val="333333"/>
                <w:sz w:val="20"/>
                <w:szCs w:val="20"/>
              </w:rPr>
              <w:t xml:space="preserve">Multi-day horizons. Options lose value daily. Offsets gamma benefit.</w:t>
            </w:r>
          </w:p>
        </w:tc>
      </w:tr>
    </w:tbl>
    <w:p>
      <w:pPr>
        <w:spacing w:after="80"/>
      </w:pPr>
    </w:p>
    <w:p>
      <w:pPr>
        <w:spacing w:after="120"/>
      </w:pPr>
      <w:r>
        <w:rPr>
          <w:rFonts w:ascii="Arial" w:cs="Arial" w:eastAsia="Arial" w:hAnsi="Arial"/>
          <w:b/>
          <w:bCs/>
          <w:sz w:val="22"/>
          <w:szCs w:val="22"/>
        </w:rPr>
        <w:t xml:space="preserve">Speed: </w:t>
      </w:r>
      <w:r>
        <w:rPr>
          <w:rFonts w:ascii="Arial" w:cs="Arial" w:eastAsia="Arial" w:hAnsi="Arial"/>
          <w:sz w:val="22"/>
          <w:szCs w:val="22"/>
        </w:rPr>
        <w:t xml:space="preserve">Milliseconds for entire portfolio (single matrix multiplication).</w:t>
      </w:r>
    </w:p>
    <w:p>
      <w:pPr>
        <w:spacing w:after="120"/>
      </w:pPr>
      <w:r>
        <w:rPr>
          <w:rFonts w:ascii="Arial" w:cs="Arial" w:eastAsia="Arial" w:hAnsi="Arial"/>
          <w:b/>
          <w:bCs/>
          <w:sz w:val="22"/>
          <w:szCs w:val="22"/>
        </w:rPr>
        <w:t xml:space="preserve">Accuracy: </w:t>
      </w:r>
      <w:r>
        <w:rPr>
          <w:rFonts w:ascii="Arial" w:cs="Arial" w:eastAsia="Arial" w:hAnsi="Arial"/>
          <w:sz w:val="22"/>
          <w:szCs w:val="22"/>
        </w:rPr>
        <w:t xml:space="preserve">Excellent for small shocks (&lt;5%). Degrades for large shocks where higher-order terms matter.</w:t>
      </w:r>
    </w:p>
    <w:p>
      <w:pPr>
        <w:spacing w:after="120"/>
      </w:pPr>
      <w:r>
        <w:rPr>
          <w:rFonts w:ascii="Arial" w:cs="Arial" w:eastAsia="Arial" w:hAnsi="Arial"/>
          <w:b/>
          <w:bCs/>
          <w:sz w:val="22"/>
          <w:szCs w:val="22"/>
        </w:rPr>
        <w:t xml:space="preserve">Use Case: </w:t>
      </w:r>
      <w:r>
        <w:rPr>
          <w:rFonts w:ascii="Arial" w:cs="Arial" w:eastAsia="Arial" w:hAnsi="Arial"/>
          <w:sz w:val="22"/>
          <w:szCs w:val="22"/>
        </w:rPr>
        <w:t xml:space="preserve">Interactive exploration, daily VaR, rapid scenario screening.</w:t>
      </w:r>
    </w:p>
    <w:p>
      <w:pPr>
        <w:spacing w:after="80"/>
      </w:pPr>
    </w:p>
    <w:p>
      <w:pPr>
        <w:pStyle w:val="Heading3"/>
      </w:pPr>
      <w:r>
        <w:t xml:space="preserve">2.2 Method 2: Full Revaluation</w:t>
      </w:r>
    </w:p>
    <w:p>
      <w:pPr>
        <w:spacing w:after="120" w:before="0"/>
      </w:pPr>
      <w:r>
        <w:rPr>
          <w:rFonts w:ascii="Arial" w:cs="Arial" w:eastAsia="Arial" w:hAnsi="Arial"/>
          <w:sz w:val="22"/>
          <w:szCs w:val="22"/>
        </w:rPr>
        <w:t xml:space="preserve">The most accurate method. Actually reprices every position under stressed market conditions using full pricing models:</w:t>
      </w:r>
    </w:p>
    <w:p>
      <w:pPr>
        <w:spacing w:after="140" w:before="80"/>
        <w:jc w:val="center"/>
      </w:pPr>
      <w:r>
        <w:rPr>
          <w:rFonts w:ascii="Courier New" w:cs="Courier New" w:eastAsia="Courier New" w:hAnsi="Courier New"/>
          <w:b/>
          <w:bCs/>
          <w:color w:val="2C3E6B"/>
          <w:sz w:val="24"/>
          <w:szCs w:val="24"/>
        </w:rPr>
        <w:t xml:space="preserve">ΔP&amp;L = V(stressed market data) − V(current market data)</w:t>
      </w:r>
    </w:p>
    <w:p>
      <w:pPr>
        <w:spacing w:after="80"/>
      </w:pPr>
    </w:p>
    <w:p>
      <w:pPr>
        <w:spacing w:after="120"/>
      </w:pPr>
      <w:r>
        <w:rPr>
          <w:rFonts w:ascii="Arial" w:cs="Arial" w:eastAsia="Arial" w:hAnsi="Arial"/>
          <w:b/>
          <w:bCs/>
          <w:sz w:val="22"/>
          <w:szCs w:val="22"/>
        </w:rPr>
        <w:t xml:space="preserve">Speed: </w:t>
      </w:r>
      <w:r>
        <w:rPr>
          <w:rFonts w:ascii="Arial" w:cs="Arial" w:eastAsia="Arial" w:hAnsi="Arial"/>
          <w:sz w:val="22"/>
          <w:szCs w:val="22"/>
        </w:rPr>
        <w:t xml:space="preserve">Minutes to hours for large portfolios (must run pricing models for each position).</w:t>
      </w:r>
    </w:p>
    <w:p>
      <w:pPr>
        <w:spacing w:after="120"/>
      </w:pPr>
      <w:r>
        <w:rPr>
          <w:rFonts w:ascii="Arial" w:cs="Arial" w:eastAsia="Arial" w:hAnsi="Arial"/>
          <w:b/>
          <w:bCs/>
          <w:sz w:val="22"/>
          <w:szCs w:val="22"/>
        </w:rPr>
        <w:t xml:space="preserve">Accuracy: </w:t>
      </w:r>
      <w:r>
        <w:rPr>
          <w:rFonts w:ascii="Arial" w:cs="Arial" w:eastAsia="Arial" w:hAnsi="Arial"/>
          <w:sz w:val="22"/>
          <w:szCs w:val="22"/>
        </w:rPr>
        <w:t xml:space="preserve">Exact (up to model accuracy). Captures all non-linearities, path dependencies, and exotic features.</w:t>
      </w:r>
    </w:p>
    <w:p>
      <w:pPr>
        <w:spacing w:after="120"/>
      </w:pPr>
      <w:r>
        <w:rPr>
          <w:rFonts w:ascii="Arial" w:cs="Arial" w:eastAsia="Arial" w:hAnsi="Arial"/>
          <w:b/>
          <w:bCs/>
          <w:sz w:val="22"/>
          <w:szCs w:val="22"/>
        </w:rPr>
        <w:t xml:space="preserve">Use Case: </w:t>
      </w:r>
      <w:r>
        <w:rPr>
          <w:rFonts w:ascii="Arial" w:cs="Arial" w:eastAsia="Arial" w:hAnsi="Arial"/>
          <w:sz w:val="22"/>
          <w:szCs w:val="22"/>
        </w:rPr>
        <w:t xml:space="preserve">Regulatory submissions (CCAR), final scenario results, complex derivatives books.</w:t>
      </w:r>
    </w:p>
    <w:p>
      <w:pPr>
        <w:spacing w:after="80"/>
      </w:pPr>
    </w:p>
    <w:p>
      <w:pPr>
        <w:spacing w:after="120" w:before="0"/>
      </w:pPr>
      <w:r>
        <w:rPr>
          <w:rFonts w:ascii="Arial" w:cs="Arial" w:eastAsia="Arial" w:hAnsi="Arial"/>
          <w:sz w:val="22"/>
          <w:szCs w:val="22"/>
        </w:rPr>
        <w:t xml:space="preserve">For full revaluation, you need to construct a complete stressed market data set: shocked yield curves, credit curves, vol surfaces, spot prices. Every input to every pricing model gets stressed.</w:t>
      </w:r>
    </w:p>
    <w:p>
      <w:pPr>
        <w:spacing w:after="80"/>
      </w:pPr>
    </w:p>
    <w:p>
      <w:pPr>
        <w:pStyle w:val="Heading3"/>
      </w:pPr>
      <w:r>
        <w:t xml:space="preserve">2.3 Method 3: Hybrid</w:t>
      </w:r>
    </w:p>
    <w:p>
      <w:pPr>
        <w:spacing w:after="120" w:before="0"/>
      </w:pPr>
      <w:r>
        <w:rPr>
          <w:rFonts w:ascii="Arial" w:cs="Arial" w:eastAsia="Arial" w:hAnsi="Arial"/>
          <w:sz w:val="22"/>
          <w:szCs w:val="22"/>
        </w:rPr>
        <w:t xml:space="preserve">The practical production approach. Uses full revaluation for non-linear positions (options, exotics) and Greeks for linear positions (stocks, bonds, swaps):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B0B8C4" w:sz="1"/>
              <w:left w:val="single" w:color="B0B8C4" w:sz="1"/>
              <w:bottom w:val="single" w:color="B0B8C4" w:sz="1"/>
              <w:right w:val="single" w:color="B0B8C4"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Position Type</w:t>
            </w:r>
          </w:p>
        </w:tc>
        <w:tc>
          <w:tcPr>
            <w:tcW w:type="dxa" w:w="2400"/>
            <w:tcBorders>
              <w:top w:val="single" w:color="B0B8C4" w:sz="1"/>
              <w:left w:val="single" w:color="B0B8C4" w:sz="1"/>
              <w:bottom w:val="single" w:color="B0B8C4" w:sz="1"/>
              <w:right w:val="single" w:color="B0B8C4"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Valuation Method</w:t>
            </w:r>
          </w:p>
        </w:tc>
        <w:tc>
          <w:tcPr>
            <w:tcW w:type="dxa" w:w="4560"/>
            <w:tcBorders>
              <w:top w:val="single" w:color="B0B8C4" w:sz="1"/>
              <w:left w:val="single" w:color="B0B8C4" w:sz="1"/>
              <w:bottom w:val="single" w:color="B0B8C4" w:sz="1"/>
              <w:right w:val="single" w:color="B0B8C4"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Rationale</w:t>
            </w:r>
          </w:p>
        </w:tc>
      </w:tr>
      <w:tr>
        <w:tc>
          <w:tcPr>
            <w:tcW w:type="dxa" w:w="2400"/>
            <w:tcBorders>
              <w:top w:val="single" w:color="B0B8C4" w:sz="1"/>
              <w:left w:val="single" w:color="B0B8C4" w:sz="1"/>
              <w:bottom w:val="single" w:color="B0B8C4" w:sz="1"/>
              <w:right w:val="single" w:color="B0B8C4" w:sz="1"/>
            </w:tcBorders>
            <w:shd w:fill="EDF2F7" w:val="clear"/>
            <w:tcMar>
              <w:top w:type="dxa" w:w="60"/>
              <w:left w:type="dxa" w:w="100"/>
              <w:bottom w:type="dxa" w:w="60"/>
              <w:right w:type="dxa" w:w="100"/>
            </w:tcMar>
          </w:tcPr>
          <w:p>
            <w:r>
              <w:rPr>
                <w:rFonts w:ascii="Arial" w:cs="Arial" w:eastAsia="Arial" w:hAnsi="Arial"/>
                <w:b w:val="false"/>
                <w:bCs w:val="false"/>
                <w:color w:val="333333"/>
                <w:sz w:val="20"/>
                <w:szCs w:val="20"/>
              </w:rPr>
              <w:t xml:space="preserve">Cash equity, forwards</w:t>
            </w:r>
          </w:p>
        </w:tc>
        <w:tc>
          <w:tcPr>
            <w:tcW w:type="dxa" w:w="2400"/>
            <w:tcBorders>
              <w:top w:val="single" w:color="B0B8C4" w:sz="1"/>
              <w:left w:val="single" w:color="B0B8C4" w:sz="1"/>
              <w:bottom w:val="single" w:color="B0B8C4" w:sz="1"/>
              <w:right w:val="single" w:color="B0B8C4" w:sz="1"/>
            </w:tcBorders>
            <w:shd w:fill="EDF2F7" w:val="clear"/>
            <w:tcMar>
              <w:top w:type="dxa" w:w="60"/>
              <w:left w:type="dxa" w:w="100"/>
              <w:bottom w:type="dxa" w:w="60"/>
              <w:right w:type="dxa" w:w="100"/>
            </w:tcMar>
          </w:tcPr>
          <w:p>
            <w:r>
              <w:rPr>
                <w:rFonts w:ascii="Arial" w:cs="Arial" w:eastAsia="Arial" w:hAnsi="Arial"/>
                <w:b w:val="false"/>
                <w:bCs w:val="false"/>
                <w:color w:val="333333"/>
                <w:sz w:val="20"/>
                <w:szCs w:val="20"/>
              </w:rPr>
              <w:t xml:space="preserve">Greeks (Delta only)</w:t>
            </w:r>
          </w:p>
        </w:tc>
        <w:tc>
          <w:tcPr>
            <w:tcW w:type="dxa" w:w="4560"/>
            <w:tcBorders>
              <w:top w:val="single" w:color="B0B8C4" w:sz="1"/>
              <w:left w:val="single" w:color="B0B8C4" w:sz="1"/>
              <w:bottom w:val="single" w:color="B0B8C4" w:sz="1"/>
              <w:right w:val="single" w:color="B0B8C4" w:sz="1"/>
            </w:tcBorders>
            <w:shd w:fill="EDF2F7" w:val="clear"/>
            <w:tcMar>
              <w:top w:type="dxa" w:w="60"/>
              <w:left w:type="dxa" w:w="100"/>
              <w:bottom w:type="dxa" w:w="60"/>
              <w:right w:type="dxa" w:w="100"/>
            </w:tcMar>
          </w:tcPr>
          <w:p>
            <w:r>
              <w:rPr>
                <w:rFonts w:ascii="Arial" w:cs="Arial" w:eastAsia="Arial" w:hAnsi="Arial"/>
                <w:b w:val="false"/>
                <w:bCs w:val="false"/>
                <w:color w:val="333333"/>
                <w:sz w:val="20"/>
                <w:szCs w:val="20"/>
              </w:rPr>
              <w:t xml:space="preserve">Linear instruments — Delta is exact</w:t>
            </w:r>
          </w:p>
        </w:tc>
      </w:tr>
      <w:tr>
        <w:tc>
          <w:tcPr>
            <w:tcW w:type="dxa" w:w="24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Vanilla bonds</w:t>
            </w:r>
          </w:p>
        </w:tc>
        <w:tc>
          <w:tcPr>
            <w:tcW w:type="dxa" w:w="24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Greeks (DV01 + Convexity)</w:t>
            </w:r>
          </w:p>
        </w:tc>
        <w:tc>
          <w:tcPr>
            <w:tcW w:type="dxa" w:w="456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Near-linear for moderate shocks</w:t>
            </w:r>
          </w:p>
        </w:tc>
      </w:tr>
      <w:tr>
        <w:tc>
          <w:tcPr>
            <w:tcW w:type="dxa" w:w="2400"/>
            <w:tcBorders>
              <w:top w:val="single" w:color="B0B8C4" w:sz="1"/>
              <w:left w:val="single" w:color="B0B8C4" w:sz="1"/>
              <w:bottom w:val="single" w:color="B0B8C4" w:sz="1"/>
              <w:right w:val="single" w:color="B0B8C4" w:sz="1"/>
            </w:tcBorders>
            <w:shd w:fill="EDF2F7" w:val="clear"/>
            <w:tcMar>
              <w:top w:type="dxa" w:w="60"/>
              <w:left w:type="dxa" w:w="100"/>
              <w:bottom w:type="dxa" w:w="60"/>
              <w:right w:type="dxa" w:w="100"/>
            </w:tcMar>
          </w:tcPr>
          <w:p>
            <w:r>
              <w:rPr>
                <w:rFonts w:ascii="Arial" w:cs="Arial" w:eastAsia="Arial" w:hAnsi="Arial"/>
                <w:b w:val="false"/>
                <w:bCs w:val="false"/>
                <w:color w:val="333333"/>
                <w:sz w:val="20"/>
                <w:szCs w:val="20"/>
              </w:rPr>
              <w:t xml:space="preserve">Interest rate swaps</w:t>
            </w:r>
          </w:p>
        </w:tc>
        <w:tc>
          <w:tcPr>
            <w:tcW w:type="dxa" w:w="2400"/>
            <w:tcBorders>
              <w:top w:val="single" w:color="B0B8C4" w:sz="1"/>
              <w:left w:val="single" w:color="B0B8C4" w:sz="1"/>
              <w:bottom w:val="single" w:color="B0B8C4" w:sz="1"/>
              <w:right w:val="single" w:color="B0B8C4" w:sz="1"/>
            </w:tcBorders>
            <w:shd w:fill="EDF2F7" w:val="clear"/>
            <w:tcMar>
              <w:top w:type="dxa" w:w="60"/>
              <w:left w:type="dxa" w:w="100"/>
              <w:bottom w:type="dxa" w:w="60"/>
              <w:right w:type="dxa" w:w="100"/>
            </w:tcMar>
          </w:tcPr>
          <w:p>
            <w:r>
              <w:rPr>
                <w:rFonts w:ascii="Arial" w:cs="Arial" w:eastAsia="Arial" w:hAnsi="Arial"/>
                <w:b w:val="false"/>
                <w:bCs w:val="false"/>
                <w:color w:val="333333"/>
                <w:sz w:val="20"/>
                <w:szCs w:val="20"/>
              </w:rPr>
              <w:t xml:space="preserve">Greeks (DV01 by tenor)</w:t>
            </w:r>
          </w:p>
        </w:tc>
        <w:tc>
          <w:tcPr>
            <w:tcW w:type="dxa" w:w="4560"/>
            <w:tcBorders>
              <w:top w:val="single" w:color="B0B8C4" w:sz="1"/>
              <w:left w:val="single" w:color="B0B8C4" w:sz="1"/>
              <w:bottom w:val="single" w:color="B0B8C4" w:sz="1"/>
              <w:right w:val="single" w:color="B0B8C4" w:sz="1"/>
            </w:tcBorders>
            <w:shd w:fill="EDF2F7" w:val="clear"/>
            <w:tcMar>
              <w:top w:type="dxa" w:w="60"/>
              <w:left w:type="dxa" w:w="100"/>
              <w:bottom w:type="dxa" w:w="60"/>
              <w:right w:type="dxa" w:w="100"/>
            </w:tcMar>
          </w:tcPr>
          <w:p>
            <w:r>
              <w:rPr>
                <w:rFonts w:ascii="Arial" w:cs="Arial" w:eastAsia="Arial" w:hAnsi="Arial"/>
                <w:b w:val="false"/>
                <w:bCs w:val="false"/>
                <w:color w:val="333333"/>
                <w:sz w:val="20"/>
                <w:szCs w:val="20"/>
              </w:rPr>
              <w:t xml:space="preserve">Linear in rate changes</w:t>
            </w:r>
          </w:p>
        </w:tc>
      </w:tr>
      <w:tr>
        <w:tc>
          <w:tcPr>
            <w:tcW w:type="dxa" w:w="24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Vanilla options</w:t>
            </w:r>
          </w:p>
        </w:tc>
        <w:tc>
          <w:tcPr>
            <w:tcW w:type="dxa" w:w="24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Full revaluation</w:t>
            </w:r>
          </w:p>
        </w:tc>
        <w:tc>
          <w:tcPr>
            <w:tcW w:type="dxa" w:w="456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Non-linear — Greeks approximation breaks for large moves</w:t>
            </w:r>
          </w:p>
        </w:tc>
      </w:tr>
      <w:tr>
        <w:tc>
          <w:tcPr>
            <w:tcW w:type="dxa" w:w="2400"/>
            <w:tcBorders>
              <w:top w:val="single" w:color="B0B8C4" w:sz="1"/>
              <w:left w:val="single" w:color="B0B8C4" w:sz="1"/>
              <w:bottom w:val="single" w:color="B0B8C4" w:sz="1"/>
              <w:right w:val="single" w:color="B0B8C4" w:sz="1"/>
            </w:tcBorders>
            <w:shd w:fill="EDF2F7" w:val="clear"/>
            <w:tcMar>
              <w:top w:type="dxa" w:w="60"/>
              <w:left w:type="dxa" w:w="100"/>
              <w:bottom w:type="dxa" w:w="60"/>
              <w:right w:type="dxa" w:w="100"/>
            </w:tcMar>
          </w:tcPr>
          <w:p>
            <w:r>
              <w:rPr>
                <w:rFonts w:ascii="Arial" w:cs="Arial" w:eastAsia="Arial" w:hAnsi="Arial"/>
                <w:b w:val="false"/>
                <w:bCs w:val="false"/>
                <w:color w:val="333333"/>
                <w:sz w:val="20"/>
                <w:szCs w:val="20"/>
              </w:rPr>
              <w:t xml:space="preserve">Exotic options</w:t>
            </w:r>
          </w:p>
        </w:tc>
        <w:tc>
          <w:tcPr>
            <w:tcW w:type="dxa" w:w="2400"/>
            <w:tcBorders>
              <w:top w:val="single" w:color="B0B8C4" w:sz="1"/>
              <w:left w:val="single" w:color="B0B8C4" w:sz="1"/>
              <w:bottom w:val="single" w:color="B0B8C4" w:sz="1"/>
              <w:right w:val="single" w:color="B0B8C4" w:sz="1"/>
            </w:tcBorders>
            <w:shd w:fill="EDF2F7" w:val="clear"/>
            <w:tcMar>
              <w:top w:type="dxa" w:w="60"/>
              <w:left w:type="dxa" w:w="100"/>
              <w:bottom w:type="dxa" w:w="60"/>
              <w:right w:type="dxa" w:w="100"/>
            </w:tcMar>
          </w:tcPr>
          <w:p>
            <w:r>
              <w:rPr>
                <w:rFonts w:ascii="Arial" w:cs="Arial" w:eastAsia="Arial" w:hAnsi="Arial"/>
                <w:b w:val="false"/>
                <w:bCs w:val="false"/>
                <w:color w:val="333333"/>
                <w:sz w:val="20"/>
                <w:szCs w:val="20"/>
              </w:rPr>
              <w:t xml:space="preserve">Full revaluation</w:t>
            </w:r>
          </w:p>
        </w:tc>
        <w:tc>
          <w:tcPr>
            <w:tcW w:type="dxa" w:w="4560"/>
            <w:tcBorders>
              <w:top w:val="single" w:color="B0B8C4" w:sz="1"/>
              <w:left w:val="single" w:color="B0B8C4" w:sz="1"/>
              <w:bottom w:val="single" w:color="B0B8C4" w:sz="1"/>
              <w:right w:val="single" w:color="B0B8C4" w:sz="1"/>
            </w:tcBorders>
            <w:shd w:fill="EDF2F7" w:val="clear"/>
            <w:tcMar>
              <w:top w:type="dxa" w:w="60"/>
              <w:left w:type="dxa" w:w="100"/>
              <w:bottom w:type="dxa" w:w="60"/>
              <w:right w:type="dxa" w:w="100"/>
            </w:tcMar>
          </w:tcPr>
          <w:p>
            <w:r>
              <w:rPr>
                <w:rFonts w:ascii="Arial" w:cs="Arial" w:eastAsia="Arial" w:hAnsi="Arial"/>
                <w:b w:val="false"/>
                <w:bCs w:val="false"/>
                <w:color w:val="333333"/>
                <w:sz w:val="20"/>
                <w:szCs w:val="20"/>
              </w:rPr>
              <w:t xml:space="preserve">Path-dependent, barrier features, non-standard payoffs</w:t>
            </w:r>
          </w:p>
        </w:tc>
      </w:tr>
      <w:tr>
        <w:tc>
          <w:tcPr>
            <w:tcW w:type="dxa" w:w="24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Structured products</w:t>
            </w:r>
          </w:p>
        </w:tc>
        <w:tc>
          <w:tcPr>
            <w:tcW w:type="dxa" w:w="24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Full revaluation</w:t>
            </w:r>
          </w:p>
        </w:tc>
        <w:tc>
          <w:tcPr>
            <w:tcW w:type="dxa" w:w="456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Complex dependencies, embedded options</w:t>
            </w:r>
          </w:p>
        </w:tc>
      </w:tr>
      <w:tr>
        <w:tc>
          <w:tcPr>
            <w:tcW w:type="dxa" w:w="2400"/>
            <w:tcBorders>
              <w:top w:val="single" w:color="B0B8C4" w:sz="1"/>
              <w:left w:val="single" w:color="B0B8C4" w:sz="1"/>
              <w:bottom w:val="single" w:color="B0B8C4" w:sz="1"/>
              <w:right w:val="single" w:color="B0B8C4" w:sz="1"/>
            </w:tcBorders>
            <w:shd w:fill="EDF2F7" w:val="clear"/>
            <w:tcMar>
              <w:top w:type="dxa" w:w="60"/>
              <w:left w:type="dxa" w:w="100"/>
              <w:bottom w:type="dxa" w:w="60"/>
              <w:right w:type="dxa" w:w="100"/>
            </w:tcMar>
          </w:tcPr>
          <w:p>
            <w:r>
              <w:rPr>
                <w:rFonts w:ascii="Arial" w:cs="Arial" w:eastAsia="Arial" w:hAnsi="Arial"/>
                <w:b w:val="false"/>
                <w:bCs w:val="false"/>
                <w:color w:val="333333"/>
                <w:sz w:val="20"/>
                <w:szCs w:val="20"/>
              </w:rPr>
              <w:t xml:space="preserve">MBS / CMOs</w:t>
            </w:r>
          </w:p>
        </w:tc>
        <w:tc>
          <w:tcPr>
            <w:tcW w:type="dxa" w:w="2400"/>
            <w:tcBorders>
              <w:top w:val="single" w:color="B0B8C4" w:sz="1"/>
              <w:left w:val="single" w:color="B0B8C4" w:sz="1"/>
              <w:bottom w:val="single" w:color="B0B8C4" w:sz="1"/>
              <w:right w:val="single" w:color="B0B8C4" w:sz="1"/>
            </w:tcBorders>
            <w:shd w:fill="EDF2F7" w:val="clear"/>
            <w:tcMar>
              <w:top w:type="dxa" w:w="60"/>
              <w:left w:type="dxa" w:w="100"/>
              <w:bottom w:type="dxa" w:w="60"/>
              <w:right w:type="dxa" w:w="100"/>
            </w:tcMar>
          </w:tcPr>
          <w:p>
            <w:r>
              <w:rPr>
                <w:rFonts w:ascii="Arial" w:cs="Arial" w:eastAsia="Arial" w:hAnsi="Arial"/>
                <w:b w:val="false"/>
                <w:bCs w:val="false"/>
                <w:color w:val="333333"/>
                <w:sz w:val="20"/>
                <w:szCs w:val="20"/>
              </w:rPr>
              <w:t xml:space="preserve">Full revaluation</w:t>
            </w:r>
          </w:p>
        </w:tc>
        <w:tc>
          <w:tcPr>
            <w:tcW w:type="dxa" w:w="4560"/>
            <w:tcBorders>
              <w:top w:val="single" w:color="B0B8C4" w:sz="1"/>
              <w:left w:val="single" w:color="B0B8C4" w:sz="1"/>
              <w:bottom w:val="single" w:color="B0B8C4" w:sz="1"/>
              <w:right w:val="single" w:color="B0B8C4" w:sz="1"/>
            </w:tcBorders>
            <w:shd w:fill="EDF2F7" w:val="clear"/>
            <w:tcMar>
              <w:top w:type="dxa" w:w="60"/>
              <w:left w:type="dxa" w:w="100"/>
              <w:bottom w:type="dxa" w:w="60"/>
              <w:right w:type="dxa" w:w="100"/>
            </w:tcMar>
          </w:tcPr>
          <w:p>
            <w:r>
              <w:rPr>
                <w:rFonts w:ascii="Arial" w:cs="Arial" w:eastAsia="Arial" w:hAnsi="Arial"/>
                <w:b w:val="false"/>
                <w:bCs w:val="false"/>
                <w:color w:val="333333"/>
                <w:sz w:val="20"/>
                <w:szCs w:val="20"/>
              </w:rPr>
              <w:t xml:space="preserve">Prepayment models, negative convexity</w:t>
            </w:r>
          </w:p>
        </w:tc>
      </w:tr>
    </w:tbl>
    <w:p>
      <w:r>
        <w:br w:type="page"/>
      </w:r>
    </w:p>
    <w:p>
      <w:pPr>
        <w:pStyle w:val="Heading2"/>
      </w:pPr>
      <w:r>
        <w:t xml:space="preserve">3. First-Order Greeks: The Workhorses</w:t>
      </w:r>
    </w:p>
    <w:p>
      <w:pPr>
        <w:spacing w:after="80"/>
      </w:pPr>
    </w:p>
    <w:p>
      <w:pPr>
        <w:pStyle w:val="Heading3"/>
      </w:pPr>
      <w:r>
        <w:t xml:space="preserve">3.1 Equity Delta</w:t>
      </w:r>
    </w:p>
    <w:p>
      <w:pPr>
        <w:spacing w:after="120" w:before="0"/>
      </w:pPr>
      <w:r>
        <w:rPr>
          <w:rFonts w:ascii="Arial" w:cs="Arial" w:eastAsia="Arial" w:hAnsi="Arial"/>
          <w:sz w:val="22"/>
          <w:szCs w:val="22"/>
        </w:rPr>
        <w:t xml:space="preserve">For a stock position, delta is simply the number of shares (or share-equivalent exposure):</w:t>
      </w:r>
    </w:p>
    <w:p>
      <w:pPr>
        <w:spacing w:after="140" w:before="80"/>
        <w:jc w:val="center"/>
      </w:pPr>
      <w:r>
        <w:rPr>
          <w:rFonts w:ascii="Courier New" w:cs="Courier New" w:eastAsia="Courier New" w:hAnsi="Courier New"/>
          <w:b/>
          <w:bCs/>
          <w:color w:val="2C3E6B"/>
          <w:sz w:val="24"/>
          <w:szCs w:val="24"/>
        </w:rPr>
        <w:t xml:space="preserve">P&amp;L = Position Value × Percentage Shock</w:t>
      </w:r>
    </w:p>
    <w:p>
      <w:pPr>
        <w:spacing w:after="120" w:before="0"/>
      </w:pPr>
      <w:r>
        <w:rPr>
          <w:rFonts w:ascii="Arial" w:cs="Arial" w:eastAsia="Arial" w:hAnsi="Arial"/>
          <w:sz w:val="22"/>
          <w:szCs w:val="22"/>
        </w:rPr>
        <w:t xml:space="preserve">Example: Long 10,000 shares of NVDA at $140.</w:t>
      </w:r>
    </w:p>
    <w:p>
      <w:pPr>
        <w:spacing w:after="120" w:before="0"/>
      </w:pPr>
      <w:r>
        <w:rPr>
          <w:rFonts w:ascii="Arial" w:cs="Arial" w:eastAsia="Arial" w:hAnsi="Arial"/>
          <w:sz w:val="22"/>
          <w:szCs w:val="22"/>
        </w:rPr>
        <w:t xml:space="preserve">Shock: NVDA -45% → P&amp;L = $1,400,000 × (-0.45) = -$630,000</w:t>
      </w:r>
    </w:p>
    <w:p>
      <w:pPr>
        <w:spacing w:after="80"/>
      </w:pPr>
    </w:p>
    <w:p>
      <w:pPr>
        <w:spacing w:after="120" w:before="0"/>
      </w:pPr>
      <w:r>
        <w:rPr>
          <w:rFonts w:ascii="Arial" w:cs="Arial" w:eastAsia="Arial" w:hAnsi="Arial"/>
          <w:sz w:val="22"/>
          <w:szCs w:val="22"/>
        </w:rPr>
        <w:t xml:space="preserve">For an equity option, delta is N(d₁) from Black-Scholes (for a call) and represents the share-equivalent exposure:</w:t>
      </w:r>
    </w:p>
    <w:p>
      <w:pPr>
        <w:spacing w:after="140" w:before="80"/>
        <w:jc w:val="center"/>
      </w:pPr>
      <w:r>
        <w:rPr>
          <w:rFonts w:ascii="Courier New" w:cs="Courier New" w:eastAsia="Courier New" w:hAnsi="Courier New"/>
          <w:b/>
          <w:bCs/>
          <w:color w:val="2C3E6B"/>
          <w:sz w:val="24"/>
          <w:szCs w:val="24"/>
        </w:rPr>
        <w:t xml:space="preserve">Delta P&amp;L = Δ × N(shares) × ΔS</w:t>
      </w:r>
    </w:p>
    <w:p>
      <w:pPr>
        <w:spacing w:after="120" w:before="0"/>
      </w:pPr>
      <w:r>
        <w:rPr>
          <w:rFonts w:ascii="Arial" w:cs="Arial" w:eastAsia="Arial" w:hAnsi="Arial"/>
          <w:sz w:val="22"/>
          <w:szCs w:val="22"/>
        </w:rPr>
        <w:t xml:space="preserve">Example: Long 100 NVDA calls, delta = 0.65, each controlling 100 shares.</w:t>
      </w:r>
    </w:p>
    <w:p>
      <w:pPr>
        <w:spacing w:after="120" w:before="0"/>
      </w:pPr>
      <w:r>
        <w:rPr>
          <w:rFonts w:ascii="Arial" w:cs="Arial" w:eastAsia="Arial" w:hAnsi="Arial"/>
          <w:sz w:val="22"/>
          <w:szCs w:val="22"/>
        </w:rPr>
        <w:t xml:space="preserve">Shock: NVDA drops $63 (from $140 to $77, -45%)</w:t>
      </w:r>
    </w:p>
    <w:p>
      <w:pPr>
        <w:spacing w:after="120" w:before="0"/>
      </w:pPr>
      <w:r>
        <w:rPr>
          <w:rFonts w:ascii="Arial" w:cs="Arial" w:eastAsia="Arial" w:hAnsi="Arial"/>
          <w:sz w:val="22"/>
          <w:szCs w:val="22"/>
        </w:rPr>
        <w:t xml:space="preserve">Delta P&amp;L = 0.65 × 10,000 shares × (-$63) = -$409,500</w:t>
      </w:r>
    </w:p>
    <w:p>
      <w:pPr>
        <w:spacing w:after="120" w:before="0"/>
      </w:pPr>
      <w:r>
        <w:rPr>
          <w:rFonts w:ascii="Arial" w:cs="Arial" w:eastAsia="Arial" w:hAnsi="Arial"/>
          <w:sz w:val="22"/>
          <w:szCs w:val="22"/>
        </w:rPr>
        <w:t xml:space="preserve">But this is wrong for large moves because delta itself changes. That is where gamma comes in (Section 4).</w:t>
      </w:r>
    </w:p>
    <w:p>
      <w:pPr>
        <w:spacing w:after="80"/>
      </w:pPr>
    </w:p>
    <w:p>
      <w:pPr>
        <w:pStyle w:val="Heading3"/>
      </w:pPr>
      <w:r>
        <w:t xml:space="preserve">3.2 DV01 (Dollar Value of One Basis Point)</w:t>
      </w:r>
    </w:p>
    <w:p>
      <w:pPr>
        <w:spacing w:after="120" w:before="0"/>
      </w:pPr>
      <w:r>
        <w:rPr>
          <w:rFonts w:ascii="Arial" w:cs="Arial" w:eastAsia="Arial" w:hAnsi="Arial"/>
          <w:sz w:val="22"/>
          <w:szCs w:val="22"/>
        </w:rPr>
        <w:t xml:space="preserve">DV01 measures the dollar change in value for a 1 basis point (0.01%) parallel shift in yields. It is the primary sensitivity for all rates and fixed income instruments.</w:t>
      </w:r>
    </w:p>
    <w:p>
      <w:pPr>
        <w:spacing w:after="140" w:before="80"/>
        <w:jc w:val="center"/>
      </w:pPr>
      <w:r>
        <w:rPr>
          <w:rFonts w:ascii="Courier New" w:cs="Courier New" w:eastAsia="Courier New" w:hAnsi="Courier New"/>
          <w:b/>
          <w:bCs/>
          <w:color w:val="2C3E6B"/>
          <w:sz w:val="24"/>
          <w:szCs w:val="24"/>
        </w:rPr>
        <w:t xml:space="preserve">P&amp;L = DV01 × ΔYield (in bp)</w:t>
      </w:r>
    </w:p>
    <w:p>
      <w:pPr>
        <w:spacing w:after="80"/>
      </w:pPr>
    </w:p>
    <w:p>
      <w:pPr>
        <w:spacing w:after="120" w:before="0"/>
      </w:pPr>
      <w:r>
        <w:rPr>
          <w:rFonts w:ascii="Arial" w:cs="Arial" w:eastAsia="Arial" w:hAnsi="Arial"/>
          <w:sz w:val="22"/>
          <w:szCs w:val="22"/>
        </w:rPr>
        <w:t xml:space="preserve">Example: A rates desk is long duration with DV01 = +$1.2M per bp at 10Y and short DV01 = -$800K per bp at 2Y.</w:t>
      </w:r>
    </w:p>
    <w:p>
      <w:pPr>
        <w:spacing w:after="120" w:before="0"/>
      </w:pPr>
      <w:r>
        <w:rPr>
          <w:rFonts w:ascii="Arial" w:cs="Arial" w:eastAsia="Arial" w:hAnsi="Arial"/>
          <w:sz w:val="22"/>
          <w:szCs w:val="22"/>
        </w:rPr>
        <w:t xml:space="preserve">Shock: 2Y yield -75bp, 10Y yield -100bp (bull flattener, flight to quality).</w:t>
      </w:r>
    </w:p>
    <w:p>
      <w:pPr>
        <w:spacing w:after="140" w:before="80"/>
        <w:jc w:val="center"/>
      </w:pPr>
      <w:r>
        <w:rPr>
          <w:rFonts w:ascii="Courier New" w:cs="Courier New" w:eastAsia="Courier New" w:hAnsi="Courier New"/>
          <w:b/>
          <w:bCs/>
          <w:color w:val="2C3E6B"/>
          <w:sz w:val="24"/>
          <w:szCs w:val="24"/>
        </w:rPr>
        <w:t xml:space="preserve">Rates P&amp;L = (-$800K × -75bp) + ($1.2M × -100bp) = +$60M + (-$120M) = -$60M</w:t>
      </w:r>
    </w:p>
    <w:p>
      <w:pPr>
        <w:spacing w:after="120" w:before="0"/>
      </w:pPr>
      <w:r>
        <w:rPr>
          <w:rFonts w:ascii="Arial" w:cs="Arial" w:eastAsia="Arial" w:hAnsi="Arial"/>
          <w:sz w:val="22"/>
          <w:szCs w:val="22"/>
        </w:rPr>
        <w:t xml:space="preserve">The desk loses because it is net long at the long end, which rallies more in absolute terms, but the desk is net short duration there. Wait — that does not match. Let me clarify: the sign of DV01 is critical.</w:t>
      </w:r>
    </w:p>
    <w:p>
      <w:pPr>
        <w:spacing w:after="80"/>
      </w:pPr>
    </w:p>
    <w:p>
      <w:pPr>
        <w:spacing w:after="120" w:before="0"/>
      </w:pPr>
      <w:r>
        <w:rPr>
          <w:rFonts w:ascii="Arial" w:cs="Arial" w:eastAsia="Arial" w:hAnsi="Arial"/>
          <w:b/>
          <w:bCs/>
          <w:sz w:val="22"/>
          <w:szCs w:val="22"/>
        </w:rPr>
        <w:t xml:space="preserve">DV01 sign convention:</w:t>
      </w:r>
    </w:p>
    <w:p>
      <w:pPr>
        <w:pStyle w:val="ListParagraph"/>
        <w:numPr>
          <w:ilvl w:val="0"/>
          <w:numId w:val="2"/>
        </w:numPr>
        <w:spacing w:after="60"/>
      </w:pPr>
      <w:r>
        <w:rPr>
          <w:rFonts w:ascii="Arial" w:cs="Arial" w:eastAsia="Arial" w:hAnsi="Arial"/>
          <w:b/>
          <w:bCs/>
          <w:sz w:val="22"/>
          <w:szCs w:val="22"/>
        </w:rPr>
        <w:t xml:space="preserve">Positive DV01: </w:t>
      </w:r>
      <w:r>
        <w:rPr>
          <w:rFonts w:ascii="Arial" w:cs="Arial" w:eastAsia="Arial" w:hAnsi="Arial"/>
          <w:sz w:val="22"/>
          <w:szCs w:val="22"/>
        </w:rPr>
        <w:t xml:space="preserve">Value increases when yields fall (you are long bonds / receiving fixed).</w:t>
      </w:r>
    </w:p>
    <w:p>
      <w:pPr>
        <w:pStyle w:val="ListParagraph"/>
        <w:numPr>
          <w:ilvl w:val="0"/>
          <w:numId w:val="2"/>
        </w:numPr>
        <w:spacing w:after="60"/>
      </w:pPr>
      <w:r>
        <w:rPr>
          <w:rFonts w:ascii="Arial" w:cs="Arial" w:eastAsia="Arial" w:hAnsi="Arial"/>
          <w:b/>
          <w:bCs/>
          <w:sz w:val="22"/>
          <w:szCs w:val="22"/>
        </w:rPr>
        <w:t xml:space="preserve">Negative DV01: </w:t>
      </w:r>
      <w:r>
        <w:rPr>
          <w:rFonts w:ascii="Arial" w:cs="Arial" w:eastAsia="Arial" w:hAnsi="Arial"/>
          <w:sz w:val="22"/>
          <w:szCs w:val="22"/>
        </w:rPr>
        <w:t xml:space="preserve">Value increases when yields rise (you are short bonds / paying fixed).</w:t>
      </w:r>
    </w:p>
    <w:p>
      <w:pPr>
        <w:spacing w:after="80"/>
      </w:pPr>
    </w:p>
    <w:p>
      <w:pPr>
        <w:spacing w:after="120" w:before="0"/>
      </w:pPr>
      <w:r>
        <w:rPr>
          <w:rFonts w:ascii="Arial" w:cs="Arial" w:eastAsia="Arial" w:hAnsi="Arial"/>
          <w:sz w:val="22"/>
          <w:szCs w:val="22"/>
        </w:rPr>
        <w:t xml:space="preserve">So: DV01(10Y) = +$1.2M means the desk gains $1.2M per bp that 10Y yields fall.</w:t>
      </w:r>
    </w:p>
    <w:p>
      <w:pPr>
        <w:spacing w:after="120" w:before="0"/>
      </w:pPr>
      <w:r>
        <w:rPr>
          <w:rFonts w:ascii="Arial" w:cs="Arial" w:eastAsia="Arial" w:hAnsi="Arial"/>
          <w:sz w:val="22"/>
          <w:szCs w:val="22"/>
        </w:rPr>
        <w:t xml:space="preserve">10Y yield falls 100bp → P&amp;L = +$1.2M × 100 = +$120M.</w:t>
      </w:r>
    </w:p>
    <w:p>
      <w:pPr>
        <w:spacing w:after="120" w:before="0"/>
      </w:pPr>
      <w:r>
        <w:rPr>
          <w:rFonts w:ascii="Arial" w:cs="Arial" w:eastAsia="Arial" w:hAnsi="Arial"/>
          <w:sz w:val="22"/>
          <w:szCs w:val="22"/>
        </w:rPr>
        <w:t xml:space="preserve">DV01(2Y) = -$800K means the desk loses $800K per bp that 2Y yields fall.</w:t>
      </w:r>
    </w:p>
    <w:p>
      <w:pPr>
        <w:spacing w:after="120" w:before="0"/>
      </w:pPr>
      <w:r>
        <w:rPr>
          <w:rFonts w:ascii="Arial" w:cs="Arial" w:eastAsia="Arial" w:hAnsi="Arial"/>
          <w:sz w:val="22"/>
          <w:szCs w:val="22"/>
        </w:rPr>
        <w:t xml:space="preserve">2Y yield falls 75bp → P&amp;L = -$800K × 75 = -$60M.</w:t>
      </w:r>
    </w:p>
    <w:p>
      <w:pPr>
        <w:spacing w:after="140" w:before="80"/>
        <w:jc w:val="center"/>
      </w:pPr>
      <w:r>
        <w:rPr>
          <w:rFonts w:ascii="Courier New" w:cs="Courier New" w:eastAsia="Courier New" w:hAnsi="Courier New"/>
          <w:b/>
          <w:bCs/>
          <w:color w:val="2C3E6B"/>
          <w:sz w:val="24"/>
          <w:szCs w:val="24"/>
        </w:rPr>
        <w:t xml:space="preserve">Net Rates P&amp;L = +$120M + (-$60M) = +$60M</w:t>
      </w:r>
    </w:p>
    <w:p>
      <w:pPr>
        <w:spacing w:after="120" w:before="0"/>
      </w:pPr>
      <w:r>
        <w:rPr>
          <w:rFonts w:ascii="Arial" w:cs="Arial" w:eastAsia="Arial" w:hAnsi="Arial"/>
          <w:sz w:val="22"/>
          <w:szCs w:val="22"/>
        </w:rPr>
        <w:t xml:space="preserve">The desk profits from a bull flattener because its long duration at 10Y outweighs its short at 2Y.</w:t>
      </w:r>
    </w:p>
    <w:p>
      <w:pPr>
        <w:spacing w:after="80"/>
      </w:pPr>
    </w:p>
    <w:p>
      <w:pPr>
        <w:pStyle w:val="Heading3"/>
      </w:pPr>
      <w:r>
        <w:t xml:space="preserve">3.3 CS01 (Credit Spread Sensitivity)</w:t>
      </w:r>
    </w:p>
    <w:p>
      <w:pPr>
        <w:spacing w:after="120" w:before="0"/>
      </w:pPr>
      <w:r>
        <w:rPr>
          <w:rFonts w:ascii="Arial" w:cs="Arial" w:eastAsia="Arial" w:hAnsi="Arial"/>
          <w:sz w:val="22"/>
          <w:szCs w:val="22"/>
        </w:rPr>
        <w:t xml:space="preserve">CS01 measures the dollar change in value for a 1bp widening in credit spreads. For a long credit position (long bonds or sold protection), CS01 is negative: spreads widen, value falls.</w:t>
      </w:r>
    </w:p>
    <w:p>
      <w:pPr>
        <w:spacing w:after="140" w:before="80"/>
        <w:jc w:val="center"/>
      </w:pPr>
      <w:r>
        <w:rPr>
          <w:rFonts w:ascii="Courier New" w:cs="Courier New" w:eastAsia="Courier New" w:hAnsi="Courier New"/>
          <w:b/>
          <w:bCs/>
          <w:color w:val="2C3E6B"/>
          <w:sz w:val="24"/>
          <w:szCs w:val="24"/>
        </w:rPr>
        <w:t xml:space="preserve">Credit P&amp;L = CS01 × ΔSpread (in bp)</w:t>
      </w:r>
    </w:p>
    <w:p>
      <w:pPr>
        <w:spacing w:after="120" w:before="0"/>
      </w:pPr>
      <w:r>
        <w:rPr>
          <w:rFonts w:ascii="Arial" w:cs="Arial" w:eastAsia="Arial" w:hAnsi="Arial"/>
          <w:sz w:val="22"/>
          <w:szCs w:val="22"/>
        </w:rPr>
        <w:t xml:space="preserve">Example: Credit desk has CS01 = -$150K/bp across IG corporate bonds.</w:t>
      </w:r>
    </w:p>
    <w:p>
      <w:pPr>
        <w:spacing w:after="120" w:before="0"/>
      </w:pPr>
      <w:r>
        <w:rPr>
          <w:rFonts w:ascii="Arial" w:cs="Arial" w:eastAsia="Arial" w:hAnsi="Arial"/>
          <w:sz w:val="22"/>
          <w:szCs w:val="22"/>
        </w:rPr>
        <w:t xml:space="preserve">Shock: IG spreads widen +175bp.</w:t>
      </w:r>
    </w:p>
    <w:p>
      <w:pPr>
        <w:spacing w:after="140" w:before="80"/>
        <w:jc w:val="center"/>
      </w:pPr>
      <w:r>
        <w:rPr>
          <w:rFonts w:ascii="Courier New" w:cs="Courier New" w:eastAsia="Courier New" w:hAnsi="Courier New"/>
          <w:b/>
          <w:bCs/>
          <w:color w:val="2C3E6B"/>
          <w:sz w:val="24"/>
          <w:szCs w:val="24"/>
        </w:rPr>
        <w:t xml:space="preserve">Credit P&amp;L = -$150K × 175 = -$26.25M</w:t>
      </w:r>
    </w:p>
    <w:p>
      <w:pPr>
        <w:spacing w:after="80"/>
      </w:pPr>
    </w:p>
    <w:p>
      <w:pPr>
        <w:pStyle w:val="Heading3"/>
      </w:pPr>
      <w:r>
        <w:t xml:space="preserve">3.4 FX Delta</w:t>
      </w:r>
    </w:p>
    <w:p>
      <w:pPr>
        <w:spacing w:after="120" w:before="0"/>
      </w:pPr>
      <w:r>
        <w:rPr>
          <w:rFonts w:ascii="Arial" w:cs="Arial" w:eastAsia="Arial" w:hAnsi="Arial"/>
          <w:sz w:val="22"/>
          <w:szCs w:val="22"/>
        </w:rPr>
        <w:t xml:space="preserve">FX delta measures the dollar P&amp;L per 1% move in the exchange rate:</w:t>
      </w:r>
    </w:p>
    <w:p>
      <w:pPr>
        <w:spacing w:after="140" w:before="80"/>
        <w:jc w:val="center"/>
      </w:pPr>
      <w:r>
        <w:rPr>
          <w:rFonts w:ascii="Courier New" w:cs="Courier New" w:eastAsia="Courier New" w:hAnsi="Courier New"/>
          <w:b/>
          <w:bCs/>
          <w:color w:val="2C3E6B"/>
          <w:sz w:val="24"/>
          <w:szCs w:val="24"/>
        </w:rPr>
        <w:t xml:space="preserve">FX P&amp;L = FX Delta × ΔFX Rate (in %)</w:t>
      </w:r>
    </w:p>
    <w:p>
      <w:pPr>
        <w:spacing w:after="120" w:before="0"/>
      </w:pPr>
      <w:r>
        <w:rPr>
          <w:rFonts w:ascii="Arial" w:cs="Arial" w:eastAsia="Arial" w:hAnsi="Arial"/>
          <w:sz w:val="22"/>
          <w:szCs w:val="22"/>
        </w:rPr>
        <w:t xml:space="preserve">Example: Desk is long EUR with FX delta = +$5M per 1% EURUSD move.</w:t>
      </w:r>
    </w:p>
    <w:p>
      <w:pPr>
        <w:spacing w:after="120" w:before="0"/>
      </w:pPr>
      <w:r>
        <w:rPr>
          <w:rFonts w:ascii="Arial" w:cs="Arial" w:eastAsia="Arial" w:hAnsi="Arial"/>
          <w:sz w:val="22"/>
          <w:szCs w:val="22"/>
        </w:rPr>
        <w:t xml:space="preserve">Shock: EURUSD -8% (EUR weakens, USD strengthens).</w:t>
      </w:r>
    </w:p>
    <w:p>
      <w:pPr>
        <w:spacing w:after="140" w:before="80"/>
        <w:jc w:val="center"/>
      </w:pPr>
      <w:r>
        <w:rPr>
          <w:rFonts w:ascii="Courier New" w:cs="Courier New" w:eastAsia="Courier New" w:hAnsi="Courier New"/>
          <w:b/>
          <w:bCs/>
          <w:color w:val="2C3E6B"/>
          <w:sz w:val="24"/>
          <w:szCs w:val="24"/>
        </w:rPr>
        <w:t xml:space="preserve">FX P&amp;L = $5M × (-8) = -$40M</w:t>
      </w:r>
    </w:p>
    <w:p>
      <w:r>
        <w:br w:type="page"/>
      </w:r>
    </w:p>
    <w:p>
      <w:pPr>
        <w:pStyle w:val="Heading2"/>
      </w:pPr>
      <w:r>
        <w:t xml:space="preserve">4. Second-Order Effects</w:t>
      </w:r>
    </w:p>
    <w:p>
      <w:pPr>
        <w:spacing w:after="120" w:before="0"/>
      </w:pPr>
      <w:r>
        <w:rPr>
          <w:rFonts w:ascii="Arial" w:cs="Arial" w:eastAsia="Arial" w:hAnsi="Arial"/>
          <w:sz w:val="22"/>
          <w:szCs w:val="22"/>
        </w:rPr>
        <w:t xml:space="preserve">For large shocks (which is exactly what stress testing involves), first-order approximations are insufficient. Second-order effects can be 10-30% of total P&amp;L in severe scenarios.</w:t>
      </w:r>
    </w:p>
    <w:p>
      <w:pPr>
        <w:spacing w:after="80"/>
      </w:pPr>
    </w:p>
    <w:p>
      <w:pPr>
        <w:pStyle w:val="Heading3"/>
      </w:pPr>
      <w:r>
        <w:t xml:space="preserve">4.1 Gamma (Γ) — Rate of Change of Delta</w:t>
      </w:r>
    </w:p>
    <w:p>
      <w:pPr>
        <w:spacing w:after="140" w:before="80"/>
        <w:jc w:val="center"/>
      </w:pPr>
      <w:r>
        <w:rPr>
          <w:rFonts w:ascii="Courier New" w:cs="Courier New" w:eastAsia="Courier New" w:hAnsi="Courier New"/>
          <w:b/>
          <w:bCs/>
          <w:color w:val="2C3E6B"/>
          <w:sz w:val="24"/>
          <w:szCs w:val="24"/>
        </w:rPr>
        <w:t xml:space="preserve">Gamma P&amp;L = ½ × Γ × (ΔS)²</w:t>
      </w:r>
    </w:p>
    <w:p>
      <w:pPr>
        <w:spacing w:after="120" w:before="0"/>
      </w:pPr>
      <w:r>
        <w:rPr>
          <w:rFonts w:ascii="Arial" w:cs="Arial" w:eastAsia="Arial" w:hAnsi="Arial"/>
          <w:sz w:val="22"/>
          <w:szCs w:val="22"/>
        </w:rPr>
        <w:t xml:space="preserve">Gamma measures how delta changes as the underlying moves. For options, gamma is always positive for long positions (you benefit from convexity).</w:t>
      </w:r>
    </w:p>
    <w:p>
      <w:pPr>
        <w:spacing w:after="80"/>
      </w:pPr>
    </w:p>
    <w:p>
      <w:pPr>
        <w:spacing w:after="120" w:before="0"/>
      </w:pPr>
      <w:r>
        <w:rPr>
          <w:rFonts w:ascii="Arial" w:cs="Arial" w:eastAsia="Arial" w:hAnsi="Arial"/>
          <w:sz w:val="22"/>
          <w:szCs w:val="22"/>
        </w:rPr>
        <w:t xml:space="preserve">Example: NVDA call option, Γ = 0.015 per dollar move, controlling 10,000 shares.</w:t>
      </w:r>
    </w:p>
    <w:p>
      <w:pPr>
        <w:spacing w:after="120" w:before="0"/>
      </w:pPr>
      <w:r>
        <w:rPr>
          <w:rFonts w:ascii="Arial" w:cs="Arial" w:eastAsia="Arial" w:hAnsi="Arial"/>
          <w:sz w:val="22"/>
          <w:szCs w:val="22"/>
        </w:rPr>
        <w:t xml:space="preserve">Shock: NVDA drops $63 (from $140 to $77).</w:t>
      </w:r>
    </w:p>
    <w:p>
      <w:pPr>
        <w:spacing w:after="140" w:before="80"/>
        <w:jc w:val="center"/>
      </w:pPr>
      <w:r>
        <w:rPr>
          <w:rFonts w:ascii="Courier New" w:cs="Courier New" w:eastAsia="Courier New" w:hAnsi="Courier New"/>
          <w:b/>
          <w:bCs/>
          <w:color w:val="2C3E6B"/>
          <w:sz w:val="24"/>
          <w:szCs w:val="24"/>
        </w:rPr>
        <w:t xml:space="preserve">Gamma P&amp;L = ½ × 0.015 × 10,000 × (-63)² = ½ × 0.015 × 10,000 × 3,969 = +$297,675</w:t>
      </w:r>
    </w:p>
    <w:p>
      <w:pPr>
        <w:spacing w:after="120" w:before="0"/>
      </w:pPr>
      <w:r>
        <w:rPr>
          <w:rFonts w:ascii="Arial" w:cs="Arial" w:eastAsia="Arial" w:hAnsi="Arial"/>
          <w:sz w:val="22"/>
          <w:szCs w:val="22"/>
        </w:rPr>
        <w:t xml:space="preserve">The positive gamma partially offsets the delta loss. This is the benefit of being “long convexity.”</w:t>
      </w:r>
    </w:p>
    <w:p>
      <w:pPr>
        <w:spacing w:after="80"/>
      </w:pPr>
    </w:p>
    <w:p>
      <w:pPr>
        <w:spacing w:after="120" w:before="0"/>
      </w:pPr>
      <w:r>
        <w:rPr>
          <w:rFonts w:ascii="Arial" w:cs="Arial" w:eastAsia="Arial" w:hAnsi="Arial"/>
          <w:b/>
          <w:bCs/>
          <w:sz w:val="22"/>
          <w:szCs w:val="22"/>
        </w:rPr>
        <w:t xml:space="preserve">Why gamma matters in stress:</w:t>
      </w:r>
    </w:p>
    <w:p>
      <w:pPr>
        <w:pStyle w:val="ListParagraph"/>
        <w:numPr>
          <w:ilvl w:val="0"/>
          <w:numId w:val="2"/>
        </w:numPr>
        <w:spacing w:after="60"/>
      </w:pPr>
      <w:r>
        <w:rPr>
          <w:rFonts w:ascii="Arial" w:cs="Arial" w:eastAsia="Arial" w:hAnsi="Arial"/>
          <w:sz w:val="22"/>
          <w:szCs w:val="22"/>
        </w:rPr>
        <w:t xml:space="preserve">A -45% equity shock is NOT a small move. Delta alone would overstate losses for long option positions.</w:t>
      </w:r>
    </w:p>
    <w:p>
      <w:pPr>
        <w:pStyle w:val="ListParagraph"/>
        <w:numPr>
          <w:ilvl w:val="0"/>
          <w:numId w:val="2"/>
        </w:numPr>
        <w:spacing w:after="60"/>
      </w:pPr>
      <w:r>
        <w:rPr>
          <w:rFonts w:ascii="Arial" w:cs="Arial" w:eastAsia="Arial" w:hAnsi="Arial"/>
          <w:sz w:val="22"/>
          <w:szCs w:val="22"/>
        </w:rPr>
        <w:t xml:space="preserve">Conversely, short gamma (sold options) means losses ACCELERATE — the more the market moves, the worse it gets.</w:t>
      </w:r>
    </w:p>
    <w:p>
      <w:pPr>
        <w:pStyle w:val="ListParagraph"/>
        <w:numPr>
          <w:ilvl w:val="0"/>
          <w:numId w:val="2"/>
        </w:numPr>
        <w:spacing w:after="60"/>
      </w:pPr>
      <w:r>
        <w:rPr>
          <w:rFonts w:ascii="Arial" w:cs="Arial" w:eastAsia="Arial" w:hAnsi="Arial"/>
          <w:sz w:val="22"/>
          <w:szCs w:val="22"/>
        </w:rPr>
        <w:t xml:space="preserve">Gamma is highest for ATM options near expiry — these are the most “explosive” positions in stress.</w:t>
      </w:r>
    </w:p>
    <w:p>
      <w:pPr>
        <w:spacing w:after="80"/>
      </w:pPr>
    </w:p>
    <w:p>
      <w:pPr>
        <w:pStyle w:val="Heading3"/>
      </w:pPr>
      <w:r>
        <w:t xml:space="preserve">4.2 Bond Convexity — Rate Gamma</w:t>
      </w:r>
    </w:p>
    <w:p>
      <w:pPr>
        <w:spacing w:after="120" w:before="0"/>
      </w:pPr>
      <w:r>
        <w:rPr>
          <w:rFonts w:ascii="Arial" w:cs="Arial" w:eastAsia="Arial" w:hAnsi="Arial"/>
          <w:sz w:val="22"/>
          <w:szCs w:val="22"/>
        </w:rPr>
        <w:t xml:space="preserve">Convexity is the bond-world equivalent of gamma. It captures the curvature of the price-yield relationship:</w:t>
      </w:r>
    </w:p>
    <w:p>
      <w:pPr>
        <w:spacing w:after="140" w:before="80"/>
        <w:jc w:val="center"/>
      </w:pPr>
      <w:r>
        <w:rPr>
          <w:rFonts w:ascii="Courier New" w:cs="Courier New" w:eastAsia="Courier New" w:hAnsi="Courier New"/>
          <w:b/>
          <w:bCs/>
          <w:color w:val="2C3E6B"/>
          <w:sz w:val="24"/>
          <w:szCs w:val="24"/>
        </w:rPr>
        <w:t xml:space="preserve">Bond P&amp;L = -Duration × Δy + ½ × Convexity × (Δy)²</w:t>
      </w:r>
    </w:p>
    <w:p>
      <w:pPr>
        <w:spacing w:after="120" w:before="0"/>
      </w:pPr>
      <w:r>
        <w:rPr>
          <w:rFonts w:ascii="Arial" w:cs="Arial" w:eastAsia="Arial" w:hAnsi="Arial"/>
          <w:sz w:val="22"/>
          <w:szCs w:val="22"/>
        </w:rPr>
        <w:t xml:space="preserve">For a normal bond (positive convexity), convexity helps you: you gain more when yields fall than you lose when they rise by the same amount.</w:t>
      </w:r>
    </w:p>
    <w:p>
      <w:pPr>
        <w:spacing w:after="80"/>
      </w:pPr>
    </w:p>
    <w:p>
      <w:pPr>
        <w:spacing w:after="120" w:before="0"/>
      </w:pPr>
      <w:r>
        <w:rPr>
          <w:rFonts w:ascii="Arial" w:cs="Arial" w:eastAsia="Arial" w:hAnsi="Arial"/>
          <w:sz w:val="22"/>
          <w:szCs w:val="22"/>
        </w:rPr>
        <w:t xml:space="preserve">Example: $100M bond, Duration = 7, Convexity = 60.</w:t>
      </w:r>
    </w:p>
    <w:p>
      <w:pPr>
        <w:spacing w:after="120" w:before="0"/>
      </w:pPr>
      <w:r>
        <w:rPr>
          <w:rFonts w:ascii="Arial" w:cs="Arial" w:eastAsia="Arial" w:hAnsi="Arial"/>
          <w:sz w:val="22"/>
          <w:szCs w:val="22"/>
        </w:rPr>
        <w:t xml:space="preserve">Shock: Yield falls 100bp (-0.01).</w:t>
      </w:r>
    </w:p>
    <w:p>
      <w:pPr>
        <w:spacing w:after="140" w:before="80"/>
        <w:jc w:val="center"/>
      </w:pPr>
      <w:r>
        <w:rPr>
          <w:rFonts w:ascii="Courier New" w:cs="Courier New" w:eastAsia="Courier New" w:hAnsi="Courier New"/>
          <w:b/>
          <w:bCs/>
          <w:color w:val="2C3E6B"/>
          <w:sz w:val="24"/>
          <w:szCs w:val="24"/>
        </w:rPr>
        <w:t xml:space="preserve">Duration P&amp;L = -7 × $100M × (-0.01) = +$7.0M</w:t>
      </w:r>
    </w:p>
    <w:p>
      <w:pPr>
        <w:spacing w:after="140" w:before="80"/>
        <w:jc w:val="center"/>
      </w:pPr>
      <w:r>
        <w:rPr>
          <w:rFonts w:ascii="Courier New" w:cs="Courier New" w:eastAsia="Courier New" w:hAnsi="Courier New"/>
          <w:b/>
          <w:bCs/>
          <w:color w:val="2C3E6B"/>
          <w:sz w:val="24"/>
          <w:szCs w:val="24"/>
        </w:rPr>
        <w:t xml:space="preserve">Convexity P&amp;L = ½ × 60 × $100M × (0.01)² = +$300K</w:t>
      </w:r>
    </w:p>
    <w:p>
      <w:pPr>
        <w:spacing w:after="140" w:before="80"/>
        <w:jc w:val="center"/>
      </w:pPr>
      <w:r>
        <w:rPr>
          <w:rFonts w:ascii="Courier New" w:cs="Courier New" w:eastAsia="Courier New" w:hAnsi="Courier New"/>
          <w:b/>
          <w:bCs/>
          <w:color w:val="2C3E6B"/>
          <w:sz w:val="24"/>
          <w:szCs w:val="24"/>
        </w:rPr>
        <w:t xml:space="preserve">Total = +$7.3M</w:t>
      </w:r>
    </w:p>
    <w:p>
      <w:pPr>
        <w:spacing w:after="120" w:before="0"/>
      </w:pPr>
      <w:r>
        <w:rPr>
          <w:rFonts w:ascii="Arial" w:cs="Arial" w:eastAsia="Arial" w:hAnsi="Arial"/>
          <w:sz w:val="22"/>
          <w:szCs w:val="22"/>
        </w:rPr>
        <w:t xml:space="preserve">The convexity term adds $300K (4.3% of duration P&amp;L). For a 200bp move, it would add $1.2M (8.6%).</w:t>
      </w:r>
    </w:p>
    <w:p>
      <w:pPr>
        <w:spacing w:after="80"/>
      </w:pPr>
    </w:p>
    <w:p>
      <w:pPr>
        <w:spacing w:after="120" w:before="0"/>
      </w:pPr>
      <w:r>
        <w:rPr>
          <w:rFonts w:ascii="Arial" w:cs="Arial" w:eastAsia="Arial" w:hAnsi="Arial"/>
          <w:b/>
          <w:bCs/>
          <w:sz w:val="22"/>
          <w:szCs w:val="22"/>
        </w:rPr>
        <w:t xml:space="preserve">MBS Negative Convexity:</w:t>
      </w:r>
    </w:p>
    <w:p>
      <w:pPr>
        <w:spacing w:after="120" w:before="0"/>
      </w:pPr>
      <w:r>
        <w:rPr>
          <w:rFonts w:ascii="Arial" w:cs="Arial" w:eastAsia="Arial" w:hAnsi="Arial"/>
          <w:sz w:val="22"/>
          <w:szCs w:val="22"/>
        </w:rPr>
        <w:t xml:space="preserve">Mortgage-backed securities have NEGATIVE convexity because prepayments accelerate when rates fall. The bond gets shorter in duration precisely when you want it to stay long. This means MBS holders lose more than duration predicts when rates fall sharply.</w:t>
      </w:r>
    </w:p>
    <w:p>
      <w:pPr>
        <w:spacing w:after="80"/>
      </w:pPr>
    </w:p>
    <w:p>
      <w:pPr>
        <w:pStyle w:val="Heading3"/>
      </w:pPr>
      <w:r>
        <w:t xml:space="preserve">4.3 Vanna &amp; Volga (Cross-Greeks)</w:t>
      </w:r>
    </w:p>
    <w:p>
      <w:pPr>
        <w:spacing w:after="120" w:before="0"/>
      </w:pPr>
      <w:r>
        <w:rPr>
          <w:rFonts w:ascii="Arial" w:cs="Arial" w:eastAsia="Arial" w:hAnsi="Arial"/>
          <w:sz w:val="22"/>
          <w:szCs w:val="22"/>
        </w:rPr>
        <w:t xml:space="preserve">These capture how Greeks interact with each other:</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400"/>
        <w:gridCol w:w="3160"/>
      </w:tblGrid>
      <w:tr>
        <w:tc>
          <w:tcPr>
            <w:tcW w:type="dxa" w:w="1600"/>
            <w:tcBorders>
              <w:top w:val="single" w:color="B0B8C4" w:sz="1"/>
              <w:left w:val="single" w:color="B0B8C4" w:sz="1"/>
              <w:bottom w:val="single" w:color="B0B8C4" w:sz="1"/>
              <w:right w:val="single" w:color="B0B8C4"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Cross-Greek</w:t>
            </w:r>
          </w:p>
        </w:tc>
        <w:tc>
          <w:tcPr>
            <w:tcW w:type="dxa" w:w="2200"/>
            <w:tcBorders>
              <w:top w:val="single" w:color="B0B8C4" w:sz="1"/>
              <w:left w:val="single" w:color="B0B8C4" w:sz="1"/>
              <w:bottom w:val="single" w:color="B0B8C4" w:sz="1"/>
              <w:right w:val="single" w:color="B0B8C4"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Formula</w:t>
            </w:r>
          </w:p>
        </w:tc>
        <w:tc>
          <w:tcPr>
            <w:tcW w:type="dxa" w:w="2400"/>
            <w:tcBorders>
              <w:top w:val="single" w:color="B0B8C4" w:sz="1"/>
              <w:left w:val="single" w:color="B0B8C4" w:sz="1"/>
              <w:bottom w:val="single" w:color="B0B8C4" w:sz="1"/>
              <w:right w:val="single" w:color="B0B8C4"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What It Measures</w:t>
            </w:r>
          </w:p>
        </w:tc>
        <w:tc>
          <w:tcPr>
            <w:tcW w:type="dxa" w:w="3160"/>
            <w:tcBorders>
              <w:top w:val="single" w:color="B0B8C4" w:sz="1"/>
              <w:left w:val="single" w:color="B0B8C4" w:sz="1"/>
              <w:bottom w:val="single" w:color="B0B8C4" w:sz="1"/>
              <w:right w:val="single" w:color="B0B8C4"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When It Matters</w:t>
            </w:r>
          </w:p>
        </w:tc>
      </w:tr>
      <w:tr>
        <w:tc>
          <w:tcPr>
            <w:tcW w:type="dxa" w:w="1600"/>
            <w:tcBorders>
              <w:top w:val="single" w:color="B0B8C4" w:sz="1"/>
              <w:left w:val="single" w:color="B0B8C4" w:sz="1"/>
              <w:bottom w:val="single" w:color="B0B8C4" w:sz="1"/>
              <w:right w:val="single" w:color="B0B8C4" w:sz="1"/>
            </w:tcBorders>
            <w:shd w:fill="EDF2F7" w:val="clear"/>
            <w:tcMar>
              <w:top w:type="dxa" w:w="60"/>
              <w:left w:type="dxa" w:w="100"/>
              <w:bottom w:type="dxa" w:w="60"/>
              <w:right w:type="dxa" w:w="100"/>
            </w:tcMar>
          </w:tcPr>
          <w:p>
            <w:r>
              <w:rPr>
                <w:rFonts w:ascii="Arial" w:cs="Arial" w:eastAsia="Arial" w:hAnsi="Arial"/>
                <w:b w:val="false"/>
                <w:bCs w:val="false"/>
                <w:color w:val="333333"/>
                <w:sz w:val="20"/>
                <w:szCs w:val="20"/>
              </w:rPr>
              <w:t xml:space="preserve">Vanna</w:t>
            </w:r>
          </w:p>
        </w:tc>
        <w:tc>
          <w:tcPr>
            <w:tcW w:type="dxa" w:w="2200"/>
            <w:tcBorders>
              <w:top w:val="single" w:color="B0B8C4" w:sz="1"/>
              <w:left w:val="single" w:color="B0B8C4" w:sz="1"/>
              <w:bottom w:val="single" w:color="B0B8C4" w:sz="1"/>
              <w:right w:val="single" w:color="B0B8C4" w:sz="1"/>
            </w:tcBorders>
            <w:shd w:fill="EDF2F7" w:val="clear"/>
            <w:tcMar>
              <w:top w:type="dxa" w:w="60"/>
              <w:left w:type="dxa" w:w="100"/>
              <w:bottom w:type="dxa" w:w="60"/>
              <w:right w:type="dxa" w:w="100"/>
            </w:tcMar>
          </w:tcPr>
          <w:p>
            <w:r>
              <w:rPr>
                <w:rFonts w:ascii="Arial" w:cs="Arial" w:eastAsia="Arial" w:hAnsi="Arial"/>
                <w:b w:val="false"/>
                <w:bCs w:val="false"/>
                <w:color w:val="333333"/>
                <w:sz w:val="20"/>
                <w:szCs w:val="20"/>
              </w:rPr>
              <w:t xml:space="preserve">∂Δ/∂σ = ∂ν/∂S</w:t>
            </w:r>
          </w:p>
        </w:tc>
        <w:tc>
          <w:tcPr>
            <w:tcW w:type="dxa" w:w="2400"/>
            <w:tcBorders>
              <w:top w:val="single" w:color="B0B8C4" w:sz="1"/>
              <w:left w:val="single" w:color="B0B8C4" w:sz="1"/>
              <w:bottom w:val="single" w:color="B0B8C4" w:sz="1"/>
              <w:right w:val="single" w:color="B0B8C4" w:sz="1"/>
            </w:tcBorders>
            <w:shd w:fill="EDF2F7" w:val="clear"/>
            <w:tcMar>
              <w:top w:type="dxa" w:w="60"/>
              <w:left w:type="dxa" w:w="100"/>
              <w:bottom w:type="dxa" w:w="60"/>
              <w:right w:type="dxa" w:w="100"/>
            </w:tcMar>
          </w:tcPr>
          <w:p>
            <w:r>
              <w:rPr>
                <w:rFonts w:ascii="Arial" w:cs="Arial" w:eastAsia="Arial" w:hAnsi="Arial"/>
                <w:b w:val="false"/>
                <w:bCs w:val="false"/>
                <w:color w:val="333333"/>
                <w:sz w:val="20"/>
                <w:szCs w:val="20"/>
              </w:rPr>
              <w:t xml:space="preserve">How delta changes with vol (or how vega changes with spot)</w:t>
            </w:r>
          </w:p>
        </w:tc>
        <w:tc>
          <w:tcPr>
            <w:tcW w:type="dxa" w:w="3160"/>
            <w:tcBorders>
              <w:top w:val="single" w:color="B0B8C4" w:sz="1"/>
              <w:left w:val="single" w:color="B0B8C4" w:sz="1"/>
              <w:bottom w:val="single" w:color="B0B8C4" w:sz="1"/>
              <w:right w:val="single" w:color="B0B8C4" w:sz="1"/>
            </w:tcBorders>
            <w:shd w:fill="EDF2F7" w:val="clear"/>
            <w:tcMar>
              <w:top w:type="dxa" w:w="60"/>
              <w:left w:type="dxa" w:w="100"/>
              <w:bottom w:type="dxa" w:w="60"/>
              <w:right w:type="dxa" w:w="100"/>
            </w:tcMar>
          </w:tcPr>
          <w:p>
            <w:r>
              <w:rPr>
                <w:rFonts w:ascii="Arial" w:cs="Arial" w:eastAsia="Arial" w:hAnsi="Arial"/>
                <w:b w:val="false"/>
                <w:bCs w:val="false"/>
                <w:color w:val="333333"/>
                <w:sz w:val="20"/>
                <w:szCs w:val="20"/>
              </w:rPr>
              <w:t xml:space="preserve">Combined spot + vol moves in stress</w:t>
            </w:r>
          </w:p>
        </w:tc>
      </w:tr>
      <w:tr>
        <w:tc>
          <w:tcPr>
            <w:tcW w:type="dxa" w:w="16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Volga (Vomma)</w:t>
            </w:r>
          </w:p>
        </w:tc>
        <w:tc>
          <w:tcPr>
            <w:tcW w:type="dxa" w:w="22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∂ν/∂σ = ∂²V/∂σ²</w:t>
            </w:r>
          </w:p>
        </w:tc>
        <w:tc>
          <w:tcPr>
            <w:tcW w:type="dxa" w:w="24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How vega changes with vol (vol gamma)</w:t>
            </w:r>
          </w:p>
        </w:tc>
        <w:tc>
          <w:tcPr>
            <w:tcW w:type="dxa" w:w="316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Large vol moves — vega itself changes</w:t>
            </w:r>
          </w:p>
        </w:tc>
      </w:tr>
      <w:tr>
        <w:tc>
          <w:tcPr>
            <w:tcW w:type="dxa" w:w="1600"/>
            <w:tcBorders>
              <w:top w:val="single" w:color="B0B8C4" w:sz="1"/>
              <w:left w:val="single" w:color="B0B8C4" w:sz="1"/>
              <w:bottom w:val="single" w:color="B0B8C4" w:sz="1"/>
              <w:right w:val="single" w:color="B0B8C4" w:sz="1"/>
            </w:tcBorders>
            <w:shd w:fill="EDF2F7" w:val="clear"/>
            <w:tcMar>
              <w:top w:type="dxa" w:w="60"/>
              <w:left w:type="dxa" w:w="100"/>
              <w:bottom w:type="dxa" w:w="60"/>
              <w:right w:type="dxa" w:w="100"/>
            </w:tcMar>
          </w:tcPr>
          <w:p>
            <w:r>
              <w:rPr>
                <w:rFonts w:ascii="Arial" w:cs="Arial" w:eastAsia="Arial" w:hAnsi="Arial"/>
                <w:b w:val="false"/>
                <w:bCs w:val="false"/>
                <w:color w:val="333333"/>
                <w:sz w:val="20"/>
                <w:szCs w:val="20"/>
              </w:rPr>
              <w:t xml:space="preserve">Charm</w:t>
            </w:r>
          </w:p>
        </w:tc>
        <w:tc>
          <w:tcPr>
            <w:tcW w:type="dxa" w:w="2200"/>
            <w:tcBorders>
              <w:top w:val="single" w:color="B0B8C4" w:sz="1"/>
              <w:left w:val="single" w:color="B0B8C4" w:sz="1"/>
              <w:bottom w:val="single" w:color="B0B8C4" w:sz="1"/>
              <w:right w:val="single" w:color="B0B8C4" w:sz="1"/>
            </w:tcBorders>
            <w:shd w:fill="EDF2F7" w:val="clear"/>
            <w:tcMar>
              <w:top w:type="dxa" w:w="60"/>
              <w:left w:type="dxa" w:w="100"/>
              <w:bottom w:type="dxa" w:w="60"/>
              <w:right w:type="dxa" w:w="100"/>
            </w:tcMar>
          </w:tcPr>
          <w:p>
            <w:r>
              <w:rPr>
                <w:rFonts w:ascii="Arial" w:cs="Arial" w:eastAsia="Arial" w:hAnsi="Arial"/>
                <w:b w:val="false"/>
                <w:bCs w:val="false"/>
                <w:color w:val="333333"/>
                <w:sz w:val="20"/>
                <w:szCs w:val="20"/>
              </w:rPr>
              <w:t xml:space="preserve">∂Δ/∂t</w:t>
            </w:r>
          </w:p>
        </w:tc>
        <w:tc>
          <w:tcPr>
            <w:tcW w:type="dxa" w:w="2400"/>
            <w:tcBorders>
              <w:top w:val="single" w:color="B0B8C4" w:sz="1"/>
              <w:left w:val="single" w:color="B0B8C4" w:sz="1"/>
              <w:bottom w:val="single" w:color="B0B8C4" w:sz="1"/>
              <w:right w:val="single" w:color="B0B8C4" w:sz="1"/>
            </w:tcBorders>
            <w:shd w:fill="EDF2F7" w:val="clear"/>
            <w:tcMar>
              <w:top w:type="dxa" w:w="60"/>
              <w:left w:type="dxa" w:w="100"/>
              <w:bottom w:type="dxa" w:w="60"/>
              <w:right w:type="dxa" w:w="100"/>
            </w:tcMar>
          </w:tcPr>
          <w:p>
            <w:r>
              <w:rPr>
                <w:rFonts w:ascii="Arial" w:cs="Arial" w:eastAsia="Arial" w:hAnsi="Arial"/>
                <w:b w:val="false"/>
                <w:bCs w:val="false"/>
                <w:color w:val="333333"/>
                <w:sz w:val="20"/>
                <w:szCs w:val="20"/>
              </w:rPr>
              <w:t xml:space="preserve">How delta changes with time</w:t>
            </w:r>
          </w:p>
        </w:tc>
        <w:tc>
          <w:tcPr>
            <w:tcW w:type="dxa" w:w="3160"/>
            <w:tcBorders>
              <w:top w:val="single" w:color="B0B8C4" w:sz="1"/>
              <w:left w:val="single" w:color="B0B8C4" w:sz="1"/>
              <w:bottom w:val="single" w:color="B0B8C4" w:sz="1"/>
              <w:right w:val="single" w:color="B0B8C4" w:sz="1"/>
            </w:tcBorders>
            <w:shd w:fill="EDF2F7" w:val="clear"/>
            <w:tcMar>
              <w:top w:type="dxa" w:w="60"/>
              <w:left w:type="dxa" w:w="100"/>
              <w:bottom w:type="dxa" w:w="60"/>
              <w:right w:type="dxa" w:w="100"/>
            </w:tcMar>
          </w:tcPr>
          <w:p>
            <w:r>
              <w:rPr>
                <w:rFonts w:ascii="Arial" w:cs="Arial" w:eastAsia="Arial" w:hAnsi="Arial"/>
                <w:b w:val="false"/>
                <w:bCs w:val="false"/>
                <w:color w:val="333333"/>
                <w:sz w:val="20"/>
                <w:szCs w:val="20"/>
              </w:rPr>
              <w:t xml:space="preserve">Near-expiry options in multi-day scenarios</w:t>
            </w:r>
          </w:p>
        </w:tc>
      </w:tr>
      <w:tr>
        <w:tc>
          <w:tcPr>
            <w:tcW w:type="dxa" w:w="16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Cross-Gamma</w:t>
            </w:r>
          </w:p>
        </w:tc>
        <w:tc>
          <w:tcPr>
            <w:tcW w:type="dxa" w:w="22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∂²V/∂S₁∂S₂</w:t>
            </w:r>
          </w:p>
        </w:tc>
        <w:tc>
          <w:tcPr>
            <w:tcW w:type="dxa" w:w="24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How delta to asset 1 changes when asset 2 moves</w:t>
            </w:r>
          </w:p>
        </w:tc>
        <w:tc>
          <w:tcPr>
            <w:tcW w:type="dxa" w:w="316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Multi-asset options, basket/worst-of structures</w:t>
            </w:r>
          </w:p>
        </w:tc>
      </w:tr>
    </w:tbl>
    <w:p>
      <w:pPr>
        <w:spacing w:after="80"/>
      </w:pPr>
    </w:p>
    <w:p>
      <w:pPr>
        <w:spacing w:after="120" w:before="0"/>
      </w:pPr>
      <w:r>
        <w:rPr>
          <w:rFonts w:ascii="Arial" w:cs="Arial" w:eastAsia="Arial" w:hAnsi="Arial"/>
          <w:sz w:val="22"/>
          <w:szCs w:val="22"/>
        </w:rPr>
        <w:t xml:space="preserve">In a severe stress scenario where equities drop 30% AND vol spikes 28 points simultaneously, the vanna effect can be 5-15% of total options P&amp;L. Ignoring it produces systematically biased results.</w:t>
      </w:r>
    </w:p>
    <w:p>
      <w:r>
        <w:br w:type="page"/>
      </w:r>
    </w:p>
    <w:p>
      <w:pPr>
        <w:pStyle w:val="Heading3"/>
      </w:pPr>
      <w:r>
        <w:t xml:space="preserve">4.4 The Complete Taylor Expansion</w:t>
      </w:r>
    </w:p>
    <w:p>
      <w:pPr>
        <w:spacing w:after="120" w:before="0"/>
      </w:pPr>
      <w:r>
        <w:rPr>
          <w:rFonts w:ascii="Arial" w:cs="Arial" w:eastAsia="Arial" w:hAnsi="Arial"/>
          <w:sz w:val="22"/>
          <w:szCs w:val="22"/>
        </w:rPr>
        <w:t xml:space="preserve">Putting it all together, the full second-order expansion for an equity option position is:</w:t>
      </w:r>
    </w:p>
    <w:p>
      <w:pPr>
        <w:spacing w:after="140" w:before="80"/>
        <w:jc w:val="center"/>
      </w:pPr>
      <w:r>
        <w:rPr>
          <w:rFonts w:ascii="Courier New" w:cs="Courier New" w:eastAsia="Courier New" w:hAnsi="Courier New"/>
          <w:b/>
          <w:bCs/>
          <w:color w:val="2C3E6B"/>
          <w:sz w:val="24"/>
          <w:szCs w:val="24"/>
        </w:rPr>
        <w:t xml:space="preserve">ΔV = Δ·ΔS + ½Γ·ΔS² + ν·Δσ + ½·Volga·Δσ² + Vanna·ΔS·Δσ + ρ·Δr + Θ·Δt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B0B8C4" w:sz="1"/>
              <w:left w:val="single" w:color="B0B8C4" w:sz="1"/>
              <w:bottom w:val="single" w:color="B0B8C4" w:sz="1"/>
              <w:right w:val="single" w:color="B0B8C4"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Component</w:t>
            </w:r>
          </w:p>
        </w:tc>
        <w:tc>
          <w:tcPr>
            <w:tcW w:type="dxa" w:w="2800"/>
            <w:tcBorders>
              <w:top w:val="single" w:color="B0B8C4" w:sz="1"/>
              <w:left w:val="single" w:color="B0B8C4" w:sz="1"/>
              <w:bottom w:val="single" w:color="B0B8C4" w:sz="1"/>
              <w:right w:val="single" w:color="B0B8C4"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Typical % of Total P&amp;L (Severe)</w:t>
            </w:r>
          </w:p>
        </w:tc>
        <w:tc>
          <w:tcPr>
            <w:tcW w:type="dxa" w:w="4160"/>
            <w:tcBorders>
              <w:top w:val="single" w:color="B0B8C4" w:sz="1"/>
              <w:left w:val="single" w:color="B0B8C4" w:sz="1"/>
              <w:bottom w:val="single" w:color="B0B8C4" w:sz="1"/>
              <w:right w:val="single" w:color="B0B8C4"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When to Include</w:t>
            </w:r>
          </w:p>
        </w:tc>
      </w:tr>
      <w:tr>
        <w:tc>
          <w:tcPr>
            <w:tcW w:type="dxa" w:w="2400"/>
            <w:tcBorders>
              <w:top w:val="single" w:color="B0B8C4" w:sz="1"/>
              <w:left w:val="single" w:color="B0B8C4" w:sz="1"/>
              <w:bottom w:val="single" w:color="B0B8C4" w:sz="1"/>
              <w:right w:val="single" w:color="B0B8C4" w:sz="1"/>
            </w:tcBorders>
            <w:shd w:fill="EDF2F7" w:val="clear"/>
            <w:tcMar>
              <w:top w:type="dxa" w:w="60"/>
              <w:left w:type="dxa" w:w="100"/>
              <w:bottom w:type="dxa" w:w="60"/>
              <w:right w:type="dxa" w:w="100"/>
            </w:tcMar>
          </w:tcPr>
          <w:p>
            <w:r>
              <w:rPr>
                <w:rFonts w:ascii="Arial" w:cs="Arial" w:eastAsia="Arial" w:hAnsi="Arial"/>
                <w:b w:val="false"/>
                <w:bCs w:val="false"/>
                <w:color w:val="333333"/>
                <w:sz w:val="20"/>
                <w:szCs w:val="20"/>
              </w:rPr>
              <w:t xml:space="preserve">Delta (Δ·ΔS)</w:t>
            </w:r>
          </w:p>
        </w:tc>
        <w:tc>
          <w:tcPr>
            <w:tcW w:type="dxa" w:w="2800"/>
            <w:tcBorders>
              <w:top w:val="single" w:color="B0B8C4" w:sz="1"/>
              <w:left w:val="single" w:color="B0B8C4" w:sz="1"/>
              <w:bottom w:val="single" w:color="B0B8C4" w:sz="1"/>
              <w:right w:val="single" w:color="B0B8C4" w:sz="1"/>
            </w:tcBorders>
            <w:shd w:fill="EDF2F7" w:val="clear"/>
            <w:tcMar>
              <w:top w:type="dxa" w:w="60"/>
              <w:left w:type="dxa" w:w="100"/>
              <w:bottom w:type="dxa" w:w="60"/>
              <w:right w:type="dxa" w:w="100"/>
            </w:tcMar>
          </w:tcPr>
          <w:p>
            <w:r>
              <w:rPr>
                <w:rFonts w:ascii="Arial" w:cs="Arial" w:eastAsia="Arial" w:hAnsi="Arial"/>
                <w:b w:val="false"/>
                <w:bCs w:val="false"/>
                <w:color w:val="333333"/>
                <w:sz w:val="20"/>
                <w:szCs w:val="20"/>
              </w:rPr>
              <w:t xml:space="preserve">60-80%</w:t>
            </w:r>
          </w:p>
        </w:tc>
        <w:tc>
          <w:tcPr>
            <w:tcW w:type="dxa" w:w="4160"/>
            <w:tcBorders>
              <w:top w:val="single" w:color="B0B8C4" w:sz="1"/>
              <w:left w:val="single" w:color="B0B8C4" w:sz="1"/>
              <w:bottom w:val="single" w:color="B0B8C4" w:sz="1"/>
              <w:right w:val="single" w:color="B0B8C4" w:sz="1"/>
            </w:tcBorders>
            <w:shd w:fill="EDF2F7" w:val="clear"/>
            <w:tcMar>
              <w:top w:type="dxa" w:w="60"/>
              <w:left w:type="dxa" w:w="100"/>
              <w:bottom w:type="dxa" w:w="60"/>
              <w:right w:type="dxa" w:w="100"/>
            </w:tcMar>
          </w:tcPr>
          <w:p>
            <w:r>
              <w:rPr>
                <w:rFonts w:ascii="Arial" w:cs="Arial" w:eastAsia="Arial" w:hAnsi="Arial"/>
                <w:b w:val="false"/>
                <w:bCs w:val="false"/>
                <w:color w:val="333333"/>
                <w:sz w:val="20"/>
                <w:szCs w:val="20"/>
              </w:rPr>
              <w:t xml:space="preserve">Always</w:t>
            </w:r>
          </w:p>
        </w:tc>
      </w:tr>
      <w:tr>
        <w:tc>
          <w:tcPr>
            <w:tcW w:type="dxa" w:w="24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Gamma (½Γ·ΔS²)</w:t>
            </w:r>
          </w:p>
        </w:tc>
        <w:tc>
          <w:tcPr>
            <w:tcW w:type="dxa" w:w="28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10-25%</w:t>
            </w:r>
          </w:p>
        </w:tc>
        <w:tc>
          <w:tcPr>
            <w:tcW w:type="dxa" w:w="416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Always for options; for shocks &gt;5%</w:t>
            </w:r>
          </w:p>
        </w:tc>
      </w:tr>
      <w:tr>
        <w:tc>
          <w:tcPr>
            <w:tcW w:type="dxa" w:w="2400"/>
            <w:tcBorders>
              <w:top w:val="single" w:color="B0B8C4" w:sz="1"/>
              <w:left w:val="single" w:color="B0B8C4" w:sz="1"/>
              <w:bottom w:val="single" w:color="B0B8C4" w:sz="1"/>
              <w:right w:val="single" w:color="B0B8C4" w:sz="1"/>
            </w:tcBorders>
            <w:shd w:fill="EDF2F7" w:val="clear"/>
            <w:tcMar>
              <w:top w:type="dxa" w:w="60"/>
              <w:left w:type="dxa" w:w="100"/>
              <w:bottom w:type="dxa" w:w="60"/>
              <w:right w:type="dxa" w:w="100"/>
            </w:tcMar>
          </w:tcPr>
          <w:p>
            <w:r>
              <w:rPr>
                <w:rFonts w:ascii="Arial" w:cs="Arial" w:eastAsia="Arial" w:hAnsi="Arial"/>
                <w:b w:val="false"/>
                <w:bCs w:val="false"/>
                <w:color w:val="333333"/>
                <w:sz w:val="20"/>
                <w:szCs w:val="20"/>
              </w:rPr>
              <w:t xml:space="preserve">Vega (ν·Δσ)</w:t>
            </w:r>
          </w:p>
        </w:tc>
        <w:tc>
          <w:tcPr>
            <w:tcW w:type="dxa" w:w="2800"/>
            <w:tcBorders>
              <w:top w:val="single" w:color="B0B8C4" w:sz="1"/>
              <w:left w:val="single" w:color="B0B8C4" w:sz="1"/>
              <w:bottom w:val="single" w:color="B0B8C4" w:sz="1"/>
              <w:right w:val="single" w:color="B0B8C4" w:sz="1"/>
            </w:tcBorders>
            <w:shd w:fill="EDF2F7" w:val="clear"/>
            <w:tcMar>
              <w:top w:type="dxa" w:w="60"/>
              <w:left w:type="dxa" w:w="100"/>
              <w:bottom w:type="dxa" w:w="60"/>
              <w:right w:type="dxa" w:w="100"/>
            </w:tcMar>
          </w:tcPr>
          <w:p>
            <w:r>
              <w:rPr>
                <w:rFonts w:ascii="Arial" w:cs="Arial" w:eastAsia="Arial" w:hAnsi="Arial"/>
                <w:b w:val="false"/>
                <w:bCs w:val="false"/>
                <w:color w:val="333333"/>
                <w:sz w:val="20"/>
                <w:szCs w:val="20"/>
              </w:rPr>
              <w:t xml:space="preserve">10-20%</w:t>
            </w:r>
          </w:p>
        </w:tc>
        <w:tc>
          <w:tcPr>
            <w:tcW w:type="dxa" w:w="4160"/>
            <w:tcBorders>
              <w:top w:val="single" w:color="B0B8C4" w:sz="1"/>
              <w:left w:val="single" w:color="B0B8C4" w:sz="1"/>
              <w:bottom w:val="single" w:color="B0B8C4" w:sz="1"/>
              <w:right w:val="single" w:color="B0B8C4" w:sz="1"/>
            </w:tcBorders>
            <w:shd w:fill="EDF2F7" w:val="clear"/>
            <w:tcMar>
              <w:top w:type="dxa" w:w="60"/>
              <w:left w:type="dxa" w:w="100"/>
              <w:bottom w:type="dxa" w:w="60"/>
              <w:right w:type="dxa" w:w="100"/>
            </w:tcMar>
          </w:tcPr>
          <w:p>
            <w:r>
              <w:rPr>
                <w:rFonts w:ascii="Arial" w:cs="Arial" w:eastAsia="Arial" w:hAnsi="Arial"/>
                <w:b w:val="false"/>
                <w:bCs w:val="false"/>
                <w:color w:val="333333"/>
                <w:sz w:val="20"/>
                <w:szCs w:val="20"/>
              </w:rPr>
              <w:t xml:space="preserve">Always for options books</w:t>
            </w:r>
          </w:p>
        </w:tc>
      </w:tr>
      <w:tr>
        <w:tc>
          <w:tcPr>
            <w:tcW w:type="dxa" w:w="24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Volga (½·Volga·Δσ²)</w:t>
            </w:r>
          </w:p>
        </w:tc>
        <w:tc>
          <w:tcPr>
            <w:tcW w:type="dxa" w:w="28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2-5%</w:t>
            </w:r>
          </w:p>
        </w:tc>
        <w:tc>
          <w:tcPr>
            <w:tcW w:type="dxa" w:w="416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Vol shocks &gt;10 pts</w:t>
            </w:r>
          </w:p>
        </w:tc>
      </w:tr>
      <w:tr>
        <w:tc>
          <w:tcPr>
            <w:tcW w:type="dxa" w:w="2400"/>
            <w:tcBorders>
              <w:top w:val="single" w:color="B0B8C4" w:sz="1"/>
              <w:left w:val="single" w:color="B0B8C4" w:sz="1"/>
              <w:bottom w:val="single" w:color="B0B8C4" w:sz="1"/>
              <w:right w:val="single" w:color="B0B8C4" w:sz="1"/>
            </w:tcBorders>
            <w:shd w:fill="EDF2F7" w:val="clear"/>
            <w:tcMar>
              <w:top w:type="dxa" w:w="60"/>
              <w:left w:type="dxa" w:w="100"/>
              <w:bottom w:type="dxa" w:w="60"/>
              <w:right w:type="dxa" w:w="100"/>
            </w:tcMar>
          </w:tcPr>
          <w:p>
            <w:r>
              <w:rPr>
                <w:rFonts w:ascii="Arial" w:cs="Arial" w:eastAsia="Arial" w:hAnsi="Arial"/>
                <w:b w:val="false"/>
                <w:bCs w:val="false"/>
                <w:color w:val="333333"/>
                <w:sz w:val="20"/>
                <w:szCs w:val="20"/>
              </w:rPr>
              <w:t xml:space="preserve">Vanna (Vanna·ΔS·Δσ)</w:t>
            </w:r>
          </w:p>
        </w:tc>
        <w:tc>
          <w:tcPr>
            <w:tcW w:type="dxa" w:w="2800"/>
            <w:tcBorders>
              <w:top w:val="single" w:color="B0B8C4" w:sz="1"/>
              <w:left w:val="single" w:color="B0B8C4" w:sz="1"/>
              <w:bottom w:val="single" w:color="B0B8C4" w:sz="1"/>
              <w:right w:val="single" w:color="B0B8C4" w:sz="1"/>
            </w:tcBorders>
            <w:shd w:fill="EDF2F7" w:val="clear"/>
            <w:tcMar>
              <w:top w:type="dxa" w:w="60"/>
              <w:left w:type="dxa" w:w="100"/>
              <w:bottom w:type="dxa" w:w="60"/>
              <w:right w:type="dxa" w:w="100"/>
            </w:tcMar>
          </w:tcPr>
          <w:p>
            <w:r>
              <w:rPr>
                <w:rFonts w:ascii="Arial" w:cs="Arial" w:eastAsia="Arial" w:hAnsi="Arial"/>
                <w:b w:val="false"/>
                <w:bCs w:val="false"/>
                <w:color w:val="333333"/>
                <w:sz w:val="20"/>
                <w:szCs w:val="20"/>
              </w:rPr>
              <w:t xml:space="preserve">3-8%</w:t>
            </w:r>
          </w:p>
        </w:tc>
        <w:tc>
          <w:tcPr>
            <w:tcW w:type="dxa" w:w="4160"/>
            <w:tcBorders>
              <w:top w:val="single" w:color="B0B8C4" w:sz="1"/>
              <w:left w:val="single" w:color="B0B8C4" w:sz="1"/>
              <w:bottom w:val="single" w:color="B0B8C4" w:sz="1"/>
              <w:right w:val="single" w:color="B0B8C4" w:sz="1"/>
            </w:tcBorders>
            <w:shd w:fill="EDF2F7" w:val="clear"/>
            <w:tcMar>
              <w:top w:type="dxa" w:w="60"/>
              <w:left w:type="dxa" w:w="100"/>
              <w:bottom w:type="dxa" w:w="60"/>
              <w:right w:type="dxa" w:w="100"/>
            </w:tcMar>
          </w:tcPr>
          <w:p>
            <w:r>
              <w:rPr>
                <w:rFonts w:ascii="Arial" w:cs="Arial" w:eastAsia="Arial" w:hAnsi="Arial"/>
                <w:b w:val="false"/>
                <w:bCs w:val="false"/>
                <w:color w:val="333333"/>
                <w:sz w:val="20"/>
                <w:szCs w:val="20"/>
              </w:rPr>
              <w:t xml:space="preserve">Combined spot+vol stress</w:t>
            </w:r>
          </w:p>
        </w:tc>
      </w:tr>
      <w:tr>
        <w:tc>
          <w:tcPr>
            <w:tcW w:type="dxa" w:w="24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Rho (ρ·Δr)</w:t>
            </w:r>
          </w:p>
        </w:tc>
        <w:tc>
          <w:tcPr>
            <w:tcW w:type="dxa" w:w="28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1-3%</w:t>
            </w:r>
          </w:p>
        </w:tc>
        <w:tc>
          <w:tcPr>
            <w:tcW w:type="dxa" w:w="416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Rate-sensitive options, large rate moves</w:t>
            </w:r>
          </w:p>
        </w:tc>
      </w:tr>
      <w:tr>
        <w:tc>
          <w:tcPr>
            <w:tcW w:type="dxa" w:w="2400"/>
            <w:tcBorders>
              <w:top w:val="single" w:color="B0B8C4" w:sz="1"/>
              <w:left w:val="single" w:color="B0B8C4" w:sz="1"/>
              <w:bottom w:val="single" w:color="B0B8C4" w:sz="1"/>
              <w:right w:val="single" w:color="B0B8C4" w:sz="1"/>
            </w:tcBorders>
            <w:shd w:fill="EDF2F7" w:val="clear"/>
            <w:tcMar>
              <w:top w:type="dxa" w:w="60"/>
              <w:left w:type="dxa" w:w="100"/>
              <w:bottom w:type="dxa" w:w="60"/>
              <w:right w:type="dxa" w:w="100"/>
            </w:tcMar>
          </w:tcPr>
          <w:p>
            <w:r>
              <w:rPr>
                <w:rFonts w:ascii="Arial" w:cs="Arial" w:eastAsia="Arial" w:hAnsi="Arial"/>
                <w:b w:val="false"/>
                <w:bCs w:val="false"/>
                <w:color w:val="333333"/>
                <w:sz w:val="20"/>
                <w:szCs w:val="20"/>
              </w:rPr>
              <w:t xml:space="preserve">Theta (Θ·Δt)</w:t>
            </w:r>
          </w:p>
        </w:tc>
        <w:tc>
          <w:tcPr>
            <w:tcW w:type="dxa" w:w="2800"/>
            <w:tcBorders>
              <w:top w:val="single" w:color="B0B8C4" w:sz="1"/>
              <w:left w:val="single" w:color="B0B8C4" w:sz="1"/>
              <w:bottom w:val="single" w:color="B0B8C4" w:sz="1"/>
              <w:right w:val="single" w:color="B0B8C4" w:sz="1"/>
            </w:tcBorders>
            <w:shd w:fill="EDF2F7" w:val="clear"/>
            <w:tcMar>
              <w:top w:type="dxa" w:w="60"/>
              <w:left w:type="dxa" w:w="100"/>
              <w:bottom w:type="dxa" w:w="60"/>
              <w:right w:type="dxa" w:w="100"/>
            </w:tcMar>
          </w:tcPr>
          <w:p>
            <w:r>
              <w:rPr>
                <w:rFonts w:ascii="Arial" w:cs="Arial" w:eastAsia="Arial" w:hAnsi="Arial"/>
                <w:b w:val="false"/>
                <w:bCs w:val="false"/>
                <w:color w:val="333333"/>
                <w:sz w:val="20"/>
                <w:szCs w:val="20"/>
              </w:rPr>
              <w:t xml:space="preserve">1-5%</w:t>
            </w:r>
          </w:p>
        </w:tc>
        <w:tc>
          <w:tcPr>
            <w:tcW w:type="dxa" w:w="4160"/>
            <w:tcBorders>
              <w:top w:val="single" w:color="B0B8C4" w:sz="1"/>
              <w:left w:val="single" w:color="B0B8C4" w:sz="1"/>
              <w:bottom w:val="single" w:color="B0B8C4" w:sz="1"/>
              <w:right w:val="single" w:color="B0B8C4" w:sz="1"/>
            </w:tcBorders>
            <w:shd w:fill="EDF2F7" w:val="clear"/>
            <w:tcMar>
              <w:top w:type="dxa" w:w="60"/>
              <w:left w:type="dxa" w:w="100"/>
              <w:bottom w:type="dxa" w:w="60"/>
              <w:right w:type="dxa" w:w="100"/>
            </w:tcMar>
          </w:tcPr>
          <w:p>
            <w:r>
              <w:rPr>
                <w:rFonts w:ascii="Arial" w:cs="Arial" w:eastAsia="Arial" w:hAnsi="Arial"/>
                <w:b w:val="false"/>
                <w:bCs w:val="false"/>
                <w:color w:val="333333"/>
                <w:sz w:val="20"/>
                <w:szCs w:val="20"/>
              </w:rPr>
              <w:t xml:space="preserve">Multi-day horizons (10d+)</w:t>
            </w:r>
          </w:p>
        </w:tc>
      </w:tr>
    </w:tbl>
    <w:p>
      <w:r>
        <w:br w:type="page"/>
      </w:r>
    </w:p>
    <w:p>
      <w:pPr>
        <w:pStyle w:val="Heading2"/>
      </w:pPr>
      <w:r>
        <w:t xml:space="preserve">5. Cross-Asset Effects</w:t>
      </w:r>
    </w:p>
    <w:p>
      <w:pPr>
        <w:spacing w:after="120" w:before="0"/>
      </w:pPr>
      <w:r>
        <w:rPr>
          <w:rFonts w:ascii="Arial" w:cs="Arial" w:eastAsia="Arial" w:hAnsi="Arial"/>
          <w:sz w:val="22"/>
          <w:szCs w:val="22"/>
        </w:rPr>
        <w:t xml:space="preserve">Most positions are sensitive to multiple risk factors simultaneously. A credit bond has DV01 (rates), CS01 (credit), and potentially FX delta (if foreign currency). The total P&amp;L must capture ALL of these:</w:t>
      </w:r>
    </w:p>
    <w:p>
      <w:pPr>
        <w:spacing w:after="140" w:before="80"/>
        <w:jc w:val="center"/>
      </w:pPr>
      <w:r>
        <w:rPr>
          <w:rFonts w:ascii="Courier New" w:cs="Courier New" w:eastAsia="Courier New" w:hAnsi="Courier New"/>
          <w:b/>
          <w:bCs/>
          <w:color w:val="2C3E6B"/>
          <w:sz w:val="24"/>
          <w:szCs w:val="24"/>
        </w:rPr>
        <w:t xml:space="preserve">Total P&amp;L = DV01·Δy + CS01·Δs + FXΔ·ΔFX + Convexity terms + Cross terms</w:t>
      </w:r>
    </w:p>
    <w:p>
      <w:pPr>
        <w:spacing w:after="80"/>
      </w:pPr>
    </w:p>
    <w:p>
      <w:pPr>
        <w:spacing w:after="120" w:before="0"/>
      </w:pPr>
      <w:r>
        <w:rPr>
          <w:rFonts w:ascii="Arial" w:cs="Arial" w:eastAsia="Arial" w:hAnsi="Arial"/>
          <w:b/>
          <w:bCs/>
          <w:sz w:val="22"/>
          <w:szCs w:val="22"/>
        </w:rPr>
        <w:t xml:space="preserve">Example: EUR-denominated corporate bond held by USD-based desk.</w:t>
      </w:r>
    </w:p>
    <w:p>
      <w:pPr>
        <w:pStyle w:val="ListParagraph"/>
        <w:numPr>
          <w:ilvl w:val="0"/>
          <w:numId w:val="2"/>
        </w:numPr>
        <w:spacing w:after="60"/>
      </w:pPr>
      <w:r>
        <w:rPr>
          <w:rFonts w:ascii="Arial" w:cs="Arial" w:eastAsia="Arial" w:hAnsi="Arial"/>
          <w:sz w:val="22"/>
          <w:szCs w:val="22"/>
        </w:rPr>
        <w:t xml:space="preserve">DV01 = +$200K/bp (long duration)</w:t>
      </w:r>
    </w:p>
    <w:p>
      <w:pPr>
        <w:pStyle w:val="ListParagraph"/>
        <w:numPr>
          <w:ilvl w:val="0"/>
          <w:numId w:val="2"/>
        </w:numPr>
        <w:spacing w:after="60"/>
      </w:pPr>
      <w:r>
        <w:rPr>
          <w:rFonts w:ascii="Arial" w:cs="Arial" w:eastAsia="Arial" w:hAnsi="Arial"/>
          <w:sz w:val="22"/>
          <w:szCs w:val="22"/>
        </w:rPr>
        <w:t xml:space="preserve">CS01 = -$100K/bp (long credit, loses on widening)</w:t>
      </w:r>
    </w:p>
    <w:p>
      <w:pPr>
        <w:pStyle w:val="ListParagraph"/>
        <w:numPr>
          <w:ilvl w:val="0"/>
          <w:numId w:val="2"/>
        </w:numPr>
        <w:spacing w:after="60"/>
      </w:pPr>
      <w:r>
        <w:rPr>
          <w:rFonts w:ascii="Arial" w:cs="Arial" w:eastAsia="Arial" w:hAnsi="Arial"/>
          <w:sz w:val="22"/>
          <w:szCs w:val="22"/>
        </w:rPr>
        <w:t xml:space="preserve">FX Delta = +$8M per 1% EURUSD (long EUR exposure)</w:t>
      </w:r>
    </w:p>
    <w:p>
      <w:pPr>
        <w:spacing w:after="80"/>
      </w:pPr>
    </w:p>
    <w:p>
      <w:pPr>
        <w:spacing w:after="120" w:before="0"/>
      </w:pPr>
      <w:r>
        <w:rPr>
          <w:rFonts w:ascii="Arial" w:cs="Arial" w:eastAsia="Arial" w:hAnsi="Arial"/>
          <w:sz w:val="22"/>
          <w:szCs w:val="22"/>
        </w:rPr>
        <w:t xml:space="preserve">Shock: EUR yields -50bp, EUR IG spreads +100bp, EURUSD -8%.</w:t>
      </w:r>
    </w:p>
    <w:p>
      <w:pPr>
        <w:spacing w:after="140" w:before="80"/>
        <w:jc w:val="center"/>
      </w:pPr>
      <w:r>
        <w:rPr>
          <w:rFonts w:ascii="Courier New" w:cs="Courier New" w:eastAsia="Courier New" w:hAnsi="Courier New"/>
          <w:b/>
          <w:bCs/>
          <w:color w:val="2C3E6B"/>
          <w:sz w:val="24"/>
          <w:szCs w:val="24"/>
        </w:rPr>
        <w:t xml:space="preserve">Rates P&amp;L = $200K × 50 = +$10.0M</w:t>
      </w:r>
    </w:p>
    <w:p>
      <w:pPr>
        <w:spacing w:after="140" w:before="80"/>
        <w:jc w:val="center"/>
      </w:pPr>
      <w:r>
        <w:rPr>
          <w:rFonts w:ascii="Courier New" w:cs="Courier New" w:eastAsia="Courier New" w:hAnsi="Courier New"/>
          <w:b/>
          <w:bCs/>
          <w:color w:val="2C3E6B"/>
          <w:sz w:val="24"/>
          <w:szCs w:val="24"/>
        </w:rPr>
        <w:t xml:space="preserve">Credit P&amp;L = -$100K × 100 = -$10.0M</w:t>
      </w:r>
    </w:p>
    <w:p>
      <w:pPr>
        <w:spacing w:after="140" w:before="80"/>
        <w:jc w:val="center"/>
      </w:pPr>
      <w:r>
        <w:rPr>
          <w:rFonts w:ascii="Courier New" w:cs="Courier New" w:eastAsia="Courier New" w:hAnsi="Courier New"/>
          <w:b/>
          <w:bCs/>
          <w:color w:val="2C3E6B"/>
          <w:sz w:val="24"/>
          <w:szCs w:val="24"/>
        </w:rPr>
        <w:t xml:space="preserve">FX P&amp;L = $8M × (-8) = -$64.0M</w:t>
      </w:r>
    </w:p>
    <w:p>
      <w:pPr>
        <w:spacing w:after="140" w:before="80"/>
        <w:jc w:val="center"/>
      </w:pPr>
      <w:r>
        <w:rPr>
          <w:rFonts w:ascii="Courier New" w:cs="Courier New" w:eastAsia="Courier New" w:hAnsi="Courier New"/>
          <w:b/>
          <w:bCs/>
          <w:color w:val="2C3E6B"/>
          <w:sz w:val="24"/>
          <w:szCs w:val="24"/>
        </w:rPr>
        <w:t xml:space="preserve">Total = +$10M - $10M - $64M = -$64.0M</w:t>
      </w:r>
    </w:p>
    <w:p>
      <w:pPr>
        <w:spacing w:after="120" w:before="0"/>
      </w:pPr>
      <w:r>
        <w:rPr>
          <w:rFonts w:ascii="Arial" w:cs="Arial" w:eastAsia="Arial" w:hAnsi="Arial"/>
          <w:sz w:val="22"/>
          <w:szCs w:val="22"/>
        </w:rPr>
        <w:t xml:space="preserve">The FX effect dominates. This is why cross-asset P&amp;L decomposition matters — the headline loss looks like a “credit loss” but it is actually almost entirely FX-driven.</w:t>
      </w:r>
    </w:p>
    <w:p>
      <w:r>
        <w:br w:type="page"/>
      </w:r>
    </w:p>
    <w:p>
      <w:pPr>
        <w:pStyle w:val="Heading2"/>
      </w:pPr>
      <w:r>
        <w:t xml:space="preserve">6. Worked Example: Complete Position P&amp;L Decomposition</w:t>
      </w:r>
    </w:p>
    <w:p>
      <w:pPr>
        <w:spacing w:after="120" w:before="0"/>
      </w:pPr>
      <w:r>
        <w:rPr>
          <w:rFonts w:ascii="Arial" w:cs="Arial" w:eastAsia="Arial" w:hAnsi="Arial"/>
          <w:sz w:val="22"/>
          <w:szCs w:val="22"/>
        </w:rPr>
        <w:t xml:space="preserve">Let us walk through a full desk-level calculation using our AI Severe scenario as the example.</w:t>
      </w:r>
    </w:p>
    <w:p>
      <w:pPr>
        <w:spacing w:after="80"/>
      </w:pPr>
    </w:p>
    <w:p>
      <w:pPr>
        <w:pStyle w:val="Heading3"/>
      </w:pPr>
      <w:r>
        <w:t xml:space="preserve">6.1 Desk Sensitivities (Hypothetical Equity Derivatives Desk)</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c>
          <w:tcPr>
            <w:tcW w:type="dxa" w:w="2200"/>
            <w:tcBorders>
              <w:top w:val="single" w:color="B0B8C4" w:sz="1"/>
              <w:left w:val="single" w:color="B0B8C4" w:sz="1"/>
              <w:bottom w:val="single" w:color="B0B8C4" w:sz="1"/>
              <w:right w:val="single" w:color="B0B8C4"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Risk Type</w:t>
            </w:r>
          </w:p>
        </w:tc>
        <w:tc>
          <w:tcPr>
            <w:tcW w:type="dxa" w:w="1600"/>
            <w:tcBorders>
              <w:top w:val="single" w:color="B0B8C4" w:sz="1"/>
              <w:left w:val="single" w:color="B0B8C4" w:sz="1"/>
              <w:bottom w:val="single" w:color="B0B8C4" w:sz="1"/>
              <w:right w:val="single" w:color="B0B8C4"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Sensitivity</w:t>
            </w:r>
          </w:p>
        </w:tc>
        <w:tc>
          <w:tcPr>
            <w:tcW w:type="dxa" w:w="5560"/>
            <w:tcBorders>
              <w:top w:val="single" w:color="B0B8C4" w:sz="1"/>
              <w:left w:val="single" w:color="B0B8C4" w:sz="1"/>
              <w:bottom w:val="single" w:color="B0B8C4" w:sz="1"/>
              <w:right w:val="single" w:color="B0B8C4"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Units</w:t>
            </w:r>
          </w:p>
        </w:tc>
      </w:tr>
      <w:tr>
        <w:tc>
          <w:tcPr>
            <w:tcW w:type="dxa" w:w="2200"/>
            <w:tcBorders>
              <w:top w:val="single" w:color="B0B8C4" w:sz="1"/>
              <w:left w:val="single" w:color="B0B8C4" w:sz="1"/>
              <w:bottom w:val="single" w:color="B0B8C4" w:sz="1"/>
              <w:right w:val="single" w:color="B0B8C4" w:sz="1"/>
            </w:tcBorders>
            <w:shd w:fill="EDF2F7" w:val="clear"/>
            <w:tcMar>
              <w:top w:type="dxa" w:w="60"/>
              <w:left w:type="dxa" w:w="100"/>
              <w:bottom w:type="dxa" w:w="60"/>
              <w:right w:type="dxa" w:w="100"/>
            </w:tcMar>
          </w:tcPr>
          <w:p>
            <w:r>
              <w:rPr>
                <w:rFonts w:ascii="Arial" w:cs="Arial" w:eastAsia="Arial" w:hAnsi="Arial"/>
                <w:b w:val="false"/>
                <w:bCs w:val="false"/>
                <w:color w:val="333333"/>
                <w:sz w:val="20"/>
                <w:szCs w:val="20"/>
              </w:rPr>
              <w:t xml:space="preserve">EQ Delta (S&amp;P 500)</w:t>
            </w:r>
          </w:p>
        </w:tc>
        <w:tc>
          <w:tcPr>
            <w:tcW w:type="dxa" w:w="1600"/>
            <w:tcBorders>
              <w:top w:val="single" w:color="B0B8C4" w:sz="1"/>
              <w:left w:val="single" w:color="B0B8C4" w:sz="1"/>
              <w:bottom w:val="single" w:color="B0B8C4" w:sz="1"/>
              <w:right w:val="single" w:color="B0B8C4" w:sz="1"/>
            </w:tcBorders>
            <w:shd w:fill="EDF2F7" w:val="clear"/>
            <w:tcMar>
              <w:top w:type="dxa" w:w="60"/>
              <w:left w:type="dxa" w:w="100"/>
              <w:bottom w:type="dxa" w:w="60"/>
              <w:right w:type="dxa" w:w="100"/>
            </w:tcMar>
          </w:tcPr>
          <w:p>
            <w:r>
              <w:rPr>
                <w:rFonts w:ascii="Arial" w:cs="Arial" w:eastAsia="Arial" w:hAnsi="Arial"/>
                <w:b w:val="false"/>
                <w:bCs w:val="false"/>
                <w:color w:val="333333"/>
                <w:sz w:val="20"/>
                <w:szCs w:val="20"/>
              </w:rPr>
              <w:t xml:space="preserve">+$5.0M</w:t>
            </w:r>
          </w:p>
        </w:tc>
        <w:tc>
          <w:tcPr>
            <w:tcW w:type="dxa" w:w="5560"/>
            <w:tcBorders>
              <w:top w:val="single" w:color="B0B8C4" w:sz="1"/>
              <w:left w:val="single" w:color="B0B8C4" w:sz="1"/>
              <w:bottom w:val="single" w:color="B0B8C4" w:sz="1"/>
              <w:right w:val="single" w:color="B0B8C4" w:sz="1"/>
            </w:tcBorders>
            <w:shd w:fill="EDF2F7" w:val="clear"/>
            <w:tcMar>
              <w:top w:type="dxa" w:w="60"/>
              <w:left w:type="dxa" w:w="100"/>
              <w:bottom w:type="dxa" w:w="60"/>
              <w:right w:type="dxa" w:w="100"/>
            </w:tcMar>
          </w:tcPr>
          <w:p>
            <w:r>
              <w:rPr>
                <w:rFonts w:ascii="Arial" w:cs="Arial" w:eastAsia="Arial" w:hAnsi="Arial"/>
                <w:b w:val="false"/>
                <w:bCs w:val="false"/>
                <w:color w:val="333333"/>
                <w:sz w:val="20"/>
                <w:szCs w:val="20"/>
              </w:rPr>
              <w:t xml:space="preserve">per 1% index move</w:t>
            </w:r>
          </w:p>
        </w:tc>
      </w:tr>
      <w:tr>
        <w:tc>
          <w:tcPr>
            <w:tcW w:type="dxa" w:w="22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EQ Delta (NVDA)</w:t>
            </w:r>
          </w:p>
        </w:tc>
        <w:tc>
          <w:tcPr>
            <w:tcW w:type="dxa" w:w="16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-$2.0M</w:t>
            </w:r>
          </w:p>
        </w:tc>
        <w:tc>
          <w:tcPr>
            <w:tcW w:type="dxa" w:w="556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per 1% NVDA move (short)</w:t>
            </w:r>
          </w:p>
        </w:tc>
      </w:tr>
      <w:tr>
        <w:tc>
          <w:tcPr>
            <w:tcW w:type="dxa" w:w="2200"/>
            <w:tcBorders>
              <w:top w:val="single" w:color="B0B8C4" w:sz="1"/>
              <w:left w:val="single" w:color="B0B8C4" w:sz="1"/>
              <w:bottom w:val="single" w:color="B0B8C4" w:sz="1"/>
              <w:right w:val="single" w:color="B0B8C4" w:sz="1"/>
            </w:tcBorders>
            <w:shd w:fill="EDF2F7" w:val="clear"/>
            <w:tcMar>
              <w:top w:type="dxa" w:w="60"/>
              <w:left w:type="dxa" w:w="100"/>
              <w:bottom w:type="dxa" w:w="60"/>
              <w:right w:type="dxa" w:w="100"/>
            </w:tcMar>
          </w:tcPr>
          <w:p>
            <w:r>
              <w:rPr>
                <w:rFonts w:ascii="Arial" w:cs="Arial" w:eastAsia="Arial" w:hAnsi="Arial"/>
                <w:b w:val="false"/>
                <w:bCs w:val="false"/>
                <w:color w:val="333333"/>
                <w:sz w:val="20"/>
                <w:szCs w:val="20"/>
              </w:rPr>
              <w:t xml:space="preserve">EQ Gamma (S&amp;P)</w:t>
            </w:r>
          </w:p>
        </w:tc>
        <w:tc>
          <w:tcPr>
            <w:tcW w:type="dxa" w:w="1600"/>
            <w:tcBorders>
              <w:top w:val="single" w:color="B0B8C4" w:sz="1"/>
              <w:left w:val="single" w:color="B0B8C4" w:sz="1"/>
              <w:bottom w:val="single" w:color="B0B8C4" w:sz="1"/>
              <w:right w:val="single" w:color="B0B8C4" w:sz="1"/>
            </w:tcBorders>
            <w:shd w:fill="EDF2F7" w:val="clear"/>
            <w:tcMar>
              <w:top w:type="dxa" w:w="60"/>
              <w:left w:type="dxa" w:w="100"/>
              <w:bottom w:type="dxa" w:w="60"/>
              <w:right w:type="dxa" w:w="100"/>
            </w:tcMar>
          </w:tcPr>
          <w:p>
            <w:r>
              <w:rPr>
                <w:rFonts w:ascii="Arial" w:cs="Arial" w:eastAsia="Arial" w:hAnsi="Arial"/>
                <w:b w:val="false"/>
                <w:bCs w:val="false"/>
                <w:color w:val="333333"/>
                <w:sz w:val="20"/>
                <w:szCs w:val="20"/>
              </w:rPr>
              <w:t xml:space="preserve">+$50K</w:t>
            </w:r>
          </w:p>
        </w:tc>
        <w:tc>
          <w:tcPr>
            <w:tcW w:type="dxa" w:w="5560"/>
            <w:tcBorders>
              <w:top w:val="single" w:color="B0B8C4" w:sz="1"/>
              <w:left w:val="single" w:color="B0B8C4" w:sz="1"/>
              <w:bottom w:val="single" w:color="B0B8C4" w:sz="1"/>
              <w:right w:val="single" w:color="B0B8C4" w:sz="1"/>
            </w:tcBorders>
            <w:shd w:fill="EDF2F7" w:val="clear"/>
            <w:tcMar>
              <w:top w:type="dxa" w:w="60"/>
              <w:left w:type="dxa" w:w="100"/>
              <w:bottom w:type="dxa" w:w="60"/>
              <w:right w:type="dxa" w:w="100"/>
            </w:tcMar>
          </w:tcPr>
          <w:p>
            <w:r>
              <w:rPr>
                <w:rFonts w:ascii="Arial" w:cs="Arial" w:eastAsia="Arial" w:hAnsi="Arial"/>
                <w:b w:val="false"/>
                <w:bCs w:val="false"/>
                <w:color w:val="333333"/>
                <w:sz w:val="20"/>
                <w:szCs w:val="20"/>
              </w:rPr>
              <w:t xml:space="preserve">per 1%² (long gamma)</w:t>
            </w:r>
          </w:p>
        </w:tc>
      </w:tr>
      <w:tr>
        <w:tc>
          <w:tcPr>
            <w:tcW w:type="dxa" w:w="22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EQ Gamma (NVDA)</w:t>
            </w:r>
          </w:p>
        </w:tc>
        <w:tc>
          <w:tcPr>
            <w:tcW w:type="dxa" w:w="16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-$30K</w:t>
            </w:r>
          </w:p>
        </w:tc>
        <w:tc>
          <w:tcPr>
            <w:tcW w:type="dxa" w:w="556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per 1%² (short gamma)</w:t>
            </w:r>
          </w:p>
        </w:tc>
      </w:tr>
      <w:tr>
        <w:tc>
          <w:tcPr>
            <w:tcW w:type="dxa" w:w="2200"/>
            <w:tcBorders>
              <w:top w:val="single" w:color="B0B8C4" w:sz="1"/>
              <w:left w:val="single" w:color="B0B8C4" w:sz="1"/>
              <w:bottom w:val="single" w:color="B0B8C4" w:sz="1"/>
              <w:right w:val="single" w:color="B0B8C4" w:sz="1"/>
            </w:tcBorders>
            <w:shd w:fill="EDF2F7" w:val="clear"/>
            <w:tcMar>
              <w:top w:type="dxa" w:w="60"/>
              <w:left w:type="dxa" w:w="100"/>
              <w:bottom w:type="dxa" w:w="60"/>
              <w:right w:type="dxa" w:w="100"/>
            </w:tcMar>
          </w:tcPr>
          <w:p>
            <w:r>
              <w:rPr>
                <w:rFonts w:ascii="Arial" w:cs="Arial" w:eastAsia="Arial" w:hAnsi="Arial"/>
                <w:b w:val="false"/>
                <w:bCs w:val="false"/>
                <w:color w:val="333333"/>
                <w:sz w:val="20"/>
                <w:szCs w:val="20"/>
              </w:rPr>
              <w:t xml:space="preserve">EQ Vega (SPX)</w:t>
            </w:r>
          </w:p>
        </w:tc>
        <w:tc>
          <w:tcPr>
            <w:tcW w:type="dxa" w:w="1600"/>
            <w:tcBorders>
              <w:top w:val="single" w:color="B0B8C4" w:sz="1"/>
              <w:left w:val="single" w:color="B0B8C4" w:sz="1"/>
              <w:bottom w:val="single" w:color="B0B8C4" w:sz="1"/>
              <w:right w:val="single" w:color="B0B8C4" w:sz="1"/>
            </w:tcBorders>
            <w:shd w:fill="EDF2F7" w:val="clear"/>
            <w:tcMar>
              <w:top w:type="dxa" w:w="60"/>
              <w:left w:type="dxa" w:w="100"/>
              <w:bottom w:type="dxa" w:w="60"/>
              <w:right w:type="dxa" w:w="100"/>
            </w:tcMar>
          </w:tcPr>
          <w:p>
            <w:r>
              <w:rPr>
                <w:rFonts w:ascii="Arial" w:cs="Arial" w:eastAsia="Arial" w:hAnsi="Arial"/>
                <w:b w:val="false"/>
                <w:bCs w:val="false"/>
                <w:color w:val="333333"/>
                <w:sz w:val="20"/>
                <w:szCs w:val="20"/>
              </w:rPr>
              <w:t xml:space="preserve">+$200K</w:t>
            </w:r>
          </w:p>
        </w:tc>
        <w:tc>
          <w:tcPr>
            <w:tcW w:type="dxa" w:w="5560"/>
            <w:tcBorders>
              <w:top w:val="single" w:color="B0B8C4" w:sz="1"/>
              <w:left w:val="single" w:color="B0B8C4" w:sz="1"/>
              <w:bottom w:val="single" w:color="B0B8C4" w:sz="1"/>
              <w:right w:val="single" w:color="B0B8C4" w:sz="1"/>
            </w:tcBorders>
            <w:shd w:fill="EDF2F7" w:val="clear"/>
            <w:tcMar>
              <w:top w:type="dxa" w:w="60"/>
              <w:left w:type="dxa" w:w="100"/>
              <w:bottom w:type="dxa" w:w="60"/>
              <w:right w:type="dxa" w:w="100"/>
            </w:tcMar>
          </w:tcPr>
          <w:p>
            <w:r>
              <w:rPr>
                <w:rFonts w:ascii="Arial" w:cs="Arial" w:eastAsia="Arial" w:hAnsi="Arial"/>
                <w:b w:val="false"/>
                <w:bCs w:val="false"/>
                <w:color w:val="333333"/>
                <w:sz w:val="20"/>
                <w:szCs w:val="20"/>
              </w:rPr>
              <w:t xml:space="preserve">per 1 vol pt</w:t>
            </w:r>
          </w:p>
        </w:tc>
      </w:tr>
      <w:tr>
        <w:tc>
          <w:tcPr>
            <w:tcW w:type="dxa" w:w="22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EQ Vega (NVDA)</w:t>
            </w:r>
          </w:p>
        </w:tc>
        <w:tc>
          <w:tcPr>
            <w:tcW w:type="dxa" w:w="16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-$150K</w:t>
            </w:r>
          </w:p>
        </w:tc>
        <w:tc>
          <w:tcPr>
            <w:tcW w:type="dxa" w:w="556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per 1 vol pt (short vol)</w:t>
            </w:r>
          </w:p>
        </w:tc>
      </w:tr>
      <w:tr>
        <w:tc>
          <w:tcPr>
            <w:tcW w:type="dxa" w:w="2200"/>
            <w:tcBorders>
              <w:top w:val="single" w:color="B0B8C4" w:sz="1"/>
              <w:left w:val="single" w:color="B0B8C4" w:sz="1"/>
              <w:bottom w:val="single" w:color="B0B8C4" w:sz="1"/>
              <w:right w:val="single" w:color="B0B8C4" w:sz="1"/>
            </w:tcBorders>
            <w:shd w:fill="EDF2F7" w:val="clear"/>
            <w:tcMar>
              <w:top w:type="dxa" w:w="60"/>
              <w:left w:type="dxa" w:w="100"/>
              <w:bottom w:type="dxa" w:w="60"/>
              <w:right w:type="dxa" w:w="100"/>
            </w:tcMar>
          </w:tcPr>
          <w:p>
            <w:r>
              <w:rPr>
                <w:rFonts w:ascii="Arial" w:cs="Arial" w:eastAsia="Arial" w:hAnsi="Arial"/>
                <w:b w:val="false"/>
                <w:bCs w:val="false"/>
                <w:color w:val="333333"/>
                <w:sz w:val="20"/>
                <w:szCs w:val="20"/>
              </w:rPr>
              <w:t xml:space="preserve">IR DV01</w:t>
            </w:r>
          </w:p>
        </w:tc>
        <w:tc>
          <w:tcPr>
            <w:tcW w:type="dxa" w:w="1600"/>
            <w:tcBorders>
              <w:top w:val="single" w:color="B0B8C4" w:sz="1"/>
              <w:left w:val="single" w:color="B0B8C4" w:sz="1"/>
              <w:bottom w:val="single" w:color="B0B8C4" w:sz="1"/>
              <w:right w:val="single" w:color="B0B8C4" w:sz="1"/>
            </w:tcBorders>
            <w:shd w:fill="EDF2F7" w:val="clear"/>
            <w:tcMar>
              <w:top w:type="dxa" w:w="60"/>
              <w:left w:type="dxa" w:w="100"/>
              <w:bottom w:type="dxa" w:w="60"/>
              <w:right w:type="dxa" w:w="100"/>
            </w:tcMar>
          </w:tcPr>
          <w:p>
            <w:r>
              <w:rPr>
                <w:rFonts w:ascii="Arial" w:cs="Arial" w:eastAsia="Arial" w:hAnsi="Arial"/>
                <w:b w:val="false"/>
                <w:bCs w:val="false"/>
                <w:color w:val="333333"/>
                <w:sz w:val="20"/>
                <w:szCs w:val="20"/>
              </w:rPr>
              <w:t xml:space="preserve">-$100K</w:t>
            </w:r>
          </w:p>
        </w:tc>
        <w:tc>
          <w:tcPr>
            <w:tcW w:type="dxa" w:w="5560"/>
            <w:tcBorders>
              <w:top w:val="single" w:color="B0B8C4" w:sz="1"/>
              <w:left w:val="single" w:color="B0B8C4" w:sz="1"/>
              <w:bottom w:val="single" w:color="B0B8C4" w:sz="1"/>
              <w:right w:val="single" w:color="B0B8C4" w:sz="1"/>
            </w:tcBorders>
            <w:shd w:fill="EDF2F7" w:val="clear"/>
            <w:tcMar>
              <w:top w:type="dxa" w:w="60"/>
              <w:left w:type="dxa" w:w="100"/>
              <w:bottom w:type="dxa" w:w="60"/>
              <w:right w:type="dxa" w:w="100"/>
            </w:tcMar>
          </w:tcPr>
          <w:p>
            <w:r>
              <w:rPr>
                <w:rFonts w:ascii="Arial" w:cs="Arial" w:eastAsia="Arial" w:hAnsi="Arial"/>
                <w:b w:val="false"/>
                <w:bCs w:val="false"/>
                <w:color w:val="333333"/>
                <w:sz w:val="20"/>
                <w:szCs w:val="20"/>
              </w:rPr>
              <w:t xml:space="preserve">per 1bp (rates hedge)</w:t>
            </w:r>
          </w:p>
        </w:tc>
      </w:tr>
      <w:tr>
        <w:tc>
          <w:tcPr>
            <w:tcW w:type="dxa" w:w="22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Credit CS01</w:t>
            </w:r>
          </w:p>
        </w:tc>
        <w:tc>
          <w:tcPr>
            <w:tcW w:type="dxa" w:w="16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-$50K</w:t>
            </w:r>
          </w:p>
        </w:tc>
        <w:tc>
          <w:tcPr>
            <w:tcW w:type="dxa" w:w="556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per 1bp</w:t>
            </w:r>
          </w:p>
        </w:tc>
      </w:tr>
    </w:tbl>
    <w:p>
      <w:pPr>
        <w:spacing w:after="80"/>
      </w:pPr>
    </w:p>
    <w:p>
      <w:pPr>
        <w:pStyle w:val="Heading3"/>
      </w:pPr>
      <w:r>
        <w:t xml:space="preserve">6.2 AI Severe Scenario Shocks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0B8C4" w:sz="1"/>
              <w:left w:val="single" w:color="B0B8C4" w:sz="1"/>
              <w:bottom w:val="single" w:color="B0B8C4" w:sz="1"/>
              <w:right w:val="single" w:color="B0B8C4"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Risk Factor</w:t>
            </w:r>
          </w:p>
        </w:tc>
        <w:tc>
          <w:tcPr>
            <w:tcW w:type="dxa" w:w="6360"/>
            <w:tcBorders>
              <w:top w:val="single" w:color="B0B8C4" w:sz="1"/>
              <w:left w:val="single" w:color="B0B8C4" w:sz="1"/>
              <w:bottom w:val="single" w:color="B0B8C4" w:sz="1"/>
              <w:right w:val="single" w:color="B0B8C4"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Shock</w:t>
            </w:r>
          </w:p>
        </w:tc>
      </w:tr>
      <w:tr>
        <w:tc>
          <w:tcPr>
            <w:tcW w:type="dxa" w:w="3000"/>
            <w:tcBorders>
              <w:top w:val="single" w:color="B0B8C4" w:sz="1"/>
              <w:left w:val="single" w:color="B0B8C4" w:sz="1"/>
              <w:bottom w:val="single" w:color="B0B8C4" w:sz="1"/>
              <w:right w:val="single" w:color="B0B8C4" w:sz="1"/>
            </w:tcBorders>
            <w:shd w:fill="EDF2F7" w:val="clear"/>
            <w:tcMar>
              <w:top w:type="dxa" w:w="60"/>
              <w:left w:type="dxa" w:w="100"/>
              <w:bottom w:type="dxa" w:w="60"/>
              <w:right w:type="dxa" w:w="100"/>
            </w:tcMar>
          </w:tcPr>
          <w:p>
            <w:r>
              <w:rPr>
                <w:rFonts w:ascii="Arial" w:cs="Arial" w:eastAsia="Arial" w:hAnsi="Arial"/>
                <w:b w:val="false"/>
                <w:bCs w:val="false"/>
                <w:color w:val="333333"/>
                <w:sz w:val="20"/>
                <w:szCs w:val="20"/>
              </w:rPr>
              <w:t xml:space="preserve">S&amp;P 500</w:t>
            </w:r>
          </w:p>
        </w:tc>
        <w:tc>
          <w:tcPr>
            <w:tcW w:type="dxa" w:w="6360"/>
            <w:tcBorders>
              <w:top w:val="single" w:color="B0B8C4" w:sz="1"/>
              <w:left w:val="single" w:color="B0B8C4" w:sz="1"/>
              <w:bottom w:val="single" w:color="B0B8C4" w:sz="1"/>
              <w:right w:val="single" w:color="B0B8C4" w:sz="1"/>
            </w:tcBorders>
            <w:shd w:fill="EDF2F7" w:val="clear"/>
            <w:tcMar>
              <w:top w:type="dxa" w:w="60"/>
              <w:left w:type="dxa" w:w="100"/>
              <w:bottom w:type="dxa" w:w="60"/>
              <w:right w:type="dxa" w:w="100"/>
            </w:tcMar>
          </w:tcPr>
          <w:p>
            <w:r>
              <w:rPr>
                <w:rFonts w:ascii="Arial" w:cs="Arial" w:eastAsia="Arial" w:hAnsi="Arial"/>
                <w:b w:val="false"/>
                <w:bCs w:val="false"/>
                <w:color w:val="333333"/>
                <w:sz w:val="20"/>
                <w:szCs w:val="20"/>
              </w:rPr>
              <w:t xml:space="preserve">-32%</w:t>
            </w:r>
          </w:p>
        </w:tc>
      </w:tr>
      <w:tr>
        <w:tc>
          <w:tcPr>
            <w:tcW w:type="dxa" w:w="30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NVDA</w:t>
            </w:r>
          </w:p>
        </w:tc>
        <w:tc>
          <w:tcPr>
            <w:tcW w:type="dxa" w:w="636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-55%</w:t>
            </w:r>
          </w:p>
        </w:tc>
      </w:tr>
      <w:tr>
        <w:tc>
          <w:tcPr>
            <w:tcW w:type="dxa" w:w="3000"/>
            <w:tcBorders>
              <w:top w:val="single" w:color="B0B8C4" w:sz="1"/>
              <w:left w:val="single" w:color="B0B8C4" w:sz="1"/>
              <w:bottom w:val="single" w:color="B0B8C4" w:sz="1"/>
              <w:right w:val="single" w:color="B0B8C4" w:sz="1"/>
            </w:tcBorders>
            <w:shd w:fill="EDF2F7" w:val="clear"/>
            <w:tcMar>
              <w:top w:type="dxa" w:w="60"/>
              <w:left w:type="dxa" w:w="100"/>
              <w:bottom w:type="dxa" w:w="60"/>
              <w:right w:type="dxa" w:w="100"/>
            </w:tcMar>
          </w:tcPr>
          <w:p>
            <w:r>
              <w:rPr>
                <w:rFonts w:ascii="Arial" w:cs="Arial" w:eastAsia="Arial" w:hAnsi="Arial"/>
                <w:b w:val="false"/>
                <w:bCs w:val="false"/>
                <w:color w:val="333333"/>
                <w:sz w:val="20"/>
                <w:szCs w:val="20"/>
              </w:rPr>
              <w:t xml:space="preserve">SPX Implied Vol (VIX)</w:t>
            </w:r>
          </w:p>
        </w:tc>
        <w:tc>
          <w:tcPr>
            <w:tcW w:type="dxa" w:w="6360"/>
            <w:tcBorders>
              <w:top w:val="single" w:color="B0B8C4" w:sz="1"/>
              <w:left w:val="single" w:color="B0B8C4" w:sz="1"/>
              <w:bottom w:val="single" w:color="B0B8C4" w:sz="1"/>
              <w:right w:val="single" w:color="B0B8C4" w:sz="1"/>
            </w:tcBorders>
            <w:shd w:fill="EDF2F7" w:val="clear"/>
            <w:tcMar>
              <w:top w:type="dxa" w:w="60"/>
              <w:left w:type="dxa" w:w="100"/>
              <w:bottom w:type="dxa" w:w="60"/>
              <w:right w:type="dxa" w:w="100"/>
            </w:tcMar>
          </w:tcPr>
          <w:p>
            <w:r>
              <w:rPr>
                <w:rFonts w:ascii="Arial" w:cs="Arial" w:eastAsia="Arial" w:hAnsi="Arial"/>
                <w:b w:val="false"/>
                <w:bCs w:val="false"/>
                <w:color w:val="333333"/>
                <w:sz w:val="20"/>
                <w:szCs w:val="20"/>
              </w:rPr>
              <w:t xml:space="preserve">+28 vol pts</w:t>
            </w:r>
          </w:p>
        </w:tc>
      </w:tr>
      <w:tr>
        <w:tc>
          <w:tcPr>
            <w:tcW w:type="dxa" w:w="30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NVDA Implied Vol</w:t>
            </w:r>
          </w:p>
        </w:tc>
        <w:tc>
          <w:tcPr>
            <w:tcW w:type="dxa" w:w="636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+45 vol pts</w:t>
            </w:r>
          </w:p>
        </w:tc>
      </w:tr>
      <w:tr>
        <w:tc>
          <w:tcPr>
            <w:tcW w:type="dxa" w:w="3000"/>
            <w:tcBorders>
              <w:top w:val="single" w:color="B0B8C4" w:sz="1"/>
              <w:left w:val="single" w:color="B0B8C4" w:sz="1"/>
              <w:bottom w:val="single" w:color="B0B8C4" w:sz="1"/>
              <w:right w:val="single" w:color="B0B8C4" w:sz="1"/>
            </w:tcBorders>
            <w:shd w:fill="EDF2F7" w:val="clear"/>
            <w:tcMar>
              <w:top w:type="dxa" w:w="60"/>
              <w:left w:type="dxa" w:w="100"/>
              <w:bottom w:type="dxa" w:w="60"/>
              <w:right w:type="dxa" w:w="100"/>
            </w:tcMar>
          </w:tcPr>
          <w:p>
            <w:r>
              <w:rPr>
                <w:rFonts w:ascii="Arial" w:cs="Arial" w:eastAsia="Arial" w:hAnsi="Arial"/>
                <w:b w:val="false"/>
                <w:bCs w:val="false"/>
                <w:color w:val="333333"/>
                <w:sz w:val="20"/>
                <w:szCs w:val="20"/>
              </w:rPr>
              <w:t xml:space="preserve">10Y UST Yield</w:t>
            </w:r>
          </w:p>
        </w:tc>
        <w:tc>
          <w:tcPr>
            <w:tcW w:type="dxa" w:w="6360"/>
            <w:tcBorders>
              <w:top w:val="single" w:color="B0B8C4" w:sz="1"/>
              <w:left w:val="single" w:color="B0B8C4" w:sz="1"/>
              <w:bottom w:val="single" w:color="B0B8C4" w:sz="1"/>
              <w:right w:val="single" w:color="B0B8C4" w:sz="1"/>
            </w:tcBorders>
            <w:shd w:fill="EDF2F7" w:val="clear"/>
            <w:tcMar>
              <w:top w:type="dxa" w:w="60"/>
              <w:left w:type="dxa" w:w="100"/>
              <w:bottom w:type="dxa" w:w="60"/>
              <w:right w:type="dxa" w:w="100"/>
            </w:tcMar>
          </w:tcPr>
          <w:p>
            <w:r>
              <w:rPr>
                <w:rFonts w:ascii="Arial" w:cs="Arial" w:eastAsia="Arial" w:hAnsi="Arial"/>
                <w:b w:val="false"/>
                <w:bCs w:val="false"/>
                <w:color w:val="333333"/>
                <w:sz w:val="20"/>
                <w:szCs w:val="20"/>
              </w:rPr>
              <w:t xml:space="preserve">-80 bp (flight to quality)</w:t>
            </w:r>
          </w:p>
        </w:tc>
      </w:tr>
      <w:tr>
        <w:tc>
          <w:tcPr>
            <w:tcW w:type="dxa" w:w="30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IG Credit Spread</w:t>
            </w:r>
          </w:p>
        </w:tc>
        <w:tc>
          <w:tcPr>
            <w:tcW w:type="dxa" w:w="636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+175 bp</w:t>
            </w:r>
          </w:p>
        </w:tc>
      </w:tr>
    </w:tbl>
    <w:p>
      <w:pPr>
        <w:spacing w:after="80"/>
      </w:pPr>
    </w:p>
    <w:p>
      <w:pPr>
        <w:pStyle w:val="Heading3"/>
      </w:pPr>
      <w:r>
        <w:t xml:space="preserve">6.3 Step-by-Step P&amp;L Calculation</w:t>
      </w:r>
    </w:p>
    <w:p>
      <w:pPr>
        <w:spacing w:after="80"/>
      </w:pPr>
    </w:p>
    <w:p>
      <w:pPr>
        <w:spacing w:after="120" w:before="0"/>
      </w:pPr>
      <w:r>
        <w:rPr>
          <w:rFonts w:ascii="Arial" w:cs="Arial" w:eastAsia="Arial" w:hAnsi="Arial"/>
          <w:b/>
          <w:bCs/>
          <w:sz w:val="22"/>
          <w:szCs w:val="22"/>
        </w:rPr>
        <w:t xml:space="preserve">Equity Delta P&amp;L:</w:t>
      </w:r>
    </w:p>
    <w:p>
      <w:pPr>
        <w:spacing w:after="140" w:before="80"/>
        <w:jc w:val="center"/>
      </w:pPr>
      <w:r>
        <w:rPr>
          <w:rFonts w:ascii="Courier New" w:cs="Courier New" w:eastAsia="Courier New" w:hAnsi="Courier New"/>
          <w:b/>
          <w:bCs/>
          <w:color w:val="2C3E6B"/>
          <w:sz w:val="24"/>
          <w:szCs w:val="24"/>
        </w:rPr>
        <w:t xml:space="preserve">SPX: $5.0M × (-32) = -$160.0M</w:t>
      </w:r>
    </w:p>
    <w:p>
      <w:pPr>
        <w:spacing w:after="140" w:before="80"/>
        <w:jc w:val="center"/>
      </w:pPr>
      <w:r>
        <w:rPr>
          <w:rFonts w:ascii="Courier New" w:cs="Courier New" w:eastAsia="Courier New" w:hAnsi="Courier New"/>
          <w:b/>
          <w:bCs/>
          <w:color w:val="2C3E6B"/>
          <w:sz w:val="24"/>
          <w:szCs w:val="24"/>
        </w:rPr>
        <w:t xml:space="preserve">NVDA: -$2.0M × (-55) = +$110.0M  (short NVDA profits from crash)</w:t>
      </w:r>
    </w:p>
    <w:p>
      <w:pPr>
        <w:spacing w:after="140" w:before="80"/>
        <w:jc w:val="center"/>
      </w:pPr>
      <w:r>
        <w:rPr>
          <w:rFonts w:ascii="Courier New" w:cs="Courier New" w:eastAsia="Courier New" w:hAnsi="Courier New"/>
          <w:b/>
          <w:bCs/>
          <w:color w:val="2C3E6B"/>
          <w:sz w:val="24"/>
          <w:szCs w:val="24"/>
        </w:rPr>
        <w:t xml:space="preserve">Delta Subtotal = -$160M + $110M = -$50.0M</w:t>
      </w:r>
    </w:p>
    <w:p>
      <w:pPr>
        <w:spacing w:after="80"/>
      </w:pPr>
    </w:p>
    <w:p>
      <w:pPr>
        <w:spacing w:after="120" w:before="0"/>
      </w:pPr>
      <w:r>
        <w:rPr>
          <w:rFonts w:ascii="Arial" w:cs="Arial" w:eastAsia="Arial" w:hAnsi="Arial"/>
          <w:b/>
          <w:bCs/>
          <w:sz w:val="22"/>
          <w:szCs w:val="22"/>
        </w:rPr>
        <w:t xml:space="preserve">Equity Gamma P&amp;L:</w:t>
      </w:r>
    </w:p>
    <w:p>
      <w:pPr>
        <w:spacing w:after="140" w:before="80"/>
        <w:jc w:val="center"/>
      </w:pPr>
      <w:r>
        <w:rPr>
          <w:rFonts w:ascii="Courier New" w:cs="Courier New" w:eastAsia="Courier New" w:hAnsi="Courier New"/>
          <w:b/>
          <w:bCs/>
          <w:color w:val="2C3E6B"/>
          <w:sz w:val="24"/>
          <w:szCs w:val="24"/>
        </w:rPr>
        <w:t xml:space="preserve">SPX: ½ × $50K × 32² = ½ × $50K × 1024 = +$25.6M</w:t>
      </w:r>
    </w:p>
    <w:p>
      <w:pPr>
        <w:spacing w:after="140" w:before="80"/>
        <w:jc w:val="center"/>
      </w:pPr>
      <w:r>
        <w:rPr>
          <w:rFonts w:ascii="Courier New" w:cs="Courier New" w:eastAsia="Courier New" w:hAnsi="Courier New"/>
          <w:b/>
          <w:bCs/>
          <w:color w:val="2C3E6B"/>
          <w:sz w:val="24"/>
          <w:szCs w:val="24"/>
        </w:rPr>
        <w:t xml:space="preserve">NVDA: ½ × (-$30K) × 55² = ½ × (-$30K) × 3025 = -$45.4M</w:t>
      </w:r>
    </w:p>
    <w:p>
      <w:pPr>
        <w:spacing w:after="140" w:before="80"/>
        <w:jc w:val="center"/>
      </w:pPr>
      <w:r>
        <w:rPr>
          <w:rFonts w:ascii="Courier New" w:cs="Courier New" w:eastAsia="Courier New" w:hAnsi="Courier New"/>
          <w:b/>
          <w:bCs/>
          <w:color w:val="2C3E6B"/>
          <w:sz w:val="24"/>
          <w:szCs w:val="24"/>
        </w:rPr>
        <w:t xml:space="preserve">Gamma Subtotal = +$25.6M - $45.4M = -$19.8M</w:t>
      </w:r>
    </w:p>
    <w:p>
      <w:pPr>
        <w:spacing w:after="120" w:before="0"/>
      </w:pPr>
      <w:r>
        <w:rPr>
          <w:rFonts w:ascii="Arial" w:cs="Arial" w:eastAsia="Arial" w:hAnsi="Arial"/>
          <w:sz w:val="22"/>
          <w:szCs w:val="22"/>
        </w:rPr>
        <w:t xml:space="preserve">Critical: The short NVDA gamma DEVASTATES the desk. The 55% move squares to 3,025, amplifying the short gamma exposure.</w:t>
      </w:r>
    </w:p>
    <w:p>
      <w:pPr>
        <w:spacing w:after="80"/>
      </w:pPr>
    </w:p>
    <w:p>
      <w:pPr>
        <w:spacing w:after="120" w:before="0"/>
      </w:pPr>
      <w:r>
        <w:rPr>
          <w:rFonts w:ascii="Arial" w:cs="Arial" w:eastAsia="Arial" w:hAnsi="Arial"/>
          <w:b/>
          <w:bCs/>
          <w:sz w:val="22"/>
          <w:szCs w:val="22"/>
        </w:rPr>
        <w:t xml:space="preserve">Equity Vega P&amp;L:</w:t>
      </w:r>
    </w:p>
    <w:p>
      <w:pPr>
        <w:spacing w:after="140" w:before="80"/>
        <w:jc w:val="center"/>
      </w:pPr>
      <w:r>
        <w:rPr>
          <w:rFonts w:ascii="Courier New" w:cs="Courier New" w:eastAsia="Courier New" w:hAnsi="Courier New"/>
          <w:b/>
          <w:bCs/>
          <w:color w:val="2C3E6B"/>
          <w:sz w:val="24"/>
          <w:szCs w:val="24"/>
        </w:rPr>
        <w:t xml:space="preserve">SPX: $200K × 28 = +$5.6M</w:t>
      </w:r>
    </w:p>
    <w:p>
      <w:pPr>
        <w:spacing w:after="140" w:before="80"/>
        <w:jc w:val="center"/>
      </w:pPr>
      <w:r>
        <w:rPr>
          <w:rFonts w:ascii="Courier New" w:cs="Courier New" w:eastAsia="Courier New" w:hAnsi="Courier New"/>
          <w:b/>
          <w:bCs/>
          <w:color w:val="2C3E6B"/>
          <w:sz w:val="24"/>
          <w:szCs w:val="24"/>
        </w:rPr>
        <w:t xml:space="preserve">NVDA: -$150K × 45 = -$6.75M</w:t>
      </w:r>
    </w:p>
    <w:p>
      <w:pPr>
        <w:spacing w:after="140" w:before="80"/>
        <w:jc w:val="center"/>
      </w:pPr>
      <w:r>
        <w:rPr>
          <w:rFonts w:ascii="Courier New" w:cs="Courier New" w:eastAsia="Courier New" w:hAnsi="Courier New"/>
          <w:b/>
          <w:bCs/>
          <w:color w:val="2C3E6B"/>
          <w:sz w:val="24"/>
          <w:szCs w:val="24"/>
        </w:rPr>
        <w:t xml:space="preserve">Vega Subtotal = +$5.6M - $6.75M = -$1.15M</w:t>
      </w:r>
    </w:p>
    <w:p>
      <w:pPr>
        <w:spacing w:after="80"/>
      </w:pPr>
    </w:p>
    <w:p>
      <w:pPr>
        <w:spacing w:after="120" w:before="0"/>
      </w:pPr>
      <w:r>
        <w:rPr>
          <w:rFonts w:ascii="Arial" w:cs="Arial" w:eastAsia="Arial" w:hAnsi="Arial"/>
          <w:b/>
          <w:bCs/>
          <w:sz w:val="22"/>
          <w:szCs w:val="22"/>
        </w:rPr>
        <w:t xml:space="preserve">Rates P&amp;L:</w:t>
      </w:r>
    </w:p>
    <w:p>
      <w:pPr>
        <w:spacing w:after="140" w:before="80"/>
        <w:jc w:val="center"/>
      </w:pPr>
      <w:r>
        <w:rPr>
          <w:rFonts w:ascii="Courier New" w:cs="Courier New" w:eastAsia="Courier New" w:hAnsi="Courier New"/>
          <w:b/>
          <w:bCs/>
          <w:color w:val="2C3E6B"/>
          <w:sz w:val="24"/>
          <w:szCs w:val="24"/>
        </w:rPr>
        <w:t xml:space="preserve">DV01: -$100K × (-80) = +$8.0M  (rates hedge pays off)</w:t>
      </w:r>
    </w:p>
    <w:p>
      <w:pPr>
        <w:spacing w:after="80"/>
      </w:pPr>
    </w:p>
    <w:p>
      <w:pPr>
        <w:spacing w:after="120" w:before="0"/>
      </w:pPr>
      <w:r>
        <w:rPr>
          <w:rFonts w:ascii="Arial" w:cs="Arial" w:eastAsia="Arial" w:hAnsi="Arial"/>
          <w:b/>
          <w:bCs/>
          <w:sz w:val="22"/>
          <w:szCs w:val="22"/>
        </w:rPr>
        <w:t xml:space="preserve">Credit P&amp;L:</w:t>
      </w:r>
    </w:p>
    <w:p>
      <w:pPr>
        <w:spacing w:after="140" w:before="80"/>
        <w:jc w:val="center"/>
      </w:pPr>
      <w:r>
        <w:rPr>
          <w:rFonts w:ascii="Courier New" w:cs="Courier New" w:eastAsia="Courier New" w:hAnsi="Courier New"/>
          <w:b/>
          <w:bCs/>
          <w:color w:val="2C3E6B"/>
          <w:sz w:val="24"/>
          <w:szCs w:val="24"/>
        </w:rPr>
        <w:t xml:space="preserve">CS01: -$50K × 175 = -$8.75M</w:t>
      </w:r>
    </w:p>
    <w:p>
      <w:pPr>
        <w:spacing w:after="80"/>
      </w:pPr>
    </w:p>
    <w:p>
      <w:pPr>
        <w:pStyle w:val="Heading3"/>
      </w:pPr>
      <w:r>
        <w:t xml:space="preserve">6.4 Total Desk P&amp;L Decomposition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3000"/>
            <w:tcBorders>
              <w:top w:val="single" w:color="B0B8C4" w:sz="1"/>
              <w:left w:val="single" w:color="B0B8C4" w:sz="1"/>
              <w:bottom w:val="single" w:color="B0B8C4" w:sz="1"/>
              <w:right w:val="single" w:color="B0B8C4"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Component</w:t>
            </w:r>
          </w:p>
        </w:tc>
        <w:tc>
          <w:tcPr>
            <w:tcW w:type="dxa" w:w="2000"/>
            <w:tcBorders>
              <w:top w:val="single" w:color="B0B8C4" w:sz="1"/>
              <w:left w:val="single" w:color="B0B8C4" w:sz="1"/>
              <w:bottom w:val="single" w:color="B0B8C4" w:sz="1"/>
              <w:right w:val="single" w:color="B0B8C4"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P&amp;L</w:t>
            </w:r>
          </w:p>
        </w:tc>
        <w:tc>
          <w:tcPr>
            <w:tcW w:type="dxa" w:w="4360"/>
            <w:tcBorders>
              <w:top w:val="single" w:color="B0B8C4" w:sz="1"/>
              <w:left w:val="single" w:color="B0B8C4" w:sz="1"/>
              <w:bottom w:val="single" w:color="B0B8C4" w:sz="1"/>
              <w:right w:val="single" w:color="B0B8C4"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 of Total</w:t>
            </w:r>
          </w:p>
        </w:tc>
      </w:tr>
      <w:tr>
        <w:tc>
          <w:tcPr>
            <w:tcW w:type="dxa" w:w="3000"/>
            <w:tcBorders>
              <w:top w:val="single" w:color="B0B8C4" w:sz="1"/>
              <w:left w:val="single" w:color="B0B8C4" w:sz="1"/>
              <w:bottom w:val="single" w:color="B0B8C4" w:sz="1"/>
              <w:right w:val="single" w:color="B0B8C4" w:sz="1"/>
            </w:tcBorders>
            <w:shd w:fill="EDF2F7" w:val="clear"/>
            <w:tcMar>
              <w:top w:type="dxa" w:w="60"/>
              <w:left w:type="dxa" w:w="100"/>
              <w:bottom w:type="dxa" w:w="60"/>
              <w:right w:type="dxa" w:w="100"/>
            </w:tcMar>
          </w:tcPr>
          <w:p>
            <w:r>
              <w:rPr>
                <w:rFonts w:ascii="Arial" w:cs="Arial" w:eastAsia="Arial" w:hAnsi="Arial"/>
                <w:b w:val="false"/>
                <w:bCs w:val="false"/>
                <w:color w:val="333333"/>
                <w:sz w:val="20"/>
                <w:szCs w:val="20"/>
              </w:rPr>
              <w:t xml:space="preserve">Equity Delta</w:t>
            </w:r>
          </w:p>
        </w:tc>
        <w:tc>
          <w:tcPr>
            <w:tcW w:type="dxa" w:w="2000"/>
            <w:tcBorders>
              <w:top w:val="single" w:color="B0B8C4" w:sz="1"/>
              <w:left w:val="single" w:color="B0B8C4" w:sz="1"/>
              <w:bottom w:val="single" w:color="B0B8C4" w:sz="1"/>
              <w:right w:val="single" w:color="B0B8C4" w:sz="1"/>
            </w:tcBorders>
            <w:shd w:fill="EDF2F7" w:val="clear"/>
            <w:tcMar>
              <w:top w:type="dxa" w:w="60"/>
              <w:left w:type="dxa" w:w="100"/>
              <w:bottom w:type="dxa" w:w="60"/>
              <w:right w:type="dxa" w:w="100"/>
            </w:tcMar>
          </w:tcPr>
          <w:p>
            <w:r>
              <w:rPr>
                <w:rFonts w:ascii="Arial" w:cs="Arial" w:eastAsia="Arial" w:hAnsi="Arial"/>
                <w:b w:val="false"/>
                <w:bCs w:val="false"/>
                <w:color w:val="333333"/>
                <w:sz w:val="20"/>
                <w:szCs w:val="20"/>
              </w:rPr>
              <w:t xml:space="preserve">-$50.0M</w:t>
            </w:r>
          </w:p>
        </w:tc>
        <w:tc>
          <w:tcPr>
            <w:tcW w:type="dxa" w:w="4360"/>
            <w:tcBorders>
              <w:top w:val="single" w:color="B0B8C4" w:sz="1"/>
              <w:left w:val="single" w:color="B0B8C4" w:sz="1"/>
              <w:bottom w:val="single" w:color="B0B8C4" w:sz="1"/>
              <w:right w:val="single" w:color="B0B8C4" w:sz="1"/>
            </w:tcBorders>
            <w:shd w:fill="EDF2F7" w:val="clear"/>
            <w:tcMar>
              <w:top w:type="dxa" w:w="60"/>
              <w:left w:type="dxa" w:w="100"/>
              <w:bottom w:type="dxa" w:w="60"/>
              <w:right w:type="dxa" w:w="100"/>
            </w:tcMar>
          </w:tcPr>
          <w:p>
            <w:r>
              <w:rPr>
                <w:rFonts w:ascii="Arial" w:cs="Arial" w:eastAsia="Arial" w:hAnsi="Arial"/>
                <w:b w:val="false"/>
                <w:bCs w:val="false"/>
                <w:color w:val="333333"/>
                <w:sz w:val="20"/>
                <w:szCs w:val="20"/>
              </w:rPr>
              <w:t xml:space="preserve">74%</w:t>
            </w:r>
          </w:p>
        </w:tc>
      </w:tr>
      <w:tr>
        <w:tc>
          <w:tcPr>
            <w:tcW w:type="dxa" w:w="30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Equity Gamma</w:t>
            </w:r>
          </w:p>
        </w:tc>
        <w:tc>
          <w:tcPr>
            <w:tcW w:type="dxa" w:w="20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-$19.8M</w:t>
            </w:r>
          </w:p>
        </w:tc>
        <w:tc>
          <w:tcPr>
            <w:tcW w:type="dxa" w:w="436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29%</w:t>
            </w:r>
          </w:p>
        </w:tc>
      </w:tr>
      <w:tr>
        <w:tc>
          <w:tcPr>
            <w:tcW w:type="dxa" w:w="3000"/>
            <w:tcBorders>
              <w:top w:val="single" w:color="B0B8C4" w:sz="1"/>
              <w:left w:val="single" w:color="B0B8C4" w:sz="1"/>
              <w:bottom w:val="single" w:color="B0B8C4" w:sz="1"/>
              <w:right w:val="single" w:color="B0B8C4" w:sz="1"/>
            </w:tcBorders>
            <w:shd w:fill="EDF2F7" w:val="clear"/>
            <w:tcMar>
              <w:top w:type="dxa" w:w="60"/>
              <w:left w:type="dxa" w:w="100"/>
              <w:bottom w:type="dxa" w:w="60"/>
              <w:right w:type="dxa" w:w="100"/>
            </w:tcMar>
          </w:tcPr>
          <w:p>
            <w:r>
              <w:rPr>
                <w:rFonts w:ascii="Arial" w:cs="Arial" w:eastAsia="Arial" w:hAnsi="Arial"/>
                <w:b w:val="false"/>
                <w:bCs w:val="false"/>
                <w:color w:val="333333"/>
                <w:sz w:val="20"/>
                <w:szCs w:val="20"/>
              </w:rPr>
              <w:t xml:space="preserve">Equity Vega</w:t>
            </w:r>
          </w:p>
        </w:tc>
        <w:tc>
          <w:tcPr>
            <w:tcW w:type="dxa" w:w="2000"/>
            <w:tcBorders>
              <w:top w:val="single" w:color="B0B8C4" w:sz="1"/>
              <w:left w:val="single" w:color="B0B8C4" w:sz="1"/>
              <w:bottom w:val="single" w:color="B0B8C4" w:sz="1"/>
              <w:right w:val="single" w:color="B0B8C4" w:sz="1"/>
            </w:tcBorders>
            <w:shd w:fill="EDF2F7" w:val="clear"/>
            <w:tcMar>
              <w:top w:type="dxa" w:w="60"/>
              <w:left w:type="dxa" w:w="100"/>
              <w:bottom w:type="dxa" w:w="60"/>
              <w:right w:type="dxa" w:w="100"/>
            </w:tcMar>
          </w:tcPr>
          <w:p>
            <w:r>
              <w:rPr>
                <w:rFonts w:ascii="Arial" w:cs="Arial" w:eastAsia="Arial" w:hAnsi="Arial"/>
                <w:b w:val="false"/>
                <w:bCs w:val="false"/>
                <w:color w:val="333333"/>
                <w:sz w:val="20"/>
                <w:szCs w:val="20"/>
              </w:rPr>
              <w:t xml:space="preserve">-$1.15M</w:t>
            </w:r>
          </w:p>
        </w:tc>
        <w:tc>
          <w:tcPr>
            <w:tcW w:type="dxa" w:w="4360"/>
            <w:tcBorders>
              <w:top w:val="single" w:color="B0B8C4" w:sz="1"/>
              <w:left w:val="single" w:color="B0B8C4" w:sz="1"/>
              <w:bottom w:val="single" w:color="B0B8C4" w:sz="1"/>
              <w:right w:val="single" w:color="B0B8C4" w:sz="1"/>
            </w:tcBorders>
            <w:shd w:fill="EDF2F7" w:val="clear"/>
            <w:tcMar>
              <w:top w:type="dxa" w:w="60"/>
              <w:left w:type="dxa" w:w="100"/>
              <w:bottom w:type="dxa" w:w="60"/>
              <w:right w:type="dxa" w:w="100"/>
            </w:tcMar>
          </w:tcPr>
          <w:p>
            <w:r>
              <w:rPr>
                <w:rFonts w:ascii="Arial" w:cs="Arial" w:eastAsia="Arial" w:hAnsi="Arial"/>
                <w:b w:val="false"/>
                <w:bCs w:val="false"/>
                <w:color w:val="333333"/>
                <w:sz w:val="20"/>
                <w:szCs w:val="20"/>
              </w:rPr>
              <w:t xml:space="preserve">2%</w:t>
            </w:r>
          </w:p>
        </w:tc>
      </w:tr>
      <w:tr>
        <w:tc>
          <w:tcPr>
            <w:tcW w:type="dxa" w:w="30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Rates (DV01 Hedge)</w:t>
            </w:r>
          </w:p>
        </w:tc>
        <w:tc>
          <w:tcPr>
            <w:tcW w:type="dxa" w:w="20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+$8.0M</w:t>
            </w:r>
          </w:p>
        </w:tc>
        <w:tc>
          <w:tcPr>
            <w:tcW w:type="dxa" w:w="436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-12%</w:t>
            </w:r>
          </w:p>
        </w:tc>
      </w:tr>
      <w:tr>
        <w:tc>
          <w:tcPr>
            <w:tcW w:type="dxa" w:w="3000"/>
            <w:tcBorders>
              <w:top w:val="single" w:color="B0B8C4" w:sz="1"/>
              <w:left w:val="single" w:color="B0B8C4" w:sz="1"/>
              <w:bottom w:val="single" w:color="B0B8C4" w:sz="1"/>
              <w:right w:val="single" w:color="B0B8C4" w:sz="1"/>
            </w:tcBorders>
            <w:shd w:fill="EDF2F7" w:val="clear"/>
            <w:tcMar>
              <w:top w:type="dxa" w:w="60"/>
              <w:left w:type="dxa" w:w="100"/>
              <w:bottom w:type="dxa" w:w="60"/>
              <w:right w:type="dxa" w:w="100"/>
            </w:tcMar>
          </w:tcPr>
          <w:p>
            <w:r>
              <w:rPr>
                <w:rFonts w:ascii="Arial" w:cs="Arial" w:eastAsia="Arial" w:hAnsi="Arial"/>
                <w:b w:val="false"/>
                <w:bCs w:val="false"/>
                <w:color w:val="333333"/>
                <w:sz w:val="20"/>
                <w:szCs w:val="20"/>
              </w:rPr>
              <w:t xml:space="preserve">Credit (CS01)</w:t>
            </w:r>
          </w:p>
        </w:tc>
        <w:tc>
          <w:tcPr>
            <w:tcW w:type="dxa" w:w="2000"/>
            <w:tcBorders>
              <w:top w:val="single" w:color="B0B8C4" w:sz="1"/>
              <w:left w:val="single" w:color="B0B8C4" w:sz="1"/>
              <w:bottom w:val="single" w:color="B0B8C4" w:sz="1"/>
              <w:right w:val="single" w:color="B0B8C4" w:sz="1"/>
            </w:tcBorders>
            <w:shd w:fill="EDF2F7" w:val="clear"/>
            <w:tcMar>
              <w:top w:type="dxa" w:w="60"/>
              <w:left w:type="dxa" w:w="100"/>
              <w:bottom w:type="dxa" w:w="60"/>
              <w:right w:type="dxa" w:w="100"/>
            </w:tcMar>
          </w:tcPr>
          <w:p>
            <w:r>
              <w:rPr>
                <w:rFonts w:ascii="Arial" w:cs="Arial" w:eastAsia="Arial" w:hAnsi="Arial"/>
                <w:b w:val="false"/>
                <w:bCs w:val="false"/>
                <w:color w:val="333333"/>
                <w:sz w:val="20"/>
                <w:szCs w:val="20"/>
              </w:rPr>
              <w:t xml:space="preserve">-$8.75M</w:t>
            </w:r>
          </w:p>
        </w:tc>
        <w:tc>
          <w:tcPr>
            <w:tcW w:type="dxa" w:w="4360"/>
            <w:tcBorders>
              <w:top w:val="single" w:color="B0B8C4" w:sz="1"/>
              <w:left w:val="single" w:color="B0B8C4" w:sz="1"/>
              <w:bottom w:val="single" w:color="B0B8C4" w:sz="1"/>
              <w:right w:val="single" w:color="B0B8C4" w:sz="1"/>
            </w:tcBorders>
            <w:shd w:fill="EDF2F7" w:val="clear"/>
            <w:tcMar>
              <w:top w:type="dxa" w:w="60"/>
              <w:left w:type="dxa" w:w="100"/>
              <w:bottom w:type="dxa" w:w="60"/>
              <w:right w:type="dxa" w:w="100"/>
            </w:tcMar>
          </w:tcPr>
          <w:p>
            <w:r>
              <w:rPr>
                <w:rFonts w:ascii="Arial" w:cs="Arial" w:eastAsia="Arial" w:hAnsi="Arial"/>
                <w:b w:val="false"/>
                <w:bCs w:val="false"/>
                <w:color w:val="333333"/>
                <w:sz w:val="20"/>
                <w:szCs w:val="20"/>
              </w:rPr>
              <w:t xml:space="preserve">13%</w:t>
            </w:r>
          </w:p>
        </w:tc>
      </w:tr>
      <w:tr>
        <w:tc>
          <w:tcPr>
            <w:tcW w:type="dxa" w:w="30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TOTAL DESK P&amp;L</w:t>
            </w:r>
          </w:p>
        </w:tc>
        <w:tc>
          <w:tcPr>
            <w:tcW w:type="dxa" w:w="20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-$71.7M</w:t>
            </w:r>
          </w:p>
        </w:tc>
        <w:tc>
          <w:tcPr>
            <w:tcW w:type="dxa" w:w="436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100%</w:t>
            </w:r>
          </w:p>
        </w:tc>
      </w:tr>
    </w:tbl>
    <w:p>
      <w:pPr>
        <w:spacing w:after="80"/>
      </w:pPr>
    </w:p>
    <w:p>
      <w:pPr>
        <w:spacing w:after="120" w:before="0"/>
      </w:pPr>
      <w:r>
        <w:rPr>
          <w:rFonts w:ascii="Arial" w:cs="Arial" w:eastAsia="Arial" w:hAnsi="Arial"/>
          <w:b/>
          <w:bCs/>
          <w:i/>
          <w:iCs/>
          <w:sz w:val="22"/>
          <w:szCs w:val="22"/>
        </w:rPr>
        <w:t xml:space="preserve">Key insight: Without the NVDA short gamma, this desk would have been -$17.6M. The short gamma on NVDA adds -$45.4M of losses because the 55% move squares into an enormous gamma P&amp;L. This is why gamma exposure must be monitored in stress.</w:t>
      </w:r>
    </w:p>
    <w:p>
      <w:r>
        <w:br w:type="page"/>
      </w:r>
    </w:p>
    <w:p>
      <w:pPr>
        <w:pStyle w:val="Heading1"/>
      </w:pPr>
      <w:r>
        <w:t xml:space="preserve">PART II: SHOCK PROPAGATION ENGINE</w:t>
      </w:r>
    </w:p>
    <w:p>
      <w:pPr>
        <w:spacing w:after="80"/>
      </w:pPr>
    </w:p>
    <w:p>
      <w:pPr>
        <w:pStyle w:val="Heading2"/>
      </w:pPr>
      <w:r>
        <w:t xml:space="preserve">7. Beta Estimation Methods</w:t>
      </w:r>
    </w:p>
    <w:p>
      <w:pPr>
        <w:spacing w:after="120" w:before="0"/>
      </w:pPr>
      <w:r>
        <w:rPr>
          <w:rFonts w:ascii="Arial" w:cs="Arial" w:eastAsia="Arial" w:hAnsi="Arial"/>
          <w:sz w:val="22"/>
          <w:szCs w:val="22"/>
        </w:rPr>
        <w:t xml:space="preserve">Betas are the mathematical glue that connect macro-level shocks (the anchors) to granular driver-level shocks (the 300,000+ risk factors). Estimating them correctly is critical to the entire framework.</w:t>
      </w:r>
    </w:p>
    <w:p>
      <w:pPr>
        <w:spacing w:after="80"/>
      </w:pPr>
    </w:p>
    <w:p>
      <w:pPr>
        <w:pStyle w:val="Heading3"/>
      </w:pPr>
      <w:r>
        <w:t xml:space="preserve">7.1 Method 1: Historical OLS Regression</w:t>
      </w:r>
    </w:p>
    <w:p>
      <w:pPr>
        <w:spacing w:after="120" w:before="0"/>
      </w:pPr>
      <w:r>
        <w:rPr>
          <w:rFonts w:ascii="Arial" w:cs="Arial" w:eastAsia="Arial" w:hAnsi="Arial"/>
          <w:sz w:val="22"/>
          <w:szCs w:val="22"/>
        </w:rPr>
        <w:t xml:space="preserve">The standard approach: regress asset returns against factor returns:</w:t>
      </w:r>
    </w:p>
    <w:p>
      <w:pPr>
        <w:spacing w:after="140" w:before="80"/>
        <w:jc w:val="center"/>
      </w:pPr>
      <w:r>
        <w:rPr>
          <w:rFonts w:ascii="Courier New" w:cs="Courier New" w:eastAsia="Courier New" w:hAnsi="Courier New"/>
          <w:b/>
          <w:bCs/>
          <w:color w:val="2C3E6B"/>
          <w:sz w:val="24"/>
          <w:szCs w:val="24"/>
        </w:rPr>
        <w:t xml:space="preserve">Rᵢ = αᵢ + βᵢ · R_factor + εᵢ</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760"/>
      </w:tblGrid>
      <w:tr>
        <w:tc>
          <w:tcPr>
            <w:tcW w:type="dxa" w:w="2000"/>
            <w:tcBorders>
              <w:top w:val="single" w:color="B0B8C4" w:sz="1"/>
              <w:left w:val="single" w:color="B0B8C4" w:sz="1"/>
              <w:bottom w:val="single" w:color="B0B8C4" w:sz="1"/>
              <w:right w:val="single" w:color="B0B8C4"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Parameter</w:t>
            </w:r>
          </w:p>
        </w:tc>
        <w:tc>
          <w:tcPr>
            <w:tcW w:type="dxa" w:w="3600"/>
            <w:tcBorders>
              <w:top w:val="single" w:color="B0B8C4" w:sz="1"/>
              <w:left w:val="single" w:color="B0B8C4" w:sz="1"/>
              <w:bottom w:val="single" w:color="B0B8C4" w:sz="1"/>
              <w:right w:val="single" w:color="B0B8C4"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Specification</w:t>
            </w:r>
          </w:p>
        </w:tc>
        <w:tc>
          <w:tcPr>
            <w:tcW w:type="dxa" w:w="3760"/>
            <w:tcBorders>
              <w:top w:val="single" w:color="B0B8C4" w:sz="1"/>
              <w:left w:val="single" w:color="B0B8C4" w:sz="1"/>
              <w:bottom w:val="single" w:color="B0B8C4" w:sz="1"/>
              <w:right w:val="single" w:color="B0B8C4"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Why</w:t>
            </w:r>
          </w:p>
        </w:tc>
      </w:tr>
      <w:tr>
        <w:tc>
          <w:tcPr>
            <w:tcW w:type="dxa" w:w="2000"/>
            <w:tcBorders>
              <w:top w:val="single" w:color="B0B8C4" w:sz="1"/>
              <w:left w:val="single" w:color="B0B8C4" w:sz="1"/>
              <w:bottom w:val="single" w:color="B0B8C4" w:sz="1"/>
              <w:right w:val="single" w:color="B0B8C4" w:sz="1"/>
            </w:tcBorders>
            <w:shd w:fill="EDF2F7" w:val="clear"/>
            <w:tcMar>
              <w:top w:type="dxa" w:w="60"/>
              <w:left w:type="dxa" w:w="100"/>
              <w:bottom w:type="dxa" w:w="60"/>
              <w:right w:type="dxa" w:w="100"/>
            </w:tcMar>
          </w:tcPr>
          <w:p>
            <w:r>
              <w:rPr>
                <w:rFonts w:ascii="Arial" w:cs="Arial" w:eastAsia="Arial" w:hAnsi="Arial"/>
                <w:b w:val="false"/>
                <w:bCs w:val="false"/>
                <w:color w:val="333333"/>
                <w:sz w:val="20"/>
                <w:szCs w:val="20"/>
              </w:rPr>
              <w:t xml:space="preserve">Data Frequency</w:t>
            </w:r>
          </w:p>
        </w:tc>
        <w:tc>
          <w:tcPr>
            <w:tcW w:type="dxa" w:w="3600"/>
            <w:tcBorders>
              <w:top w:val="single" w:color="B0B8C4" w:sz="1"/>
              <w:left w:val="single" w:color="B0B8C4" w:sz="1"/>
              <w:bottom w:val="single" w:color="B0B8C4" w:sz="1"/>
              <w:right w:val="single" w:color="B0B8C4" w:sz="1"/>
            </w:tcBorders>
            <w:shd w:fill="EDF2F7" w:val="clear"/>
            <w:tcMar>
              <w:top w:type="dxa" w:w="60"/>
              <w:left w:type="dxa" w:w="100"/>
              <w:bottom w:type="dxa" w:w="60"/>
              <w:right w:type="dxa" w:w="100"/>
            </w:tcMar>
          </w:tcPr>
          <w:p>
            <w:r>
              <w:rPr>
                <w:rFonts w:ascii="Arial" w:cs="Arial" w:eastAsia="Arial" w:hAnsi="Arial"/>
                <w:b w:val="false"/>
                <w:bCs w:val="false"/>
                <w:color w:val="333333"/>
                <w:sz w:val="20"/>
                <w:szCs w:val="20"/>
              </w:rPr>
              <w:t xml:space="preserve">Weekly returns (preferred)</w:t>
            </w:r>
          </w:p>
        </w:tc>
        <w:tc>
          <w:tcPr>
            <w:tcW w:type="dxa" w:w="3760"/>
            <w:tcBorders>
              <w:top w:val="single" w:color="B0B8C4" w:sz="1"/>
              <w:left w:val="single" w:color="B0B8C4" w:sz="1"/>
              <w:bottom w:val="single" w:color="B0B8C4" w:sz="1"/>
              <w:right w:val="single" w:color="B0B8C4" w:sz="1"/>
            </w:tcBorders>
            <w:shd w:fill="EDF2F7" w:val="clear"/>
            <w:tcMar>
              <w:top w:type="dxa" w:w="60"/>
              <w:left w:type="dxa" w:w="100"/>
              <w:bottom w:type="dxa" w:w="60"/>
              <w:right w:type="dxa" w:w="100"/>
            </w:tcMar>
          </w:tcPr>
          <w:p>
            <w:r>
              <w:rPr>
                <w:rFonts w:ascii="Arial" w:cs="Arial" w:eastAsia="Arial" w:hAnsi="Arial"/>
                <w:b w:val="false"/>
                <w:bCs w:val="false"/>
                <w:color w:val="333333"/>
                <w:sz w:val="20"/>
                <w:szCs w:val="20"/>
              </w:rPr>
              <w:t xml:space="preserve">Daily is noisy; monthly has too few observations</w:t>
            </w:r>
          </w:p>
        </w:tc>
      </w:tr>
      <w:tr>
        <w:tc>
          <w:tcPr>
            <w:tcW w:type="dxa" w:w="20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Lookback Period</w:t>
            </w:r>
          </w:p>
        </w:tc>
        <w:tc>
          <w:tcPr>
            <w:tcW w:type="dxa" w:w="36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2-3 years</w:t>
            </w:r>
          </w:p>
        </w:tc>
        <w:tc>
          <w:tcPr>
            <w:tcW w:type="dxa" w:w="376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Balances recency with statistical power (~100-150 observations)</w:t>
            </w:r>
          </w:p>
        </w:tc>
      </w:tr>
      <w:tr>
        <w:tc>
          <w:tcPr>
            <w:tcW w:type="dxa" w:w="2000"/>
            <w:tcBorders>
              <w:top w:val="single" w:color="B0B8C4" w:sz="1"/>
              <w:left w:val="single" w:color="B0B8C4" w:sz="1"/>
              <w:bottom w:val="single" w:color="B0B8C4" w:sz="1"/>
              <w:right w:val="single" w:color="B0B8C4" w:sz="1"/>
            </w:tcBorders>
            <w:shd w:fill="EDF2F7" w:val="clear"/>
            <w:tcMar>
              <w:top w:type="dxa" w:w="60"/>
              <w:left w:type="dxa" w:w="100"/>
              <w:bottom w:type="dxa" w:w="60"/>
              <w:right w:type="dxa" w:w="100"/>
            </w:tcMar>
          </w:tcPr>
          <w:p>
            <w:r>
              <w:rPr>
                <w:rFonts w:ascii="Arial" w:cs="Arial" w:eastAsia="Arial" w:hAnsi="Arial"/>
                <w:b w:val="false"/>
                <w:bCs w:val="false"/>
                <w:color w:val="333333"/>
                <w:sz w:val="20"/>
                <w:szCs w:val="20"/>
              </w:rPr>
              <w:t xml:space="preserve">Standard Error</w:t>
            </w:r>
          </w:p>
        </w:tc>
        <w:tc>
          <w:tcPr>
            <w:tcW w:type="dxa" w:w="3600"/>
            <w:tcBorders>
              <w:top w:val="single" w:color="B0B8C4" w:sz="1"/>
              <w:left w:val="single" w:color="B0B8C4" w:sz="1"/>
              <w:bottom w:val="single" w:color="B0B8C4" w:sz="1"/>
              <w:right w:val="single" w:color="B0B8C4" w:sz="1"/>
            </w:tcBorders>
            <w:shd w:fill="EDF2F7" w:val="clear"/>
            <w:tcMar>
              <w:top w:type="dxa" w:w="60"/>
              <w:left w:type="dxa" w:w="100"/>
              <w:bottom w:type="dxa" w:w="60"/>
              <w:right w:type="dxa" w:w="100"/>
            </w:tcMar>
          </w:tcPr>
          <w:p>
            <w:r>
              <w:rPr>
                <w:rFonts w:ascii="Arial" w:cs="Arial" w:eastAsia="Arial" w:hAnsi="Arial"/>
                <w:b w:val="false"/>
                <w:bCs w:val="false"/>
                <w:color w:val="333333"/>
                <w:sz w:val="20"/>
                <w:szCs w:val="20"/>
              </w:rPr>
              <w:t xml:space="preserve">SE(β) = √[(1-R²)/(n-2)] / √VarR(factor)</w:t>
            </w:r>
          </w:p>
        </w:tc>
        <w:tc>
          <w:tcPr>
            <w:tcW w:type="dxa" w:w="3760"/>
            <w:tcBorders>
              <w:top w:val="single" w:color="B0B8C4" w:sz="1"/>
              <w:left w:val="single" w:color="B0B8C4" w:sz="1"/>
              <w:bottom w:val="single" w:color="B0B8C4" w:sz="1"/>
              <w:right w:val="single" w:color="B0B8C4" w:sz="1"/>
            </w:tcBorders>
            <w:shd w:fill="EDF2F7" w:val="clear"/>
            <w:tcMar>
              <w:top w:type="dxa" w:w="60"/>
              <w:left w:type="dxa" w:w="100"/>
              <w:bottom w:type="dxa" w:w="60"/>
              <w:right w:type="dxa" w:w="100"/>
            </w:tcMar>
          </w:tcPr>
          <w:p>
            <w:r>
              <w:rPr>
                <w:rFonts w:ascii="Arial" w:cs="Arial" w:eastAsia="Arial" w:hAnsi="Arial"/>
                <w:b w:val="false"/>
                <w:bCs w:val="false"/>
                <w:color w:val="333333"/>
                <w:sz w:val="20"/>
                <w:szCs w:val="20"/>
              </w:rPr>
              <w:t xml:space="preserve">Must be &lt;0.15 for confidence</w:t>
            </w:r>
          </w:p>
        </w:tc>
      </w:tr>
      <w:tr>
        <w:tc>
          <w:tcPr>
            <w:tcW w:type="dxa" w:w="20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R-squared</w:t>
            </w:r>
          </w:p>
        </w:tc>
        <w:tc>
          <w:tcPr>
            <w:tcW w:type="dxa" w:w="36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Want R² &gt; 0.3 for single-factor</w:t>
            </w:r>
          </w:p>
        </w:tc>
        <w:tc>
          <w:tcPr>
            <w:tcW w:type="dxa" w:w="376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Lower R² means more idiosyncratic risk</w:t>
            </w:r>
          </w:p>
        </w:tc>
      </w:tr>
      <w:tr>
        <w:tc>
          <w:tcPr>
            <w:tcW w:type="dxa" w:w="2000"/>
            <w:tcBorders>
              <w:top w:val="single" w:color="B0B8C4" w:sz="1"/>
              <w:left w:val="single" w:color="B0B8C4" w:sz="1"/>
              <w:bottom w:val="single" w:color="B0B8C4" w:sz="1"/>
              <w:right w:val="single" w:color="B0B8C4" w:sz="1"/>
            </w:tcBorders>
            <w:shd w:fill="EDF2F7" w:val="clear"/>
            <w:tcMar>
              <w:top w:type="dxa" w:w="60"/>
              <w:left w:type="dxa" w:w="100"/>
              <w:bottom w:type="dxa" w:w="60"/>
              <w:right w:type="dxa" w:w="100"/>
            </w:tcMar>
          </w:tcPr>
          <w:p>
            <w:r>
              <w:rPr>
                <w:rFonts w:ascii="Arial" w:cs="Arial" w:eastAsia="Arial" w:hAnsi="Arial"/>
                <w:b w:val="false"/>
                <w:bCs w:val="false"/>
                <w:color w:val="333333"/>
                <w:sz w:val="20"/>
                <w:szCs w:val="20"/>
              </w:rPr>
              <w:t xml:space="preserve">t-statistic</w:t>
            </w:r>
          </w:p>
        </w:tc>
        <w:tc>
          <w:tcPr>
            <w:tcW w:type="dxa" w:w="3600"/>
            <w:tcBorders>
              <w:top w:val="single" w:color="B0B8C4" w:sz="1"/>
              <w:left w:val="single" w:color="B0B8C4" w:sz="1"/>
              <w:bottom w:val="single" w:color="B0B8C4" w:sz="1"/>
              <w:right w:val="single" w:color="B0B8C4" w:sz="1"/>
            </w:tcBorders>
            <w:shd w:fill="EDF2F7" w:val="clear"/>
            <w:tcMar>
              <w:top w:type="dxa" w:w="60"/>
              <w:left w:type="dxa" w:w="100"/>
              <w:bottom w:type="dxa" w:w="60"/>
              <w:right w:type="dxa" w:w="100"/>
            </w:tcMar>
          </w:tcPr>
          <w:p>
            <w:r>
              <w:rPr>
                <w:rFonts w:ascii="Arial" w:cs="Arial" w:eastAsia="Arial" w:hAnsi="Arial"/>
                <w:b w:val="false"/>
                <w:bCs w:val="false"/>
                <w:color w:val="333333"/>
                <w:sz w:val="20"/>
                <w:szCs w:val="20"/>
              </w:rPr>
              <w:t xml:space="preserve">|β/SE(β)| &gt; 2.0</w:t>
            </w:r>
          </w:p>
        </w:tc>
        <w:tc>
          <w:tcPr>
            <w:tcW w:type="dxa" w:w="3760"/>
            <w:tcBorders>
              <w:top w:val="single" w:color="B0B8C4" w:sz="1"/>
              <w:left w:val="single" w:color="B0B8C4" w:sz="1"/>
              <w:bottom w:val="single" w:color="B0B8C4" w:sz="1"/>
              <w:right w:val="single" w:color="B0B8C4" w:sz="1"/>
            </w:tcBorders>
            <w:shd w:fill="EDF2F7" w:val="clear"/>
            <w:tcMar>
              <w:top w:type="dxa" w:w="60"/>
              <w:left w:type="dxa" w:w="100"/>
              <w:bottom w:type="dxa" w:w="60"/>
              <w:right w:type="dxa" w:w="100"/>
            </w:tcMar>
          </w:tcPr>
          <w:p>
            <w:r>
              <w:rPr>
                <w:rFonts w:ascii="Arial" w:cs="Arial" w:eastAsia="Arial" w:hAnsi="Arial"/>
                <w:b w:val="false"/>
                <w:bCs w:val="false"/>
                <w:color w:val="333333"/>
                <w:sz w:val="20"/>
                <w:szCs w:val="20"/>
              </w:rPr>
              <w:t xml:space="preserve">Statistical significance at 95% confidence</w:t>
            </w:r>
          </w:p>
        </w:tc>
      </w:tr>
    </w:tbl>
    <w:p>
      <w:pPr>
        <w:spacing w:after="80"/>
      </w:pPr>
    </w:p>
    <w:p>
      <w:pPr>
        <w:spacing w:after="120"/>
      </w:pPr>
      <w:r>
        <w:rPr>
          <w:rFonts w:ascii="Arial" w:cs="Arial" w:eastAsia="Arial" w:hAnsi="Arial"/>
          <w:b/>
          <w:bCs/>
          <w:sz w:val="22"/>
          <w:szCs w:val="22"/>
        </w:rPr>
        <w:t xml:space="preserve">Worked Example: </w:t>
      </w:r>
      <w:r>
        <w:rPr>
          <w:rFonts w:ascii="Arial" w:cs="Arial" w:eastAsia="Arial" w:hAnsi="Arial"/>
          <w:sz w:val="22"/>
          <w:szCs w:val="22"/>
        </w:rPr>
        <w:t xml:space="preserve">NVDA beta to S&amp;P 500</w:t>
      </w:r>
    </w:p>
    <w:p>
      <w:pPr>
        <w:pStyle w:val="ListParagraph"/>
        <w:numPr>
          <w:ilvl w:val="0"/>
          <w:numId w:val="2"/>
        </w:numPr>
        <w:spacing w:after="60"/>
      </w:pPr>
      <w:r>
        <w:rPr>
          <w:rFonts w:ascii="Arial" w:cs="Arial" w:eastAsia="Arial" w:hAnsi="Arial"/>
          <w:sz w:val="22"/>
          <w:szCs w:val="22"/>
        </w:rPr>
        <w:t xml:space="preserve">Data: 156 weekly returns (3 years)</w:t>
      </w:r>
    </w:p>
    <w:p>
      <w:pPr>
        <w:pStyle w:val="ListParagraph"/>
        <w:numPr>
          <w:ilvl w:val="0"/>
          <w:numId w:val="2"/>
        </w:numPr>
        <w:spacing w:after="60"/>
      </w:pPr>
      <w:r>
        <w:rPr>
          <w:rFonts w:ascii="Arial" w:cs="Arial" w:eastAsia="Arial" w:hAnsi="Arial"/>
          <w:sz w:val="22"/>
          <w:szCs w:val="22"/>
        </w:rPr>
        <w:t xml:space="preserve">Regression: NVDA_return = 0.02% + 1.38 × SPX_return + ε</w:t>
      </w:r>
    </w:p>
    <w:p>
      <w:pPr>
        <w:pStyle w:val="ListParagraph"/>
        <w:numPr>
          <w:ilvl w:val="0"/>
          <w:numId w:val="2"/>
        </w:numPr>
        <w:spacing w:after="60"/>
      </w:pPr>
      <w:r>
        <w:rPr>
          <w:rFonts w:ascii="Arial" w:cs="Arial" w:eastAsia="Arial" w:hAnsi="Arial"/>
          <w:sz w:val="22"/>
          <w:szCs w:val="22"/>
        </w:rPr>
        <w:t xml:space="preserve">Results: β = 1.38, SE = 0.04, t-stat = 34.5, R² = 0.72</w:t>
      </w:r>
    </w:p>
    <w:p>
      <w:pPr>
        <w:pStyle w:val="ListParagraph"/>
        <w:numPr>
          <w:ilvl w:val="0"/>
          <w:numId w:val="2"/>
        </w:numPr>
        <w:spacing w:after="60"/>
      </w:pPr>
      <w:r>
        <w:rPr>
          <w:rFonts w:ascii="Arial" w:cs="Arial" w:eastAsia="Arial" w:hAnsi="Arial"/>
          <w:sz w:val="22"/>
          <w:szCs w:val="22"/>
        </w:rPr>
        <w:t xml:space="preserve">Interpretation: NVDA moves 1.38x the S&amp;P on average. 72% of variance explained by market.</w:t>
      </w:r>
    </w:p>
    <w:p>
      <w:pPr>
        <w:spacing w:after="80"/>
      </w:pPr>
    </w:p>
    <w:p>
      <w:pPr>
        <w:pStyle w:val="Heading3"/>
      </w:pPr>
      <w:r>
        <w:t xml:space="preserve">7.2 Method 2: Rolling Beta (Regime-Aware)</w:t>
      </w:r>
    </w:p>
    <w:p>
      <w:pPr>
        <w:spacing w:after="120" w:before="0"/>
      </w:pPr>
      <w:r>
        <w:rPr>
          <w:rFonts w:ascii="Arial" w:cs="Arial" w:eastAsia="Arial" w:hAnsi="Arial"/>
          <w:sz w:val="22"/>
          <w:szCs w:val="22"/>
        </w:rPr>
        <w:t xml:space="preserve">Betas are not constant — they shift with market regimes. Rolling estimation captures this:</w:t>
      </w:r>
    </w:p>
    <w:p>
      <w:pPr>
        <w:spacing w:after="140" w:before="80"/>
        <w:jc w:val="center"/>
      </w:pPr>
      <w:r>
        <w:rPr>
          <w:rFonts w:ascii="Courier New" w:cs="Courier New" w:eastAsia="Courier New" w:hAnsi="Courier New"/>
          <w:b/>
          <w:bCs/>
          <w:color w:val="2C3E6B"/>
          <w:sz w:val="24"/>
          <w:szCs w:val="24"/>
        </w:rPr>
        <w:t xml:space="preserve">β_t = Σ(wᵢ · R_asset,i · R_factor,i) / Σ(wᵢ · R_factor,i²)</w:t>
      </w:r>
    </w:p>
    <w:p>
      <w:pPr>
        <w:spacing w:after="120" w:before="0"/>
      </w:pPr>
      <w:r>
        <w:rPr>
          <w:rFonts w:ascii="Arial" w:cs="Arial" w:eastAsia="Arial" w:hAnsi="Arial"/>
          <w:sz w:val="22"/>
          <w:szCs w:val="22"/>
        </w:rPr>
        <w:t xml:space="preserve">Using an exponentially weighted window (half-life 60 trading days):</w:t>
      </w:r>
    </w:p>
    <w:p>
      <w:pPr>
        <w:spacing w:after="140" w:before="80"/>
        <w:jc w:val="center"/>
      </w:pPr>
      <w:r>
        <w:rPr>
          <w:rFonts w:ascii="Courier New" w:cs="Courier New" w:eastAsia="Courier New" w:hAnsi="Courier New"/>
          <w:b/>
          <w:bCs/>
          <w:color w:val="2C3E6B"/>
          <w:sz w:val="24"/>
          <w:szCs w:val="24"/>
        </w:rPr>
        <w:t xml:space="preserve">wᵢ = 0.5^(t-i)/60</w:t>
      </w:r>
    </w:p>
    <w:p>
      <w:pPr>
        <w:spacing w:after="120" w:before="0"/>
      </w:pPr>
      <w:r>
        <w:rPr>
          <w:rFonts w:ascii="Arial" w:cs="Arial" w:eastAsia="Arial" w:hAnsi="Arial"/>
          <w:sz w:val="22"/>
          <w:szCs w:val="22"/>
        </w:rPr>
        <w:t xml:space="preserve">This gives more weight to recent observations, capturing regime shifts faster.</w:t>
      </w:r>
    </w:p>
    <w:p>
      <w:pPr>
        <w:spacing w:after="80"/>
      </w:pPr>
    </w:p>
    <w:p>
      <w:pPr>
        <w:pStyle w:val="Heading3"/>
      </w:pPr>
      <w:r>
        <w:t xml:space="preserve">7.3 Method 3: Stress Beta (Crisis-Specific)</w:t>
      </w:r>
    </w:p>
    <w:p>
      <w:pPr>
        <w:spacing w:after="120" w:before="0"/>
      </w:pPr>
      <w:r>
        <w:rPr>
          <w:rFonts w:ascii="Arial" w:cs="Arial" w:eastAsia="Arial" w:hAnsi="Arial"/>
          <w:sz w:val="22"/>
          <w:szCs w:val="22"/>
        </w:rPr>
        <w:t xml:space="preserve">Betas increase in crisis because correlations spike. Stress betas use only historical stress episodes:</w:t>
      </w:r>
    </w:p>
    <w:p>
      <w:pPr>
        <w:pStyle w:val="ListParagraph"/>
        <w:numPr>
          <w:ilvl w:val="0"/>
          <w:numId w:val="2"/>
        </w:numPr>
        <w:spacing w:after="60"/>
      </w:pPr>
      <w:r>
        <w:rPr>
          <w:rFonts w:ascii="Arial" w:cs="Arial" w:eastAsia="Arial" w:hAnsi="Arial"/>
          <w:sz w:val="22"/>
          <w:szCs w:val="22"/>
        </w:rPr>
        <w:t xml:space="preserve">Filter: Select days where |R_market| &gt; 2 standard deviations</w:t>
      </w:r>
    </w:p>
    <w:p>
      <w:pPr>
        <w:pStyle w:val="ListParagraph"/>
        <w:numPr>
          <w:ilvl w:val="0"/>
          <w:numId w:val="2"/>
        </w:numPr>
        <w:spacing w:after="60"/>
      </w:pPr>
      <w:r>
        <w:rPr>
          <w:rFonts w:ascii="Arial" w:cs="Arial" w:eastAsia="Arial" w:hAnsi="Arial"/>
          <w:sz w:val="22"/>
          <w:szCs w:val="22"/>
        </w:rPr>
        <w:t xml:space="preserve">Regress only on these stress days: typically yields betas 1.1-1.5x higher than normal betas</w:t>
      </w:r>
    </w:p>
    <w:p>
      <w:pPr>
        <w:pStyle w:val="ListParagraph"/>
        <w:numPr>
          <w:ilvl w:val="0"/>
          <w:numId w:val="2"/>
        </w:numPr>
        <w:spacing w:after="60"/>
      </w:pPr>
      <w:r>
        <w:rPr>
          <w:rFonts w:ascii="Arial" w:cs="Arial" w:eastAsia="Arial" w:hAnsi="Arial"/>
          <w:sz w:val="22"/>
          <w:szCs w:val="22"/>
        </w:rPr>
        <w:t xml:space="preserve">Use case: When you want the scenario to reflect crisis-specific behavior rather than average behavior</w:t>
      </w:r>
    </w:p>
    <w:p>
      <w:pPr>
        <w:spacing w:after="80"/>
      </w:pPr>
    </w:p>
    <w:p>
      <w:pPr>
        <w:pStyle w:val="Heading3"/>
      </w:pPr>
      <w:r>
        <w:t xml:space="preserve">7.4 Method 4: Fundamental Beta</w:t>
      </w:r>
    </w:p>
    <w:p>
      <w:pPr>
        <w:spacing w:after="120" w:before="0"/>
      </w:pPr>
      <w:r>
        <w:rPr>
          <w:rFonts w:ascii="Arial" w:cs="Arial" w:eastAsia="Arial" w:hAnsi="Arial"/>
          <w:sz w:val="22"/>
          <w:szCs w:val="22"/>
        </w:rPr>
        <w:t xml:space="preserve">When historical data is insufficient (new issuers, illiquid instruments), use fundamental characteristics: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c>
          <w:tcPr>
            <w:tcW w:type="dxa" w:w="2000"/>
            <w:tcBorders>
              <w:top w:val="single" w:color="B0B8C4" w:sz="1"/>
              <w:left w:val="single" w:color="B0B8C4" w:sz="1"/>
              <w:bottom w:val="single" w:color="B0B8C4" w:sz="1"/>
              <w:right w:val="single" w:color="B0B8C4"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Factor</w:t>
            </w:r>
          </w:p>
        </w:tc>
        <w:tc>
          <w:tcPr>
            <w:tcW w:type="dxa" w:w="3200"/>
            <w:tcBorders>
              <w:top w:val="single" w:color="B0B8C4" w:sz="1"/>
              <w:left w:val="single" w:color="B0B8C4" w:sz="1"/>
              <w:bottom w:val="single" w:color="B0B8C4" w:sz="1"/>
              <w:right w:val="single" w:color="B0B8C4"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Beta Approximation</w:t>
            </w:r>
          </w:p>
        </w:tc>
        <w:tc>
          <w:tcPr>
            <w:tcW w:type="dxa" w:w="4160"/>
            <w:tcBorders>
              <w:top w:val="single" w:color="B0B8C4" w:sz="1"/>
              <w:left w:val="single" w:color="B0B8C4" w:sz="1"/>
              <w:bottom w:val="single" w:color="B0B8C4" w:sz="1"/>
              <w:right w:val="single" w:color="B0B8C4"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Example</w:t>
            </w:r>
          </w:p>
        </w:tc>
      </w:tr>
      <w:tr>
        <w:tc>
          <w:tcPr>
            <w:tcW w:type="dxa" w:w="2000"/>
            <w:tcBorders>
              <w:top w:val="single" w:color="B0B8C4" w:sz="1"/>
              <w:left w:val="single" w:color="B0B8C4" w:sz="1"/>
              <w:bottom w:val="single" w:color="B0B8C4" w:sz="1"/>
              <w:right w:val="single" w:color="B0B8C4" w:sz="1"/>
            </w:tcBorders>
            <w:shd w:fill="EDF2F7" w:val="clear"/>
            <w:tcMar>
              <w:top w:type="dxa" w:w="60"/>
              <w:left w:type="dxa" w:w="100"/>
              <w:bottom w:type="dxa" w:w="60"/>
              <w:right w:type="dxa" w:w="100"/>
            </w:tcMar>
          </w:tcPr>
          <w:p>
            <w:r>
              <w:rPr>
                <w:rFonts w:ascii="Arial" w:cs="Arial" w:eastAsia="Arial" w:hAnsi="Arial"/>
                <w:b w:val="false"/>
                <w:bCs w:val="false"/>
                <w:color w:val="333333"/>
                <w:sz w:val="20"/>
                <w:szCs w:val="20"/>
              </w:rPr>
              <w:t xml:space="preserve">Leverage</w:t>
            </w:r>
          </w:p>
        </w:tc>
        <w:tc>
          <w:tcPr>
            <w:tcW w:type="dxa" w:w="3200"/>
            <w:tcBorders>
              <w:top w:val="single" w:color="B0B8C4" w:sz="1"/>
              <w:left w:val="single" w:color="B0B8C4" w:sz="1"/>
              <w:bottom w:val="single" w:color="B0B8C4" w:sz="1"/>
              <w:right w:val="single" w:color="B0B8C4" w:sz="1"/>
            </w:tcBorders>
            <w:shd w:fill="EDF2F7" w:val="clear"/>
            <w:tcMar>
              <w:top w:type="dxa" w:w="60"/>
              <w:left w:type="dxa" w:w="100"/>
              <w:bottom w:type="dxa" w:w="60"/>
              <w:right w:type="dxa" w:w="100"/>
            </w:tcMar>
          </w:tcPr>
          <w:p>
            <w:r>
              <w:rPr>
                <w:rFonts w:ascii="Arial" w:cs="Arial" w:eastAsia="Arial" w:hAnsi="Arial"/>
                <w:b w:val="false"/>
                <w:bCs w:val="false"/>
                <w:color w:val="333333"/>
                <w:sz w:val="20"/>
                <w:szCs w:val="20"/>
              </w:rPr>
              <w:t xml:space="preserve">β_equity = β_asset × (1 + D/E)</w:t>
            </w:r>
          </w:p>
        </w:tc>
        <w:tc>
          <w:tcPr>
            <w:tcW w:type="dxa" w:w="4160"/>
            <w:tcBorders>
              <w:top w:val="single" w:color="B0B8C4" w:sz="1"/>
              <w:left w:val="single" w:color="B0B8C4" w:sz="1"/>
              <w:bottom w:val="single" w:color="B0B8C4" w:sz="1"/>
              <w:right w:val="single" w:color="B0B8C4" w:sz="1"/>
            </w:tcBorders>
            <w:shd w:fill="EDF2F7" w:val="clear"/>
            <w:tcMar>
              <w:top w:type="dxa" w:w="60"/>
              <w:left w:type="dxa" w:w="100"/>
              <w:bottom w:type="dxa" w:w="60"/>
              <w:right w:type="dxa" w:w="100"/>
            </w:tcMar>
          </w:tcPr>
          <w:p>
            <w:r>
              <w:rPr>
                <w:rFonts w:ascii="Arial" w:cs="Arial" w:eastAsia="Arial" w:hAnsi="Arial"/>
                <w:b w:val="false"/>
                <w:bCs w:val="false"/>
                <w:color w:val="333333"/>
                <w:sz w:val="20"/>
                <w:szCs w:val="20"/>
              </w:rPr>
              <w:t xml:space="preserve">High leverage = higher equity beta</w:t>
            </w:r>
          </w:p>
        </w:tc>
      </w:tr>
      <w:tr>
        <w:tc>
          <w:tcPr>
            <w:tcW w:type="dxa" w:w="20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Revenue Cyclicality</w:t>
            </w:r>
          </w:p>
        </w:tc>
        <w:tc>
          <w:tcPr>
            <w:tcW w:type="dxa" w:w="32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Peer group median beta</w:t>
            </w:r>
          </w:p>
        </w:tc>
        <w:tc>
          <w:tcPr>
            <w:tcW w:type="dxa" w:w="416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Cyclical industries have higher betas</w:t>
            </w:r>
          </w:p>
        </w:tc>
      </w:tr>
      <w:tr>
        <w:tc>
          <w:tcPr>
            <w:tcW w:type="dxa" w:w="2000"/>
            <w:tcBorders>
              <w:top w:val="single" w:color="B0B8C4" w:sz="1"/>
              <w:left w:val="single" w:color="B0B8C4" w:sz="1"/>
              <w:bottom w:val="single" w:color="B0B8C4" w:sz="1"/>
              <w:right w:val="single" w:color="B0B8C4" w:sz="1"/>
            </w:tcBorders>
            <w:shd w:fill="EDF2F7" w:val="clear"/>
            <w:tcMar>
              <w:top w:type="dxa" w:w="60"/>
              <w:left w:type="dxa" w:w="100"/>
              <w:bottom w:type="dxa" w:w="60"/>
              <w:right w:type="dxa" w:w="100"/>
            </w:tcMar>
          </w:tcPr>
          <w:p>
            <w:r>
              <w:rPr>
                <w:rFonts w:ascii="Arial" w:cs="Arial" w:eastAsia="Arial" w:hAnsi="Arial"/>
                <w:b w:val="false"/>
                <w:bCs w:val="false"/>
                <w:color w:val="333333"/>
                <w:sz w:val="20"/>
                <w:szCs w:val="20"/>
              </w:rPr>
              <w:t xml:space="preserve">Duration (bonds)</w:t>
            </w:r>
          </w:p>
        </w:tc>
        <w:tc>
          <w:tcPr>
            <w:tcW w:type="dxa" w:w="3200"/>
            <w:tcBorders>
              <w:top w:val="single" w:color="B0B8C4" w:sz="1"/>
              <w:left w:val="single" w:color="B0B8C4" w:sz="1"/>
              <w:bottom w:val="single" w:color="B0B8C4" w:sz="1"/>
              <w:right w:val="single" w:color="B0B8C4" w:sz="1"/>
            </w:tcBorders>
            <w:shd w:fill="EDF2F7" w:val="clear"/>
            <w:tcMar>
              <w:top w:type="dxa" w:w="60"/>
              <w:left w:type="dxa" w:w="100"/>
              <w:bottom w:type="dxa" w:w="60"/>
              <w:right w:type="dxa" w:w="100"/>
            </w:tcMar>
          </w:tcPr>
          <w:p>
            <w:r>
              <w:rPr>
                <w:rFonts w:ascii="Arial" w:cs="Arial" w:eastAsia="Arial" w:hAnsi="Arial"/>
                <w:b w:val="false"/>
                <w:bCs w:val="false"/>
                <w:color w:val="333333"/>
                <w:sz w:val="20"/>
                <w:szCs w:val="20"/>
              </w:rPr>
              <w:t xml:space="preserve">β ≈ Duration_bond / Duration_index</w:t>
            </w:r>
          </w:p>
        </w:tc>
        <w:tc>
          <w:tcPr>
            <w:tcW w:type="dxa" w:w="4160"/>
            <w:tcBorders>
              <w:top w:val="single" w:color="B0B8C4" w:sz="1"/>
              <w:left w:val="single" w:color="B0B8C4" w:sz="1"/>
              <w:bottom w:val="single" w:color="B0B8C4" w:sz="1"/>
              <w:right w:val="single" w:color="B0B8C4" w:sz="1"/>
            </w:tcBorders>
            <w:shd w:fill="EDF2F7" w:val="clear"/>
            <w:tcMar>
              <w:top w:type="dxa" w:w="60"/>
              <w:left w:type="dxa" w:w="100"/>
              <w:bottom w:type="dxa" w:w="60"/>
              <w:right w:type="dxa" w:w="100"/>
            </w:tcMar>
          </w:tcPr>
          <w:p>
            <w:r>
              <w:rPr>
                <w:rFonts w:ascii="Arial" w:cs="Arial" w:eastAsia="Arial" w:hAnsi="Arial"/>
                <w:b w:val="false"/>
                <w:bCs w:val="false"/>
                <w:color w:val="333333"/>
                <w:sz w:val="20"/>
                <w:szCs w:val="20"/>
              </w:rPr>
              <w:t xml:space="preserve">Longer duration = higher rate beta</w:t>
            </w:r>
          </w:p>
        </w:tc>
      </w:tr>
      <w:tr>
        <w:tc>
          <w:tcPr>
            <w:tcW w:type="dxa" w:w="20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Spread Level (credit)</w:t>
            </w:r>
          </w:p>
        </w:tc>
        <w:tc>
          <w:tcPr>
            <w:tcW w:type="dxa" w:w="32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β ≈ Spread_name / Spread_index</w:t>
            </w:r>
          </w:p>
        </w:tc>
        <w:tc>
          <w:tcPr>
            <w:tcW w:type="dxa" w:w="416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Wider spread = higher credit beta</w:t>
            </w:r>
          </w:p>
        </w:tc>
      </w:tr>
      <w:tr>
        <w:tc>
          <w:tcPr>
            <w:tcW w:type="dxa" w:w="2000"/>
            <w:tcBorders>
              <w:top w:val="single" w:color="B0B8C4" w:sz="1"/>
              <w:left w:val="single" w:color="B0B8C4" w:sz="1"/>
              <w:bottom w:val="single" w:color="B0B8C4" w:sz="1"/>
              <w:right w:val="single" w:color="B0B8C4" w:sz="1"/>
            </w:tcBorders>
            <w:shd w:fill="EDF2F7" w:val="clear"/>
            <w:tcMar>
              <w:top w:type="dxa" w:w="60"/>
              <w:left w:type="dxa" w:w="100"/>
              <w:bottom w:type="dxa" w:w="60"/>
              <w:right w:type="dxa" w:w="100"/>
            </w:tcMar>
          </w:tcPr>
          <w:p>
            <w:r>
              <w:rPr>
                <w:rFonts w:ascii="Arial" w:cs="Arial" w:eastAsia="Arial" w:hAnsi="Arial"/>
                <w:b w:val="false"/>
                <w:bCs w:val="false"/>
                <w:color w:val="333333"/>
                <w:sz w:val="20"/>
                <w:szCs w:val="20"/>
              </w:rPr>
              <w:t xml:space="preserve">Earnings Sensitivity</w:t>
            </w:r>
          </w:p>
        </w:tc>
        <w:tc>
          <w:tcPr>
            <w:tcW w:type="dxa" w:w="3200"/>
            <w:tcBorders>
              <w:top w:val="single" w:color="B0B8C4" w:sz="1"/>
              <w:left w:val="single" w:color="B0B8C4" w:sz="1"/>
              <w:bottom w:val="single" w:color="B0B8C4" w:sz="1"/>
              <w:right w:val="single" w:color="B0B8C4" w:sz="1"/>
            </w:tcBorders>
            <w:shd w:fill="EDF2F7" w:val="clear"/>
            <w:tcMar>
              <w:top w:type="dxa" w:w="60"/>
              <w:left w:type="dxa" w:w="100"/>
              <w:bottom w:type="dxa" w:w="60"/>
              <w:right w:type="dxa" w:w="100"/>
            </w:tcMar>
          </w:tcPr>
          <w:p>
            <w:r>
              <w:rPr>
                <w:rFonts w:ascii="Arial" w:cs="Arial" w:eastAsia="Arial" w:hAnsi="Arial"/>
                <w:b w:val="false"/>
                <w:bCs w:val="false"/>
                <w:color w:val="333333"/>
                <w:sz w:val="20"/>
                <w:szCs w:val="20"/>
              </w:rPr>
              <w:t xml:space="preserve">Revenue_exposure to factor</w:t>
            </w:r>
          </w:p>
        </w:tc>
        <w:tc>
          <w:tcPr>
            <w:tcW w:type="dxa" w:w="4160"/>
            <w:tcBorders>
              <w:top w:val="single" w:color="B0B8C4" w:sz="1"/>
              <w:left w:val="single" w:color="B0B8C4" w:sz="1"/>
              <w:bottom w:val="single" w:color="B0B8C4" w:sz="1"/>
              <w:right w:val="single" w:color="B0B8C4" w:sz="1"/>
            </w:tcBorders>
            <w:shd w:fill="EDF2F7" w:val="clear"/>
            <w:tcMar>
              <w:top w:type="dxa" w:w="60"/>
              <w:left w:type="dxa" w:w="100"/>
              <w:bottom w:type="dxa" w:w="60"/>
              <w:right w:type="dxa" w:w="100"/>
            </w:tcMar>
          </w:tcPr>
          <w:p>
            <w:r>
              <w:rPr>
                <w:rFonts w:ascii="Arial" w:cs="Arial" w:eastAsia="Arial" w:hAnsi="Arial"/>
                <w:b w:val="false"/>
                <w:bCs w:val="false"/>
                <w:color w:val="333333"/>
                <w:sz w:val="20"/>
                <w:szCs w:val="20"/>
              </w:rPr>
              <w:t xml:space="preserve">Airlines → high oil beta</w:t>
            </w:r>
          </w:p>
        </w:tc>
      </w:tr>
    </w:tbl>
    <w:p>
      <w:r>
        <w:br w:type="page"/>
      </w:r>
    </w:p>
    <w:p>
      <w:pPr>
        <w:pStyle w:val="Heading2"/>
      </w:pPr>
      <w:r>
        <w:t xml:space="preserve">8. Shrinkage, Clamping &amp; Robustification</w:t>
      </w:r>
    </w:p>
    <w:p>
      <w:pPr>
        <w:spacing w:after="120" w:before="0"/>
      </w:pPr>
      <w:r>
        <w:rPr>
          <w:rFonts w:ascii="Arial" w:cs="Arial" w:eastAsia="Arial" w:hAnsi="Arial"/>
          <w:sz w:val="22"/>
          <w:szCs w:val="22"/>
        </w:rPr>
        <w:t xml:space="preserve">Raw OLS betas are noisy. Production systems must clean them up.</w:t>
      </w:r>
    </w:p>
    <w:p>
      <w:pPr>
        <w:spacing w:after="80"/>
      </w:pPr>
    </w:p>
    <w:p>
      <w:pPr>
        <w:pStyle w:val="Heading3"/>
      </w:pPr>
      <w:r>
        <w:t xml:space="preserve">8.1 Bayesian Shrinkage to Sector Beta</w:t>
      </w:r>
    </w:p>
    <w:p>
      <w:pPr>
        <w:spacing w:after="120" w:before="0"/>
      </w:pPr>
      <w:r>
        <w:rPr>
          <w:rFonts w:ascii="Arial" w:cs="Arial" w:eastAsia="Arial" w:hAnsi="Arial"/>
          <w:sz w:val="22"/>
          <w:szCs w:val="22"/>
        </w:rPr>
        <w:t xml:space="preserve">When a single-name beta has low statistical confidence, shrink it toward the sector average:</w:t>
      </w:r>
    </w:p>
    <w:p>
      <w:pPr>
        <w:spacing w:after="140" w:before="80"/>
        <w:jc w:val="center"/>
      </w:pPr>
      <w:r>
        <w:rPr>
          <w:rFonts w:ascii="Courier New" w:cs="Courier New" w:eastAsia="Courier New" w:hAnsi="Courier New"/>
          <w:b/>
          <w:bCs/>
          <w:color w:val="2C3E6B"/>
          <w:sz w:val="24"/>
          <w:szCs w:val="24"/>
        </w:rPr>
        <w:t xml:space="preserve">β_shrunk = λ · β_OLS + (1 - λ) · β_sector</w:t>
      </w:r>
    </w:p>
    <w:p>
      <w:pPr>
        <w:spacing w:after="120" w:before="0"/>
      </w:pPr>
      <w:r>
        <w:rPr>
          <w:rFonts w:ascii="Arial" w:cs="Arial" w:eastAsia="Arial" w:hAnsi="Arial"/>
          <w:sz w:val="22"/>
          <w:szCs w:val="22"/>
        </w:rPr>
        <w:t xml:space="preserve">Where shrinkage intensity depends on t-statistic:</w:t>
      </w:r>
    </w:p>
    <w:p>
      <w:pPr>
        <w:spacing w:after="140" w:before="80"/>
        <w:jc w:val="center"/>
      </w:pPr>
      <w:r>
        <w:rPr>
          <w:rFonts w:ascii="Courier New" w:cs="Courier New" w:eastAsia="Courier New" w:hAnsi="Courier New"/>
          <w:b/>
          <w:bCs/>
          <w:color w:val="2C3E6B"/>
          <w:sz w:val="24"/>
          <w:szCs w:val="24"/>
        </w:rPr>
        <w:t xml:space="preserve">λ = min(1, |t-stat| / 2)</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c>
          <w:tcPr>
            <w:tcW w:type="dxa" w:w="2000"/>
            <w:tcBorders>
              <w:top w:val="single" w:color="B0B8C4" w:sz="1"/>
              <w:left w:val="single" w:color="B0B8C4" w:sz="1"/>
              <w:bottom w:val="single" w:color="B0B8C4" w:sz="1"/>
              <w:right w:val="single" w:color="B0B8C4"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t-statistic</w:t>
            </w:r>
          </w:p>
        </w:tc>
        <w:tc>
          <w:tcPr>
            <w:tcW w:type="dxa" w:w="2400"/>
            <w:tcBorders>
              <w:top w:val="single" w:color="B0B8C4" w:sz="1"/>
              <w:left w:val="single" w:color="B0B8C4" w:sz="1"/>
              <w:bottom w:val="single" w:color="B0B8C4" w:sz="1"/>
              <w:right w:val="single" w:color="B0B8C4"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λ (weight on OLS)</w:t>
            </w:r>
          </w:p>
        </w:tc>
        <w:tc>
          <w:tcPr>
            <w:tcW w:type="dxa" w:w="4960"/>
            <w:tcBorders>
              <w:top w:val="single" w:color="B0B8C4" w:sz="1"/>
              <w:left w:val="single" w:color="B0B8C4" w:sz="1"/>
              <w:bottom w:val="single" w:color="B0B8C4" w:sz="1"/>
              <w:right w:val="single" w:color="B0B8C4"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Interpretation</w:t>
            </w:r>
          </w:p>
        </w:tc>
      </w:tr>
      <w:tr>
        <w:tc>
          <w:tcPr>
            <w:tcW w:type="dxa" w:w="2000"/>
            <w:tcBorders>
              <w:top w:val="single" w:color="B0B8C4" w:sz="1"/>
              <w:left w:val="single" w:color="B0B8C4" w:sz="1"/>
              <w:bottom w:val="single" w:color="B0B8C4" w:sz="1"/>
              <w:right w:val="single" w:color="B0B8C4" w:sz="1"/>
            </w:tcBorders>
            <w:shd w:fill="EDF2F7" w:val="clear"/>
            <w:tcMar>
              <w:top w:type="dxa" w:w="60"/>
              <w:left w:type="dxa" w:w="100"/>
              <w:bottom w:type="dxa" w:w="60"/>
              <w:right w:type="dxa" w:w="100"/>
            </w:tcMar>
          </w:tcPr>
          <w:p>
            <w:r>
              <w:rPr>
                <w:rFonts w:ascii="Arial" w:cs="Arial" w:eastAsia="Arial" w:hAnsi="Arial"/>
                <w:b w:val="false"/>
                <w:bCs w:val="false"/>
                <w:color w:val="333333"/>
                <w:sz w:val="20"/>
                <w:szCs w:val="20"/>
              </w:rPr>
              <w:t xml:space="preserve">&gt; 4.0</w:t>
            </w:r>
          </w:p>
        </w:tc>
        <w:tc>
          <w:tcPr>
            <w:tcW w:type="dxa" w:w="2400"/>
            <w:tcBorders>
              <w:top w:val="single" w:color="B0B8C4" w:sz="1"/>
              <w:left w:val="single" w:color="B0B8C4" w:sz="1"/>
              <w:bottom w:val="single" w:color="B0B8C4" w:sz="1"/>
              <w:right w:val="single" w:color="B0B8C4" w:sz="1"/>
            </w:tcBorders>
            <w:shd w:fill="EDF2F7" w:val="clear"/>
            <w:tcMar>
              <w:top w:type="dxa" w:w="60"/>
              <w:left w:type="dxa" w:w="100"/>
              <w:bottom w:type="dxa" w:w="60"/>
              <w:right w:type="dxa" w:w="100"/>
            </w:tcMar>
          </w:tcPr>
          <w:p>
            <w:r>
              <w:rPr>
                <w:rFonts w:ascii="Arial" w:cs="Arial" w:eastAsia="Arial" w:hAnsi="Arial"/>
                <w:b w:val="false"/>
                <w:bCs w:val="false"/>
                <w:color w:val="333333"/>
                <w:sz w:val="20"/>
                <w:szCs w:val="20"/>
              </w:rPr>
              <w:t xml:space="preserve">1.0</w:t>
            </w:r>
          </w:p>
        </w:tc>
        <w:tc>
          <w:tcPr>
            <w:tcW w:type="dxa" w:w="4960"/>
            <w:tcBorders>
              <w:top w:val="single" w:color="B0B8C4" w:sz="1"/>
              <w:left w:val="single" w:color="B0B8C4" w:sz="1"/>
              <w:bottom w:val="single" w:color="B0B8C4" w:sz="1"/>
              <w:right w:val="single" w:color="B0B8C4" w:sz="1"/>
            </w:tcBorders>
            <w:shd w:fill="EDF2F7" w:val="clear"/>
            <w:tcMar>
              <w:top w:type="dxa" w:w="60"/>
              <w:left w:type="dxa" w:w="100"/>
              <w:bottom w:type="dxa" w:w="60"/>
              <w:right w:type="dxa" w:w="100"/>
            </w:tcMar>
          </w:tcPr>
          <w:p>
            <w:r>
              <w:rPr>
                <w:rFonts w:ascii="Arial" w:cs="Arial" w:eastAsia="Arial" w:hAnsi="Arial"/>
                <w:b w:val="false"/>
                <w:bCs w:val="false"/>
                <w:color w:val="333333"/>
                <w:sz w:val="20"/>
                <w:szCs w:val="20"/>
              </w:rPr>
              <w:t xml:space="preserve">Strong signal. Use OLS beta as-is.</w:t>
            </w:r>
          </w:p>
        </w:tc>
      </w:tr>
      <w:tr>
        <w:tc>
          <w:tcPr>
            <w:tcW w:type="dxa" w:w="20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2.0 - 4.0</w:t>
            </w:r>
          </w:p>
        </w:tc>
        <w:tc>
          <w:tcPr>
            <w:tcW w:type="dxa" w:w="24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0.5 - 1.0</w:t>
            </w:r>
          </w:p>
        </w:tc>
        <w:tc>
          <w:tcPr>
            <w:tcW w:type="dxa" w:w="496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Moderate signal. Partial shrinkage to sector.</w:t>
            </w:r>
          </w:p>
        </w:tc>
      </w:tr>
      <w:tr>
        <w:tc>
          <w:tcPr>
            <w:tcW w:type="dxa" w:w="2000"/>
            <w:tcBorders>
              <w:top w:val="single" w:color="B0B8C4" w:sz="1"/>
              <w:left w:val="single" w:color="B0B8C4" w:sz="1"/>
              <w:bottom w:val="single" w:color="B0B8C4" w:sz="1"/>
              <w:right w:val="single" w:color="B0B8C4" w:sz="1"/>
            </w:tcBorders>
            <w:shd w:fill="EDF2F7" w:val="clear"/>
            <w:tcMar>
              <w:top w:type="dxa" w:w="60"/>
              <w:left w:type="dxa" w:w="100"/>
              <w:bottom w:type="dxa" w:w="60"/>
              <w:right w:type="dxa" w:w="100"/>
            </w:tcMar>
          </w:tcPr>
          <w:p>
            <w:r>
              <w:rPr>
                <w:rFonts w:ascii="Arial" w:cs="Arial" w:eastAsia="Arial" w:hAnsi="Arial"/>
                <w:b w:val="false"/>
                <w:bCs w:val="false"/>
                <w:color w:val="333333"/>
                <w:sz w:val="20"/>
                <w:szCs w:val="20"/>
              </w:rPr>
              <w:t xml:space="preserve">1.0 - 2.0</w:t>
            </w:r>
          </w:p>
        </w:tc>
        <w:tc>
          <w:tcPr>
            <w:tcW w:type="dxa" w:w="2400"/>
            <w:tcBorders>
              <w:top w:val="single" w:color="B0B8C4" w:sz="1"/>
              <w:left w:val="single" w:color="B0B8C4" w:sz="1"/>
              <w:bottom w:val="single" w:color="B0B8C4" w:sz="1"/>
              <w:right w:val="single" w:color="B0B8C4" w:sz="1"/>
            </w:tcBorders>
            <w:shd w:fill="EDF2F7" w:val="clear"/>
            <w:tcMar>
              <w:top w:type="dxa" w:w="60"/>
              <w:left w:type="dxa" w:w="100"/>
              <w:bottom w:type="dxa" w:w="60"/>
              <w:right w:type="dxa" w:w="100"/>
            </w:tcMar>
          </w:tcPr>
          <w:p>
            <w:r>
              <w:rPr>
                <w:rFonts w:ascii="Arial" w:cs="Arial" w:eastAsia="Arial" w:hAnsi="Arial"/>
                <w:b w:val="false"/>
                <w:bCs w:val="false"/>
                <w:color w:val="333333"/>
                <w:sz w:val="20"/>
                <w:szCs w:val="20"/>
              </w:rPr>
              <w:t xml:space="preserve">0.25 - 0.5</w:t>
            </w:r>
          </w:p>
        </w:tc>
        <w:tc>
          <w:tcPr>
            <w:tcW w:type="dxa" w:w="4960"/>
            <w:tcBorders>
              <w:top w:val="single" w:color="B0B8C4" w:sz="1"/>
              <w:left w:val="single" w:color="B0B8C4" w:sz="1"/>
              <w:bottom w:val="single" w:color="B0B8C4" w:sz="1"/>
              <w:right w:val="single" w:color="B0B8C4" w:sz="1"/>
            </w:tcBorders>
            <w:shd w:fill="EDF2F7" w:val="clear"/>
            <w:tcMar>
              <w:top w:type="dxa" w:w="60"/>
              <w:left w:type="dxa" w:w="100"/>
              <w:bottom w:type="dxa" w:w="60"/>
              <w:right w:type="dxa" w:w="100"/>
            </w:tcMar>
          </w:tcPr>
          <w:p>
            <w:r>
              <w:rPr>
                <w:rFonts w:ascii="Arial" w:cs="Arial" w:eastAsia="Arial" w:hAnsi="Arial"/>
                <w:b w:val="false"/>
                <w:bCs w:val="false"/>
                <w:color w:val="333333"/>
                <w:sz w:val="20"/>
                <w:szCs w:val="20"/>
              </w:rPr>
              <w:t xml:space="preserve">Weak signal. Heavy shrinkage to sector.</w:t>
            </w:r>
          </w:p>
        </w:tc>
      </w:tr>
      <w:tr>
        <w:tc>
          <w:tcPr>
            <w:tcW w:type="dxa" w:w="20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&lt; 1.0</w:t>
            </w:r>
          </w:p>
        </w:tc>
        <w:tc>
          <w:tcPr>
            <w:tcW w:type="dxa" w:w="24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&lt; 0.25</w:t>
            </w:r>
          </w:p>
        </w:tc>
        <w:tc>
          <w:tcPr>
            <w:tcW w:type="dxa" w:w="496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No signal. Essentially use sector beta.</w:t>
            </w:r>
          </w:p>
        </w:tc>
      </w:tr>
    </w:tbl>
    <w:p>
      <w:pPr>
        <w:spacing w:after="80"/>
      </w:pPr>
    </w:p>
    <w:p>
      <w:pPr>
        <w:pStyle w:val="Heading3"/>
      </w:pPr>
      <w:r>
        <w:t xml:space="preserve">8.2 Winsorization (Outlier Treatment)</w:t>
      </w:r>
    </w:p>
    <w:p>
      <w:pPr>
        <w:spacing w:after="120" w:before="0"/>
      </w:pPr>
      <w:r>
        <w:rPr>
          <w:rFonts w:ascii="Arial" w:cs="Arial" w:eastAsia="Arial" w:hAnsi="Arial"/>
          <w:sz w:val="22"/>
          <w:szCs w:val="22"/>
        </w:rPr>
        <w:t xml:space="preserve">Before regression, cap extreme returns at the 1st/99th percentile:</w:t>
      </w:r>
    </w:p>
    <w:p>
      <w:pPr>
        <w:spacing w:after="140" w:before="80"/>
        <w:jc w:val="center"/>
      </w:pPr>
      <w:r>
        <w:rPr>
          <w:rFonts w:ascii="Courier New" w:cs="Courier New" w:eastAsia="Courier New" w:hAnsi="Courier New"/>
          <w:b/>
          <w:bCs/>
          <w:color w:val="2C3E6B"/>
          <w:sz w:val="24"/>
          <w:szCs w:val="24"/>
        </w:rPr>
        <w:t xml:space="preserve">R_winsorized = max(P₁, min(P₉₉, R_raw))</w:t>
      </w:r>
    </w:p>
    <w:p>
      <w:pPr>
        <w:spacing w:after="120" w:before="0"/>
      </w:pPr>
      <w:r>
        <w:rPr>
          <w:rFonts w:ascii="Arial" w:cs="Arial" w:eastAsia="Arial" w:hAnsi="Arial"/>
          <w:sz w:val="22"/>
          <w:szCs w:val="22"/>
        </w:rPr>
        <w:t xml:space="preserve">This prevents a single extreme day from dominating the beta estimate.</w:t>
      </w:r>
    </w:p>
    <w:p>
      <w:pPr>
        <w:spacing w:after="80"/>
      </w:pPr>
    </w:p>
    <w:p>
      <w:pPr>
        <w:pStyle w:val="Heading3"/>
      </w:pPr>
      <w:r>
        <w:t xml:space="preserve">8.3 Beta Clamping (Bounds Enforcement)</w:t>
      </w:r>
    </w:p>
    <w:p>
      <w:pPr>
        <w:spacing w:after="120" w:before="0"/>
      </w:pPr>
      <w:r>
        <w:rPr>
          <w:rFonts w:ascii="Arial" w:cs="Arial" w:eastAsia="Arial" w:hAnsi="Arial"/>
          <w:sz w:val="22"/>
          <w:szCs w:val="22"/>
        </w:rPr>
        <w:t xml:space="preserve">Prevent unrealistic betas from entering the production system:</w:t>
      </w:r>
    </w:p>
    <w:p>
      <w:pPr>
        <w:spacing w:after="140" w:before="80"/>
        <w:jc w:val="center"/>
      </w:pPr>
      <w:r>
        <w:rPr>
          <w:rFonts w:ascii="Courier New" w:cs="Courier New" w:eastAsia="Courier New" w:hAnsi="Courier New"/>
          <w:b/>
          <w:bCs/>
          <w:color w:val="2C3E6B"/>
          <w:sz w:val="24"/>
          <w:szCs w:val="24"/>
        </w:rPr>
        <w:t xml:space="preserve">β_final = max(β_min, min(β_max, β_shrunk))</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200"/>
        <w:gridCol w:w="4760"/>
      </w:tblGrid>
      <w:tr>
        <w:tc>
          <w:tcPr>
            <w:tcW w:type="dxa" w:w="2200"/>
            <w:tcBorders>
              <w:top w:val="single" w:color="B0B8C4" w:sz="1"/>
              <w:left w:val="single" w:color="B0B8C4" w:sz="1"/>
              <w:bottom w:val="single" w:color="B0B8C4" w:sz="1"/>
              <w:right w:val="single" w:color="B0B8C4"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Asset Class</w:t>
            </w:r>
          </w:p>
        </w:tc>
        <w:tc>
          <w:tcPr>
            <w:tcW w:type="dxa" w:w="1200"/>
            <w:tcBorders>
              <w:top w:val="single" w:color="B0B8C4" w:sz="1"/>
              <w:left w:val="single" w:color="B0B8C4" w:sz="1"/>
              <w:bottom w:val="single" w:color="B0B8C4" w:sz="1"/>
              <w:right w:val="single" w:color="B0B8C4"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β Floor</w:t>
            </w:r>
          </w:p>
        </w:tc>
        <w:tc>
          <w:tcPr>
            <w:tcW w:type="dxa" w:w="1200"/>
            <w:tcBorders>
              <w:top w:val="single" w:color="B0B8C4" w:sz="1"/>
              <w:left w:val="single" w:color="B0B8C4" w:sz="1"/>
              <w:bottom w:val="single" w:color="B0B8C4" w:sz="1"/>
              <w:right w:val="single" w:color="B0B8C4"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β Ceiling</w:t>
            </w:r>
          </w:p>
        </w:tc>
        <w:tc>
          <w:tcPr>
            <w:tcW w:type="dxa" w:w="4760"/>
            <w:tcBorders>
              <w:top w:val="single" w:color="B0B8C4" w:sz="1"/>
              <w:left w:val="single" w:color="B0B8C4" w:sz="1"/>
              <w:bottom w:val="single" w:color="B0B8C4" w:sz="1"/>
              <w:right w:val="single" w:color="B0B8C4"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Exception</w:t>
            </w:r>
          </w:p>
        </w:tc>
      </w:tr>
      <w:tr>
        <w:tc>
          <w:tcPr>
            <w:tcW w:type="dxa" w:w="2200"/>
            <w:tcBorders>
              <w:top w:val="single" w:color="B0B8C4" w:sz="1"/>
              <w:left w:val="single" w:color="B0B8C4" w:sz="1"/>
              <w:bottom w:val="single" w:color="B0B8C4" w:sz="1"/>
              <w:right w:val="single" w:color="B0B8C4" w:sz="1"/>
            </w:tcBorders>
            <w:shd w:fill="EDF2F7" w:val="clear"/>
            <w:tcMar>
              <w:top w:type="dxa" w:w="60"/>
              <w:left w:type="dxa" w:w="100"/>
              <w:bottom w:type="dxa" w:w="60"/>
              <w:right w:type="dxa" w:w="100"/>
            </w:tcMar>
          </w:tcPr>
          <w:p>
            <w:r>
              <w:rPr>
                <w:rFonts w:ascii="Arial" w:cs="Arial" w:eastAsia="Arial" w:hAnsi="Arial"/>
                <w:b w:val="false"/>
                <w:bCs w:val="false"/>
                <w:color w:val="333333"/>
                <w:sz w:val="20"/>
                <w:szCs w:val="20"/>
              </w:rPr>
              <w:t xml:space="preserve">Equity to broad index</w:t>
            </w:r>
          </w:p>
        </w:tc>
        <w:tc>
          <w:tcPr>
            <w:tcW w:type="dxa" w:w="1200"/>
            <w:tcBorders>
              <w:top w:val="single" w:color="B0B8C4" w:sz="1"/>
              <w:left w:val="single" w:color="B0B8C4" w:sz="1"/>
              <w:bottom w:val="single" w:color="B0B8C4" w:sz="1"/>
              <w:right w:val="single" w:color="B0B8C4" w:sz="1"/>
            </w:tcBorders>
            <w:shd w:fill="EDF2F7" w:val="clear"/>
            <w:tcMar>
              <w:top w:type="dxa" w:w="60"/>
              <w:left w:type="dxa" w:w="100"/>
              <w:bottom w:type="dxa" w:w="60"/>
              <w:right w:type="dxa" w:w="100"/>
            </w:tcMar>
          </w:tcPr>
          <w:p>
            <w:r>
              <w:rPr>
                <w:rFonts w:ascii="Arial" w:cs="Arial" w:eastAsia="Arial" w:hAnsi="Arial"/>
                <w:b w:val="false"/>
                <w:bCs w:val="false"/>
                <w:color w:val="333333"/>
                <w:sz w:val="20"/>
                <w:szCs w:val="20"/>
              </w:rPr>
              <w:t xml:space="preserve">0.60</w:t>
            </w:r>
          </w:p>
        </w:tc>
        <w:tc>
          <w:tcPr>
            <w:tcW w:type="dxa" w:w="1200"/>
            <w:tcBorders>
              <w:top w:val="single" w:color="B0B8C4" w:sz="1"/>
              <w:left w:val="single" w:color="B0B8C4" w:sz="1"/>
              <w:bottom w:val="single" w:color="B0B8C4" w:sz="1"/>
              <w:right w:val="single" w:color="B0B8C4" w:sz="1"/>
            </w:tcBorders>
            <w:shd w:fill="EDF2F7" w:val="clear"/>
            <w:tcMar>
              <w:top w:type="dxa" w:w="60"/>
              <w:left w:type="dxa" w:w="100"/>
              <w:bottom w:type="dxa" w:w="60"/>
              <w:right w:type="dxa" w:w="100"/>
            </w:tcMar>
          </w:tcPr>
          <w:p>
            <w:r>
              <w:rPr>
                <w:rFonts w:ascii="Arial" w:cs="Arial" w:eastAsia="Arial" w:hAnsi="Arial"/>
                <w:b w:val="false"/>
                <w:bCs w:val="false"/>
                <w:color w:val="333333"/>
                <w:sz w:val="20"/>
                <w:szCs w:val="20"/>
              </w:rPr>
              <w:t xml:space="preserve">1.40</w:t>
            </w:r>
          </w:p>
        </w:tc>
        <w:tc>
          <w:tcPr>
            <w:tcW w:type="dxa" w:w="4760"/>
            <w:tcBorders>
              <w:top w:val="single" w:color="B0B8C4" w:sz="1"/>
              <w:left w:val="single" w:color="B0B8C4" w:sz="1"/>
              <w:bottom w:val="single" w:color="B0B8C4" w:sz="1"/>
              <w:right w:val="single" w:color="B0B8C4" w:sz="1"/>
            </w:tcBorders>
            <w:shd w:fill="EDF2F7" w:val="clear"/>
            <w:tcMar>
              <w:top w:type="dxa" w:w="60"/>
              <w:left w:type="dxa" w:w="100"/>
              <w:bottom w:type="dxa" w:w="60"/>
              <w:right w:type="dxa" w:w="100"/>
            </w:tcMar>
          </w:tcPr>
          <w:p>
            <w:r>
              <w:rPr>
                <w:rFonts w:ascii="Arial" w:cs="Arial" w:eastAsia="Arial" w:hAnsi="Arial"/>
                <w:b w:val="false"/>
                <w:bCs w:val="false"/>
                <w:color w:val="333333"/>
                <w:sz w:val="20"/>
                <w:szCs w:val="20"/>
              </w:rPr>
              <w:t xml:space="preserve">Defensive sectors (Utils): may be &lt;0.6</w:t>
            </w:r>
          </w:p>
        </w:tc>
      </w:tr>
      <w:tr>
        <w:tc>
          <w:tcPr>
            <w:tcW w:type="dxa" w:w="22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Equity to sector</w:t>
            </w:r>
          </w:p>
        </w:tc>
        <w:tc>
          <w:tcPr>
            <w:tcW w:type="dxa" w:w="12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0.70</w:t>
            </w:r>
          </w:p>
        </w:tc>
        <w:tc>
          <w:tcPr>
            <w:tcW w:type="dxa" w:w="12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1.50</w:t>
            </w:r>
          </w:p>
        </w:tc>
        <w:tc>
          <w:tcPr>
            <w:tcW w:type="dxa" w:w="476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High-beta growth: may exceed 1.5</w:t>
            </w:r>
          </w:p>
        </w:tc>
      </w:tr>
      <w:tr>
        <w:tc>
          <w:tcPr>
            <w:tcW w:type="dxa" w:w="2200"/>
            <w:tcBorders>
              <w:top w:val="single" w:color="B0B8C4" w:sz="1"/>
              <w:left w:val="single" w:color="B0B8C4" w:sz="1"/>
              <w:bottom w:val="single" w:color="B0B8C4" w:sz="1"/>
              <w:right w:val="single" w:color="B0B8C4" w:sz="1"/>
            </w:tcBorders>
            <w:shd w:fill="EDF2F7" w:val="clear"/>
            <w:tcMar>
              <w:top w:type="dxa" w:w="60"/>
              <w:left w:type="dxa" w:w="100"/>
              <w:bottom w:type="dxa" w:w="60"/>
              <w:right w:type="dxa" w:w="100"/>
            </w:tcMar>
          </w:tcPr>
          <w:p>
            <w:r>
              <w:rPr>
                <w:rFonts w:ascii="Arial" w:cs="Arial" w:eastAsia="Arial" w:hAnsi="Arial"/>
                <w:b w:val="false"/>
                <w:bCs w:val="false"/>
                <w:color w:val="333333"/>
                <w:sz w:val="20"/>
                <w:szCs w:val="20"/>
              </w:rPr>
              <w:t xml:space="preserve">Credit to index</w:t>
            </w:r>
          </w:p>
        </w:tc>
        <w:tc>
          <w:tcPr>
            <w:tcW w:type="dxa" w:w="1200"/>
            <w:tcBorders>
              <w:top w:val="single" w:color="B0B8C4" w:sz="1"/>
              <w:left w:val="single" w:color="B0B8C4" w:sz="1"/>
              <w:bottom w:val="single" w:color="B0B8C4" w:sz="1"/>
              <w:right w:val="single" w:color="B0B8C4" w:sz="1"/>
            </w:tcBorders>
            <w:shd w:fill="EDF2F7" w:val="clear"/>
            <w:tcMar>
              <w:top w:type="dxa" w:w="60"/>
              <w:left w:type="dxa" w:w="100"/>
              <w:bottom w:type="dxa" w:w="60"/>
              <w:right w:type="dxa" w:w="100"/>
            </w:tcMar>
          </w:tcPr>
          <w:p>
            <w:r>
              <w:rPr>
                <w:rFonts w:ascii="Arial" w:cs="Arial" w:eastAsia="Arial" w:hAnsi="Arial"/>
                <w:b w:val="false"/>
                <w:bCs w:val="false"/>
                <w:color w:val="333333"/>
                <w:sz w:val="20"/>
                <w:szCs w:val="20"/>
              </w:rPr>
              <w:t xml:space="preserve">0.50</w:t>
            </w:r>
          </w:p>
        </w:tc>
        <w:tc>
          <w:tcPr>
            <w:tcW w:type="dxa" w:w="1200"/>
            <w:tcBorders>
              <w:top w:val="single" w:color="B0B8C4" w:sz="1"/>
              <w:left w:val="single" w:color="B0B8C4" w:sz="1"/>
              <w:bottom w:val="single" w:color="B0B8C4" w:sz="1"/>
              <w:right w:val="single" w:color="B0B8C4" w:sz="1"/>
            </w:tcBorders>
            <w:shd w:fill="EDF2F7" w:val="clear"/>
            <w:tcMar>
              <w:top w:type="dxa" w:w="60"/>
              <w:left w:type="dxa" w:w="100"/>
              <w:bottom w:type="dxa" w:w="60"/>
              <w:right w:type="dxa" w:w="100"/>
            </w:tcMar>
          </w:tcPr>
          <w:p>
            <w:r>
              <w:rPr>
                <w:rFonts w:ascii="Arial" w:cs="Arial" w:eastAsia="Arial" w:hAnsi="Arial"/>
                <w:b w:val="false"/>
                <w:bCs w:val="false"/>
                <w:color w:val="333333"/>
                <w:sz w:val="20"/>
                <w:szCs w:val="20"/>
              </w:rPr>
              <w:t xml:space="preserve">2.00</w:t>
            </w:r>
          </w:p>
        </w:tc>
        <w:tc>
          <w:tcPr>
            <w:tcW w:type="dxa" w:w="4760"/>
            <w:tcBorders>
              <w:top w:val="single" w:color="B0B8C4" w:sz="1"/>
              <w:left w:val="single" w:color="B0B8C4" w:sz="1"/>
              <w:bottom w:val="single" w:color="B0B8C4" w:sz="1"/>
              <w:right w:val="single" w:color="B0B8C4" w:sz="1"/>
            </w:tcBorders>
            <w:shd w:fill="EDF2F7" w:val="clear"/>
            <w:tcMar>
              <w:top w:type="dxa" w:w="60"/>
              <w:left w:type="dxa" w:w="100"/>
              <w:bottom w:type="dxa" w:w="60"/>
              <w:right w:type="dxa" w:w="100"/>
            </w:tcMar>
          </w:tcPr>
          <w:p>
            <w:r>
              <w:rPr>
                <w:rFonts w:ascii="Arial" w:cs="Arial" w:eastAsia="Arial" w:hAnsi="Arial"/>
                <w:b w:val="false"/>
                <w:bCs w:val="false"/>
                <w:color w:val="333333"/>
                <w:sz w:val="20"/>
                <w:szCs w:val="20"/>
              </w:rPr>
              <w:t xml:space="preserve">Distressed names: can exceed 2.0</w:t>
            </w:r>
          </w:p>
        </w:tc>
      </w:tr>
      <w:tr>
        <w:tc>
          <w:tcPr>
            <w:tcW w:type="dxa" w:w="22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FX to DXY</w:t>
            </w:r>
          </w:p>
        </w:tc>
        <w:tc>
          <w:tcPr>
            <w:tcW w:type="dxa" w:w="12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0.60</w:t>
            </w:r>
          </w:p>
        </w:tc>
        <w:tc>
          <w:tcPr>
            <w:tcW w:type="dxa" w:w="12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1.40</w:t>
            </w:r>
          </w:p>
        </w:tc>
        <w:tc>
          <w:tcPr>
            <w:tcW w:type="dxa" w:w="476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EM pairs: can exceed 1.4 with overlay</w:t>
            </w:r>
          </w:p>
        </w:tc>
      </w:tr>
    </w:tbl>
    <w:p>
      <w:r>
        <w:br w:type="page"/>
      </w:r>
    </w:p>
    <w:p>
      <w:pPr>
        <w:pStyle w:val="Heading2"/>
      </w:pPr>
      <w:r>
        <w:t xml:space="preserve">9. Multiplier Stacking</w:t>
      </w:r>
    </w:p>
    <w:p>
      <w:pPr>
        <w:spacing w:after="120" w:before="0"/>
      </w:pPr>
      <w:r>
        <w:rPr>
          <w:rFonts w:ascii="Arial" w:cs="Arial" w:eastAsia="Arial" w:hAnsi="Arial"/>
          <w:sz w:val="22"/>
          <w:szCs w:val="22"/>
        </w:rPr>
        <w:t xml:space="preserve">Once you have the base beta, additional multipliers adjust for structural characteristics. All multipliers stack multiplicatively:</w:t>
      </w:r>
    </w:p>
    <w:p>
      <w:pPr>
        <w:spacing w:after="140" w:before="80"/>
        <w:jc w:val="center"/>
      </w:pPr>
      <w:r>
        <w:rPr>
          <w:rFonts w:ascii="Courier New" w:cs="Courier New" w:eastAsia="Courier New" w:hAnsi="Courier New"/>
          <w:b/>
          <w:bCs/>
          <w:color w:val="2C3E6B"/>
          <w:sz w:val="24"/>
          <w:szCs w:val="24"/>
        </w:rPr>
        <w:t xml:space="preserve">Final_Shock = Anchor_Shock × β × Rating_Mult × Sector_Mult × Tenor_Mult × Seniority_Mult × Geo_Mult</w:t>
      </w:r>
    </w:p>
    <w:p>
      <w:pPr>
        <w:spacing w:after="80"/>
      </w:pPr>
    </w:p>
    <w:p>
      <w:pPr>
        <w:pStyle w:val="Heading3"/>
      </w:pPr>
      <w:r>
        <w:t xml:space="preserve">9.1 Why Multiplicative, Not Additive?</w:t>
      </w:r>
    </w:p>
    <w:p>
      <w:pPr>
        <w:spacing w:after="120" w:before="0"/>
      </w:pPr>
      <w:r>
        <w:rPr>
          <w:rFonts w:ascii="Arial" w:cs="Arial" w:eastAsia="Arial" w:hAnsi="Arial"/>
          <w:sz w:val="22"/>
          <w:szCs w:val="22"/>
        </w:rPr>
        <w:t xml:space="preserve">Multiplicative stacking preserves relative severity. If BBB spreads are 1.30x the IG composite in normal times, they should be approximately 1.30x (or more) in stress. Additive stacking would make BBB/AAA ratios collapse toward 1 as shocks increase.</w:t>
      </w:r>
    </w:p>
    <w:p>
      <w:pPr>
        <w:spacing w:after="80"/>
      </w:pPr>
    </w:p>
    <w:p>
      <w:pPr>
        <w:pStyle w:val="Heading3"/>
      </w:pPr>
      <w:r>
        <w:t xml:space="preserve">9.2 Multiplier Interaction Example</w:t>
      </w:r>
    </w:p>
    <w:p>
      <w:pPr>
        <w:spacing w:after="120" w:before="0"/>
      </w:pPr>
      <w:r>
        <w:rPr>
          <w:rFonts w:ascii="Arial" w:cs="Arial" w:eastAsia="Arial" w:hAnsi="Arial"/>
          <w:sz w:val="22"/>
          <w:szCs w:val="22"/>
        </w:rPr>
        <w:t xml:space="preserve">Target: CP.US.IG.BBB.Technology.Senior.Unsec.5Y</w:t>
      </w:r>
    </w:p>
    <w:p>
      <w:pPr>
        <w:spacing w:after="120" w:before="0"/>
      </w:pPr>
      <w:r>
        <w:rPr>
          <w:rFonts w:ascii="Arial" w:cs="Arial" w:eastAsia="Arial" w:hAnsi="Arial"/>
          <w:sz w:val="22"/>
          <w:szCs w:val="22"/>
        </w:rPr>
        <w:t xml:space="preserve">Anchor: CDX IG 5Y = +125bp severe shock</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1200"/>
        <w:gridCol w:w="4360"/>
      </w:tblGrid>
      <w:tr>
        <w:tc>
          <w:tcPr>
            <w:tcW w:type="dxa" w:w="1600"/>
            <w:tcBorders>
              <w:top w:val="single" w:color="B0B8C4" w:sz="1"/>
              <w:left w:val="single" w:color="B0B8C4" w:sz="1"/>
              <w:bottom w:val="single" w:color="B0B8C4" w:sz="1"/>
              <w:right w:val="single" w:color="B0B8C4"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Step</w:t>
            </w:r>
          </w:p>
        </w:tc>
        <w:tc>
          <w:tcPr>
            <w:tcW w:type="dxa" w:w="2200"/>
            <w:tcBorders>
              <w:top w:val="single" w:color="B0B8C4" w:sz="1"/>
              <w:left w:val="single" w:color="B0B8C4" w:sz="1"/>
              <w:bottom w:val="single" w:color="B0B8C4" w:sz="1"/>
              <w:right w:val="single" w:color="B0B8C4"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Multiplier</w:t>
            </w:r>
          </w:p>
        </w:tc>
        <w:tc>
          <w:tcPr>
            <w:tcW w:type="dxa" w:w="1200"/>
            <w:tcBorders>
              <w:top w:val="single" w:color="B0B8C4" w:sz="1"/>
              <w:left w:val="single" w:color="B0B8C4" w:sz="1"/>
              <w:bottom w:val="single" w:color="B0B8C4" w:sz="1"/>
              <w:right w:val="single" w:color="B0B8C4"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Value</w:t>
            </w:r>
          </w:p>
        </w:tc>
        <w:tc>
          <w:tcPr>
            <w:tcW w:type="dxa" w:w="4360"/>
            <w:tcBorders>
              <w:top w:val="single" w:color="B0B8C4" w:sz="1"/>
              <w:left w:val="single" w:color="B0B8C4" w:sz="1"/>
              <w:bottom w:val="single" w:color="B0B8C4" w:sz="1"/>
              <w:right w:val="single" w:color="B0B8C4"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Cumulative Shock</w:t>
            </w:r>
          </w:p>
        </w:tc>
      </w:tr>
      <w:tr>
        <w:tc>
          <w:tcPr>
            <w:tcW w:type="dxa" w:w="1600"/>
            <w:tcBorders>
              <w:top w:val="single" w:color="B0B8C4" w:sz="1"/>
              <w:left w:val="single" w:color="B0B8C4" w:sz="1"/>
              <w:bottom w:val="single" w:color="B0B8C4" w:sz="1"/>
              <w:right w:val="single" w:color="B0B8C4" w:sz="1"/>
            </w:tcBorders>
            <w:shd w:fill="EDF2F7" w:val="clear"/>
            <w:tcMar>
              <w:top w:type="dxa" w:w="60"/>
              <w:left w:type="dxa" w:w="100"/>
              <w:bottom w:type="dxa" w:w="60"/>
              <w:right w:type="dxa" w:w="100"/>
            </w:tcMar>
          </w:tcPr>
          <w:p>
            <w:r>
              <w:rPr>
                <w:rFonts w:ascii="Arial" w:cs="Arial" w:eastAsia="Arial" w:hAnsi="Arial"/>
                <w:b w:val="false"/>
                <w:bCs w:val="false"/>
                <w:color w:val="333333"/>
                <w:sz w:val="20"/>
                <w:szCs w:val="20"/>
              </w:rPr>
              <w:t xml:space="preserve">Anchor</w:t>
            </w:r>
          </w:p>
        </w:tc>
        <w:tc>
          <w:tcPr>
            <w:tcW w:type="dxa" w:w="2200"/>
            <w:tcBorders>
              <w:top w:val="single" w:color="B0B8C4" w:sz="1"/>
              <w:left w:val="single" w:color="B0B8C4" w:sz="1"/>
              <w:bottom w:val="single" w:color="B0B8C4" w:sz="1"/>
              <w:right w:val="single" w:color="B0B8C4" w:sz="1"/>
            </w:tcBorders>
            <w:shd w:fill="EDF2F7" w:val="clear"/>
            <w:tcMar>
              <w:top w:type="dxa" w:w="60"/>
              <w:left w:type="dxa" w:w="100"/>
              <w:bottom w:type="dxa" w:w="60"/>
              <w:right w:type="dxa" w:w="100"/>
            </w:tcMar>
          </w:tcPr>
          <w:p>
            <w:r>
              <w:rPr>
                <w:rFonts w:ascii="Arial" w:cs="Arial" w:eastAsia="Arial" w:hAnsi="Arial"/>
                <w:b w:val="false"/>
                <w:bCs w:val="false"/>
                <w:color w:val="333333"/>
                <w:sz w:val="20"/>
                <w:szCs w:val="20"/>
              </w:rPr>
              <w:t xml:space="preserve">CDX IG 5Y</w:t>
            </w:r>
          </w:p>
        </w:tc>
        <w:tc>
          <w:tcPr>
            <w:tcW w:type="dxa" w:w="1200"/>
            <w:tcBorders>
              <w:top w:val="single" w:color="B0B8C4" w:sz="1"/>
              <w:left w:val="single" w:color="B0B8C4" w:sz="1"/>
              <w:bottom w:val="single" w:color="B0B8C4" w:sz="1"/>
              <w:right w:val="single" w:color="B0B8C4" w:sz="1"/>
            </w:tcBorders>
            <w:shd w:fill="EDF2F7" w:val="clear"/>
            <w:tcMar>
              <w:top w:type="dxa" w:w="60"/>
              <w:left w:type="dxa" w:w="100"/>
              <w:bottom w:type="dxa" w:w="60"/>
              <w:right w:type="dxa" w:w="100"/>
            </w:tcMar>
          </w:tcPr>
          <w:p>
            <w:r>
              <w:rPr>
                <w:rFonts w:ascii="Arial" w:cs="Arial" w:eastAsia="Arial" w:hAnsi="Arial"/>
                <w:b w:val="false"/>
                <w:bCs w:val="false"/>
                <w:color w:val="333333"/>
                <w:sz w:val="20"/>
                <w:szCs w:val="20"/>
              </w:rPr>
              <w:t xml:space="preserve">125 bp</w:t>
            </w:r>
          </w:p>
        </w:tc>
        <w:tc>
          <w:tcPr>
            <w:tcW w:type="dxa" w:w="4360"/>
            <w:tcBorders>
              <w:top w:val="single" w:color="B0B8C4" w:sz="1"/>
              <w:left w:val="single" w:color="B0B8C4" w:sz="1"/>
              <w:bottom w:val="single" w:color="B0B8C4" w:sz="1"/>
              <w:right w:val="single" w:color="B0B8C4" w:sz="1"/>
            </w:tcBorders>
            <w:shd w:fill="EDF2F7" w:val="clear"/>
            <w:tcMar>
              <w:top w:type="dxa" w:w="60"/>
              <w:left w:type="dxa" w:w="100"/>
              <w:bottom w:type="dxa" w:w="60"/>
              <w:right w:type="dxa" w:w="100"/>
            </w:tcMar>
          </w:tcPr>
          <w:p>
            <w:r>
              <w:rPr>
                <w:rFonts w:ascii="Arial" w:cs="Arial" w:eastAsia="Arial" w:hAnsi="Arial"/>
                <w:b w:val="false"/>
                <w:bCs w:val="false"/>
                <w:color w:val="333333"/>
                <w:sz w:val="20"/>
                <w:szCs w:val="20"/>
              </w:rPr>
              <w:t xml:space="preserve">125 bp</w:t>
            </w:r>
          </w:p>
        </w:tc>
      </w:tr>
      <w:tr>
        <w:tc>
          <w:tcPr>
            <w:tcW w:type="dxa" w:w="16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Rating</w:t>
            </w:r>
          </w:p>
        </w:tc>
        <w:tc>
          <w:tcPr>
            <w:tcW w:type="dxa" w:w="22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BBB = 1.30x</w:t>
            </w:r>
          </w:p>
        </w:tc>
        <w:tc>
          <w:tcPr>
            <w:tcW w:type="dxa" w:w="12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1.30</w:t>
            </w:r>
          </w:p>
        </w:tc>
        <w:tc>
          <w:tcPr>
            <w:tcW w:type="dxa" w:w="436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163 bp</w:t>
            </w:r>
          </w:p>
        </w:tc>
      </w:tr>
      <w:tr>
        <w:tc>
          <w:tcPr>
            <w:tcW w:type="dxa" w:w="1600"/>
            <w:tcBorders>
              <w:top w:val="single" w:color="B0B8C4" w:sz="1"/>
              <w:left w:val="single" w:color="B0B8C4" w:sz="1"/>
              <w:bottom w:val="single" w:color="B0B8C4" w:sz="1"/>
              <w:right w:val="single" w:color="B0B8C4" w:sz="1"/>
            </w:tcBorders>
            <w:shd w:fill="EDF2F7" w:val="clear"/>
            <w:tcMar>
              <w:top w:type="dxa" w:w="60"/>
              <w:left w:type="dxa" w:w="100"/>
              <w:bottom w:type="dxa" w:w="60"/>
              <w:right w:type="dxa" w:w="100"/>
            </w:tcMar>
          </w:tcPr>
          <w:p>
            <w:r>
              <w:rPr>
                <w:rFonts w:ascii="Arial" w:cs="Arial" w:eastAsia="Arial" w:hAnsi="Arial"/>
                <w:b w:val="false"/>
                <w:bCs w:val="false"/>
                <w:color w:val="333333"/>
                <w:sz w:val="20"/>
                <w:szCs w:val="20"/>
              </w:rPr>
              <w:t xml:space="preserve">Sector</w:t>
            </w:r>
          </w:p>
        </w:tc>
        <w:tc>
          <w:tcPr>
            <w:tcW w:type="dxa" w:w="2200"/>
            <w:tcBorders>
              <w:top w:val="single" w:color="B0B8C4" w:sz="1"/>
              <w:left w:val="single" w:color="B0B8C4" w:sz="1"/>
              <w:bottom w:val="single" w:color="B0B8C4" w:sz="1"/>
              <w:right w:val="single" w:color="B0B8C4" w:sz="1"/>
            </w:tcBorders>
            <w:shd w:fill="EDF2F7" w:val="clear"/>
            <w:tcMar>
              <w:top w:type="dxa" w:w="60"/>
              <w:left w:type="dxa" w:w="100"/>
              <w:bottom w:type="dxa" w:w="60"/>
              <w:right w:type="dxa" w:w="100"/>
            </w:tcMar>
          </w:tcPr>
          <w:p>
            <w:r>
              <w:rPr>
                <w:rFonts w:ascii="Arial" w:cs="Arial" w:eastAsia="Arial" w:hAnsi="Arial"/>
                <w:b w:val="false"/>
                <w:bCs w:val="false"/>
                <w:color w:val="333333"/>
                <w:sz w:val="20"/>
                <w:szCs w:val="20"/>
              </w:rPr>
              <w:t xml:space="preserve">Technology = 1.40x</w:t>
            </w:r>
          </w:p>
        </w:tc>
        <w:tc>
          <w:tcPr>
            <w:tcW w:type="dxa" w:w="1200"/>
            <w:tcBorders>
              <w:top w:val="single" w:color="B0B8C4" w:sz="1"/>
              <w:left w:val="single" w:color="B0B8C4" w:sz="1"/>
              <w:bottom w:val="single" w:color="B0B8C4" w:sz="1"/>
              <w:right w:val="single" w:color="B0B8C4" w:sz="1"/>
            </w:tcBorders>
            <w:shd w:fill="EDF2F7" w:val="clear"/>
            <w:tcMar>
              <w:top w:type="dxa" w:w="60"/>
              <w:left w:type="dxa" w:w="100"/>
              <w:bottom w:type="dxa" w:w="60"/>
              <w:right w:type="dxa" w:w="100"/>
            </w:tcMar>
          </w:tcPr>
          <w:p>
            <w:r>
              <w:rPr>
                <w:rFonts w:ascii="Arial" w:cs="Arial" w:eastAsia="Arial" w:hAnsi="Arial"/>
                <w:b w:val="false"/>
                <w:bCs w:val="false"/>
                <w:color w:val="333333"/>
                <w:sz w:val="20"/>
                <w:szCs w:val="20"/>
              </w:rPr>
              <w:t xml:space="preserve">1.40</w:t>
            </w:r>
          </w:p>
        </w:tc>
        <w:tc>
          <w:tcPr>
            <w:tcW w:type="dxa" w:w="4360"/>
            <w:tcBorders>
              <w:top w:val="single" w:color="B0B8C4" w:sz="1"/>
              <w:left w:val="single" w:color="B0B8C4" w:sz="1"/>
              <w:bottom w:val="single" w:color="B0B8C4" w:sz="1"/>
              <w:right w:val="single" w:color="B0B8C4" w:sz="1"/>
            </w:tcBorders>
            <w:shd w:fill="EDF2F7" w:val="clear"/>
            <w:tcMar>
              <w:top w:type="dxa" w:w="60"/>
              <w:left w:type="dxa" w:w="100"/>
              <w:bottom w:type="dxa" w:w="60"/>
              <w:right w:type="dxa" w:w="100"/>
            </w:tcMar>
          </w:tcPr>
          <w:p>
            <w:r>
              <w:rPr>
                <w:rFonts w:ascii="Arial" w:cs="Arial" w:eastAsia="Arial" w:hAnsi="Arial"/>
                <w:b w:val="false"/>
                <w:bCs w:val="false"/>
                <w:color w:val="333333"/>
                <w:sz w:val="20"/>
                <w:szCs w:val="20"/>
              </w:rPr>
              <w:t xml:space="preserve">228 bp</w:t>
            </w:r>
          </w:p>
        </w:tc>
      </w:tr>
      <w:tr>
        <w:tc>
          <w:tcPr>
            <w:tcW w:type="dxa" w:w="16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Tenor</w:t>
            </w:r>
          </w:p>
        </w:tc>
        <w:tc>
          <w:tcPr>
            <w:tcW w:type="dxa" w:w="22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5Y (belly) = 1.00x</w:t>
            </w:r>
          </w:p>
        </w:tc>
        <w:tc>
          <w:tcPr>
            <w:tcW w:type="dxa" w:w="12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1.00</w:t>
            </w:r>
          </w:p>
        </w:tc>
        <w:tc>
          <w:tcPr>
            <w:tcW w:type="dxa" w:w="436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228 bp</w:t>
            </w:r>
          </w:p>
        </w:tc>
      </w:tr>
      <w:tr>
        <w:tc>
          <w:tcPr>
            <w:tcW w:type="dxa" w:w="1600"/>
            <w:tcBorders>
              <w:top w:val="single" w:color="B0B8C4" w:sz="1"/>
              <w:left w:val="single" w:color="B0B8C4" w:sz="1"/>
              <w:bottom w:val="single" w:color="B0B8C4" w:sz="1"/>
              <w:right w:val="single" w:color="B0B8C4" w:sz="1"/>
            </w:tcBorders>
            <w:shd w:fill="EDF2F7" w:val="clear"/>
            <w:tcMar>
              <w:top w:type="dxa" w:w="60"/>
              <w:left w:type="dxa" w:w="100"/>
              <w:bottom w:type="dxa" w:w="60"/>
              <w:right w:type="dxa" w:w="100"/>
            </w:tcMar>
          </w:tcPr>
          <w:p>
            <w:r>
              <w:rPr>
                <w:rFonts w:ascii="Arial" w:cs="Arial" w:eastAsia="Arial" w:hAnsi="Arial"/>
                <w:b w:val="false"/>
                <w:bCs w:val="false"/>
                <w:color w:val="333333"/>
                <w:sz w:val="20"/>
                <w:szCs w:val="20"/>
              </w:rPr>
              <w:t xml:space="preserve">Seniority</w:t>
            </w:r>
          </w:p>
        </w:tc>
        <w:tc>
          <w:tcPr>
            <w:tcW w:type="dxa" w:w="2200"/>
            <w:tcBorders>
              <w:top w:val="single" w:color="B0B8C4" w:sz="1"/>
              <w:left w:val="single" w:color="B0B8C4" w:sz="1"/>
              <w:bottom w:val="single" w:color="B0B8C4" w:sz="1"/>
              <w:right w:val="single" w:color="B0B8C4" w:sz="1"/>
            </w:tcBorders>
            <w:shd w:fill="EDF2F7" w:val="clear"/>
            <w:tcMar>
              <w:top w:type="dxa" w:w="60"/>
              <w:left w:type="dxa" w:w="100"/>
              <w:bottom w:type="dxa" w:w="60"/>
              <w:right w:type="dxa" w:w="100"/>
            </w:tcMar>
          </w:tcPr>
          <w:p>
            <w:r>
              <w:rPr>
                <w:rFonts w:ascii="Arial" w:cs="Arial" w:eastAsia="Arial" w:hAnsi="Arial"/>
                <w:b w:val="false"/>
                <w:bCs w:val="false"/>
                <w:color w:val="333333"/>
                <w:sz w:val="20"/>
                <w:szCs w:val="20"/>
              </w:rPr>
              <w:t xml:space="preserve">Senior = 1.00x</w:t>
            </w:r>
          </w:p>
        </w:tc>
        <w:tc>
          <w:tcPr>
            <w:tcW w:type="dxa" w:w="1200"/>
            <w:tcBorders>
              <w:top w:val="single" w:color="B0B8C4" w:sz="1"/>
              <w:left w:val="single" w:color="B0B8C4" w:sz="1"/>
              <w:bottom w:val="single" w:color="B0B8C4" w:sz="1"/>
              <w:right w:val="single" w:color="B0B8C4" w:sz="1"/>
            </w:tcBorders>
            <w:shd w:fill="EDF2F7" w:val="clear"/>
            <w:tcMar>
              <w:top w:type="dxa" w:w="60"/>
              <w:left w:type="dxa" w:w="100"/>
              <w:bottom w:type="dxa" w:w="60"/>
              <w:right w:type="dxa" w:w="100"/>
            </w:tcMar>
          </w:tcPr>
          <w:p>
            <w:r>
              <w:rPr>
                <w:rFonts w:ascii="Arial" w:cs="Arial" w:eastAsia="Arial" w:hAnsi="Arial"/>
                <w:b w:val="false"/>
                <w:bCs w:val="false"/>
                <w:color w:val="333333"/>
                <w:sz w:val="20"/>
                <w:szCs w:val="20"/>
              </w:rPr>
              <w:t xml:space="preserve">1.00</w:t>
            </w:r>
          </w:p>
        </w:tc>
        <w:tc>
          <w:tcPr>
            <w:tcW w:type="dxa" w:w="4360"/>
            <w:tcBorders>
              <w:top w:val="single" w:color="B0B8C4" w:sz="1"/>
              <w:left w:val="single" w:color="B0B8C4" w:sz="1"/>
              <w:bottom w:val="single" w:color="B0B8C4" w:sz="1"/>
              <w:right w:val="single" w:color="B0B8C4" w:sz="1"/>
            </w:tcBorders>
            <w:shd w:fill="EDF2F7" w:val="clear"/>
            <w:tcMar>
              <w:top w:type="dxa" w:w="60"/>
              <w:left w:type="dxa" w:w="100"/>
              <w:bottom w:type="dxa" w:w="60"/>
              <w:right w:type="dxa" w:w="100"/>
            </w:tcMar>
          </w:tcPr>
          <w:p>
            <w:r>
              <w:rPr>
                <w:rFonts w:ascii="Arial" w:cs="Arial" w:eastAsia="Arial" w:hAnsi="Arial"/>
                <w:b w:val="false"/>
                <w:bCs w:val="false"/>
                <w:color w:val="333333"/>
                <w:sz w:val="20"/>
                <w:szCs w:val="20"/>
              </w:rPr>
              <w:t xml:space="preserve">228 bp</w:t>
            </w:r>
          </w:p>
        </w:tc>
      </w:tr>
      <w:tr>
        <w:tc>
          <w:tcPr>
            <w:tcW w:type="dxa" w:w="16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Geo</w:t>
            </w:r>
          </w:p>
        </w:tc>
        <w:tc>
          <w:tcPr>
            <w:tcW w:type="dxa" w:w="22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US = 1.00x (domestic)</w:t>
            </w:r>
          </w:p>
        </w:tc>
        <w:tc>
          <w:tcPr>
            <w:tcW w:type="dxa" w:w="12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1.00</w:t>
            </w:r>
          </w:p>
        </w:tc>
        <w:tc>
          <w:tcPr>
            <w:tcW w:type="dxa" w:w="436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228 bp</w:t>
            </w:r>
          </w:p>
        </w:tc>
      </w:tr>
      <w:tr>
        <w:tc>
          <w:tcPr>
            <w:tcW w:type="dxa" w:w="1600"/>
            <w:tcBorders>
              <w:top w:val="single" w:color="B0B8C4" w:sz="1"/>
              <w:left w:val="single" w:color="B0B8C4" w:sz="1"/>
              <w:bottom w:val="single" w:color="B0B8C4" w:sz="1"/>
              <w:right w:val="single" w:color="B0B8C4" w:sz="1"/>
            </w:tcBorders>
            <w:shd w:fill="EDF2F7" w:val="clear"/>
            <w:tcMar>
              <w:top w:type="dxa" w:w="60"/>
              <w:left w:type="dxa" w:w="100"/>
              <w:bottom w:type="dxa" w:w="60"/>
              <w:right w:type="dxa" w:w="100"/>
            </w:tcMar>
          </w:tcPr>
          <w:p>
            <w:r>
              <w:rPr>
                <w:rFonts w:ascii="Arial" w:cs="Arial" w:eastAsia="Arial" w:hAnsi="Arial"/>
                <w:b w:val="false"/>
                <w:bCs w:val="false"/>
                <w:color w:val="333333"/>
                <w:sz w:val="20"/>
                <w:szCs w:val="20"/>
              </w:rPr>
              <w:t xml:space="preserve">Overlay</w:t>
            </w:r>
          </w:p>
        </w:tc>
        <w:tc>
          <w:tcPr>
            <w:tcW w:type="dxa" w:w="2200"/>
            <w:tcBorders>
              <w:top w:val="single" w:color="B0B8C4" w:sz="1"/>
              <w:left w:val="single" w:color="B0B8C4" w:sz="1"/>
              <w:bottom w:val="single" w:color="B0B8C4" w:sz="1"/>
              <w:right w:val="single" w:color="B0B8C4" w:sz="1"/>
            </w:tcBorders>
            <w:shd w:fill="EDF2F7" w:val="clear"/>
            <w:tcMar>
              <w:top w:type="dxa" w:w="60"/>
              <w:left w:type="dxa" w:w="100"/>
              <w:bottom w:type="dxa" w:w="60"/>
              <w:right w:type="dxa" w:w="100"/>
            </w:tcMar>
          </w:tcPr>
          <w:p>
            <w:r>
              <w:rPr>
                <w:rFonts w:ascii="Arial" w:cs="Arial" w:eastAsia="Arial" w:hAnsi="Arial"/>
                <w:b w:val="false"/>
                <w:bCs w:val="false"/>
                <w:color w:val="333333"/>
                <w:sz w:val="20"/>
                <w:szCs w:val="20"/>
              </w:rPr>
              <w:t xml:space="preserve">AI sector +50bp (additive)</w:t>
            </w:r>
          </w:p>
        </w:tc>
        <w:tc>
          <w:tcPr>
            <w:tcW w:type="dxa" w:w="1200"/>
            <w:tcBorders>
              <w:top w:val="single" w:color="B0B8C4" w:sz="1"/>
              <w:left w:val="single" w:color="B0B8C4" w:sz="1"/>
              <w:bottom w:val="single" w:color="B0B8C4" w:sz="1"/>
              <w:right w:val="single" w:color="B0B8C4" w:sz="1"/>
            </w:tcBorders>
            <w:shd w:fill="EDF2F7" w:val="clear"/>
            <w:tcMar>
              <w:top w:type="dxa" w:w="60"/>
              <w:left w:type="dxa" w:w="100"/>
              <w:bottom w:type="dxa" w:w="60"/>
              <w:right w:type="dxa" w:w="100"/>
            </w:tcMar>
          </w:tcPr>
          <w:p>
            <w:r>
              <w:rPr>
                <w:rFonts w:ascii="Arial" w:cs="Arial" w:eastAsia="Arial" w:hAnsi="Arial"/>
                <w:b w:val="false"/>
                <w:bCs w:val="false"/>
                <w:color w:val="333333"/>
                <w:sz w:val="20"/>
                <w:szCs w:val="20"/>
              </w:rPr>
              <w:t xml:space="preserve">+50bp</w:t>
            </w:r>
          </w:p>
        </w:tc>
        <w:tc>
          <w:tcPr>
            <w:tcW w:type="dxa" w:w="4360"/>
            <w:tcBorders>
              <w:top w:val="single" w:color="B0B8C4" w:sz="1"/>
              <w:left w:val="single" w:color="B0B8C4" w:sz="1"/>
              <w:bottom w:val="single" w:color="B0B8C4" w:sz="1"/>
              <w:right w:val="single" w:color="B0B8C4" w:sz="1"/>
            </w:tcBorders>
            <w:shd w:fill="EDF2F7" w:val="clear"/>
            <w:tcMar>
              <w:top w:type="dxa" w:w="60"/>
              <w:left w:type="dxa" w:w="100"/>
              <w:bottom w:type="dxa" w:w="60"/>
              <w:right w:type="dxa" w:w="100"/>
            </w:tcMar>
          </w:tcPr>
          <w:p>
            <w:r>
              <w:rPr>
                <w:rFonts w:ascii="Arial" w:cs="Arial" w:eastAsia="Arial" w:hAnsi="Arial"/>
                <w:b w:val="false"/>
                <w:bCs w:val="false"/>
                <w:color w:val="333333"/>
                <w:sz w:val="20"/>
                <w:szCs w:val="20"/>
              </w:rPr>
              <w:t xml:space="preserve">278 bp</w:t>
            </w:r>
          </w:p>
        </w:tc>
      </w:tr>
    </w:tbl>
    <w:p>
      <w:pPr>
        <w:spacing w:after="80"/>
      </w:pPr>
    </w:p>
    <w:p>
      <w:pPr>
        <w:spacing w:after="120" w:before="0"/>
      </w:pPr>
      <w:r>
        <w:rPr>
          <w:rFonts w:ascii="Arial" w:cs="Arial" w:eastAsia="Arial" w:hAnsi="Arial"/>
          <w:sz w:val="22"/>
          <w:szCs w:val="22"/>
        </w:rPr>
        <w:t xml:space="preserve">The overlay is the one exception to pure multiplicative stacking — scenario-specific overlays (like the AI sector premium) are added on top of the systematic propagation to capture narrative-specific idiosyncratic stress.</w:t>
      </w:r>
    </w:p>
    <w:p>
      <w:r>
        <w:br w:type="page"/>
      </w:r>
    </w:p>
    <w:p>
      <w:pPr>
        <w:pStyle w:val="Heading2"/>
      </w:pPr>
      <w:r>
        <w:t xml:space="preserve">10. Propagation Methods</w:t>
      </w:r>
    </w:p>
    <w:p>
      <w:pPr>
        <w:spacing w:after="120" w:before="0"/>
      </w:pPr>
      <w:r>
        <w:rPr>
          <w:rFonts w:ascii="Arial" w:cs="Arial" w:eastAsia="Arial" w:hAnsi="Arial"/>
          <w:sz w:val="22"/>
          <w:szCs w:val="22"/>
        </w:rPr>
        <w:t xml:space="preserve">There are four ways to propagate shocks from anchors to children. Each has different strengths: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2400"/>
        <w:gridCol w:w="2560"/>
      </w:tblGrid>
      <w:tr>
        <w:tc>
          <w:tcPr>
            <w:tcW w:type="dxa" w:w="1600"/>
            <w:tcBorders>
              <w:top w:val="single" w:color="B0B8C4" w:sz="1"/>
              <w:left w:val="single" w:color="B0B8C4" w:sz="1"/>
              <w:bottom w:val="single" w:color="B0B8C4" w:sz="1"/>
              <w:right w:val="single" w:color="B0B8C4"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Method</w:t>
            </w:r>
          </w:p>
        </w:tc>
        <w:tc>
          <w:tcPr>
            <w:tcW w:type="dxa" w:w="2800"/>
            <w:tcBorders>
              <w:top w:val="single" w:color="B0B8C4" w:sz="1"/>
              <w:left w:val="single" w:color="B0B8C4" w:sz="1"/>
              <w:bottom w:val="single" w:color="B0B8C4" w:sz="1"/>
              <w:right w:val="single" w:color="B0B8C4"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Formula</w:t>
            </w:r>
          </w:p>
        </w:tc>
        <w:tc>
          <w:tcPr>
            <w:tcW w:type="dxa" w:w="2400"/>
            <w:tcBorders>
              <w:top w:val="single" w:color="B0B8C4" w:sz="1"/>
              <w:left w:val="single" w:color="B0B8C4" w:sz="1"/>
              <w:bottom w:val="single" w:color="B0B8C4" w:sz="1"/>
              <w:right w:val="single" w:color="B0B8C4"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Best For</w:t>
            </w:r>
          </w:p>
        </w:tc>
        <w:tc>
          <w:tcPr>
            <w:tcW w:type="dxa" w:w="2560"/>
            <w:tcBorders>
              <w:top w:val="single" w:color="B0B8C4" w:sz="1"/>
              <w:left w:val="single" w:color="B0B8C4" w:sz="1"/>
              <w:bottom w:val="single" w:color="B0B8C4" w:sz="1"/>
              <w:right w:val="single" w:color="B0B8C4"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Limitation</w:t>
            </w:r>
          </w:p>
        </w:tc>
      </w:tr>
      <w:tr>
        <w:tc>
          <w:tcPr>
            <w:tcW w:type="dxa" w:w="1600"/>
            <w:tcBorders>
              <w:top w:val="single" w:color="B0B8C4" w:sz="1"/>
              <w:left w:val="single" w:color="B0B8C4" w:sz="1"/>
              <w:bottom w:val="single" w:color="B0B8C4" w:sz="1"/>
              <w:right w:val="single" w:color="B0B8C4" w:sz="1"/>
            </w:tcBorders>
            <w:shd w:fill="EDF2F7" w:val="clear"/>
            <w:tcMar>
              <w:top w:type="dxa" w:w="60"/>
              <w:left w:type="dxa" w:w="100"/>
              <w:bottom w:type="dxa" w:w="60"/>
              <w:right w:type="dxa" w:w="100"/>
            </w:tcMar>
          </w:tcPr>
          <w:p>
            <w:r>
              <w:rPr>
                <w:rFonts w:ascii="Arial" w:cs="Arial" w:eastAsia="Arial" w:hAnsi="Arial"/>
                <w:b w:val="false"/>
                <w:bCs w:val="false"/>
                <w:color w:val="333333"/>
                <w:sz w:val="20"/>
                <w:szCs w:val="20"/>
              </w:rPr>
              <w:t xml:space="preserve">Beta-Based</w:t>
            </w:r>
          </w:p>
        </w:tc>
        <w:tc>
          <w:tcPr>
            <w:tcW w:type="dxa" w:w="2800"/>
            <w:tcBorders>
              <w:top w:val="single" w:color="B0B8C4" w:sz="1"/>
              <w:left w:val="single" w:color="B0B8C4" w:sz="1"/>
              <w:bottom w:val="single" w:color="B0B8C4" w:sz="1"/>
              <w:right w:val="single" w:color="B0B8C4" w:sz="1"/>
            </w:tcBorders>
            <w:shd w:fill="EDF2F7" w:val="clear"/>
            <w:tcMar>
              <w:top w:type="dxa" w:w="60"/>
              <w:left w:type="dxa" w:w="100"/>
              <w:bottom w:type="dxa" w:w="60"/>
              <w:right w:type="dxa" w:w="100"/>
            </w:tcMar>
          </w:tcPr>
          <w:p>
            <w:r>
              <w:rPr>
                <w:rFonts w:ascii="Arial" w:cs="Arial" w:eastAsia="Arial" w:hAnsi="Arial"/>
                <w:b w:val="false"/>
                <w:bCs w:val="false"/>
                <w:color w:val="333333"/>
                <w:sz w:val="20"/>
                <w:szCs w:val="20"/>
              </w:rPr>
              <w:t xml:space="preserve">Shock_i = β_i × Shock_anchor</w:t>
            </w:r>
          </w:p>
        </w:tc>
        <w:tc>
          <w:tcPr>
            <w:tcW w:type="dxa" w:w="2400"/>
            <w:tcBorders>
              <w:top w:val="single" w:color="B0B8C4" w:sz="1"/>
              <w:left w:val="single" w:color="B0B8C4" w:sz="1"/>
              <w:bottom w:val="single" w:color="B0B8C4" w:sz="1"/>
              <w:right w:val="single" w:color="B0B8C4" w:sz="1"/>
            </w:tcBorders>
            <w:shd w:fill="EDF2F7" w:val="clear"/>
            <w:tcMar>
              <w:top w:type="dxa" w:w="60"/>
              <w:left w:type="dxa" w:w="100"/>
              <w:bottom w:type="dxa" w:w="60"/>
              <w:right w:type="dxa" w:w="100"/>
            </w:tcMar>
          </w:tcPr>
          <w:p>
            <w:r>
              <w:rPr>
                <w:rFonts w:ascii="Arial" w:cs="Arial" w:eastAsia="Arial" w:hAnsi="Arial"/>
                <w:b w:val="false"/>
                <w:bCs w:val="false"/>
                <w:color w:val="333333"/>
                <w:sz w:val="20"/>
                <w:szCs w:val="20"/>
              </w:rPr>
              <w:t xml:space="preserve">Equity names to index, credit names to CDX</w:t>
            </w:r>
          </w:p>
        </w:tc>
        <w:tc>
          <w:tcPr>
            <w:tcW w:type="dxa" w:w="2560"/>
            <w:tcBorders>
              <w:top w:val="single" w:color="B0B8C4" w:sz="1"/>
              <w:left w:val="single" w:color="B0B8C4" w:sz="1"/>
              <w:bottom w:val="single" w:color="B0B8C4" w:sz="1"/>
              <w:right w:val="single" w:color="B0B8C4" w:sz="1"/>
            </w:tcBorders>
            <w:shd w:fill="EDF2F7" w:val="clear"/>
            <w:tcMar>
              <w:top w:type="dxa" w:w="60"/>
              <w:left w:type="dxa" w:w="100"/>
              <w:bottom w:type="dxa" w:w="60"/>
              <w:right w:type="dxa" w:w="100"/>
            </w:tcMar>
          </w:tcPr>
          <w:p>
            <w:r>
              <w:rPr>
                <w:rFonts w:ascii="Arial" w:cs="Arial" w:eastAsia="Arial" w:hAnsi="Arial"/>
                <w:b w:val="false"/>
                <w:bCs w:val="false"/>
                <w:color w:val="333333"/>
                <w:sz w:val="20"/>
                <w:szCs w:val="20"/>
              </w:rPr>
              <w:t xml:space="preserve">Requires sufficient return history for regression</w:t>
            </w:r>
          </w:p>
        </w:tc>
      </w:tr>
      <w:tr>
        <w:tc>
          <w:tcPr>
            <w:tcW w:type="dxa" w:w="16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Ratio-Based</w:t>
            </w:r>
          </w:p>
        </w:tc>
        <w:tc>
          <w:tcPr>
            <w:tcW w:type="dxa" w:w="28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Shock_i = (Level_i / Level_anchor) × Shock_anchor</w:t>
            </w:r>
          </w:p>
        </w:tc>
        <w:tc>
          <w:tcPr>
            <w:tcW w:type="dxa" w:w="24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Credit names to index (current spread ratio)</w:t>
            </w:r>
          </w:p>
        </w:tc>
        <w:tc>
          <w:tcPr>
            <w:tcW w:type="dxa" w:w="256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Assumes ratios are stable in stress (they often compress)</w:t>
            </w:r>
          </w:p>
        </w:tc>
      </w:tr>
      <w:tr>
        <w:tc>
          <w:tcPr>
            <w:tcW w:type="dxa" w:w="1600"/>
            <w:tcBorders>
              <w:top w:val="single" w:color="B0B8C4" w:sz="1"/>
              <w:left w:val="single" w:color="B0B8C4" w:sz="1"/>
              <w:bottom w:val="single" w:color="B0B8C4" w:sz="1"/>
              <w:right w:val="single" w:color="B0B8C4" w:sz="1"/>
            </w:tcBorders>
            <w:shd w:fill="EDF2F7" w:val="clear"/>
            <w:tcMar>
              <w:top w:type="dxa" w:w="60"/>
              <w:left w:type="dxa" w:w="100"/>
              <w:bottom w:type="dxa" w:w="60"/>
              <w:right w:type="dxa" w:w="100"/>
            </w:tcMar>
          </w:tcPr>
          <w:p>
            <w:r>
              <w:rPr>
                <w:rFonts w:ascii="Arial" w:cs="Arial" w:eastAsia="Arial" w:hAnsi="Arial"/>
                <w:b w:val="false"/>
                <w:bCs w:val="false"/>
                <w:color w:val="333333"/>
                <w:sz w:val="20"/>
                <w:szCs w:val="20"/>
              </w:rPr>
              <w:t xml:space="preserve">Rating/Sector Matrix</w:t>
            </w:r>
          </w:p>
        </w:tc>
        <w:tc>
          <w:tcPr>
            <w:tcW w:type="dxa" w:w="2800"/>
            <w:tcBorders>
              <w:top w:val="single" w:color="B0B8C4" w:sz="1"/>
              <w:left w:val="single" w:color="B0B8C4" w:sz="1"/>
              <w:bottom w:val="single" w:color="B0B8C4" w:sz="1"/>
              <w:right w:val="single" w:color="B0B8C4" w:sz="1"/>
            </w:tcBorders>
            <w:shd w:fill="EDF2F7" w:val="clear"/>
            <w:tcMar>
              <w:top w:type="dxa" w:w="60"/>
              <w:left w:type="dxa" w:w="100"/>
              <w:bottom w:type="dxa" w:w="60"/>
              <w:right w:type="dxa" w:w="100"/>
            </w:tcMar>
          </w:tcPr>
          <w:p>
            <w:r>
              <w:rPr>
                <w:rFonts w:ascii="Arial" w:cs="Arial" w:eastAsia="Arial" w:hAnsi="Arial"/>
                <w:b w:val="false"/>
                <w:bCs w:val="false"/>
                <w:color w:val="333333"/>
                <w:sz w:val="20"/>
                <w:szCs w:val="20"/>
              </w:rPr>
              <w:t xml:space="preserve">Shock_i = Matrix[rating][sector] × Shock_anchor</w:t>
            </w:r>
          </w:p>
        </w:tc>
        <w:tc>
          <w:tcPr>
            <w:tcW w:type="dxa" w:w="2400"/>
            <w:tcBorders>
              <w:top w:val="single" w:color="B0B8C4" w:sz="1"/>
              <w:left w:val="single" w:color="B0B8C4" w:sz="1"/>
              <w:bottom w:val="single" w:color="B0B8C4" w:sz="1"/>
              <w:right w:val="single" w:color="B0B8C4" w:sz="1"/>
            </w:tcBorders>
            <w:shd w:fill="EDF2F7" w:val="clear"/>
            <w:tcMar>
              <w:top w:type="dxa" w:w="60"/>
              <w:left w:type="dxa" w:w="100"/>
              <w:bottom w:type="dxa" w:w="60"/>
              <w:right w:type="dxa" w:w="100"/>
            </w:tcMar>
          </w:tcPr>
          <w:p>
            <w:r>
              <w:rPr>
                <w:rFonts w:ascii="Arial" w:cs="Arial" w:eastAsia="Arial" w:hAnsi="Arial"/>
                <w:b w:val="false"/>
                <w:bCs w:val="false"/>
                <w:color w:val="333333"/>
                <w:sz w:val="20"/>
                <w:szCs w:val="20"/>
              </w:rPr>
              <w:t xml:space="preserve">Broad coverage without name-level data</w:t>
            </w:r>
          </w:p>
        </w:tc>
        <w:tc>
          <w:tcPr>
            <w:tcW w:type="dxa" w:w="2560"/>
            <w:tcBorders>
              <w:top w:val="single" w:color="B0B8C4" w:sz="1"/>
              <w:left w:val="single" w:color="B0B8C4" w:sz="1"/>
              <w:bottom w:val="single" w:color="B0B8C4" w:sz="1"/>
              <w:right w:val="single" w:color="B0B8C4" w:sz="1"/>
            </w:tcBorders>
            <w:shd w:fill="EDF2F7" w:val="clear"/>
            <w:tcMar>
              <w:top w:type="dxa" w:w="60"/>
              <w:left w:type="dxa" w:w="100"/>
              <w:bottom w:type="dxa" w:w="60"/>
              <w:right w:type="dxa" w:w="100"/>
            </w:tcMar>
          </w:tcPr>
          <w:p>
            <w:r>
              <w:rPr>
                <w:rFonts w:ascii="Arial" w:cs="Arial" w:eastAsia="Arial" w:hAnsi="Arial"/>
                <w:b w:val="false"/>
                <w:bCs w:val="false"/>
                <w:color w:val="333333"/>
                <w:sz w:val="20"/>
                <w:szCs w:val="20"/>
              </w:rPr>
              <w:t xml:space="preserve">Coarse — does not capture idiosyncratic variation</w:t>
            </w:r>
          </w:p>
        </w:tc>
      </w:tr>
      <w:tr>
        <w:tc>
          <w:tcPr>
            <w:tcW w:type="dxa" w:w="16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PCA-Based</w:t>
            </w:r>
          </w:p>
        </w:tc>
        <w:tc>
          <w:tcPr>
            <w:tcW w:type="dxa" w:w="28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Shock_i = Σ_k (loading_ik × PC_k_shock)</w:t>
            </w:r>
          </w:p>
        </w:tc>
        <w:tc>
          <w:tcPr>
            <w:tcW w:type="dxa" w:w="24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Yield curves, vol surfaces (correlated drivers)</w:t>
            </w:r>
          </w:p>
        </w:tc>
        <w:tc>
          <w:tcPr>
            <w:tcW w:type="dxa" w:w="256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Requires covariance matrix estimation</w:t>
            </w:r>
          </w:p>
        </w:tc>
      </w:tr>
    </w:tbl>
    <w:p>
      <w:pPr>
        <w:spacing w:after="80"/>
      </w:pPr>
    </w:p>
    <w:p>
      <w:pPr>
        <w:pStyle w:val="Heading3"/>
      </w:pPr>
      <w:r>
        <w:t xml:space="preserve">10.1 PCA-Based Propagation (Rates Curves)</w:t>
      </w:r>
    </w:p>
    <w:p>
      <w:pPr>
        <w:spacing w:after="120" w:before="0"/>
      </w:pPr>
      <w:r>
        <w:rPr>
          <w:rFonts w:ascii="Arial" w:cs="Arial" w:eastAsia="Arial" w:hAnsi="Arial"/>
          <w:sz w:val="22"/>
          <w:szCs w:val="22"/>
        </w:rPr>
        <w:t xml:space="preserve">For yield curves, PCA identifies the dominant modes of curve movement. Typically 3 components explain 95%+ of variation: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1800"/>
        <w:gridCol w:w="2960"/>
      </w:tblGrid>
      <w:tr>
        <w:tc>
          <w:tcPr>
            <w:tcW w:type="dxa" w:w="1600"/>
            <w:tcBorders>
              <w:top w:val="single" w:color="B0B8C4" w:sz="1"/>
              <w:left w:val="single" w:color="B0B8C4" w:sz="1"/>
              <w:bottom w:val="single" w:color="B0B8C4" w:sz="1"/>
              <w:right w:val="single" w:color="B0B8C4"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Component</w:t>
            </w:r>
          </w:p>
        </w:tc>
        <w:tc>
          <w:tcPr>
            <w:tcW w:type="dxa" w:w="3000"/>
            <w:tcBorders>
              <w:top w:val="single" w:color="B0B8C4" w:sz="1"/>
              <w:left w:val="single" w:color="B0B8C4" w:sz="1"/>
              <w:bottom w:val="single" w:color="B0B8C4" w:sz="1"/>
              <w:right w:val="single" w:color="B0B8C4"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Interpretation</w:t>
            </w:r>
          </w:p>
        </w:tc>
        <w:tc>
          <w:tcPr>
            <w:tcW w:type="dxa" w:w="1800"/>
            <w:tcBorders>
              <w:top w:val="single" w:color="B0B8C4" w:sz="1"/>
              <w:left w:val="single" w:color="B0B8C4" w:sz="1"/>
              <w:bottom w:val="single" w:color="B0B8C4" w:sz="1"/>
              <w:right w:val="single" w:color="B0B8C4"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Variance Explained</w:t>
            </w:r>
          </w:p>
        </w:tc>
        <w:tc>
          <w:tcPr>
            <w:tcW w:type="dxa" w:w="2960"/>
            <w:tcBorders>
              <w:top w:val="single" w:color="B0B8C4" w:sz="1"/>
              <w:left w:val="single" w:color="B0B8C4" w:sz="1"/>
              <w:bottom w:val="single" w:color="B0B8C4" w:sz="1"/>
              <w:right w:val="single" w:color="B0B8C4"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Example Shock</w:t>
            </w:r>
          </w:p>
        </w:tc>
      </w:tr>
      <w:tr>
        <w:tc>
          <w:tcPr>
            <w:tcW w:type="dxa" w:w="1600"/>
            <w:tcBorders>
              <w:top w:val="single" w:color="B0B8C4" w:sz="1"/>
              <w:left w:val="single" w:color="B0B8C4" w:sz="1"/>
              <w:bottom w:val="single" w:color="B0B8C4" w:sz="1"/>
              <w:right w:val="single" w:color="B0B8C4" w:sz="1"/>
            </w:tcBorders>
            <w:shd w:fill="EDF2F7" w:val="clear"/>
            <w:tcMar>
              <w:top w:type="dxa" w:w="60"/>
              <w:left w:type="dxa" w:w="100"/>
              <w:bottom w:type="dxa" w:w="60"/>
              <w:right w:type="dxa" w:w="100"/>
            </w:tcMar>
          </w:tcPr>
          <w:p>
            <w:r>
              <w:rPr>
                <w:rFonts w:ascii="Arial" w:cs="Arial" w:eastAsia="Arial" w:hAnsi="Arial"/>
                <w:b w:val="false"/>
                <w:bCs w:val="false"/>
                <w:color w:val="333333"/>
                <w:sz w:val="20"/>
                <w:szCs w:val="20"/>
              </w:rPr>
              <w:t xml:space="preserve">PC1 (Level)</w:t>
            </w:r>
          </w:p>
        </w:tc>
        <w:tc>
          <w:tcPr>
            <w:tcW w:type="dxa" w:w="3000"/>
            <w:tcBorders>
              <w:top w:val="single" w:color="B0B8C4" w:sz="1"/>
              <w:left w:val="single" w:color="B0B8C4" w:sz="1"/>
              <w:bottom w:val="single" w:color="B0B8C4" w:sz="1"/>
              <w:right w:val="single" w:color="B0B8C4" w:sz="1"/>
            </w:tcBorders>
            <w:shd w:fill="EDF2F7" w:val="clear"/>
            <w:tcMar>
              <w:top w:type="dxa" w:w="60"/>
              <w:left w:type="dxa" w:w="100"/>
              <w:bottom w:type="dxa" w:w="60"/>
              <w:right w:type="dxa" w:w="100"/>
            </w:tcMar>
          </w:tcPr>
          <w:p>
            <w:r>
              <w:rPr>
                <w:rFonts w:ascii="Arial" w:cs="Arial" w:eastAsia="Arial" w:hAnsi="Arial"/>
                <w:b w:val="false"/>
                <w:bCs w:val="false"/>
                <w:color w:val="333333"/>
                <w:sz w:val="20"/>
                <w:szCs w:val="20"/>
              </w:rPr>
              <w:t xml:space="preserve">Parallel shift of entire curve</w:t>
            </w:r>
          </w:p>
        </w:tc>
        <w:tc>
          <w:tcPr>
            <w:tcW w:type="dxa" w:w="1800"/>
            <w:tcBorders>
              <w:top w:val="single" w:color="B0B8C4" w:sz="1"/>
              <w:left w:val="single" w:color="B0B8C4" w:sz="1"/>
              <w:bottom w:val="single" w:color="B0B8C4" w:sz="1"/>
              <w:right w:val="single" w:color="B0B8C4" w:sz="1"/>
            </w:tcBorders>
            <w:shd w:fill="EDF2F7" w:val="clear"/>
            <w:tcMar>
              <w:top w:type="dxa" w:w="60"/>
              <w:left w:type="dxa" w:w="100"/>
              <w:bottom w:type="dxa" w:w="60"/>
              <w:right w:type="dxa" w:w="100"/>
            </w:tcMar>
          </w:tcPr>
          <w:p>
            <w:r>
              <w:rPr>
                <w:rFonts w:ascii="Arial" w:cs="Arial" w:eastAsia="Arial" w:hAnsi="Arial"/>
                <w:b w:val="false"/>
                <w:bCs w:val="false"/>
                <w:color w:val="333333"/>
                <w:sz w:val="20"/>
                <w:szCs w:val="20"/>
              </w:rPr>
              <w:t xml:space="preserve">~85%</w:t>
            </w:r>
          </w:p>
        </w:tc>
        <w:tc>
          <w:tcPr>
            <w:tcW w:type="dxa" w:w="2960"/>
            <w:tcBorders>
              <w:top w:val="single" w:color="B0B8C4" w:sz="1"/>
              <w:left w:val="single" w:color="B0B8C4" w:sz="1"/>
              <w:bottom w:val="single" w:color="B0B8C4" w:sz="1"/>
              <w:right w:val="single" w:color="B0B8C4" w:sz="1"/>
            </w:tcBorders>
            <w:shd w:fill="EDF2F7" w:val="clear"/>
            <w:tcMar>
              <w:top w:type="dxa" w:w="60"/>
              <w:left w:type="dxa" w:w="100"/>
              <w:bottom w:type="dxa" w:w="60"/>
              <w:right w:type="dxa" w:w="100"/>
            </w:tcMar>
          </w:tcPr>
          <w:p>
            <w:r>
              <w:rPr>
                <w:rFonts w:ascii="Arial" w:cs="Arial" w:eastAsia="Arial" w:hAnsi="Arial"/>
                <w:b w:val="false"/>
                <w:bCs w:val="false"/>
                <w:color w:val="333333"/>
                <w:sz w:val="20"/>
                <w:szCs w:val="20"/>
              </w:rPr>
              <w:t xml:space="preserve">All tenors move together</w:t>
            </w:r>
          </w:p>
        </w:tc>
      </w:tr>
      <w:tr>
        <w:tc>
          <w:tcPr>
            <w:tcW w:type="dxa" w:w="16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PC2 (Slope)</w:t>
            </w:r>
          </w:p>
        </w:tc>
        <w:tc>
          <w:tcPr>
            <w:tcW w:type="dxa" w:w="30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Steepening / flattening</w:t>
            </w:r>
          </w:p>
        </w:tc>
        <w:tc>
          <w:tcPr>
            <w:tcW w:type="dxa" w:w="18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~10%</w:t>
            </w:r>
          </w:p>
        </w:tc>
        <w:tc>
          <w:tcPr>
            <w:tcW w:type="dxa" w:w="296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Short end up, long end down</w:t>
            </w:r>
          </w:p>
        </w:tc>
      </w:tr>
      <w:tr>
        <w:tc>
          <w:tcPr>
            <w:tcW w:type="dxa" w:w="1600"/>
            <w:tcBorders>
              <w:top w:val="single" w:color="B0B8C4" w:sz="1"/>
              <w:left w:val="single" w:color="B0B8C4" w:sz="1"/>
              <w:bottom w:val="single" w:color="B0B8C4" w:sz="1"/>
              <w:right w:val="single" w:color="B0B8C4" w:sz="1"/>
            </w:tcBorders>
            <w:shd w:fill="EDF2F7" w:val="clear"/>
            <w:tcMar>
              <w:top w:type="dxa" w:w="60"/>
              <w:left w:type="dxa" w:w="100"/>
              <w:bottom w:type="dxa" w:w="60"/>
              <w:right w:type="dxa" w:w="100"/>
            </w:tcMar>
          </w:tcPr>
          <w:p>
            <w:r>
              <w:rPr>
                <w:rFonts w:ascii="Arial" w:cs="Arial" w:eastAsia="Arial" w:hAnsi="Arial"/>
                <w:b w:val="false"/>
                <w:bCs w:val="false"/>
                <w:color w:val="333333"/>
                <w:sz w:val="20"/>
                <w:szCs w:val="20"/>
              </w:rPr>
              <w:t xml:space="preserve">PC3 (Curvature)</w:t>
            </w:r>
          </w:p>
        </w:tc>
        <w:tc>
          <w:tcPr>
            <w:tcW w:type="dxa" w:w="3000"/>
            <w:tcBorders>
              <w:top w:val="single" w:color="B0B8C4" w:sz="1"/>
              <w:left w:val="single" w:color="B0B8C4" w:sz="1"/>
              <w:bottom w:val="single" w:color="B0B8C4" w:sz="1"/>
              <w:right w:val="single" w:color="B0B8C4" w:sz="1"/>
            </w:tcBorders>
            <w:shd w:fill="EDF2F7" w:val="clear"/>
            <w:tcMar>
              <w:top w:type="dxa" w:w="60"/>
              <w:left w:type="dxa" w:w="100"/>
              <w:bottom w:type="dxa" w:w="60"/>
              <w:right w:type="dxa" w:w="100"/>
            </w:tcMar>
          </w:tcPr>
          <w:p>
            <w:r>
              <w:rPr>
                <w:rFonts w:ascii="Arial" w:cs="Arial" w:eastAsia="Arial" w:hAnsi="Arial"/>
                <w:b w:val="false"/>
                <w:bCs w:val="false"/>
                <w:color w:val="333333"/>
                <w:sz w:val="20"/>
                <w:szCs w:val="20"/>
              </w:rPr>
              <w:t xml:space="preserve">Butterfly / belly move</w:t>
            </w:r>
          </w:p>
        </w:tc>
        <w:tc>
          <w:tcPr>
            <w:tcW w:type="dxa" w:w="1800"/>
            <w:tcBorders>
              <w:top w:val="single" w:color="B0B8C4" w:sz="1"/>
              <w:left w:val="single" w:color="B0B8C4" w:sz="1"/>
              <w:bottom w:val="single" w:color="B0B8C4" w:sz="1"/>
              <w:right w:val="single" w:color="B0B8C4" w:sz="1"/>
            </w:tcBorders>
            <w:shd w:fill="EDF2F7" w:val="clear"/>
            <w:tcMar>
              <w:top w:type="dxa" w:w="60"/>
              <w:left w:type="dxa" w:w="100"/>
              <w:bottom w:type="dxa" w:w="60"/>
              <w:right w:type="dxa" w:w="100"/>
            </w:tcMar>
          </w:tcPr>
          <w:p>
            <w:r>
              <w:rPr>
                <w:rFonts w:ascii="Arial" w:cs="Arial" w:eastAsia="Arial" w:hAnsi="Arial"/>
                <w:b w:val="false"/>
                <w:bCs w:val="false"/>
                <w:color w:val="333333"/>
                <w:sz w:val="20"/>
                <w:szCs w:val="20"/>
              </w:rPr>
              <w:t xml:space="preserve">~3-4%</w:t>
            </w:r>
          </w:p>
        </w:tc>
        <w:tc>
          <w:tcPr>
            <w:tcW w:type="dxa" w:w="2960"/>
            <w:tcBorders>
              <w:top w:val="single" w:color="B0B8C4" w:sz="1"/>
              <w:left w:val="single" w:color="B0B8C4" w:sz="1"/>
              <w:bottom w:val="single" w:color="B0B8C4" w:sz="1"/>
              <w:right w:val="single" w:color="B0B8C4" w:sz="1"/>
            </w:tcBorders>
            <w:shd w:fill="EDF2F7" w:val="clear"/>
            <w:tcMar>
              <w:top w:type="dxa" w:w="60"/>
              <w:left w:type="dxa" w:w="100"/>
              <w:bottom w:type="dxa" w:w="60"/>
              <w:right w:type="dxa" w:w="100"/>
            </w:tcMar>
          </w:tcPr>
          <w:p>
            <w:r>
              <w:rPr>
                <w:rFonts w:ascii="Arial" w:cs="Arial" w:eastAsia="Arial" w:hAnsi="Arial"/>
                <w:b w:val="false"/>
                <w:bCs w:val="false"/>
                <w:color w:val="333333"/>
                <w:sz w:val="20"/>
                <w:szCs w:val="20"/>
              </w:rPr>
              <w:t xml:space="preserve">Wings up, belly down</w:t>
            </w:r>
          </w:p>
        </w:tc>
      </w:tr>
    </w:tbl>
    <w:p>
      <w:pPr>
        <w:spacing w:after="140" w:before="80"/>
        <w:jc w:val="center"/>
      </w:pPr>
      <w:r>
        <w:rPr>
          <w:rFonts w:ascii="Courier New" w:cs="Courier New" w:eastAsia="Courier New" w:hAnsi="Courier New"/>
          <w:b/>
          <w:bCs/>
          <w:color w:val="2C3E6B"/>
          <w:sz w:val="24"/>
          <w:szCs w:val="24"/>
        </w:rPr>
        <w:t xml:space="preserve">Shock_tenor = Σ (loading_tenor,k × PC_k_shock)</w:t>
      </w:r>
    </w:p>
    <w:p>
      <w:pPr>
        <w:spacing w:after="120" w:before="0"/>
      </w:pPr>
      <w:r>
        <w:rPr>
          <w:rFonts w:ascii="Arial" w:cs="Arial" w:eastAsia="Arial" w:hAnsi="Arial"/>
          <w:sz w:val="22"/>
          <w:szCs w:val="22"/>
        </w:rPr>
        <w:t xml:space="preserve">Each tenor’s shock is derived from its loading on the principal components. This guarantees curve coherence — the shocks reflect actual curve dynamics rather than arbitrary tenor-by-tenor specification.</w:t>
      </w:r>
    </w:p>
    <w:p>
      <w:r>
        <w:br w:type="page"/>
      </w:r>
    </w:p>
    <w:p>
      <w:pPr>
        <w:pStyle w:val="Heading2"/>
      </w:pPr>
      <w:r>
        <w:t xml:space="preserve">11. Idiosyncratic Treatment &amp; Overlay Framework</w:t>
      </w:r>
    </w:p>
    <w:p>
      <w:pPr>
        <w:spacing w:after="80"/>
      </w:pPr>
    </w:p>
    <w:p>
      <w:pPr>
        <w:pStyle w:val="Heading3"/>
      </w:pPr>
      <w:r>
        <w:t xml:space="preserve">11.1 When Systematic Propagation Is Not Enough</w:t>
      </w:r>
    </w:p>
    <w:p>
      <w:pPr>
        <w:spacing w:after="120" w:before="0"/>
      </w:pPr>
      <w:r>
        <w:rPr>
          <w:rFonts w:ascii="Arial" w:cs="Arial" w:eastAsia="Arial" w:hAnsi="Arial"/>
          <w:sz w:val="22"/>
          <w:szCs w:val="22"/>
        </w:rPr>
        <w:t xml:space="preserve">Some risk drivers do not map cleanly to systematic factors. These need special treatment: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c>
          <w:tcPr>
            <w:tcW w:type="dxa" w:w="2000"/>
            <w:tcBorders>
              <w:top w:val="single" w:color="B0B8C4" w:sz="1"/>
              <w:left w:val="single" w:color="B0B8C4" w:sz="1"/>
              <w:bottom w:val="single" w:color="B0B8C4" w:sz="1"/>
              <w:right w:val="single" w:color="B0B8C4"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Situation</w:t>
            </w:r>
          </w:p>
        </w:tc>
        <w:tc>
          <w:tcPr>
            <w:tcW w:type="dxa" w:w="2800"/>
            <w:tcBorders>
              <w:top w:val="single" w:color="B0B8C4" w:sz="1"/>
              <w:left w:val="single" w:color="B0B8C4" w:sz="1"/>
              <w:bottom w:val="single" w:color="B0B8C4" w:sz="1"/>
              <w:right w:val="single" w:color="B0B8C4"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Treatment</w:t>
            </w:r>
          </w:p>
        </w:tc>
        <w:tc>
          <w:tcPr>
            <w:tcW w:type="dxa" w:w="4560"/>
            <w:tcBorders>
              <w:top w:val="single" w:color="B0B8C4" w:sz="1"/>
              <w:left w:val="single" w:color="B0B8C4" w:sz="1"/>
              <w:bottom w:val="single" w:color="B0B8C4" w:sz="1"/>
              <w:right w:val="single" w:color="B0B8C4"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Example</w:t>
            </w:r>
          </w:p>
        </w:tc>
      </w:tr>
      <w:tr>
        <w:tc>
          <w:tcPr>
            <w:tcW w:type="dxa" w:w="2000"/>
            <w:tcBorders>
              <w:top w:val="single" w:color="B0B8C4" w:sz="1"/>
              <w:left w:val="single" w:color="B0B8C4" w:sz="1"/>
              <w:bottom w:val="single" w:color="B0B8C4" w:sz="1"/>
              <w:right w:val="single" w:color="B0B8C4" w:sz="1"/>
            </w:tcBorders>
            <w:shd w:fill="EDF2F7" w:val="clear"/>
            <w:tcMar>
              <w:top w:type="dxa" w:w="60"/>
              <w:left w:type="dxa" w:w="100"/>
              <w:bottom w:type="dxa" w:w="60"/>
              <w:right w:type="dxa" w:w="100"/>
            </w:tcMar>
          </w:tcPr>
          <w:p>
            <w:r>
              <w:rPr>
                <w:rFonts w:ascii="Arial" w:cs="Arial" w:eastAsia="Arial" w:hAnsi="Arial"/>
                <w:b w:val="false"/>
                <w:bCs w:val="false"/>
                <w:color w:val="333333"/>
                <w:sz w:val="20"/>
                <w:szCs w:val="20"/>
              </w:rPr>
              <w:t xml:space="preserve">Scenario-specific name</w:t>
            </w:r>
          </w:p>
        </w:tc>
        <w:tc>
          <w:tcPr>
            <w:tcW w:type="dxa" w:w="2800"/>
            <w:tcBorders>
              <w:top w:val="single" w:color="B0B8C4" w:sz="1"/>
              <w:left w:val="single" w:color="B0B8C4" w:sz="1"/>
              <w:bottom w:val="single" w:color="B0B8C4" w:sz="1"/>
              <w:right w:val="single" w:color="B0B8C4" w:sz="1"/>
            </w:tcBorders>
            <w:shd w:fill="EDF2F7" w:val="clear"/>
            <w:tcMar>
              <w:top w:type="dxa" w:w="60"/>
              <w:left w:type="dxa" w:w="100"/>
              <w:bottom w:type="dxa" w:w="60"/>
              <w:right w:type="dxa" w:w="100"/>
            </w:tcMar>
          </w:tcPr>
          <w:p>
            <w:r>
              <w:rPr>
                <w:rFonts w:ascii="Arial" w:cs="Arial" w:eastAsia="Arial" w:hAnsi="Arial"/>
                <w:b w:val="false"/>
                <w:bCs w:val="false"/>
                <w:color w:val="333333"/>
                <w:sz w:val="20"/>
                <w:szCs w:val="20"/>
              </w:rPr>
              <w:t xml:space="preserve">Additive overlay on top of systematic</w:t>
            </w:r>
          </w:p>
        </w:tc>
        <w:tc>
          <w:tcPr>
            <w:tcW w:type="dxa" w:w="4560"/>
            <w:tcBorders>
              <w:top w:val="single" w:color="B0B8C4" w:sz="1"/>
              <w:left w:val="single" w:color="B0B8C4" w:sz="1"/>
              <w:bottom w:val="single" w:color="B0B8C4" w:sz="1"/>
              <w:right w:val="single" w:color="B0B8C4" w:sz="1"/>
            </w:tcBorders>
            <w:shd w:fill="EDF2F7" w:val="clear"/>
            <w:tcMar>
              <w:top w:type="dxa" w:w="60"/>
              <w:left w:type="dxa" w:w="100"/>
              <w:bottom w:type="dxa" w:w="60"/>
              <w:right w:type="dxa" w:w="100"/>
            </w:tcMar>
          </w:tcPr>
          <w:p>
            <w:r>
              <w:rPr>
                <w:rFonts w:ascii="Arial" w:cs="Arial" w:eastAsia="Arial" w:hAnsi="Arial"/>
                <w:b w:val="false"/>
                <w:bCs w:val="false"/>
                <w:color w:val="333333"/>
                <w:sz w:val="20"/>
                <w:szCs w:val="20"/>
              </w:rPr>
              <w:t xml:space="preserve">NVDA gets AI-specific +50bp credit overlay beyond sector beta</w:t>
            </w:r>
          </w:p>
        </w:tc>
      </w:tr>
      <w:tr>
        <w:tc>
          <w:tcPr>
            <w:tcW w:type="dxa" w:w="20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Basis risk</w:t>
            </w:r>
          </w:p>
        </w:tc>
        <w:tc>
          <w:tcPr>
            <w:tcW w:type="dxa" w:w="28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Preserve current basis unless scenario targets it</w:t>
            </w:r>
          </w:p>
        </w:tc>
        <w:tc>
          <w:tcPr>
            <w:tcW w:type="dxa" w:w="456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Cash-CDS basis stays at current level in most scenarios</w:t>
            </w:r>
          </w:p>
        </w:tc>
      </w:tr>
      <w:tr>
        <w:tc>
          <w:tcPr>
            <w:tcW w:type="dxa" w:w="2000"/>
            <w:tcBorders>
              <w:top w:val="single" w:color="B0B8C4" w:sz="1"/>
              <w:left w:val="single" w:color="B0B8C4" w:sz="1"/>
              <w:bottom w:val="single" w:color="B0B8C4" w:sz="1"/>
              <w:right w:val="single" w:color="B0B8C4" w:sz="1"/>
            </w:tcBorders>
            <w:shd w:fill="EDF2F7" w:val="clear"/>
            <w:tcMar>
              <w:top w:type="dxa" w:w="60"/>
              <w:left w:type="dxa" w:w="100"/>
              <w:bottom w:type="dxa" w:w="60"/>
              <w:right w:type="dxa" w:w="100"/>
            </w:tcMar>
          </w:tcPr>
          <w:p>
            <w:r>
              <w:rPr>
                <w:rFonts w:ascii="Arial" w:cs="Arial" w:eastAsia="Arial" w:hAnsi="Arial"/>
                <w:b w:val="false"/>
                <w:bCs w:val="false"/>
                <w:color w:val="333333"/>
                <w:sz w:val="20"/>
                <w:szCs w:val="20"/>
              </w:rPr>
              <w:t xml:space="preserve">Illiquid instruments</w:t>
            </w:r>
          </w:p>
        </w:tc>
        <w:tc>
          <w:tcPr>
            <w:tcW w:type="dxa" w:w="2800"/>
            <w:tcBorders>
              <w:top w:val="single" w:color="B0B8C4" w:sz="1"/>
              <w:left w:val="single" w:color="B0B8C4" w:sz="1"/>
              <w:bottom w:val="single" w:color="B0B8C4" w:sz="1"/>
              <w:right w:val="single" w:color="B0B8C4" w:sz="1"/>
            </w:tcBorders>
            <w:shd w:fill="EDF2F7" w:val="clear"/>
            <w:tcMar>
              <w:top w:type="dxa" w:w="60"/>
              <w:left w:type="dxa" w:w="100"/>
              <w:bottom w:type="dxa" w:w="60"/>
              <w:right w:type="dxa" w:w="100"/>
            </w:tcMar>
          </w:tcPr>
          <w:p>
            <w:r>
              <w:rPr>
                <w:rFonts w:ascii="Arial" w:cs="Arial" w:eastAsia="Arial" w:hAnsi="Arial"/>
                <w:b w:val="false"/>
                <w:bCs w:val="false"/>
                <w:color w:val="333333"/>
                <w:sz w:val="20"/>
                <w:szCs w:val="20"/>
              </w:rPr>
              <w:t xml:space="preserve">Liquidity multiplier on systematic shock</w:t>
            </w:r>
          </w:p>
        </w:tc>
        <w:tc>
          <w:tcPr>
            <w:tcW w:type="dxa" w:w="4560"/>
            <w:tcBorders>
              <w:top w:val="single" w:color="B0B8C4" w:sz="1"/>
              <w:left w:val="single" w:color="B0B8C4" w:sz="1"/>
              <w:bottom w:val="single" w:color="B0B8C4" w:sz="1"/>
              <w:right w:val="single" w:color="B0B8C4" w:sz="1"/>
            </w:tcBorders>
            <w:shd w:fill="EDF2F7" w:val="clear"/>
            <w:tcMar>
              <w:top w:type="dxa" w:w="60"/>
              <w:left w:type="dxa" w:w="100"/>
              <w:bottom w:type="dxa" w:w="60"/>
              <w:right w:type="dxa" w:w="100"/>
            </w:tcMar>
          </w:tcPr>
          <w:p>
            <w:r>
              <w:rPr>
                <w:rFonts w:ascii="Arial" w:cs="Arial" w:eastAsia="Arial" w:hAnsi="Arial"/>
                <w:b w:val="false"/>
                <w:bCs w:val="false"/>
                <w:color w:val="333333"/>
                <w:sz w:val="20"/>
                <w:szCs w:val="20"/>
              </w:rPr>
              <w:t xml:space="preserve">Illiquid HY bond gets 1.3x the systematic credit shock</w:t>
            </w:r>
          </w:p>
        </w:tc>
      </w:tr>
      <w:tr>
        <w:tc>
          <w:tcPr>
            <w:tcW w:type="dxa" w:w="20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New issuers (no history)</w:t>
            </w:r>
          </w:p>
        </w:tc>
        <w:tc>
          <w:tcPr>
            <w:tcW w:type="dxa" w:w="28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Use fundamental beta + sector proxy</w:t>
            </w:r>
          </w:p>
        </w:tc>
        <w:tc>
          <w:tcPr>
            <w:tcW w:type="dxa" w:w="456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Recently IPO’d AI company uses SOX index beta</w:t>
            </w:r>
          </w:p>
        </w:tc>
      </w:tr>
      <w:tr>
        <w:tc>
          <w:tcPr>
            <w:tcW w:type="dxa" w:w="2000"/>
            <w:tcBorders>
              <w:top w:val="single" w:color="B0B8C4" w:sz="1"/>
              <w:left w:val="single" w:color="B0B8C4" w:sz="1"/>
              <w:bottom w:val="single" w:color="B0B8C4" w:sz="1"/>
              <w:right w:val="single" w:color="B0B8C4" w:sz="1"/>
            </w:tcBorders>
            <w:shd w:fill="EDF2F7" w:val="clear"/>
            <w:tcMar>
              <w:top w:type="dxa" w:w="60"/>
              <w:left w:type="dxa" w:w="100"/>
              <w:bottom w:type="dxa" w:w="60"/>
              <w:right w:type="dxa" w:w="100"/>
            </w:tcMar>
          </w:tcPr>
          <w:p>
            <w:r>
              <w:rPr>
                <w:rFonts w:ascii="Arial" w:cs="Arial" w:eastAsia="Arial" w:hAnsi="Arial"/>
                <w:b w:val="false"/>
                <w:bCs w:val="false"/>
                <w:color w:val="333333"/>
                <w:sz w:val="20"/>
                <w:szCs w:val="20"/>
              </w:rPr>
              <w:t xml:space="preserve">Tail/jump risk</w:t>
            </w:r>
          </w:p>
        </w:tc>
        <w:tc>
          <w:tcPr>
            <w:tcW w:type="dxa" w:w="2800"/>
            <w:tcBorders>
              <w:top w:val="single" w:color="B0B8C4" w:sz="1"/>
              <w:left w:val="single" w:color="B0B8C4" w:sz="1"/>
              <w:bottom w:val="single" w:color="B0B8C4" w:sz="1"/>
              <w:right w:val="single" w:color="B0B8C4" w:sz="1"/>
            </w:tcBorders>
            <w:shd w:fill="EDF2F7" w:val="clear"/>
            <w:tcMar>
              <w:top w:type="dxa" w:w="60"/>
              <w:left w:type="dxa" w:w="100"/>
              <w:bottom w:type="dxa" w:w="60"/>
              <w:right w:type="dxa" w:w="100"/>
            </w:tcMar>
          </w:tcPr>
          <w:p>
            <w:r>
              <w:rPr>
                <w:rFonts w:ascii="Arial" w:cs="Arial" w:eastAsia="Arial" w:hAnsi="Arial"/>
                <w:b w:val="false"/>
                <w:bCs w:val="false"/>
                <w:color w:val="333333"/>
                <w:sz w:val="20"/>
                <w:szCs w:val="20"/>
              </w:rPr>
              <w:t xml:space="preserve">Worst-case override</w:t>
            </w:r>
          </w:p>
        </w:tc>
        <w:tc>
          <w:tcPr>
            <w:tcW w:type="dxa" w:w="4560"/>
            <w:tcBorders>
              <w:top w:val="single" w:color="B0B8C4" w:sz="1"/>
              <w:left w:val="single" w:color="B0B8C4" w:sz="1"/>
              <w:bottom w:val="single" w:color="B0B8C4" w:sz="1"/>
              <w:right w:val="single" w:color="B0B8C4" w:sz="1"/>
            </w:tcBorders>
            <w:shd w:fill="EDF2F7" w:val="clear"/>
            <w:tcMar>
              <w:top w:type="dxa" w:w="60"/>
              <w:left w:type="dxa" w:w="100"/>
              <w:bottom w:type="dxa" w:w="60"/>
              <w:right w:type="dxa" w:w="100"/>
            </w:tcMar>
          </w:tcPr>
          <w:p>
            <w:r>
              <w:rPr>
                <w:rFonts w:ascii="Arial" w:cs="Arial" w:eastAsia="Arial" w:hAnsi="Arial"/>
                <w:b w:val="false"/>
                <w:bCs w:val="false"/>
                <w:color w:val="333333"/>
                <w:sz w:val="20"/>
                <w:szCs w:val="20"/>
              </w:rPr>
              <w:t xml:space="preserve">Distressed name in downgrade scenario: set spread to 2000bp regardless</w:t>
            </w:r>
          </w:p>
        </w:tc>
      </w:tr>
    </w:tbl>
    <w:p>
      <w:pPr>
        <w:spacing w:after="80"/>
      </w:pPr>
    </w:p>
    <w:p>
      <w:pPr>
        <w:pStyle w:val="Heading3"/>
      </w:pPr>
      <w:r>
        <w:t xml:space="preserve">11.2 The Override Governance Rule</w:t>
      </w:r>
    </w:p>
    <w:p>
      <w:pPr>
        <w:spacing w:after="120" w:before="0"/>
      </w:pPr>
      <w:r>
        <w:rPr>
          <w:rFonts w:ascii="Arial" w:cs="Arial" w:eastAsia="Arial" w:hAnsi="Arial"/>
          <w:sz w:val="22"/>
          <w:szCs w:val="22"/>
        </w:rPr>
        <w:t xml:space="preserve">Every manual override to systematic propagation must be documented with: (1) the overridden driver, (2) the systematic shock it would have received, (3) the override value, and (4) the rationale for the override. This is a regulatory requirement under SR 11-7.</w:t>
      </w:r>
    </w:p>
    <w:p>
      <w:r>
        <w:br w:type="page"/>
      </w:r>
    </w:p>
    <w:p>
      <w:pPr>
        <w:pStyle w:val="Heading2"/>
      </w:pPr>
      <w:r>
        <w:t xml:space="preserve">12. Worked Example: Complete Propagation Chain</w:t>
      </w:r>
    </w:p>
    <w:p>
      <w:pPr>
        <w:spacing w:after="120" w:before="0"/>
      </w:pPr>
      <w:r>
        <w:rPr>
          <w:rFonts w:ascii="Arial" w:cs="Arial" w:eastAsia="Arial" w:hAnsi="Arial"/>
          <w:sz w:val="22"/>
          <w:szCs w:val="22"/>
        </w:rPr>
        <w:t xml:space="preserve">Let us trace a single driver from macro narrative all the way to P&amp;L:</w:t>
      </w:r>
    </w:p>
    <w:p>
      <w:pPr>
        <w:spacing w:after="80"/>
      </w:pPr>
    </w:p>
    <w:p>
      <w:pPr>
        <w:pStyle w:val="ListParagraph"/>
        <w:numPr>
          <w:ilvl w:val="0"/>
          <w:numId w:val="3"/>
        </w:numPr>
        <w:spacing w:after="60"/>
      </w:pPr>
      <w:r>
        <w:rPr>
          <w:rFonts w:ascii="Arial" w:cs="Arial" w:eastAsia="Arial" w:hAnsi="Arial"/>
          <w:sz w:val="22"/>
          <w:szCs w:val="22"/>
        </w:rPr>
        <w:t xml:space="preserve">Narrative: "AI Bubble Severe Correction with Credit Contagion"</w:t>
      </w:r>
    </w:p>
    <w:p>
      <w:pPr>
        <w:pStyle w:val="ListParagraph"/>
        <w:numPr>
          <w:ilvl w:val="0"/>
          <w:numId w:val="3"/>
        </w:numPr>
        <w:spacing w:after="60"/>
      </w:pPr>
      <w:r>
        <w:rPr>
          <w:rFonts w:ascii="Arial" w:cs="Arial" w:eastAsia="Arial" w:hAnsi="Arial"/>
          <w:sz w:val="22"/>
          <w:szCs w:val="22"/>
        </w:rPr>
        <w:t xml:space="preserve">Anchor Selection: CDX IG 5Y = +125bp (based on GFC analogue + AI overlay)</w:t>
      </w:r>
    </w:p>
    <w:p>
      <w:pPr>
        <w:pStyle w:val="ListParagraph"/>
        <w:numPr>
          <w:ilvl w:val="0"/>
          <w:numId w:val="3"/>
        </w:numPr>
        <w:spacing w:after="60"/>
      </w:pPr>
      <w:r>
        <w:rPr>
          <w:rFonts w:ascii="Arial" w:cs="Arial" w:eastAsia="Arial" w:hAnsi="Arial"/>
          <w:sz w:val="22"/>
          <w:szCs w:val="22"/>
        </w:rPr>
        <w:t xml:space="preserve">Beta to Anchor: Ford Motor Credit β to CDX IG = 1.15 (OLS, 2Y weekly, t-stat = 6.2)</w:t>
      </w:r>
    </w:p>
    <w:p>
      <w:pPr>
        <w:pStyle w:val="ListParagraph"/>
        <w:numPr>
          <w:ilvl w:val="0"/>
          <w:numId w:val="3"/>
        </w:numPr>
        <w:spacing w:after="60"/>
      </w:pPr>
      <w:r>
        <w:rPr>
          <w:rFonts w:ascii="Arial" w:cs="Arial" w:eastAsia="Arial" w:hAnsi="Arial"/>
          <w:sz w:val="22"/>
          <w:szCs w:val="22"/>
        </w:rPr>
        <w:t xml:space="preserve">Rating Mult: Ford is BBB- = 1.60x</w:t>
      </w:r>
    </w:p>
    <w:p>
      <w:pPr>
        <w:pStyle w:val="ListParagraph"/>
        <w:numPr>
          <w:ilvl w:val="0"/>
          <w:numId w:val="3"/>
        </w:numPr>
        <w:spacing w:after="60"/>
      </w:pPr>
      <w:r>
        <w:rPr>
          <w:rFonts w:ascii="Arial" w:cs="Arial" w:eastAsia="Arial" w:hAnsi="Arial"/>
          <w:sz w:val="22"/>
          <w:szCs w:val="22"/>
        </w:rPr>
        <w:t xml:space="preserve">Sector Mult: Autos/Consumer Disc = 1.15x</w:t>
      </w:r>
    </w:p>
    <w:p>
      <w:pPr>
        <w:pStyle w:val="ListParagraph"/>
        <w:numPr>
          <w:ilvl w:val="0"/>
          <w:numId w:val="3"/>
        </w:numPr>
        <w:spacing w:after="60"/>
      </w:pPr>
      <w:r>
        <w:rPr>
          <w:rFonts w:ascii="Arial" w:cs="Arial" w:eastAsia="Arial" w:hAnsi="Arial"/>
          <w:sz w:val="22"/>
          <w:szCs w:val="22"/>
        </w:rPr>
        <w:t xml:space="preserve">Tenor Mult: Ford 10Y (long end) = 1.20x</w:t>
      </w:r>
    </w:p>
    <w:p>
      <w:pPr>
        <w:pStyle w:val="ListParagraph"/>
        <w:numPr>
          <w:ilvl w:val="0"/>
          <w:numId w:val="3"/>
        </w:numPr>
        <w:spacing w:after="60"/>
      </w:pPr>
      <w:r>
        <w:rPr>
          <w:rFonts w:ascii="Arial" w:cs="Arial" w:eastAsia="Arial" w:hAnsi="Arial"/>
          <w:sz w:val="22"/>
          <w:szCs w:val="22"/>
        </w:rPr>
        <w:t xml:space="preserve">Seniority: Senior Unsec = 1.00x</w:t>
      </w:r>
    </w:p>
    <w:p>
      <w:pPr>
        <w:pStyle w:val="ListParagraph"/>
        <w:numPr>
          <w:ilvl w:val="0"/>
          <w:numId w:val="3"/>
        </w:numPr>
        <w:spacing w:after="60"/>
      </w:pPr>
      <w:r>
        <w:rPr>
          <w:rFonts w:ascii="Arial" w:cs="Arial" w:eastAsia="Arial" w:hAnsi="Arial"/>
          <w:sz w:val="22"/>
          <w:szCs w:val="22"/>
        </w:rPr>
        <w:t xml:space="preserve">Calculation: 125bp × 1.15 × 1.60 × 1.15 × 1.20 × 1.00 = +317bp</w:t>
      </w:r>
    </w:p>
    <w:p>
      <w:pPr>
        <w:pStyle w:val="ListParagraph"/>
        <w:numPr>
          <w:ilvl w:val="0"/>
          <w:numId w:val="3"/>
        </w:numPr>
        <w:spacing w:after="60"/>
      </w:pPr>
      <w:r>
        <w:rPr>
          <w:rFonts w:ascii="Arial" w:cs="Arial" w:eastAsia="Arial" w:hAnsi="Arial"/>
          <w:sz w:val="22"/>
          <w:szCs w:val="22"/>
        </w:rPr>
        <w:t xml:space="preserve">Position: Desk holds -$80K CS01 to Ford 10Y</w:t>
      </w:r>
    </w:p>
    <w:p>
      <w:pPr>
        <w:pStyle w:val="ListParagraph"/>
        <w:numPr>
          <w:ilvl w:val="0"/>
          <w:numId w:val="3"/>
        </w:numPr>
        <w:spacing w:after="60"/>
      </w:pPr>
      <w:r>
        <w:rPr>
          <w:rFonts w:ascii="Arial" w:cs="Arial" w:eastAsia="Arial" w:hAnsi="Arial"/>
          <w:sz w:val="22"/>
          <w:szCs w:val="22"/>
        </w:rPr>
        <w:t xml:space="preserve">P&amp;L: -$80K × 317bp = -$25.36M</w:t>
      </w:r>
    </w:p>
    <w:p>
      <w:pPr>
        <w:spacing w:after="80"/>
      </w:pPr>
    </w:p>
    <w:p>
      <w:pPr>
        <w:spacing w:after="120" w:before="0"/>
      </w:pPr>
      <w:r>
        <w:rPr>
          <w:rFonts w:ascii="Arial" w:cs="Arial" w:eastAsia="Arial" w:hAnsi="Arial"/>
          <w:sz w:val="22"/>
          <w:szCs w:val="22"/>
        </w:rPr>
        <w:t xml:space="preserve">Audit trail: Every number in this chain is traceable. The -$25.36M loss on Ford 10Y bonds decomposes to: 125bp base scenario + 19bp from beta + 92bp from BBB- rating + 36bp from auto sector + 45bp from 10Y tenor extension. A reviewer can challenge any multiplier independently.</w:t>
      </w:r>
    </w:p>
    <w:p>
      <w:r>
        <w:br w:type="page"/>
      </w:r>
    </w:p>
    <w:p>
      <w:pPr>
        <w:pStyle w:val="Heading1"/>
      </w:pPr>
      <w:r>
        <w:t xml:space="preserve">PART III: AGGREGATION &amp; ATTRIBUTION</w:t>
      </w:r>
    </w:p>
    <w:p>
      <w:pPr>
        <w:spacing w:after="80"/>
      </w:pPr>
    </w:p>
    <w:p>
      <w:pPr>
        <w:pStyle w:val="Heading2"/>
      </w:pPr>
      <w:r>
        <w:t xml:space="preserve">13. The Aggregation Hierarchy</w:t>
      </w:r>
    </w:p>
    <w:p>
      <w:pPr>
        <w:spacing w:after="120" w:before="0"/>
      </w:pPr>
      <w:r>
        <w:rPr>
          <w:rFonts w:ascii="Arial" w:cs="Arial" w:eastAsia="Arial" w:hAnsi="Arial"/>
          <w:sz w:val="22"/>
          <w:szCs w:val="22"/>
        </w:rPr>
        <w:t xml:space="preserve">Individual position P&amp;Ls roll up through a strict hierarchy: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4760"/>
      </w:tblGrid>
      <w:tr>
        <w:tc>
          <w:tcPr>
            <w:tcW w:type="dxa" w:w="1400"/>
            <w:tcBorders>
              <w:top w:val="single" w:color="B0B8C4" w:sz="1"/>
              <w:left w:val="single" w:color="B0B8C4" w:sz="1"/>
              <w:bottom w:val="single" w:color="B0B8C4" w:sz="1"/>
              <w:right w:val="single" w:color="B0B8C4"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Level</w:t>
            </w:r>
          </w:p>
        </w:tc>
        <w:tc>
          <w:tcPr>
            <w:tcW w:type="dxa" w:w="3200"/>
            <w:tcBorders>
              <w:top w:val="single" w:color="B0B8C4" w:sz="1"/>
              <w:left w:val="single" w:color="B0B8C4" w:sz="1"/>
              <w:bottom w:val="single" w:color="B0B8C4" w:sz="1"/>
              <w:right w:val="single" w:color="B0B8C4"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What Gets Summed</w:t>
            </w:r>
          </w:p>
        </w:tc>
        <w:tc>
          <w:tcPr>
            <w:tcW w:type="dxa" w:w="4760"/>
            <w:tcBorders>
              <w:top w:val="single" w:color="B0B8C4" w:sz="1"/>
              <w:left w:val="single" w:color="B0B8C4" w:sz="1"/>
              <w:bottom w:val="single" w:color="B0B8C4" w:sz="1"/>
              <w:right w:val="single" w:color="B0B8C4"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Key Insight</w:t>
            </w:r>
          </w:p>
        </w:tc>
      </w:tr>
      <w:tr>
        <w:tc>
          <w:tcPr>
            <w:tcW w:type="dxa" w:w="1400"/>
            <w:tcBorders>
              <w:top w:val="single" w:color="B0B8C4" w:sz="1"/>
              <w:left w:val="single" w:color="B0B8C4" w:sz="1"/>
              <w:bottom w:val="single" w:color="B0B8C4" w:sz="1"/>
              <w:right w:val="single" w:color="B0B8C4" w:sz="1"/>
            </w:tcBorders>
            <w:shd w:fill="EDF2F7" w:val="clear"/>
            <w:tcMar>
              <w:top w:type="dxa" w:w="60"/>
              <w:left w:type="dxa" w:w="100"/>
              <w:bottom w:type="dxa" w:w="60"/>
              <w:right w:type="dxa" w:w="100"/>
            </w:tcMar>
          </w:tcPr>
          <w:p>
            <w:r>
              <w:rPr>
                <w:rFonts w:ascii="Arial" w:cs="Arial" w:eastAsia="Arial" w:hAnsi="Arial"/>
                <w:b w:val="false"/>
                <w:bCs w:val="false"/>
                <w:color w:val="333333"/>
                <w:sz w:val="20"/>
                <w:szCs w:val="20"/>
              </w:rPr>
              <w:t xml:space="preserve">Position</w:t>
            </w:r>
          </w:p>
        </w:tc>
        <w:tc>
          <w:tcPr>
            <w:tcW w:type="dxa" w:w="3200"/>
            <w:tcBorders>
              <w:top w:val="single" w:color="B0B8C4" w:sz="1"/>
              <w:left w:val="single" w:color="B0B8C4" w:sz="1"/>
              <w:bottom w:val="single" w:color="B0B8C4" w:sz="1"/>
              <w:right w:val="single" w:color="B0B8C4" w:sz="1"/>
            </w:tcBorders>
            <w:shd w:fill="EDF2F7" w:val="clear"/>
            <w:tcMar>
              <w:top w:type="dxa" w:w="60"/>
              <w:left w:type="dxa" w:w="100"/>
              <w:bottom w:type="dxa" w:w="60"/>
              <w:right w:type="dxa" w:w="100"/>
            </w:tcMar>
          </w:tcPr>
          <w:p>
            <w:r>
              <w:rPr>
                <w:rFonts w:ascii="Arial" w:cs="Arial" w:eastAsia="Arial" w:hAnsi="Arial"/>
                <w:b w:val="false"/>
                <w:bCs w:val="false"/>
                <w:color w:val="333333"/>
                <w:sz w:val="20"/>
                <w:szCs w:val="20"/>
              </w:rPr>
              <w:t xml:space="preserve">All risk types for one trade</w:t>
            </w:r>
          </w:p>
        </w:tc>
        <w:tc>
          <w:tcPr>
            <w:tcW w:type="dxa" w:w="4760"/>
            <w:tcBorders>
              <w:top w:val="single" w:color="B0B8C4" w:sz="1"/>
              <w:left w:val="single" w:color="B0B8C4" w:sz="1"/>
              <w:bottom w:val="single" w:color="B0B8C4" w:sz="1"/>
              <w:right w:val="single" w:color="B0B8C4" w:sz="1"/>
            </w:tcBorders>
            <w:shd w:fill="EDF2F7" w:val="clear"/>
            <w:tcMar>
              <w:top w:type="dxa" w:w="60"/>
              <w:left w:type="dxa" w:w="100"/>
              <w:bottom w:type="dxa" w:w="60"/>
              <w:right w:type="dxa" w:w="100"/>
            </w:tcMar>
          </w:tcPr>
          <w:p>
            <w:r>
              <w:rPr>
                <w:rFonts w:ascii="Arial" w:cs="Arial" w:eastAsia="Arial" w:hAnsi="Arial"/>
                <w:b w:val="false"/>
                <w:bCs w:val="false"/>
                <w:color w:val="333333"/>
                <w:sz w:val="20"/>
                <w:szCs w:val="20"/>
              </w:rPr>
              <w:t xml:space="preserve">A single bond has DV01 P&amp;L + CS01 P&amp;L + FX P&amp;L</w:t>
            </w:r>
          </w:p>
        </w:tc>
      </w:tr>
      <w:tr>
        <w:tc>
          <w:tcPr>
            <w:tcW w:type="dxa" w:w="14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Book</w:t>
            </w:r>
          </w:p>
        </w:tc>
        <w:tc>
          <w:tcPr>
            <w:tcW w:type="dxa" w:w="32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All positions in one trader’s book</w:t>
            </w:r>
          </w:p>
        </w:tc>
        <w:tc>
          <w:tcPr>
            <w:tcW w:type="dxa" w:w="476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Netting occurs here: hedges offset risk positions</w:t>
            </w:r>
          </w:p>
        </w:tc>
      </w:tr>
      <w:tr>
        <w:tc>
          <w:tcPr>
            <w:tcW w:type="dxa" w:w="1400"/>
            <w:tcBorders>
              <w:top w:val="single" w:color="B0B8C4" w:sz="1"/>
              <w:left w:val="single" w:color="B0B8C4" w:sz="1"/>
              <w:bottom w:val="single" w:color="B0B8C4" w:sz="1"/>
              <w:right w:val="single" w:color="B0B8C4" w:sz="1"/>
            </w:tcBorders>
            <w:shd w:fill="EDF2F7" w:val="clear"/>
            <w:tcMar>
              <w:top w:type="dxa" w:w="60"/>
              <w:left w:type="dxa" w:w="100"/>
              <w:bottom w:type="dxa" w:w="60"/>
              <w:right w:type="dxa" w:w="100"/>
            </w:tcMar>
          </w:tcPr>
          <w:p>
            <w:r>
              <w:rPr>
                <w:rFonts w:ascii="Arial" w:cs="Arial" w:eastAsia="Arial" w:hAnsi="Arial"/>
                <w:b w:val="false"/>
                <w:bCs w:val="false"/>
                <w:color w:val="333333"/>
                <w:sz w:val="20"/>
                <w:szCs w:val="20"/>
              </w:rPr>
              <w:t xml:space="preserve">Desk</w:t>
            </w:r>
          </w:p>
        </w:tc>
        <w:tc>
          <w:tcPr>
            <w:tcW w:type="dxa" w:w="3200"/>
            <w:tcBorders>
              <w:top w:val="single" w:color="B0B8C4" w:sz="1"/>
              <w:left w:val="single" w:color="B0B8C4" w:sz="1"/>
              <w:bottom w:val="single" w:color="B0B8C4" w:sz="1"/>
              <w:right w:val="single" w:color="B0B8C4" w:sz="1"/>
            </w:tcBorders>
            <w:shd w:fill="EDF2F7" w:val="clear"/>
            <w:tcMar>
              <w:top w:type="dxa" w:w="60"/>
              <w:left w:type="dxa" w:w="100"/>
              <w:bottom w:type="dxa" w:w="60"/>
              <w:right w:type="dxa" w:w="100"/>
            </w:tcMar>
          </w:tcPr>
          <w:p>
            <w:r>
              <w:rPr>
                <w:rFonts w:ascii="Arial" w:cs="Arial" w:eastAsia="Arial" w:hAnsi="Arial"/>
                <w:b w:val="false"/>
                <w:bCs w:val="false"/>
                <w:color w:val="333333"/>
                <w:sz w:val="20"/>
                <w:szCs w:val="20"/>
              </w:rPr>
              <w:t xml:space="preserve">All books on one trading desk</w:t>
            </w:r>
          </w:p>
        </w:tc>
        <w:tc>
          <w:tcPr>
            <w:tcW w:type="dxa" w:w="4760"/>
            <w:tcBorders>
              <w:top w:val="single" w:color="B0B8C4" w:sz="1"/>
              <w:left w:val="single" w:color="B0B8C4" w:sz="1"/>
              <w:bottom w:val="single" w:color="B0B8C4" w:sz="1"/>
              <w:right w:val="single" w:color="B0B8C4" w:sz="1"/>
            </w:tcBorders>
            <w:shd w:fill="EDF2F7" w:val="clear"/>
            <w:tcMar>
              <w:top w:type="dxa" w:w="60"/>
              <w:left w:type="dxa" w:w="100"/>
              <w:bottom w:type="dxa" w:w="60"/>
              <w:right w:type="dxa" w:w="100"/>
            </w:tcMar>
          </w:tcPr>
          <w:p>
            <w:r>
              <w:rPr>
                <w:rFonts w:ascii="Arial" w:cs="Arial" w:eastAsia="Arial" w:hAnsi="Arial"/>
                <w:b w:val="false"/>
                <w:bCs w:val="false"/>
                <w:color w:val="333333"/>
                <w:sz w:val="20"/>
                <w:szCs w:val="20"/>
              </w:rPr>
              <w:t xml:space="preserve">Key management reporting level. Cross-book hedges net.</w:t>
            </w:r>
          </w:p>
        </w:tc>
      </w:tr>
      <w:tr>
        <w:tc>
          <w:tcPr>
            <w:tcW w:type="dxa" w:w="14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Division</w:t>
            </w:r>
          </w:p>
        </w:tc>
        <w:tc>
          <w:tcPr>
            <w:tcW w:type="dxa" w:w="32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All desks in a business line</w:t>
            </w:r>
          </w:p>
        </w:tc>
        <w:tc>
          <w:tcPr>
            <w:tcW w:type="dxa" w:w="476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E.g., all of Global Markets</w:t>
            </w:r>
          </w:p>
        </w:tc>
      </w:tr>
      <w:tr>
        <w:tc>
          <w:tcPr>
            <w:tcW w:type="dxa" w:w="1400"/>
            <w:tcBorders>
              <w:top w:val="single" w:color="B0B8C4" w:sz="1"/>
              <w:left w:val="single" w:color="B0B8C4" w:sz="1"/>
              <w:bottom w:val="single" w:color="B0B8C4" w:sz="1"/>
              <w:right w:val="single" w:color="B0B8C4" w:sz="1"/>
            </w:tcBorders>
            <w:shd w:fill="EDF2F7" w:val="clear"/>
            <w:tcMar>
              <w:top w:type="dxa" w:w="60"/>
              <w:left w:type="dxa" w:w="100"/>
              <w:bottom w:type="dxa" w:w="60"/>
              <w:right w:type="dxa" w:w="100"/>
            </w:tcMar>
          </w:tcPr>
          <w:p>
            <w:r>
              <w:rPr>
                <w:rFonts w:ascii="Arial" w:cs="Arial" w:eastAsia="Arial" w:hAnsi="Arial"/>
                <w:b w:val="false"/>
                <w:bCs w:val="false"/>
                <w:color w:val="333333"/>
                <w:sz w:val="20"/>
                <w:szCs w:val="20"/>
              </w:rPr>
              <w:t xml:space="preserve">Firm</w:t>
            </w:r>
          </w:p>
        </w:tc>
        <w:tc>
          <w:tcPr>
            <w:tcW w:type="dxa" w:w="3200"/>
            <w:tcBorders>
              <w:top w:val="single" w:color="B0B8C4" w:sz="1"/>
              <w:left w:val="single" w:color="B0B8C4" w:sz="1"/>
              <w:bottom w:val="single" w:color="B0B8C4" w:sz="1"/>
              <w:right w:val="single" w:color="B0B8C4" w:sz="1"/>
            </w:tcBorders>
            <w:shd w:fill="EDF2F7" w:val="clear"/>
            <w:tcMar>
              <w:top w:type="dxa" w:w="60"/>
              <w:left w:type="dxa" w:w="100"/>
              <w:bottom w:type="dxa" w:w="60"/>
              <w:right w:type="dxa" w:w="100"/>
            </w:tcMar>
          </w:tcPr>
          <w:p>
            <w:r>
              <w:rPr>
                <w:rFonts w:ascii="Arial" w:cs="Arial" w:eastAsia="Arial" w:hAnsi="Arial"/>
                <w:b w:val="false"/>
                <w:bCs w:val="false"/>
                <w:color w:val="333333"/>
                <w:sz w:val="20"/>
                <w:szCs w:val="20"/>
              </w:rPr>
              <w:t xml:space="preserve">All divisions across CIB</w:t>
            </w:r>
          </w:p>
        </w:tc>
        <w:tc>
          <w:tcPr>
            <w:tcW w:type="dxa" w:w="4760"/>
            <w:tcBorders>
              <w:top w:val="single" w:color="B0B8C4" w:sz="1"/>
              <w:left w:val="single" w:color="B0B8C4" w:sz="1"/>
              <w:bottom w:val="single" w:color="B0B8C4" w:sz="1"/>
              <w:right w:val="single" w:color="B0B8C4" w:sz="1"/>
            </w:tcBorders>
            <w:shd w:fill="EDF2F7" w:val="clear"/>
            <w:tcMar>
              <w:top w:type="dxa" w:w="60"/>
              <w:left w:type="dxa" w:w="100"/>
              <w:bottom w:type="dxa" w:w="60"/>
              <w:right w:type="dxa" w:w="100"/>
            </w:tcMar>
          </w:tcPr>
          <w:p>
            <w:r>
              <w:rPr>
                <w:rFonts w:ascii="Arial" w:cs="Arial" w:eastAsia="Arial" w:hAnsi="Arial"/>
                <w:b w:val="false"/>
                <w:bCs w:val="false"/>
                <w:color w:val="333333"/>
                <w:sz w:val="20"/>
                <w:szCs w:val="20"/>
              </w:rPr>
              <w:t xml:space="preserve">The regulatory reporting level</w:t>
            </w:r>
          </w:p>
        </w:tc>
      </w:tr>
    </w:tbl>
    <w:p>
      <w:pPr>
        <w:spacing w:after="80"/>
      </w:pPr>
    </w:p>
    <w:p>
      <w:pPr>
        <w:spacing w:after="120" w:before="0"/>
      </w:pPr>
      <w:r>
        <w:rPr>
          <w:rFonts w:ascii="Arial" w:cs="Arial" w:eastAsia="Arial" w:hAnsi="Arial"/>
          <w:sz w:val="22"/>
          <w:szCs w:val="22"/>
        </w:rPr>
        <w:t xml:space="preserve">At each level, P&amp;L sums arithmetically. Hedges offset. If one desk is long S&amp;P and another is short S&amp;P, the firm-level P&amp;L nets them. This netting benefit is real — but regulators want to see both gross and net numbers.</w:t>
      </w:r>
    </w:p>
    <w:p>
      <w:pPr>
        <w:spacing w:after="80"/>
      </w:pPr>
    </w:p>
    <w:p>
      <w:pPr>
        <w:pStyle w:val="Heading2"/>
      </w:pPr>
      <w:r>
        <w:t xml:space="preserve">14. P&amp;L Attribution</w:t>
      </w:r>
    </w:p>
    <w:p>
      <w:pPr>
        <w:spacing w:after="120" w:before="0"/>
      </w:pPr>
      <w:r>
        <w:rPr>
          <w:rFonts w:ascii="Arial" w:cs="Arial" w:eastAsia="Arial" w:hAnsi="Arial"/>
          <w:sz w:val="22"/>
          <w:szCs w:val="22"/>
        </w:rPr>
        <w:t xml:space="preserve">The same total P&amp;L can be sliced multiple ways. All must reconcile to the same total:</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c>
          <w:tcPr>
            <w:tcW w:type="dxa" w:w="1800"/>
            <w:tcBorders>
              <w:top w:val="single" w:color="B0B8C4" w:sz="1"/>
              <w:left w:val="single" w:color="B0B8C4" w:sz="1"/>
              <w:bottom w:val="single" w:color="B0B8C4" w:sz="1"/>
              <w:right w:val="single" w:color="B0B8C4"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Attribution Axis</w:t>
            </w:r>
          </w:p>
        </w:tc>
        <w:tc>
          <w:tcPr>
            <w:tcW w:type="dxa" w:w="3000"/>
            <w:tcBorders>
              <w:top w:val="single" w:color="B0B8C4" w:sz="1"/>
              <w:left w:val="single" w:color="B0B8C4" w:sz="1"/>
              <w:bottom w:val="single" w:color="B0B8C4" w:sz="1"/>
              <w:right w:val="single" w:color="B0B8C4"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Slices</w:t>
            </w:r>
          </w:p>
        </w:tc>
        <w:tc>
          <w:tcPr>
            <w:tcW w:type="dxa" w:w="4560"/>
            <w:tcBorders>
              <w:top w:val="single" w:color="B0B8C4" w:sz="1"/>
              <w:left w:val="single" w:color="B0B8C4" w:sz="1"/>
              <w:bottom w:val="single" w:color="B0B8C4" w:sz="1"/>
              <w:right w:val="single" w:color="B0B8C4"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Answers the Question</w:t>
            </w:r>
          </w:p>
        </w:tc>
      </w:tr>
      <w:tr>
        <w:tc>
          <w:tcPr>
            <w:tcW w:type="dxa" w:w="1800"/>
            <w:tcBorders>
              <w:top w:val="single" w:color="B0B8C4" w:sz="1"/>
              <w:left w:val="single" w:color="B0B8C4" w:sz="1"/>
              <w:bottom w:val="single" w:color="B0B8C4" w:sz="1"/>
              <w:right w:val="single" w:color="B0B8C4" w:sz="1"/>
            </w:tcBorders>
            <w:shd w:fill="EDF2F7" w:val="clear"/>
            <w:tcMar>
              <w:top w:type="dxa" w:w="60"/>
              <w:left w:type="dxa" w:w="100"/>
              <w:bottom w:type="dxa" w:w="60"/>
              <w:right w:type="dxa" w:w="100"/>
            </w:tcMar>
          </w:tcPr>
          <w:p>
            <w:r>
              <w:rPr>
                <w:rFonts w:ascii="Arial" w:cs="Arial" w:eastAsia="Arial" w:hAnsi="Arial"/>
                <w:b w:val="false"/>
                <w:bCs w:val="false"/>
                <w:color w:val="333333"/>
                <w:sz w:val="20"/>
                <w:szCs w:val="20"/>
              </w:rPr>
              <w:t xml:space="preserve">By Risk Type</w:t>
            </w:r>
          </w:p>
        </w:tc>
        <w:tc>
          <w:tcPr>
            <w:tcW w:type="dxa" w:w="3000"/>
            <w:tcBorders>
              <w:top w:val="single" w:color="B0B8C4" w:sz="1"/>
              <w:left w:val="single" w:color="B0B8C4" w:sz="1"/>
              <w:bottom w:val="single" w:color="B0B8C4" w:sz="1"/>
              <w:right w:val="single" w:color="B0B8C4" w:sz="1"/>
            </w:tcBorders>
            <w:shd w:fill="EDF2F7" w:val="clear"/>
            <w:tcMar>
              <w:top w:type="dxa" w:w="60"/>
              <w:left w:type="dxa" w:w="100"/>
              <w:bottom w:type="dxa" w:w="60"/>
              <w:right w:type="dxa" w:w="100"/>
            </w:tcMar>
          </w:tcPr>
          <w:p>
            <w:r>
              <w:rPr>
                <w:rFonts w:ascii="Arial" w:cs="Arial" w:eastAsia="Arial" w:hAnsi="Arial"/>
                <w:b w:val="false"/>
                <w:bCs w:val="false"/>
                <w:color w:val="333333"/>
                <w:sz w:val="20"/>
                <w:szCs w:val="20"/>
              </w:rPr>
              <w:t xml:space="preserve">IR, Credit, Equity, FX, Commodity, Vol</w:t>
            </w:r>
          </w:p>
        </w:tc>
        <w:tc>
          <w:tcPr>
            <w:tcW w:type="dxa" w:w="4560"/>
            <w:tcBorders>
              <w:top w:val="single" w:color="B0B8C4" w:sz="1"/>
              <w:left w:val="single" w:color="B0B8C4" w:sz="1"/>
              <w:bottom w:val="single" w:color="B0B8C4" w:sz="1"/>
              <w:right w:val="single" w:color="B0B8C4" w:sz="1"/>
            </w:tcBorders>
            <w:shd w:fill="EDF2F7" w:val="clear"/>
            <w:tcMar>
              <w:top w:type="dxa" w:w="60"/>
              <w:left w:type="dxa" w:w="100"/>
              <w:bottom w:type="dxa" w:w="60"/>
              <w:right w:type="dxa" w:w="100"/>
            </w:tcMar>
          </w:tcPr>
          <w:p>
            <w:r>
              <w:rPr>
                <w:rFonts w:ascii="Arial" w:cs="Arial" w:eastAsia="Arial" w:hAnsi="Arial"/>
                <w:b w:val="false"/>
                <w:bCs w:val="false"/>
                <w:color w:val="333333"/>
                <w:sz w:val="20"/>
                <w:szCs w:val="20"/>
              </w:rPr>
              <w:t xml:space="preserve">"Which risk factor drove losses?"</w:t>
            </w:r>
          </w:p>
        </w:tc>
      </w:tr>
      <w:tr>
        <w:tc>
          <w:tcPr>
            <w:tcW w:type="dxa" w:w="18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By Asset Class</w:t>
            </w:r>
          </w:p>
        </w:tc>
        <w:tc>
          <w:tcPr>
            <w:tcW w:type="dxa" w:w="30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Rates, Credit, Equities, FX, Commodities</w:t>
            </w:r>
          </w:p>
        </w:tc>
        <w:tc>
          <w:tcPr>
            <w:tcW w:type="dxa" w:w="456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"Which market segment suffered most?"</w:t>
            </w:r>
          </w:p>
        </w:tc>
      </w:tr>
      <w:tr>
        <w:tc>
          <w:tcPr>
            <w:tcW w:type="dxa" w:w="1800"/>
            <w:tcBorders>
              <w:top w:val="single" w:color="B0B8C4" w:sz="1"/>
              <w:left w:val="single" w:color="B0B8C4" w:sz="1"/>
              <w:bottom w:val="single" w:color="B0B8C4" w:sz="1"/>
              <w:right w:val="single" w:color="B0B8C4" w:sz="1"/>
            </w:tcBorders>
            <w:shd w:fill="EDF2F7" w:val="clear"/>
            <w:tcMar>
              <w:top w:type="dxa" w:w="60"/>
              <w:left w:type="dxa" w:w="100"/>
              <w:bottom w:type="dxa" w:w="60"/>
              <w:right w:type="dxa" w:w="100"/>
            </w:tcMar>
          </w:tcPr>
          <w:p>
            <w:r>
              <w:rPr>
                <w:rFonts w:ascii="Arial" w:cs="Arial" w:eastAsia="Arial" w:hAnsi="Arial"/>
                <w:b w:val="false"/>
                <w:bCs w:val="false"/>
                <w:color w:val="333333"/>
                <w:sz w:val="20"/>
                <w:szCs w:val="20"/>
              </w:rPr>
              <w:t xml:space="preserve">By Desk</w:t>
            </w:r>
          </w:p>
        </w:tc>
        <w:tc>
          <w:tcPr>
            <w:tcW w:type="dxa" w:w="3000"/>
            <w:tcBorders>
              <w:top w:val="single" w:color="B0B8C4" w:sz="1"/>
              <w:left w:val="single" w:color="B0B8C4" w:sz="1"/>
              <w:bottom w:val="single" w:color="B0B8C4" w:sz="1"/>
              <w:right w:val="single" w:color="B0B8C4" w:sz="1"/>
            </w:tcBorders>
            <w:shd w:fill="EDF2F7" w:val="clear"/>
            <w:tcMar>
              <w:top w:type="dxa" w:w="60"/>
              <w:left w:type="dxa" w:w="100"/>
              <w:bottom w:type="dxa" w:w="60"/>
              <w:right w:type="dxa" w:w="100"/>
            </w:tcMar>
          </w:tcPr>
          <w:p>
            <w:r>
              <w:rPr>
                <w:rFonts w:ascii="Arial" w:cs="Arial" w:eastAsia="Arial" w:hAnsi="Arial"/>
                <w:b w:val="false"/>
                <w:bCs w:val="false"/>
                <w:color w:val="333333"/>
                <w:sz w:val="20"/>
                <w:szCs w:val="20"/>
              </w:rPr>
              <w:t xml:space="preserve">Rates Trading, Credit Trading, EQ Derivs, FX, Commodities</w:t>
            </w:r>
          </w:p>
        </w:tc>
        <w:tc>
          <w:tcPr>
            <w:tcW w:type="dxa" w:w="4560"/>
            <w:tcBorders>
              <w:top w:val="single" w:color="B0B8C4" w:sz="1"/>
              <w:left w:val="single" w:color="B0B8C4" w:sz="1"/>
              <w:bottom w:val="single" w:color="B0B8C4" w:sz="1"/>
              <w:right w:val="single" w:color="B0B8C4" w:sz="1"/>
            </w:tcBorders>
            <w:shd w:fill="EDF2F7" w:val="clear"/>
            <w:tcMar>
              <w:top w:type="dxa" w:w="60"/>
              <w:left w:type="dxa" w:w="100"/>
              <w:bottom w:type="dxa" w:w="60"/>
              <w:right w:type="dxa" w:w="100"/>
            </w:tcMar>
          </w:tcPr>
          <w:p>
            <w:r>
              <w:rPr>
                <w:rFonts w:ascii="Arial" w:cs="Arial" w:eastAsia="Arial" w:hAnsi="Arial"/>
                <w:b w:val="false"/>
                <w:bCs w:val="false"/>
                <w:color w:val="333333"/>
                <w:sz w:val="20"/>
                <w:szCs w:val="20"/>
              </w:rPr>
              <w:t xml:space="preserve">"Which business took the hit?"</w:t>
            </w:r>
          </w:p>
        </w:tc>
      </w:tr>
      <w:tr>
        <w:tc>
          <w:tcPr>
            <w:tcW w:type="dxa" w:w="18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By Driver</w:t>
            </w:r>
          </w:p>
        </w:tc>
        <w:tc>
          <w:tcPr>
            <w:tcW w:type="dxa" w:w="30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Individual driver contributions</w:t>
            </w:r>
          </w:p>
        </w:tc>
        <w:tc>
          <w:tcPr>
            <w:tcW w:type="dxa" w:w="456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"Which specific risk factor caused this?"</w:t>
            </w:r>
          </w:p>
        </w:tc>
      </w:tr>
      <w:tr>
        <w:tc>
          <w:tcPr>
            <w:tcW w:type="dxa" w:w="1800"/>
            <w:tcBorders>
              <w:top w:val="single" w:color="B0B8C4" w:sz="1"/>
              <w:left w:val="single" w:color="B0B8C4" w:sz="1"/>
              <w:bottom w:val="single" w:color="B0B8C4" w:sz="1"/>
              <w:right w:val="single" w:color="B0B8C4" w:sz="1"/>
            </w:tcBorders>
            <w:shd w:fill="EDF2F7" w:val="clear"/>
            <w:tcMar>
              <w:top w:type="dxa" w:w="60"/>
              <w:left w:type="dxa" w:w="100"/>
              <w:bottom w:type="dxa" w:w="60"/>
              <w:right w:type="dxa" w:w="100"/>
            </w:tcMar>
          </w:tcPr>
          <w:p>
            <w:r>
              <w:rPr>
                <w:rFonts w:ascii="Arial" w:cs="Arial" w:eastAsia="Arial" w:hAnsi="Arial"/>
                <w:b w:val="false"/>
                <w:bCs w:val="false"/>
                <w:color w:val="333333"/>
                <w:sz w:val="20"/>
                <w:szCs w:val="20"/>
              </w:rPr>
              <w:t xml:space="preserve">By Greek</w:t>
            </w:r>
          </w:p>
        </w:tc>
        <w:tc>
          <w:tcPr>
            <w:tcW w:type="dxa" w:w="3000"/>
            <w:tcBorders>
              <w:top w:val="single" w:color="B0B8C4" w:sz="1"/>
              <w:left w:val="single" w:color="B0B8C4" w:sz="1"/>
              <w:bottom w:val="single" w:color="B0B8C4" w:sz="1"/>
              <w:right w:val="single" w:color="B0B8C4" w:sz="1"/>
            </w:tcBorders>
            <w:shd w:fill="EDF2F7" w:val="clear"/>
            <w:tcMar>
              <w:top w:type="dxa" w:w="60"/>
              <w:left w:type="dxa" w:w="100"/>
              <w:bottom w:type="dxa" w:w="60"/>
              <w:right w:type="dxa" w:w="100"/>
            </w:tcMar>
          </w:tcPr>
          <w:p>
            <w:r>
              <w:rPr>
                <w:rFonts w:ascii="Arial" w:cs="Arial" w:eastAsia="Arial" w:hAnsi="Arial"/>
                <w:b w:val="false"/>
                <w:bCs w:val="false"/>
                <w:color w:val="333333"/>
                <w:sz w:val="20"/>
                <w:szCs w:val="20"/>
              </w:rPr>
              <w:t xml:space="preserve">Delta, Gamma, Vega, Rho, CS01, DV01</w:t>
            </w:r>
          </w:p>
        </w:tc>
        <w:tc>
          <w:tcPr>
            <w:tcW w:type="dxa" w:w="4560"/>
            <w:tcBorders>
              <w:top w:val="single" w:color="B0B8C4" w:sz="1"/>
              <w:left w:val="single" w:color="B0B8C4" w:sz="1"/>
              <w:bottom w:val="single" w:color="B0B8C4" w:sz="1"/>
              <w:right w:val="single" w:color="B0B8C4" w:sz="1"/>
            </w:tcBorders>
            <w:shd w:fill="EDF2F7" w:val="clear"/>
            <w:tcMar>
              <w:top w:type="dxa" w:w="60"/>
              <w:left w:type="dxa" w:w="100"/>
              <w:bottom w:type="dxa" w:w="60"/>
              <w:right w:type="dxa" w:w="100"/>
            </w:tcMar>
          </w:tcPr>
          <w:p>
            <w:r>
              <w:rPr>
                <w:rFonts w:ascii="Arial" w:cs="Arial" w:eastAsia="Arial" w:hAnsi="Arial"/>
                <w:b w:val="false"/>
                <w:bCs w:val="false"/>
                <w:color w:val="333333"/>
                <w:sz w:val="20"/>
                <w:szCs w:val="20"/>
              </w:rPr>
              <w:t xml:space="preserve">"Was this a direction or convexity loss?"</w:t>
            </w:r>
          </w:p>
        </w:tc>
      </w:tr>
    </w:tbl>
    <w:p>
      <w:pPr>
        <w:spacing w:after="80"/>
      </w:pPr>
    </w:p>
    <w:p>
      <w:pPr>
        <w:pStyle w:val="Heading3"/>
      </w:pPr>
      <w:r>
        <w:t xml:space="preserve">14.1 The Reconciliation Requirement</w:t>
      </w:r>
    </w:p>
    <w:p>
      <w:pPr>
        <w:spacing w:after="120" w:before="0"/>
      </w:pPr>
      <w:r>
        <w:rPr>
          <w:rFonts w:ascii="Arial" w:cs="Arial" w:eastAsia="Arial" w:hAnsi="Arial"/>
          <w:sz w:val="22"/>
          <w:szCs w:val="22"/>
        </w:rPr>
        <w:t xml:space="preserve">All attribution axes must sum to the same firm-level total. If risk-type attribution says -$500M and desk attribution says -$480M, something is wrong (likely a cross-desk hedge being double-counted or missed).</w:t>
      </w:r>
    </w:p>
    <w:p>
      <w:pPr>
        <w:spacing w:after="80"/>
      </w:pPr>
    </w:p>
    <w:p>
      <w:pPr>
        <w:pStyle w:val="Heading2"/>
      </w:pPr>
      <w:r>
        <w:t xml:space="preserve">15. Hedging Offset Recognition</w:t>
      </w:r>
    </w:p>
    <w:p>
      <w:pPr>
        <w:spacing w:after="80"/>
      </w:pPr>
    </w:p>
    <w:p>
      <w:pPr>
        <w:pStyle w:val="Heading3"/>
      </w:pPr>
      <w:r>
        <w:t xml:space="preserve">15.1 Netting Within Desks</w:t>
      </w:r>
    </w:p>
    <w:p>
      <w:pPr>
        <w:spacing w:after="120" w:before="0"/>
      </w:pPr>
      <w:r>
        <w:rPr>
          <w:rFonts w:ascii="Arial" w:cs="Arial" w:eastAsia="Arial" w:hAnsi="Arial"/>
          <w:sz w:val="22"/>
          <w:szCs w:val="22"/>
        </w:rPr>
        <w:t xml:space="preserve">Most desks run partially hedged books. The net P&amp;L captures this:</w:t>
      </w:r>
    </w:p>
    <w:p>
      <w:pPr>
        <w:spacing w:after="80"/>
      </w:pPr>
    </w:p>
    <w:p>
      <w:pPr>
        <w:spacing w:after="120" w:before="0"/>
      </w:pPr>
      <w:r>
        <w:rPr>
          <w:rFonts w:ascii="Arial" w:cs="Arial" w:eastAsia="Arial" w:hAnsi="Arial"/>
          <w:sz w:val="22"/>
          <w:szCs w:val="22"/>
        </w:rPr>
        <w:t xml:space="preserve">Example: Equity Derivatives desk has:</w:t>
      </w:r>
    </w:p>
    <w:p>
      <w:pPr>
        <w:pStyle w:val="ListParagraph"/>
        <w:numPr>
          <w:ilvl w:val="0"/>
          <w:numId w:val="2"/>
        </w:numPr>
        <w:spacing w:after="60"/>
      </w:pPr>
      <w:r>
        <w:rPr>
          <w:rFonts w:ascii="Arial" w:cs="Arial" w:eastAsia="Arial" w:hAnsi="Arial"/>
          <w:sz w:val="22"/>
          <w:szCs w:val="22"/>
        </w:rPr>
        <w:t xml:space="preserve">Long SPX position: Delta P&amp;L = -$160M (loses in crash)</w:t>
      </w:r>
    </w:p>
    <w:p>
      <w:pPr>
        <w:pStyle w:val="ListParagraph"/>
        <w:numPr>
          <w:ilvl w:val="0"/>
          <w:numId w:val="2"/>
        </w:numPr>
        <w:spacing w:after="60"/>
      </w:pPr>
      <w:r>
        <w:rPr>
          <w:rFonts w:ascii="Arial" w:cs="Arial" w:eastAsia="Arial" w:hAnsi="Arial"/>
          <w:sz w:val="22"/>
          <w:szCs w:val="22"/>
        </w:rPr>
        <w:t xml:space="preserve">Short NVDA hedge: Delta P&amp;L = +$110M (profits in crash)</w:t>
      </w:r>
    </w:p>
    <w:p>
      <w:pPr>
        <w:pStyle w:val="ListParagraph"/>
        <w:numPr>
          <w:ilvl w:val="0"/>
          <w:numId w:val="2"/>
        </w:numPr>
        <w:spacing w:after="60"/>
      </w:pPr>
      <w:r>
        <w:rPr>
          <w:rFonts w:ascii="Arial" w:cs="Arial" w:eastAsia="Arial" w:hAnsi="Arial"/>
          <w:sz w:val="22"/>
          <w:szCs w:val="22"/>
        </w:rPr>
        <w:t xml:space="preserve">Net desk P&amp;L = -$50M (hedge offsets 69% of gross loss)</w:t>
      </w:r>
    </w:p>
    <w:p>
      <w:pPr>
        <w:spacing w:after="80"/>
      </w:pPr>
    </w:p>
    <w:p>
      <w:pPr>
        <w:pStyle w:val="Heading3"/>
      </w:pPr>
      <w:r>
        <w:t xml:space="preserve">15.2 Gross vs. Net Reporting</w:t>
      </w:r>
    </w:p>
    <w:p>
      <w:pPr>
        <w:spacing w:after="120" w:before="0"/>
      </w:pPr>
      <w:r>
        <w:rPr>
          <w:rFonts w:ascii="Arial" w:cs="Arial" w:eastAsia="Arial" w:hAnsi="Arial"/>
          <w:sz w:val="22"/>
          <w:szCs w:val="22"/>
        </w:rPr>
        <w:t xml:space="preserve">Regulators require both:</w:t>
      </w:r>
    </w:p>
    <w:p>
      <w:pPr>
        <w:pStyle w:val="ListParagraph"/>
        <w:numPr>
          <w:ilvl w:val="0"/>
          <w:numId w:val="2"/>
        </w:numPr>
        <w:spacing w:after="60"/>
      </w:pPr>
      <w:r>
        <w:rPr>
          <w:rFonts w:ascii="Arial" w:cs="Arial" w:eastAsia="Arial" w:hAnsi="Arial"/>
          <w:b/>
          <w:bCs/>
          <w:sz w:val="22"/>
          <w:szCs w:val="22"/>
        </w:rPr>
        <w:t xml:space="preserve">Gross P&amp;L: </w:t>
      </w:r>
      <w:r>
        <w:rPr>
          <w:rFonts w:ascii="Arial" w:cs="Arial" w:eastAsia="Arial" w:hAnsi="Arial"/>
          <w:sz w:val="22"/>
          <w:szCs w:val="22"/>
        </w:rPr>
        <w:t xml:space="preserve">|Long P&amp;L| + |Short P&amp;L| = $160M + $110M = $270M. Shows total risk activity.</w:t>
      </w:r>
    </w:p>
    <w:p>
      <w:pPr>
        <w:pStyle w:val="ListParagraph"/>
        <w:numPr>
          <w:ilvl w:val="0"/>
          <w:numId w:val="2"/>
        </w:numPr>
        <w:spacing w:after="60"/>
      </w:pPr>
      <w:r>
        <w:rPr>
          <w:rFonts w:ascii="Arial" w:cs="Arial" w:eastAsia="Arial" w:hAnsi="Arial"/>
          <w:b/>
          <w:bCs/>
          <w:sz w:val="22"/>
          <w:szCs w:val="22"/>
        </w:rPr>
        <w:t xml:space="preserve">Net P&amp;L: </w:t>
      </w:r>
      <w:r>
        <w:rPr>
          <w:rFonts w:ascii="Arial" w:cs="Arial" w:eastAsia="Arial" w:hAnsi="Arial"/>
          <w:sz w:val="22"/>
          <w:szCs w:val="22"/>
        </w:rPr>
        <w:t xml:space="preserve">Long P&amp;L + Short P&amp;L = -$160M + $110M = -$50M. Shows actual loss.</w:t>
      </w:r>
    </w:p>
    <w:p>
      <w:pPr>
        <w:pStyle w:val="ListParagraph"/>
        <w:numPr>
          <w:ilvl w:val="0"/>
          <w:numId w:val="2"/>
        </w:numPr>
        <w:spacing w:after="60"/>
      </w:pPr>
      <w:r>
        <w:rPr>
          <w:rFonts w:ascii="Arial" w:cs="Arial" w:eastAsia="Arial" w:hAnsi="Arial"/>
          <w:b/>
          <w:bCs/>
          <w:sz w:val="22"/>
          <w:szCs w:val="22"/>
        </w:rPr>
        <w:t xml:space="preserve">Offset Ratio: </w:t>
      </w:r>
      <w:r>
        <w:rPr>
          <w:rFonts w:ascii="Arial" w:cs="Arial" w:eastAsia="Arial" w:hAnsi="Arial"/>
          <w:sz w:val="22"/>
          <w:szCs w:val="22"/>
        </w:rPr>
        <w:t xml:space="preserve">1 - (|Net| / Gross) = 1 - (50/270) = 81.5%. High offset ratio suggests hedging is effective.</w:t>
      </w:r>
    </w:p>
    <w:p>
      <w:pPr>
        <w:spacing w:after="80"/>
      </w:pPr>
    </w:p>
    <w:p>
      <w:pPr>
        <w:pStyle w:val="Heading2"/>
      </w:pPr>
      <w:r>
        <w:t xml:space="preserve">16. When Sensitivity and Full Reval Diverge</w:t>
      </w:r>
    </w:p>
    <w:p>
      <w:pPr>
        <w:spacing w:after="120" w:before="0"/>
      </w:pPr>
      <w:r>
        <w:rPr>
          <w:rFonts w:ascii="Arial" w:cs="Arial" w:eastAsia="Arial" w:hAnsi="Arial"/>
          <w:sz w:val="22"/>
          <w:szCs w:val="22"/>
        </w:rPr>
        <w:t xml:space="preserve">For any given scenario, you should calculate P&amp;L BOTH ways and compare. The difference tells you about model risk:</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5560"/>
      </w:tblGrid>
      <w:tr>
        <w:tc>
          <w:tcPr>
            <w:tcW w:type="dxa" w:w="1600"/>
            <w:tcBorders>
              <w:top w:val="single" w:color="B0B8C4" w:sz="1"/>
              <w:left w:val="single" w:color="B0B8C4" w:sz="1"/>
              <w:bottom w:val="single" w:color="B0B8C4" w:sz="1"/>
              <w:right w:val="single" w:color="B0B8C4"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Difference</w:t>
            </w:r>
          </w:p>
        </w:tc>
        <w:tc>
          <w:tcPr>
            <w:tcW w:type="dxa" w:w="2200"/>
            <w:tcBorders>
              <w:top w:val="single" w:color="B0B8C4" w:sz="1"/>
              <w:left w:val="single" w:color="B0B8C4" w:sz="1"/>
              <w:bottom w:val="single" w:color="B0B8C4" w:sz="1"/>
              <w:right w:val="single" w:color="B0B8C4"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Typical Range</w:t>
            </w:r>
          </w:p>
        </w:tc>
        <w:tc>
          <w:tcPr>
            <w:tcW w:type="dxa" w:w="5560"/>
            <w:tcBorders>
              <w:top w:val="single" w:color="B0B8C4" w:sz="1"/>
              <w:left w:val="single" w:color="B0B8C4" w:sz="1"/>
              <w:bottom w:val="single" w:color="B0B8C4" w:sz="1"/>
              <w:right w:val="single" w:color="B0B8C4"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If Exceeded, It Means</w:t>
            </w:r>
          </w:p>
        </w:tc>
      </w:tr>
      <w:tr>
        <w:tc>
          <w:tcPr>
            <w:tcW w:type="dxa" w:w="1600"/>
            <w:tcBorders>
              <w:top w:val="single" w:color="B0B8C4" w:sz="1"/>
              <w:left w:val="single" w:color="B0B8C4" w:sz="1"/>
              <w:bottom w:val="single" w:color="B0B8C4" w:sz="1"/>
              <w:right w:val="single" w:color="B0B8C4" w:sz="1"/>
            </w:tcBorders>
            <w:shd w:fill="EDF2F7" w:val="clear"/>
            <w:tcMar>
              <w:top w:type="dxa" w:w="60"/>
              <w:left w:type="dxa" w:w="100"/>
              <w:bottom w:type="dxa" w:w="60"/>
              <w:right w:type="dxa" w:w="100"/>
            </w:tcMar>
          </w:tcPr>
          <w:p>
            <w:r>
              <w:rPr>
                <w:rFonts w:ascii="Arial" w:cs="Arial" w:eastAsia="Arial" w:hAnsi="Arial"/>
                <w:b w:val="false"/>
                <w:bCs w:val="false"/>
                <w:color w:val="333333"/>
                <w:sz w:val="20"/>
                <w:szCs w:val="20"/>
              </w:rPr>
              <w:t xml:space="preserve">&lt; 1%</w:t>
            </w:r>
          </w:p>
        </w:tc>
        <w:tc>
          <w:tcPr>
            <w:tcW w:type="dxa" w:w="2200"/>
            <w:tcBorders>
              <w:top w:val="single" w:color="B0B8C4" w:sz="1"/>
              <w:left w:val="single" w:color="B0B8C4" w:sz="1"/>
              <w:bottom w:val="single" w:color="B0B8C4" w:sz="1"/>
              <w:right w:val="single" w:color="B0B8C4" w:sz="1"/>
            </w:tcBorders>
            <w:shd w:fill="EDF2F7" w:val="clear"/>
            <w:tcMar>
              <w:top w:type="dxa" w:w="60"/>
              <w:left w:type="dxa" w:w="100"/>
              <w:bottom w:type="dxa" w:w="60"/>
              <w:right w:type="dxa" w:w="100"/>
            </w:tcMar>
          </w:tcPr>
          <w:p>
            <w:r>
              <w:rPr>
                <w:rFonts w:ascii="Arial" w:cs="Arial" w:eastAsia="Arial" w:hAnsi="Arial"/>
                <w:b w:val="false"/>
                <w:bCs w:val="false"/>
                <w:color w:val="333333"/>
                <w:sz w:val="20"/>
                <w:szCs w:val="20"/>
              </w:rPr>
              <w:t xml:space="preserve">Excellent agreement</w:t>
            </w:r>
          </w:p>
        </w:tc>
        <w:tc>
          <w:tcPr>
            <w:tcW w:type="dxa" w:w="5560"/>
            <w:tcBorders>
              <w:top w:val="single" w:color="B0B8C4" w:sz="1"/>
              <w:left w:val="single" w:color="B0B8C4" w:sz="1"/>
              <w:bottom w:val="single" w:color="B0B8C4" w:sz="1"/>
              <w:right w:val="single" w:color="B0B8C4" w:sz="1"/>
            </w:tcBorders>
            <w:shd w:fill="EDF2F7" w:val="clear"/>
            <w:tcMar>
              <w:top w:type="dxa" w:w="60"/>
              <w:left w:type="dxa" w:w="100"/>
              <w:bottom w:type="dxa" w:w="60"/>
              <w:right w:type="dxa" w:w="100"/>
            </w:tcMar>
          </w:tcPr>
          <w:p>
            <w:r>
              <w:rPr>
                <w:rFonts w:ascii="Arial" w:cs="Arial" w:eastAsia="Arial" w:hAnsi="Arial"/>
                <w:b w:val="false"/>
                <w:bCs w:val="false"/>
                <w:color w:val="333333"/>
                <w:sz w:val="20"/>
                <w:szCs w:val="20"/>
              </w:rPr>
              <w:t xml:space="preserve">Linear approximation is accurate. Greeks are sufficient.</w:t>
            </w:r>
          </w:p>
        </w:tc>
      </w:tr>
      <w:tr>
        <w:tc>
          <w:tcPr>
            <w:tcW w:type="dxa" w:w="16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1-5%</w:t>
            </w:r>
          </w:p>
        </w:tc>
        <w:tc>
          <w:tcPr>
            <w:tcW w:type="dxa" w:w="22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Acceptable</w:t>
            </w:r>
          </w:p>
        </w:tc>
        <w:tc>
          <w:tcPr>
            <w:tcW w:type="dxa" w:w="556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Some non-linearity captured by gamma but not perfectly.</w:t>
            </w:r>
          </w:p>
        </w:tc>
      </w:tr>
      <w:tr>
        <w:tc>
          <w:tcPr>
            <w:tcW w:type="dxa" w:w="1600"/>
            <w:tcBorders>
              <w:top w:val="single" w:color="B0B8C4" w:sz="1"/>
              <w:left w:val="single" w:color="B0B8C4" w:sz="1"/>
              <w:bottom w:val="single" w:color="B0B8C4" w:sz="1"/>
              <w:right w:val="single" w:color="B0B8C4" w:sz="1"/>
            </w:tcBorders>
            <w:shd w:fill="EDF2F7" w:val="clear"/>
            <w:tcMar>
              <w:top w:type="dxa" w:w="60"/>
              <w:left w:type="dxa" w:w="100"/>
              <w:bottom w:type="dxa" w:w="60"/>
              <w:right w:type="dxa" w:w="100"/>
            </w:tcMar>
          </w:tcPr>
          <w:p>
            <w:r>
              <w:rPr>
                <w:rFonts w:ascii="Arial" w:cs="Arial" w:eastAsia="Arial" w:hAnsi="Arial"/>
                <w:b w:val="false"/>
                <w:bCs w:val="false"/>
                <w:color w:val="333333"/>
                <w:sz w:val="20"/>
                <w:szCs w:val="20"/>
              </w:rPr>
              <w:t xml:space="preserve">5-15%</w:t>
            </w:r>
          </w:p>
        </w:tc>
        <w:tc>
          <w:tcPr>
            <w:tcW w:type="dxa" w:w="2200"/>
            <w:tcBorders>
              <w:top w:val="single" w:color="B0B8C4" w:sz="1"/>
              <w:left w:val="single" w:color="B0B8C4" w:sz="1"/>
              <w:bottom w:val="single" w:color="B0B8C4" w:sz="1"/>
              <w:right w:val="single" w:color="B0B8C4" w:sz="1"/>
            </w:tcBorders>
            <w:shd w:fill="EDF2F7" w:val="clear"/>
            <w:tcMar>
              <w:top w:type="dxa" w:w="60"/>
              <w:left w:type="dxa" w:w="100"/>
              <w:bottom w:type="dxa" w:w="60"/>
              <w:right w:type="dxa" w:w="100"/>
            </w:tcMar>
          </w:tcPr>
          <w:p>
            <w:r>
              <w:rPr>
                <w:rFonts w:ascii="Arial" w:cs="Arial" w:eastAsia="Arial" w:hAnsi="Arial"/>
                <w:b w:val="false"/>
                <w:bCs w:val="false"/>
                <w:color w:val="333333"/>
                <w:sz w:val="20"/>
                <w:szCs w:val="20"/>
              </w:rPr>
              <w:t xml:space="preserve">Investigate</w:t>
            </w:r>
          </w:p>
        </w:tc>
        <w:tc>
          <w:tcPr>
            <w:tcW w:type="dxa" w:w="5560"/>
            <w:tcBorders>
              <w:top w:val="single" w:color="B0B8C4" w:sz="1"/>
              <w:left w:val="single" w:color="B0B8C4" w:sz="1"/>
              <w:bottom w:val="single" w:color="B0B8C4" w:sz="1"/>
              <w:right w:val="single" w:color="B0B8C4" w:sz="1"/>
            </w:tcBorders>
            <w:shd w:fill="EDF2F7" w:val="clear"/>
            <w:tcMar>
              <w:top w:type="dxa" w:w="60"/>
              <w:left w:type="dxa" w:w="100"/>
              <w:bottom w:type="dxa" w:w="60"/>
              <w:right w:type="dxa" w:w="100"/>
            </w:tcMar>
          </w:tcPr>
          <w:p>
            <w:r>
              <w:rPr>
                <w:rFonts w:ascii="Arial" w:cs="Arial" w:eastAsia="Arial" w:hAnsi="Arial"/>
                <w:b w:val="false"/>
                <w:bCs w:val="false"/>
                <w:color w:val="333333"/>
                <w:sz w:val="20"/>
                <w:szCs w:val="20"/>
              </w:rPr>
              <w:t xml:space="preserve">Large shock + non-linear positions. Check gamma, vanna, volga.</w:t>
            </w:r>
          </w:p>
        </w:tc>
      </w:tr>
      <w:tr>
        <w:tc>
          <w:tcPr>
            <w:tcW w:type="dxa" w:w="16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&gt; 15%</w:t>
            </w:r>
          </w:p>
        </w:tc>
        <w:tc>
          <w:tcPr>
            <w:tcW w:type="dxa" w:w="22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Problem</w:t>
            </w:r>
          </w:p>
        </w:tc>
        <w:tc>
          <w:tcPr>
            <w:tcW w:type="dxa" w:w="556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Sensitivity method is unreliable. Must use full reval for this book.</w:t>
            </w:r>
          </w:p>
        </w:tc>
      </w:tr>
    </w:tbl>
    <w:p>
      <w:pPr>
        <w:spacing w:after="80"/>
      </w:pPr>
    </w:p>
    <w:p>
      <w:pPr>
        <w:spacing w:after="120" w:before="0"/>
      </w:pPr>
      <w:r>
        <w:rPr>
          <w:rFonts w:ascii="Arial" w:cs="Arial" w:eastAsia="Arial" w:hAnsi="Arial"/>
          <w:sz w:val="22"/>
          <w:szCs w:val="22"/>
        </w:rPr>
        <w:t xml:space="preserve">The biggest divergences occur in: short gamma options positions with large equity shocks, MBS portfolios (negative convexity), structured products with barrier features, and long-dated FX options with combined spot + vol moves.</w:t>
      </w:r>
    </w:p>
    <w:p>
      <w:r>
        <w:br w:type="page"/>
      </w:r>
    </w:p>
    <w:p>
      <w:pPr>
        <w:pStyle w:val="Heading1"/>
      </w:pPr>
      <w:r>
        <w:t xml:space="preserve">PART IV: COHERENCE, VALIDATION &amp; CALIBRATION</w:t>
      </w:r>
    </w:p>
    <w:p>
      <w:pPr>
        <w:spacing w:after="80"/>
      </w:pPr>
    </w:p>
    <w:p>
      <w:pPr>
        <w:pStyle w:val="Heading2"/>
      </w:pPr>
      <w:r>
        <w:t xml:space="preserve">17. Sign Consistency Checks</w:t>
      </w:r>
    </w:p>
    <w:p>
      <w:pPr>
        <w:spacing w:after="120" w:before="0"/>
      </w:pPr>
      <w:r>
        <w:rPr>
          <w:rFonts w:ascii="Arial" w:cs="Arial" w:eastAsia="Arial" w:hAnsi="Arial"/>
          <w:sz w:val="22"/>
          <w:szCs w:val="22"/>
        </w:rPr>
        <w:t xml:space="preserve">The first coherence test: do all shocks point in the same narrative direction? Every pair of related drivers should have a logically consistent sign.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3960"/>
      </w:tblGrid>
      <w:tr>
        <w:tc>
          <w:tcPr>
            <w:tcW w:type="dxa" w:w="2000"/>
            <w:tcBorders>
              <w:top w:val="single" w:color="B0B8C4" w:sz="1"/>
              <w:left w:val="single" w:color="B0B8C4" w:sz="1"/>
              <w:bottom w:val="single" w:color="B0B8C4" w:sz="1"/>
              <w:right w:val="single" w:color="B0B8C4"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Check</w:t>
            </w:r>
          </w:p>
        </w:tc>
        <w:tc>
          <w:tcPr>
            <w:tcW w:type="dxa" w:w="3400"/>
            <w:tcBorders>
              <w:top w:val="single" w:color="B0B8C4" w:sz="1"/>
              <w:left w:val="single" w:color="B0B8C4" w:sz="1"/>
              <w:bottom w:val="single" w:color="B0B8C4" w:sz="1"/>
              <w:right w:val="single" w:color="B0B8C4"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Condition</w:t>
            </w:r>
          </w:p>
        </w:tc>
        <w:tc>
          <w:tcPr>
            <w:tcW w:type="dxa" w:w="3960"/>
            <w:tcBorders>
              <w:top w:val="single" w:color="B0B8C4" w:sz="1"/>
              <w:left w:val="single" w:color="B0B8C4" w:sz="1"/>
              <w:bottom w:val="single" w:color="B0B8C4" w:sz="1"/>
              <w:right w:val="single" w:color="B0B8C4"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If Violated</w:t>
            </w:r>
          </w:p>
        </w:tc>
      </w:tr>
      <w:tr>
        <w:tc>
          <w:tcPr>
            <w:tcW w:type="dxa" w:w="2000"/>
            <w:tcBorders>
              <w:top w:val="single" w:color="B0B8C4" w:sz="1"/>
              <w:left w:val="single" w:color="B0B8C4" w:sz="1"/>
              <w:bottom w:val="single" w:color="B0B8C4" w:sz="1"/>
              <w:right w:val="single" w:color="B0B8C4" w:sz="1"/>
            </w:tcBorders>
            <w:shd w:fill="EDF2F7" w:val="clear"/>
            <w:tcMar>
              <w:top w:type="dxa" w:w="60"/>
              <w:left w:type="dxa" w:w="100"/>
              <w:bottom w:type="dxa" w:w="60"/>
              <w:right w:type="dxa" w:w="100"/>
            </w:tcMar>
          </w:tcPr>
          <w:p>
            <w:r>
              <w:rPr>
                <w:rFonts w:ascii="Arial" w:cs="Arial" w:eastAsia="Arial" w:hAnsi="Arial"/>
                <w:b w:val="false"/>
                <w:bCs w:val="false"/>
                <w:color w:val="333333"/>
                <w:sz w:val="20"/>
                <w:szCs w:val="20"/>
              </w:rPr>
              <w:t xml:space="preserve">Equity ↔ VIX</w:t>
            </w:r>
          </w:p>
        </w:tc>
        <w:tc>
          <w:tcPr>
            <w:tcW w:type="dxa" w:w="3400"/>
            <w:tcBorders>
              <w:top w:val="single" w:color="B0B8C4" w:sz="1"/>
              <w:left w:val="single" w:color="B0B8C4" w:sz="1"/>
              <w:bottom w:val="single" w:color="B0B8C4" w:sz="1"/>
              <w:right w:val="single" w:color="B0B8C4" w:sz="1"/>
            </w:tcBorders>
            <w:shd w:fill="EDF2F7" w:val="clear"/>
            <w:tcMar>
              <w:top w:type="dxa" w:w="60"/>
              <w:left w:type="dxa" w:w="100"/>
              <w:bottom w:type="dxa" w:w="60"/>
              <w:right w:type="dxa" w:w="100"/>
            </w:tcMar>
          </w:tcPr>
          <w:p>
            <w:r>
              <w:rPr>
                <w:rFonts w:ascii="Arial" w:cs="Arial" w:eastAsia="Arial" w:hAnsi="Arial"/>
                <w:b w:val="false"/>
                <w:bCs w:val="false"/>
                <w:color w:val="333333"/>
                <w:sz w:val="20"/>
                <w:szCs w:val="20"/>
              </w:rPr>
              <w:t xml:space="preserve">sign(EQ shock) must oppose sign(VIX shock)</w:t>
            </w:r>
          </w:p>
        </w:tc>
        <w:tc>
          <w:tcPr>
            <w:tcW w:type="dxa" w:w="3960"/>
            <w:tcBorders>
              <w:top w:val="single" w:color="B0B8C4" w:sz="1"/>
              <w:left w:val="single" w:color="B0B8C4" w:sz="1"/>
              <w:bottom w:val="single" w:color="B0B8C4" w:sz="1"/>
              <w:right w:val="single" w:color="B0B8C4" w:sz="1"/>
            </w:tcBorders>
            <w:shd w:fill="EDF2F7" w:val="clear"/>
            <w:tcMar>
              <w:top w:type="dxa" w:w="60"/>
              <w:left w:type="dxa" w:w="100"/>
              <w:bottom w:type="dxa" w:w="60"/>
              <w:right w:type="dxa" w:w="100"/>
            </w:tcMar>
          </w:tcPr>
          <w:p>
            <w:r>
              <w:rPr>
                <w:rFonts w:ascii="Arial" w:cs="Arial" w:eastAsia="Arial" w:hAnsi="Arial"/>
                <w:b w:val="false"/>
                <w:bCs w:val="false"/>
                <w:color w:val="333333"/>
                <w:sz w:val="20"/>
                <w:szCs w:val="20"/>
              </w:rPr>
              <w:t xml:space="preserve">S&amp;P down but VIX down? Incoherent.</w:t>
            </w:r>
          </w:p>
        </w:tc>
      </w:tr>
      <w:tr>
        <w:tc>
          <w:tcPr>
            <w:tcW w:type="dxa" w:w="20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Equity ↔ Credit</w:t>
            </w:r>
          </w:p>
        </w:tc>
        <w:tc>
          <w:tcPr>
            <w:tcW w:type="dxa" w:w="34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sign(EQ shock) should oppose sign(credit spread shock)</w:t>
            </w:r>
          </w:p>
        </w:tc>
        <w:tc>
          <w:tcPr>
            <w:tcW w:type="dxa" w:w="396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Stocks crash but spreads tighten? Wrong.</w:t>
            </w:r>
          </w:p>
        </w:tc>
      </w:tr>
      <w:tr>
        <w:tc>
          <w:tcPr>
            <w:tcW w:type="dxa" w:w="2000"/>
            <w:tcBorders>
              <w:top w:val="single" w:color="B0B8C4" w:sz="1"/>
              <w:left w:val="single" w:color="B0B8C4" w:sz="1"/>
              <w:bottom w:val="single" w:color="B0B8C4" w:sz="1"/>
              <w:right w:val="single" w:color="B0B8C4" w:sz="1"/>
            </w:tcBorders>
            <w:shd w:fill="EDF2F7" w:val="clear"/>
            <w:tcMar>
              <w:top w:type="dxa" w:w="60"/>
              <w:left w:type="dxa" w:w="100"/>
              <w:bottom w:type="dxa" w:w="60"/>
              <w:right w:type="dxa" w:w="100"/>
            </w:tcMar>
          </w:tcPr>
          <w:p>
            <w:r>
              <w:rPr>
                <w:rFonts w:ascii="Arial" w:cs="Arial" w:eastAsia="Arial" w:hAnsi="Arial"/>
                <w:b w:val="false"/>
                <w:bCs w:val="false"/>
                <w:color w:val="333333"/>
                <w:sz w:val="20"/>
                <w:szCs w:val="20"/>
              </w:rPr>
              <w:t xml:space="preserve">Risk-Off ↔ UST</w:t>
            </w:r>
          </w:p>
        </w:tc>
        <w:tc>
          <w:tcPr>
            <w:tcW w:type="dxa" w:w="3400"/>
            <w:tcBorders>
              <w:top w:val="single" w:color="B0B8C4" w:sz="1"/>
              <w:left w:val="single" w:color="B0B8C4" w:sz="1"/>
              <w:bottom w:val="single" w:color="B0B8C4" w:sz="1"/>
              <w:right w:val="single" w:color="B0B8C4" w:sz="1"/>
            </w:tcBorders>
            <w:shd w:fill="EDF2F7" w:val="clear"/>
            <w:tcMar>
              <w:top w:type="dxa" w:w="60"/>
              <w:left w:type="dxa" w:w="100"/>
              <w:bottom w:type="dxa" w:w="60"/>
              <w:right w:type="dxa" w:w="100"/>
            </w:tcMar>
          </w:tcPr>
          <w:p>
            <w:r>
              <w:rPr>
                <w:rFonts w:ascii="Arial" w:cs="Arial" w:eastAsia="Arial" w:hAnsi="Arial"/>
                <w:b w:val="false"/>
                <w:bCs w:val="false"/>
                <w:color w:val="333333"/>
                <w:sz w:val="20"/>
                <w:szCs w:val="20"/>
              </w:rPr>
              <w:t xml:space="preserve">If risk-off, UST yields should fall (bond rally)</w:t>
            </w:r>
          </w:p>
        </w:tc>
        <w:tc>
          <w:tcPr>
            <w:tcW w:type="dxa" w:w="3960"/>
            <w:tcBorders>
              <w:top w:val="single" w:color="B0B8C4" w:sz="1"/>
              <w:left w:val="single" w:color="B0B8C4" w:sz="1"/>
              <w:bottom w:val="single" w:color="B0B8C4" w:sz="1"/>
              <w:right w:val="single" w:color="B0B8C4" w:sz="1"/>
            </w:tcBorders>
            <w:shd w:fill="EDF2F7" w:val="clear"/>
            <w:tcMar>
              <w:top w:type="dxa" w:w="60"/>
              <w:left w:type="dxa" w:w="100"/>
              <w:bottom w:type="dxa" w:w="60"/>
              <w:right w:type="dxa" w:w="100"/>
            </w:tcMar>
          </w:tcPr>
          <w:p>
            <w:r>
              <w:rPr>
                <w:rFonts w:ascii="Arial" w:cs="Arial" w:eastAsia="Arial" w:hAnsi="Arial"/>
                <w:b w:val="false"/>
                <w:bCs w:val="false"/>
                <w:color w:val="333333"/>
                <w:sz w:val="20"/>
                <w:szCs w:val="20"/>
              </w:rPr>
              <w:t xml:space="preserve">Equity crash but yields rising? Only valid if inflation-driven.</w:t>
            </w:r>
          </w:p>
        </w:tc>
      </w:tr>
      <w:tr>
        <w:tc>
          <w:tcPr>
            <w:tcW w:type="dxa" w:w="20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USD ↔ EM FX</w:t>
            </w:r>
          </w:p>
        </w:tc>
        <w:tc>
          <w:tcPr>
            <w:tcW w:type="dxa" w:w="34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If USD strengthens, EM FX must weaken</w:t>
            </w:r>
          </w:p>
        </w:tc>
        <w:tc>
          <w:tcPr>
            <w:tcW w:type="dxa" w:w="396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DXY up but USDMXN down? Broken.</w:t>
            </w:r>
          </w:p>
        </w:tc>
      </w:tr>
      <w:tr>
        <w:tc>
          <w:tcPr>
            <w:tcW w:type="dxa" w:w="2000"/>
            <w:tcBorders>
              <w:top w:val="single" w:color="B0B8C4" w:sz="1"/>
              <w:left w:val="single" w:color="B0B8C4" w:sz="1"/>
              <w:bottom w:val="single" w:color="B0B8C4" w:sz="1"/>
              <w:right w:val="single" w:color="B0B8C4" w:sz="1"/>
            </w:tcBorders>
            <w:shd w:fill="EDF2F7" w:val="clear"/>
            <w:tcMar>
              <w:top w:type="dxa" w:w="60"/>
              <w:left w:type="dxa" w:w="100"/>
              <w:bottom w:type="dxa" w:w="60"/>
              <w:right w:type="dxa" w:w="100"/>
            </w:tcMar>
          </w:tcPr>
          <w:p>
            <w:r>
              <w:rPr>
                <w:rFonts w:ascii="Arial" w:cs="Arial" w:eastAsia="Arial" w:hAnsi="Arial"/>
                <w:b w:val="false"/>
                <w:bCs w:val="false"/>
                <w:color w:val="333333"/>
                <w:sz w:val="20"/>
                <w:szCs w:val="20"/>
              </w:rPr>
              <w:t xml:space="preserve">Oil ↔ Energy Credit</w:t>
            </w:r>
          </w:p>
        </w:tc>
        <w:tc>
          <w:tcPr>
            <w:tcW w:type="dxa" w:w="3400"/>
            <w:tcBorders>
              <w:top w:val="single" w:color="B0B8C4" w:sz="1"/>
              <w:left w:val="single" w:color="B0B8C4" w:sz="1"/>
              <w:bottom w:val="single" w:color="B0B8C4" w:sz="1"/>
              <w:right w:val="single" w:color="B0B8C4" w:sz="1"/>
            </w:tcBorders>
            <w:shd w:fill="EDF2F7" w:val="clear"/>
            <w:tcMar>
              <w:top w:type="dxa" w:w="60"/>
              <w:left w:type="dxa" w:w="100"/>
              <w:bottom w:type="dxa" w:w="60"/>
              <w:right w:type="dxa" w:w="100"/>
            </w:tcMar>
          </w:tcPr>
          <w:p>
            <w:r>
              <w:rPr>
                <w:rFonts w:ascii="Arial" w:cs="Arial" w:eastAsia="Arial" w:hAnsi="Arial"/>
                <w:b w:val="false"/>
                <w:bCs w:val="false"/>
                <w:color w:val="333333"/>
                <w:sz w:val="20"/>
                <w:szCs w:val="20"/>
              </w:rPr>
              <w:t xml:space="preserve">If oil crashes, energy spreads must widen disproportionately</w:t>
            </w:r>
          </w:p>
        </w:tc>
        <w:tc>
          <w:tcPr>
            <w:tcW w:type="dxa" w:w="3960"/>
            <w:tcBorders>
              <w:top w:val="single" w:color="B0B8C4" w:sz="1"/>
              <w:left w:val="single" w:color="B0B8C4" w:sz="1"/>
              <w:bottom w:val="single" w:color="B0B8C4" w:sz="1"/>
              <w:right w:val="single" w:color="B0B8C4" w:sz="1"/>
            </w:tcBorders>
            <w:shd w:fill="EDF2F7" w:val="clear"/>
            <w:tcMar>
              <w:top w:type="dxa" w:w="60"/>
              <w:left w:type="dxa" w:w="100"/>
              <w:bottom w:type="dxa" w:w="60"/>
              <w:right w:type="dxa" w:w="100"/>
            </w:tcMar>
          </w:tcPr>
          <w:p>
            <w:r>
              <w:rPr>
                <w:rFonts w:ascii="Arial" w:cs="Arial" w:eastAsia="Arial" w:hAnsi="Arial"/>
                <w:b w:val="false"/>
                <w:bCs w:val="false"/>
                <w:color w:val="333333"/>
                <w:sz w:val="20"/>
                <w:szCs w:val="20"/>
              </w:rPr>
              <w:t xml:space="preserve">WTI -40% but energy credit = IG composite? Missing sector effect.</w:t>
            </w:r>
          </w:p>
        </w:tc>
      </w:tr>
      <w:tr>
        <w:tc>
          <w:tcPr>
            <w:tcW w:type="dxa" w:w="20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Rates ↔ XCCY Basis</w:t>
            </w:r>
          </w:p>
        </w:tc>
        <w:tc>
          <w:tcPr>
            <w:tcW w:type="dxa" w:w="34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Rate volatility should widen XCCY basis</w:t>
            </w:r>
          </w:p>
        </w:tc>
        <w:tc>
          <w:tcPr>
            <w:tcW w:type="dxa" w:w="396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Rates spike 100bp but basis unchanged? Missing funding stress.</w:t>
            </w:r>
          </w:p>
        </w:tc>
      </w:tr>
    </w:tbl>
    <w:p>
      <w:pPr>
        <w:spacing w:after="80"/>
      </w:pPr>
    </w:p>
    <w:p>
      <w:pPr>
        <w:pStyle w:val="Heading2"/>
      </w:pPr>
      <w:r>
        <w:t xml:space="preserve">18. Magnitude Bounds</w:t>
      </w:r>
    </w:p>
    <w:p>
      <w:pPr>
        <w:spacing w:after="120" w:before="0"/>
      </w:pPr>
      <w:r>
        <w:rPr>
          <w:rFonts w:ascii="Arial" w:cs="Arial" w:eastAsia="Arial" w:hAnsi="Arial"/>
          <w:sz w:val="22"/>
          <w:szCs w:val="22"/>
        </w:rPr>
        <w:t xml:space="preserve">Every shock should be compared to historical precedent. If a shock exceeds the worst historical analogue, it needs explicit justification: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1800"/>
        <w:gridCol w:w="1000"/>
        <w:gridCol w:w="3560"/>
      </w:tblGrid>
      <w:tr>
        <w:tc>
          <w:tcPr>
            <w:tcW w:type="dxa" w:w="1600"/>
            <w:tcBorders>
              <w:top w:val="single" w:color="B0B8C4" w:sz="1"/>
              <w:left w:val="single" w:color="B0B8C4" w:sz="1"/>
              <w:bottom w:val="single" w:color="B0B8C4" w:sz="1"/>
              <w:right w:val="single" w:color="B0B8C4"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Driver</w:t>
            </w:r>
          </w:p>
        </w:tc>
        <w:tc>
          <w:tcPr>
            <w:tcW w:type="dxa" w:w="1400"/>
            <w:tcBorders>
              <w:top w:val="single" w:color="B0B8C4" w:sz="1"/>
              <w:left w:val="single" w:color="B0B8C4" w:sz="1"/>
              <w:bottom w:val="single" w:color="B0B8C4" w:sz="1"/>
              <w:right w:val="single" w:color="B0B8C4"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Your Shock</w:t>
            </w:r>
          </w:p>
        </w:tc>
        <w:tc>
          <w:tcPr>
            <w:tcW w:type="dxa" w:w="1800"/>
            <w:tcBorders>
              <w:top w:val="single" w:color="B0B8C4" w:sz="1"/>
              <w:left w:val="single" w:color="B0B8C4" w:sz="1"/>
              <w:bottom w:val="single" w:color="B0B8C4" w:sz="1"/>
              <w:right w:val="single" w:color="B0B8C4"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Historical Max</w:t>
            </w:r>
          </w:p>
        </w:tc>
        <w:tc>
          <w:tcPr>
            <w:tcW w:type="dxa" w:w="1000"/>
            <w:tcBorders>
              <w:top w:val="single" w:color="B0B8C4" w:sz="1"/>
              <w:left w:val="single" w:color="B0B8C4" w:sz="1"/>
              <w:bottom w:val="single" w:color="B0B8C4" w:sz="1"/>
              <w:right w:val="single" w:color="B0B8C4"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Ratio</w:t>
            </w:r>
          </w:p>
        </w:tc>
        <w:tc>
          <w:tcPr>
            <w:tcW w:type="dxa" w:w="3560"/>
            <w:tcBorders>
              <w:top w:val="single" w:color="B0B8C4" w:sz="1"/>
              <w:left w:val="single" w:color="B0B8C4" w:sz="1"/>
              <w:bottom w:val="single" w:color="B0B8C4" w:sz="1"/>
              <w:right w:val="single" w:color="B0B8C4"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Assessment</w:t>
            </w:r>
          </w:p>
        </w:tc>
      </w:tr>
      <w:tr>
        <w:tc>
          <w:tcPr>
            <w:tcW w:type="dxa" w:w="1600"/>
            <w:tcBorders>
              <w:top w:val="single" w:color="B0B8C4" w:sz="1"/>
              <w:left w:val="single" w:color="B0B8C4" w:sz="1"/>
              <w:bottom w:val="single" w:color="B0B8C4" w:sz="1"/>
              <w:right w:val="single" w:color="B0B8C4" w:sz="1"/>
            </w:tcBorders>
            <w:shd w:fill="EDF2F7" w:val="clear"/>
            <w:tcMar>
              <w:top w:type="dxa" w:w="60"/>
              <w:left w:type="dxa" w:w="100"/>
              <w:bottom w:type="dxa" w:w="60"/>
              <w:right w:type="dxa" w:w="100"/>
            </w:tcMar>
          </w:tcPr>
          <w:p>
            <w:r>
              <w:rPr>
                <w:rFonts w:ascii="Arial" w:cs="Arial" w:eastAsia="Arial" w:hAnsi="Arial"/>
                <w:b w:val="false"/>
                <w:bCs w:val="false"/>
                <w:color w:val="333333"/>
                <w:sz w:val="20"/>
                <w:szCs w:val="20"/>
              </w:rPr>
              <w:t xml:space="preserve">S&amp;P 500</w:t>
            </w:r>
          </w:p>
        </w:tc>
        <w:tc>
          <w:tcPr>
            <w:tcW w:type="dxa" w:w="1400"/>
            <w:tcBorders>
              <w:top w:val="single" w:color="B0B8C4" w:sz="1"/>
              <w:left w:val="single" w:color="B0B8C4" w:sz="1"/>
              <w:bottom w:val="single" w:color="B0B8C4" w:sz="1"/>
              <w:right w:val="single" w:color="B0B8C4" w:sz="1"/>
            </w:tcBorders>
            <w:shd w:fill="EDF2F7" w:val="clear"/>
            <w:tcMar>
              <w:top w:type="dxa" w:w="60"/>
              <w:left w:type="dxa" w:w="100"/>
              <w:bottom w:type="dxa" w:w="60"/>
              <w:right w:type="dxa" w:w="100"/>
            </w:tcMar>
          </w:tcPr>
          <w:p>
            <w:r>
              <w:rPr>
                <w:rFonts w:ascii="Arial" w:cs="Arial" w:eastAsia="Arial" w:hAnsi="Arial"/>
                <w:b w:val="false"/>
                <w:bCs w:val="false"/>
                <w:color w:val="333333"/>
                <w:sz w:val="20"/>
                <w:szCs w:val="20"/>
              </w:rPr>
              <w:t xml:space="preserve">-32%</w:t>
            </w:r>
          </w:p>
        </w:tc>
        <w:tc>
          <w:tcPr>
            <w:tcW w:type="dxa" w:w="1800"/>
            <w:tcBorders>
              <w:top w:val="single" w:color="B0B8C4" w:sz="1"/>
              <w:left w:val="single" w:color="B0B8C4" w:sz="1"/>
              <w:bottom w:val="single" w:color="B0B8C4" w:sz="1"/>
              <w:right w:val="single" w:color="B0B8C4" w:sz="1"/>
            </w:tcBorders>
            <w:shd w:fill="EDF2F7" w:val="clear"/>
            <w:tcMar>
              <w:top w:type="dxa" w:w="60"/>
              <w:left w:type="dxa" w:w="100"/>
              <w:bottom w:type="dxa" w:w="60"/>
              <w:right w:type="dxa" w:w="100"/>
            </w:tcMar>
          </w:tcPr>
          <w:p>
            <w:r>
              <w:rPr>
                <w:rFonts w:ascii="Arial" w:cs="Arial" w:eastAsia="Arial" w:hAnsi="Arial"/>
                <w:b w:val="false"/>
                <w:bCs w:val="false"/>
                <w:color w:val="333333"/>
                <w:sz w:val="20"/>
                <w:szCs w:val="20"/>
              </w:rPr>
              <w:t xml:space="preserve">-57% (GFC)</w:t>
            </w:r>
          </w:p>
        </w:tc>
        <w:tc>
          <w:tcPr>
            <w:tcW w:type="dxa" w:w="1000"/>
            <w:tcBorders>
              <w:top w:val="single" w:color="B0B8C4" w:sz="1"/>
              <w:left w:val="single" w:color="B0B8C4" w:sz="1"/>
              <w:bottom w:val="single" w:color="B0B8C4" w:sz="1"/>
              <w:right w:val="single" w:color="B0B8C4" w:sz="1"/>
            </w:tcBorders>
            <w:shd w:fill="EDF2F7" w:val="clear"/>
            <w:tcMar>
              <w:top w:type="dxa" w:w="60"/>
              <w:left w:type="dxa" w:w="100"/>
              <w:bottom w:type="dxa" w:w="60"/>
              <w:right w:type="dxa" w:w="100"/>
            </w:tcMar>
          </w:tcPr>
          <w:p>
            <w:r>
              <w:rPr>
                <w:rFonts w:ascii="Arial" w:cs="Arial" w:eastAsia="Arial" w:hAnsi="Arial"/>
                <w:b w:val="false"/>
                <w:bCs w:val="false"/>
                <w:color w:val="333333"/>
                <w:sz w:val="20"/>
                <w:szCs w:val="20"/>
              </w:rPr>
              <w:t xml:space="preserve">0.56x</w:t>
            </w:r>
          </w:p>
        </w:tc>
        <w:tc>
          <w:tcPr>
            <w:tcW w:type="dxa" w:w="3560"/>
            <w:tcBorders>
              <w:top w:val="single" w:color="B0B8C4" w:sz="1"/>
              <w:left w:val="single" w:color="B0B8C4" w:sz="1"/>
              <w:bottom w:val="single" w:color="B0B8C4" w:sz="1"/>
              <w:right w:val="single" w:color="B0B8C4" w:sz="1"/>
            </w:tcBorders>
            <w:shd w:fill="EDF2F7" w:val="clear"/>
            <w:tcMar>
              <w:top w:type="dxa" w:w="60"/>
              <w:left w:type="dxa" w:w="100"/>
              <w:bottom w:type="dxa" w:w="60"/>
              <w:right w:type="dxa" w:w="100"/>
            </w:tcMar>
          </w:tcPr>
          <w:p>
            <w:r>
              <w:rPr>
                <w:rFonts w:ascii="Arial" w:cs="Arial" w:eastAsia="Arial" w:hAnsi="Arial"/>
                <w:b w:val="false"/>
                <w:bCs w:val="false"/>
                <w:color w:val="333333"/>
                <w:sz w:val="20"/>
                <w:szCs w:val="20"/>
              </w:rPr>
              <w:t xml:space="preserve">✓ Well within historical range</w:t>
            </w:r>
          </w:p>
        </w:tc>
      </w:tr>
      <w:tr>
        <w:tc>
          <w:tcPr>
            <w:tcW w:type="dxa" w:w="16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IG OAS</w:t>
            </w:r>
          </w:p>
        </w:tc>
        <w:tc>
          <w:tcPr>
            <w:tcW w:type="dxa" w:w="14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+175bp</w:t>
            </w:r>
          </w:p>
        </w:tc>
        <w:tc>
          <w:tcPr>
            <w:tcW w:type="dxa" w:w="18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+400bp (GFC)</w:t>
            </w:r>
          </w:p>
        </w:tc>
        <w:tc>
          <w:tcPr>
            <w:tcW w:type="dxa" w:w="10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0.44x</w:t>
            </w:r>
          </w:p>
        </w:tc>
        <w:tc>
          <w:tcPr>
            <w:tcW w:type="dxa" w:w="356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 Moderate vs historical extreme</w:t>
            </w:r>
          </w:p>
        </w:tc>
      </w:tr>
      <w:tr>
        <w:tc>
          <w:tcPr>
            <w:tcW w:type="dxa" w:w="1600"/>
            <w:tcBorders>
              <w:top w:val="single" w:color="B0B8C4" w:sz="1"/>
              <w:left w:val="single" w:color="B0B8C4" w:sz="1"/>
              <w:bottom w:val="single" w:color="B0B8C4" w:sz="1"/>
              <w:right w:val="single" w:color="B0B8C4" w:sz="1"/>
            </w:tcBorders>
            <w:shd w:fill="EDF2F7" w:val="clear"/>
            <w:tcMar>
              <w:top w:type="dxa" w:w="60"/>
              <w:left w:type="dxa" w:w="100"/>
              <w:bottom w:type="dxa" w:w="60"/>
              <w:right w:type="dxa" w:w="100"/>
            </w:tcMar>
          </w:tcPr>
          <w:p>
            <w:r>
              <w:rPr>
                <w:rFonts w:ascii="Arial" w:cs="Arial" w:eastAsia="Arial" w:hAnsi="Arial"/>
                <w:b w:val="false"/>
                <w:bCs w:val="false"/>
                <w:color w:val="333333"/>
                <w:sz w:val="20"/>
                <w:szCs w:val="20"/>
              </w:rPr>
              <w:t xml:space="preserve">VIX</w:t>
            </w:r>
          </w:p>
        </w:tc>
        <w:tc>
          <w:tcPr>
            <w:tcW w:type="dxa" w:w="1400"/>
            <w:tcBorders>
              <w:top w:val="single" w:color="B0B8C4" w:sz="1"/>
              <w:left w:val="single" w:color="B0B8C4" w:sz="1"/>
              <w:bottom w:val="single" w:color="B0B8C4" w:sz="1"/>
              <w:right w:val="single" w:color="B0B8C4" w:sz="1"/>
            </w:tcBorders>
            <w:shd w:fill="EDF2F7" w:val="clear"/>
            <w:tcMar>
              <w:top w:type="dxa" w:w="60"/>
              <w:left w:type="dxa" w:w="100"/>
              <w:bottom w:type="dxa" w:w="60"/>
              <w:right w:type="dxa" w:w="100"/>
            </w:tcMar>
          </w:tcPr>
          <w:p>
            <w:r>
              <w:rPr>
                <w:rFonts w:ascii="Arial" w:cs="Arial" w:eastAsia="Arial" w:hAnsi="Arial"/>
                <w:b w:val="false"/>
                <w:bCs w:val="false"/>
                <w:color w:val="333333"/>
                <w:sz w:val="20"/>
                <w:szCs w:val="20"/>
              </w:rPr>
              <w:t xml:space="preserve">+28 pts</w:t>
            </w:r>
          </w:p>
        </w:tc>
        <w:tc>
          <w:tcPr>
            <w:tcW w:type="dxa" w:w="1800"/>
            <w:tcBorders>
              <w:top w:val="single" w:color="B0B8C4" w:sz="1"/>
              <w:left w:val="single" w:color="B0B8C4" w:sz="1"/>
              <w:bottom w:val="single" w:color="B0B8C4" w:sz="1"/>
              <w:right w:val="single" w:color="B0B8C4" w:sz="1"/>
            </w:tcBorders>
            <w:shd w:fill="EDF2F7" w:val="clear"/>
            <w:tcMar>
              <w:top w:type="dxa" w:w="60"/>
              <w:left w:type="dxa" w:w="100"/>
              <w:bottom w:type="dxa" w:w="60"/>
              <w:right w:type="dxa" w:w="100"/>
            </w:tcMar>
          </w:tcPr>
          <w:p>
            <w:r>
              <w:rPr>
                <w:rFonts w:ascii="Arial" w:cs="Arial" w:eastAsia="Arial" w:hAnsi="Arial"/>
                <w:b w:val="false"/>
                <w:bCs w:val="false"/>
                <w:color w:val="333333"/>
                <w:sz w:val="20"/>
                <w:szCs w:val="20"/>
              </w:rPr>
              <w:t xml:space="preserve">+66 pts (COVID)</w:t>
            </w:r>
          </w:p>
        </w:tc>
        <w:tc>
          <w:tcPr>
            <w:tcW w:type="dxa" w:w="1000"/>
            <w:tcBorders>
              <w:top w:val="single" w:color="B0B8C4" w:sz="1"/>
              <w:left w:val="single" w:color="B0B8C4" w:sz="1"/>
              <w:bottom w:val="single" w:color="B0B8C4" w:sz="1"/>
              <w:right w:val="single" w:color="B0B8C4" w:sz="1"/>
            </w:tcBorders>
            <w:shd w:fill="EDF2F7" w:val="clear"/>
            <w:tcMar>
              <w:top w:type="dxa" w:w="60"/>
              <w:left w:type="dxa" w:w="100"/>
              <w:bottom w:type="dxa" w:w="60"/>
              <w:right w:type="dxa" w:w="100"/>
            </w:tcMar>
          </w:tcPr>
          <w:p>
            <w:r>
              <w:rPr>
                <w:rFonts w:ascii="Arial" w:cs="Arial" w:eastAsia="Arial" w:hAnsi="Arial"/>
                <w:b w:val="false"/>
                <w:bCs w:val="false"/>
                <w:color w:val="333333"/>
                <w:sz w:val="20"/>
                <w:szCs w:val="20"/>
              </w:rPr>
              <w:t xml:space="preserve">0.42x</w:t>
            </w:r>
          </w:p>
        </w:tc>
        <w:tc>
          <w:tcPr>
            <w:tcW w:type="dxa" w:w="3560"/>
            <w:tcBorders>
              <w:top w:val="single" w:color="B0B8C4" w:sz="1"/>
              <w:left w:val="single" w:color="B0B8C4" w:sz="1"/>
              <w:bottom w:val="single" w:color="B0B8C4" w:sz="1"/>
              <w:right w:val="single" w:color="B0B8C4" w:sz="1"/>
            </w:tcBorders>
            <w:shd w:fill="EDF2F7" w:val="clear"/>
            <w:tcMar>
              <w:top w:type="dxa" w:w="60"/>
              <w:left w:type="dxa" w:w="100"/>
              <w:bottom w:type="dxa" w:w="60"/>
              <w:right w:type="dxa" w:w="100"/>
            </w:tcMar>
          </w:tcPr>
          <w:p>
            <w:r>
              <w:rPr>
                <w:rFonts w:ascii="Arial" w:cs="Arial" w:eastAsia="Arial" w:hAnsi="Arial"/>
                <w:b w:val="false"/>
                <w:bCs w:val="false"/>
                <w:color w:val="333333"/>
                <w:sz w:val="20"/>
                <w:szCs w:val="20"/>
              </w:rPr>
              <w:t xml:space="preserve">✓ Severe but not extreme</w:t>
            </w:r>
          </w:p>
        </w:tc>
      </w:tr>
      <w:tr>
        <w:tc>
          <w:tcPr>
            <w:tcW w:type="dxa" w:w="16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NVDA single name</w:t>
            </w:r>
          </w:p>
        </w:tc>
        <w:tc>
          <w:tcPr>
            <w:tcW w:type="dxa" w:w="14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-55%</w:t>
            </w:r>
          </w:p>
        </w:tc>
        <w:tc>
          <w:tcPr>
            <w:tcW w:type="dxa" w:w="18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-66% (2022)</w:t>
            </w:r>
          </w:p>
        </w:tc>
        <w:tc>
          <w:tcPr>
            <w:tcW w:type="dxa" w:w="10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0.83x</w:t>
            </w:r>
          </w:p>
        </w:tc>
        <w:tc>
          <w:tcPr>
            <w:tcW w:type="dxa" w:w="356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 Near historical max — justified by AI narrative</w:t>
            </w:r>
          </w:p>
        </w:tc>
      </w:tr>
      <w:tr>
        <w:tc>
          <w:tcPr>
            <w:tcW w:type="dxa" w:w="1600"/>
            <w:tcBorders>
              <w:top w:val="single" w:color="B0B8C4" w:sz="1"/>
              <w:left w:val="single" w:color="B0B8C4" w:sz="1"/>
              <w:bottom w:val="single" w:color="B0B8C4" w:sz="1"/>
              <w:right w:val="single" w:color="B0B8C4" w:sz="1"/>
            </w:tcBorders>
            <w:shd w:fill="EDF2F7" w:val="clear"/>
            <w:tcMar>
              <w:top w:type="dxa" w:w="60"/>
              <w:left w:type="dxa" w:w="100"/>
              <w:bottom w:type="dxa" w:w="60"/>
              <w:right w:type="dxa" w:w="100"/>
            </w:tcMar>
          </w:tcPr>
          <w:p>
            <w:r>
              <w:rPr>
                <w:rFonts w:ascii="Arial" w:cs="Arial" w:eastAsia="Arial" w:hAnsi="Arial"/>
                <w:b w:val="false"/>
                <w:bCs w:val="false"/>
                <w:color w:val="333333"/>
                <w:sz w:val="20"/>
                <w:szCs w:val="20"/>
              </w:rPr>
              <w:t xml:space="preserve">Hypothetical</w:t>
            </w:r>
          </w:p>
        </w:tc>
        <w:tc>
          <w:tcPr>
            <w:tcW w:type="dxa" w:w="1400"/>
            <w:tcBorders>
              <w:top w:val="single" w:color="B0B8C4" w:sz="1"/>
              <w:left w:val="single" w:color="B0B8C4" w:sz="1"/>
              <w:bottom w:val="single" w:color="B0B8C4" w:sz="1"/>
              <w:right w:val="single" w:color="B0B8C4" w:sz="1"/>
            </w:tcBorders>
            <w:shd w:fill="EDF2F7" w:val="clear"/>
            <w:tcMar>
              <w:top w:type="dxa" w:w="60"/>
              <w:left w:type="dxa" w:w="100"/>
              <w:bottom w:type="dxa" w:w="60"/>
              <w:right w:type="dxa" w:w="100"/>
            </w:tcMar>
          </w:tcPr>
          <w:p>
            <w:r>
              <w:rPr>
                <w:rFonts w:ascii="Arial" w:cs="Arial" w:eastAsia="Arial" w:hAnsi="Arial"/>
                <w:b w:val="false"/>
                <w:bCs w:val="false"/>
                <w:color w:val="333333"/>
                <w:sz w:val="20"/>
                <w:szCs w:val="20"/>
              </w:rPr>
              <w:t xml:space="preserve">+600bp HY</w:t>
            </w:r>
          </w:p>
        </w:tc>
        <w:tc>
          <w:tcPr>
            <w:tcW w:type="dxa" w:w="1800"/>
            <w:tcBorders>
              <w:top w:val="single" w:color="B0B8C4" w:sz="1"/>
              <w:left w:val="single" w:color="B0B8C4" w:sz="1"/>
              <w:bottom w:val="single" w:color="B0B8C4" w:sz="1"/>
              <w:right w:val="single" w:color="B0B8C4" w:sz="1"/>
            </w:tcBorders>
            <w:shd w:fill="EDF2F7" w:val="clear"/>
            <w:tcMar>
              <w:top w:type="dxa" w:w="60"/>
              <w:left w:type="dxa" w:w="100"/>
              <w:bottom w:type="dxa" w:w="60"/>
              <w:right w:type="dxa" w:w="100"/>
            </w:tcMar>
          </w:tcPr>
          <w:p>
            <w:r>
              <w:rPr>
                <w:rFonts w:ascii="Arial" w:cs="Arial" w:eastAsia="Arial" w:hAnsi="Arial"/>
                <w:b w:val="false"/>
                <w:bCs w:val="false"/>
                <w:color w:val="333333"/>
                <w:sz w:val="20"/>
                <w:szCs w:val="20"/>
              </w:rPr>
              <w:t xml:space="preserve">+1400bp (GFC)</w:t>
            </w:r>
          </w:p>
        </w:tc>
        <w:tc>
          <w:tcPr>
            <w:tcW w:type="dxa" w:w="1000"/>
            <w:tcBorders>
              <w:top w:val="single" w:color="B0B8C4" w:sz="1"/>
              <w:left w:val="single" w:color="B0B8C4" w:sz="1"/>
              <w:bottom w:val="single" w:color="B0B8C4" w:sz="1"/>
              <w:right w:val="single" w:color="B0B8C4" w:sz="1"/>
            </w:tcBorders>
            <w:shd w:fill="EDF2F7" w:val="clear"/>
            <w:tcMar>
              <w:top w:type="dxa" w:w="60"/>
              <w:left w:type="dxa" w:w="100"/>
              <w:bottom w:type="dxa" w:w="60"/>
              <w:right w:type="dxa" w:w="100"/>
            </w:tcMar>
          </w:tcPr>
          <w:p>
            <w:r>
              <w:rPr>
                <w:rFonts w:ascii="Arial" w:cs="Arial" w:eastAsia="Arial" w:hAnsi="Arial"/>
                <w:b w:val="false"/>
                <w:bCs w:val="false"/>
                <w:color w:val="333333"/>
                <w:sz w:val="20"/>
                <w:szCs w:val="20"/>
              </w:rPr>
              <w:t xml:space="preserve">0.43x</w:t>
            </w:r>
          </w:p>
        </w:tc>
        <w:tc>
          <w:tcPr>
            <w:tcW w:type="dxa" w:w="3560"/>
            <w:tcBorders>
              <w:top w:val="single" w:color="B0B8C4" w:sz="1"/>
              <w:left w:val="single" w:color="B0B8C4" w:sz="1"/>
              <w:bottom w:val="single" w:color="B0B8C4" w:sz="1"/>
              <w:right w:val="single" w:color="B0B8C4" w:sz="1"/>
            </w:tcBorders>
            <w:shd w:fill="EDF2F7" w:val="clear"/>
            <w:tcMar>
              <w:top w:type="dxa" w:w="60"/>
              <w:left w:type="dxa" w:w="100"/>
              <w:bottom w:type="dxa" w:w="60"/>
              <w:right w:type="dxa" w:w="100"/>
            </w:tcMar>
          </w:tcPr>
          <w:p>
            <w:r>
              <w:rPr>
                <w:rFonts w:ascii="Arial" w:cs="Arial" w:eastAsia="Arial" w:hAnsi="Arial"/>
                <w:b w:val="false"/>
                <w:bCs w:val="false"/>
                <w:color w:val="333333"/>
                <w:sz w:val="20"/>
                <w:szCs w:val="20"/>
              </w:rPr>
              <w:t xml:space="preserve">✓ Severe but precedented</w:t>
            </w:r>
          </w:p>
        </w:tc>
      </w:tr>
    </w:tbl>
    <w:p>
      <w:pPr>
        <w:spacing w:after="120" w:before="0"/>
      </w:pPr>
      <w:r>
        <w:rPr>
          <w:rFonts w:ascii="Arial" w:cs="Arial" w:eastAsia="Arial" w:hAnsi="Arial"/>
          <w:sz w:val="22"/>
          <w:szCs w:val="22"/>
        </w:rPr>
        <w:t xml:space="preserve">Rule of thumb: Shocks exceeding 75% of the historical worst should be classified as “extreme” and flagged for additional governance review. Shocks exceeding 100% are “hypothetical” and require explicit written rationale.</w:t>
      </w:r>
    </w:p>
    <w:p>
      <w:pPr>
        <w:spacing w:after="80"/>
      </w:pPr>
    </w:p>
    <w:p>
      <w:pPr>
        <w:pStyle w:val="Heading2"/>
      </w:pPr>
      <w:r>
        <w:t xml:space="preserve">19. Mahalanobis Distance (Statistical Coherence)</w:t>
      </w:r>
    </w:p>
    <w:p>
      <w:pPr>
        <w:spacing w:after="120" w:before="0"/>
      </w:pPr>
      <w:r>
        <w:rPr>
          <w:rFonts w:ascii="Arial" w:cs="Arial" w:eastAsia="Arial" w:hAnsi="Arial"/>
          <w:sz w:val="22"/>
          <w:szCs w:val="22"/>
        </w:rPr>
        <w:t xml:space="preserve">The Mahalanobis distance measures how “jointly plausible” a vector of shocks is, given the historical covariance structure:</w:t>
      </w:r>
    </w:p>
    <w:p>
      <w:pPr>
        <w:spacing w:after="140" w:before="80"/>
        <w:jc w:val="center"/>
      </w:pPr>
      <w:r>
        <w:rPr>
          <w:rFonts w:ascii="Courier New" w:cs="Courier New" w:eastAsia="Courier New" w:hAnsi="Courier New"/>
          <w:b/>
          <w:bCs/>
          <w:color w:val="2C3E6B"/>
          <w:sz w:val="24"/>
          <w:szCs w:val="24"/>
        </w:rPr>
        <w:t xml:space="preserve">D = √[ (x - μ)′ Σ⁻¹ (x - μ) ]</w:t>
      </w:r>
    </w:p>
    <w:p>
      <w:pPr>
        <w:spacing w:after="120" w:before="0"/>
      </w:pPr>
      <w:r>
        <w:rPr>
          <w:rFonts w:ascii="Arial" w:cs="Arial" w:eastAsia="Arial" w:hAnsi="Arial"/>
          <w:sz w:val="22"/>
          <w:szCs w:val="22"/>
        </w:rPr>
        <w:t xml:space="preserve">Where x is the vector of scenario shocks, μ is the mean (usually zero), and Σ is the covariance matrix of historical factor returns.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4760"/>
      </w:tblGrid>
      <w:tr>
        <w:tc>
          <w:tcPr>
            <w:tcW w:type="dxa" w:w="1200"/>
            <w:tcBorders>
              <w:top w:val="single" w:color="B0B8C4" w:sz="1"/>
              <w:left w:val="single" w:color="B0B8C4" w:sz="1"/>
              <w:bottom w:val="single" w:color="B0B8C4" w:sz="1"/>
              <w:right w:val="single" w:color="B0B8C4"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D Value</w:t>
            </w:r>
          </w:p>
        </w:tc>
        <w:tc>
          <w:tcPr>
            <w:tcW w:type="dxa" w:w="3400"/>
            <w:tcBorders>
              <w:top w:val="single" w:color="B0B8C4" w:sz="1"/>
              <w:left w:val="single" w:color="B0B8C4" w:sz="1"/>
              <w:bottom w:val="single" w:color="B0B8C4" w:sz="1"/>
              <w:right w:val="single" w:color="B0B8C4"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Interpretation</w:t>
            </w:r>
          </w:p>
        </w:tc>
        <w:tc>
          <w:tcPr>
            <w:tcW w:type="dxa" w:w="4760"/>
            <w:tcBorders>
              <w:top w:val="single" w:color="B0B8C4" w:sz="1"/>
              <w:left w:val="single" w:color="B0B8C4" w:sz="1"/>
              <w:bottom w:val="single" w:color="B0B8C4" w:sz="1"/>
              <w:right w:val="single" w:color="B0B8C4"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Action</w:t>
            </w:r>
          </w:p>
        </w:tc>
      </w:tr>
      <w:tr>
        <w:tc>
          <w:tcPr>
            <w:tcW w:type="dxa" w:w="1200"/>
            <w:tcBorders>
              <w:top w:val="single" w:color="B0B8C4" w:sz="1"/>
              <w:left w:val="single" w:color="B0B8C4" w:sz="1"/>
              <w:bottom w:val="single" w:color="B0B8C4" w:sz="1"/>
              <w:right w:val="single" w:color="B0B8C4" w:sz="1"/>
            </w:tcBorders>
            <w:shd w:fill="EDF2F7" w:val="clear"/>
            <w:tcMar>
              <w:top w:type="dxa" w:w="60"/>
              <w:left w:type="dxa" w:w="100"/>
              <w:bottom w:type="dxa" w:w="60"/>
              <w:right w:type="dxa" w:w="100"/>
            </w:tcMar>
          </w:tcPr>
          <w:p>
            <w:r>
              <w:rPr>
                <w:rFonts w:ascii="Arial" w:cs="Arial" w:eastAsia="Arial" w:hAnsi="Arial"/>
                <w:b w:val="false"/>
                <w:bCs w:val="false"/>
                <w:color w:val="333333"/>
                <w:sz w:val="20"/>
                <w:szCs w:val="20"/>
              </w:rPr>
              <w:t xml:space="preserve">&lt; 3</w:t>
            </w:r>
          </w:p>
        </w:tc>
        <w:tc>
          <w:tcPr>
            <w:tcW w:type="dxa" w:w="3400"/>
            <w:tcBorders>
              <w:top w:val="single" w:color="B0B8C4" w:sz="1"/>
              <w:left w:val="single" w:color="B0B8C4" w:sz="1"/>
              <w:bottom w:val="single" w:color="B0B8C4" w:sz="1"/>
              <w:right w:val="single" w:color="B0B8C4" w:sz="1"/>
            </w:tcBorders>
            <w:shd w:fill="EDF2F7" w:val="clear"/>
            <w:tcMar>
              <w:top w:type="dxa" w:w="60"/>
              <w:left w:type="dxa" w:w="100"/>
              <w:bottom w:type="dxa" w:w="60"/>
              <w:right w:type="dxa" w:w="100"/>
            </w:tcMar>
          </w:tcPr>
          <w:p>
            <w:r>
              <w:rPr>
                <w:rFonts w:ascii="Arial" w:cs="Arial" w:eastAsia="Arial" w:hAnsi="Arial"/>
                <w:b w:val="false"/>
                <w:bCs w:val="false"/>
                <w:color w:val="333333"/>
                <w:sz w:val="20"/>
                <w:szCs w:val="20"/>
              </w:rPr>
              <w:t xml:space="preserve">Plausible as a single episode</w:t>
            </w:r>
          </w:p>
        </w:tc>
        <w:tc>
          <w:tcPr>
            <w:tcW w:type="dxa" w:w="4760"/>
            <w:tcBorders>
              <w:top w:val="single" w:color="B0B8C4" w:sz="1"/>
              <w:left w:val="single" w:color="B0B8C4" w:sz="1"/>
              <w:bottom w:val="single" w:color="B0B8C4" w:sz="1"/>
              <w:right w:val="single" w:color="B0B8C4" w:sz="1"/>
            </w:tcBorders>
            <w:shd w:fill="EDF2F7" w:val="clear"/>
            <w:tcMar>
              <w:top w:type="dxa" w:w="60"/>
              <w:left w:type="dxa" w:w="100"/>
              <w:bottom w:type="dxa" w:w="60"/>
              <w:right w:type="dxa" w:w="100"/>
            </w:tcMar>
          </w:tcPr>
          <w:p>
            <w:r>
              <w:rPr>
                <w:rFonts w:ascii="Arial" w:cs="Arial" w:eastAsia="Arial" w:hAnsi="Arial"/>
                <w:b w:val="false"/>
                <w:bCs w:val="false"/>
                <w:color w:val="333333"/>
                <w:sz w:val="20"/>
                <w:szCs w:val="20"/>
              </w:rPr>
              <w:t xml:space="preserve">No concern. Scenario is within normal joint distribution.</w:t>
            </w:r>
          </w:p>
        </w:tc>
      </w:tr>
      <w:tr>
        <w:tc>
          <w:tcPr>
            <w:tcW w:type="dxa" w:w="12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3 - 6</w:t>
            </w:r>
          </w:p>
        </w:tc>
        <w:tc>
          <w:tcPr>
            <w:tcW w:type="dxa" w:w="34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Unusual but has historical precedent</w:t>
            </w:r>
          </w:p>
        </w:tc>
        <w:tc>
          <w:tcPr>
            <w:tcW w:type="dxa" w:w="476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Acceptable for stress testing. Document analogues.</w:t>
            </w:r>
          </w:p>
        </w:tc>
      </w:tr>
      <w:tr>
        <w:tc>
          <w:tcPr>
            <w:tcW w:type="dxa" w:w="1200"/>
            <w:tcBorders>
              <w:top w:val="single" w:color="B0B8C4" w:sz="1"/>
              <w:left w:val="single" w:color="B0B8C4" w:sz="1"/>
              <w:bottom w:val="single" w:color="B0B8C4" w:sz="1"/>
              <w:right w:val="single" w:color="B0B8C4" w:sz="1"/>
            </w:tcBorders>
            <w:shd w:fill="EDF2F7" w:val="clear"/>
            <w:tcMar>
              <w:top w:type="dxa" w:w="60"/>
              <w:left w:type="dxa" w:w="100"/>
              <w:bottom w:type="dxa" w:w="60"/>
              <w:right w:type="dxa" w:w="100"/>
            </w:tcMar>
          </w:tcPr>
          <w:p>
            <w:r>
              <w:rPr>
                <w:rFonts w:ascii="Arial" w:cs="Arial" w:eastAsia="Arial" w:hAnsi="Arial"/>
                <w:b w:val="false"/>
                <w:bCs w:val="false"/>
                <w:color w:val="333333"/>
                <w:sz w:val="20"/>
                <w:szCs w:val="20"/>
              </w:rPr>
              <w:t xml:space="preserve">6 - 10</w:t>
            </w:r>
          </w:p>
        </w:tc>
        <w:tc>
          <w:tcPr>
            <w:tcW w:type="dxa" w:w="3400"/>
            <w:tcBorders>
              <w:top w:val="single" w:color="B0B8C4" w:sz="1"/>
              <w:left w:val="single" w:color="B0B8C4" w:sz="1"/>
              <w:bottom w:val="single" w:color="B0B8C4" w:sz="1"/>
              <w:right w:val="single" w:color="B0B8C4" w:sz="1"/>
            </w:tcBorders>
            <w:shd w:fill="EDF2F7" w:val="clear"/>
            <w:tcMar>
              <w:top w:type="dxa" w:w="60"/>
              <w:left w:type="dxa" w:w="100"/>
              <w:bottom w:type="dxa" w:w="60"/>
              <w:right w:type="dxa" w:w="100"/>
            </w:tcMar>
          </w:tcPr>
          <w:p>
            <w:r>
              <w:rPr>
                <w:rFonts w:ascii="Arial" w:cs="Arial" w:eastAsia="Arial" w:hAnsi="Arial"/>
                <w:b w:val="false"/>
                <w:bCs w:val="false"/>
                <w:color w:val="333333"/>
                <w:sz w:val="20"/>
                <w:szCs w:val="20"/>
              </w:rPr>
              <w:t xml:space="preserve">Statistically rare, regime-shift territory</w:t>
            </w:r>
          </w:p>
        </w:tc>
        <w:tc>
          <w:tcPr>
            <w:tcW w:type="dxa" w:w="4760"/>
            <w:tcBorders>
              <w:top w:val="single" w:color="B0B8C4" w:sz="1"/>
              <w:left w:val="single" w:color="B0B8C4" w:sz="1"/>
              <w:bottom w:val="single" w:color="B0B8C4" w:sz="1"/>
              <w:right w:val="single" w:color="B0B8C4" w:sz="1"/>
            </w:tcBorders>
            <w:shd w:fill="EDF2F7" w:val="clear"/>
            <w:tcMar>
              <w:top w:type="dxa" w:w="60"/>
              <w:left w:type="dxa" w:w="100"/>
              <w:bottom w:type="dxa" w:w="60"/>
              <w:right w:type="dxa" w:w="100"/>
            </w:tcMar>
          </w:tcPr>
          <w:p>
            <w:r>
              <w:rPr>
                <w:rFonts w:ascii="Arial" w:cs="Arial" w:eastAsia="Arial" w:hAnsi="Arial"/>
                <w:b w:val="false"/>
                <w:bCs w:val="false"/>
                <w:color w:val="333333"/>
                <w:sz w:val="20"/>
                <w:szCs w:val="20"/>
              </w:rPr>
              <w:t xml:space="preserve">Needs narrative justification. Are correlations breaking?</w:t>
            </w:r>
          </w:p>
        </w:tc>
      </w:tr>
      <w:tr>
        <w:tc>
          <w:tcPr>
            <w:tcW w:type="dxa" w:w="12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&gt; 10</w:t>
            </w:r>
          </w:p>
        </w:tc>
        <w:tc>
          <w:tcPr>
            <w:tcW w:type="dxa" w:w="34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Essentially impossible under normal distribution</w:t>
            </w:r>
          </w:p>
        </w:tc>
        <w:tc>
          <w:tcPr>
            <w:tcW w:type="dxa" w:w="476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Either the scenario is incoherent, or it represents a true tail event requiring correlation stress assumptions.</w:t>
            </w:r>
          </w:p>
        </w:tc>
      </w:tr>
    </w:tbl>
    <w:p>
      <w:pPr>
        <w:spacing w:after="80"/>
      </w:pPr>
    </w:p>
    <w:p>
      <w:pPr>
        <w:spacing w:after="120" w:before="0"/>
      </w:pPr>
      <w:r>
        <w:rPr>
          <w:rFonts w:ascii="Arial" w:cs="Arial" w:eastAsia="Arial" w:hAnsi="Arial"/>
          <w:sz w:val="22"/>
          <w:szCs w:val="22"/>
        </w:rPr>
        <w:t xml:space="preserve">A high Mahalanobis distance does NOT automatically invalidate a scenario. It just means the shock combination is unusual and requires explanation. Crisis events by definition have high D values because correlations spike.</w:t>
      </w:r>
    </w:p>
    <w:p>
      <w:pPr>
        <w:spacing w:after="80"/>
      </w:pPr>
    </w:p>
    <w:p>
      <w:pPr>
        <w:pStyle w:val="Heading2"/>
      </w:pPr>
      <w:r>
        <w:t xml:space="preserve">20. Correlation Regime Stress</w:t>
      </w:r>
    </w:p>
    <w:p>
      <w:pPr>
        <w:spacing w:after="120" w:before="0"/>
      </w:pPr>
      <w:r>
        <w:rPr>
          <w:rFonts w:ascii="Arial" w:cs="Arial" w:eastAsia="Arial" w:hAnsi="Arial"/>
          <w:sz w:val="22"/>
          <w:szCs w:val="22"/>
        </w:rPr>
        <w:t xml:space="preserve">In normal markets, correlations are moderate. In crisis, they spike toward 1.0 (or -1.0 for safe havens). Your scenario must account for this:</w:t>
      </w:r>
    </w:p>
    <w:p>
      <w:pPr>
        <w:spacing w:after="140" w:before="80"/>
        <w:jc w:val="center"/>
      </w:pPr>
      <w:r>
        <w:rPr>
          <w:rFonts w:ascii="Courier New" w:cs="Courier New" w:eastAsia="Courier New" w:hAnsi="Courier New"/>
          <w:b/>
          <w:bCs/>
          <w:color w:val="2C3E6B"/>
          <w:sz w:val="24"/>
          <w:szCs w:val="24"/>
        </w:rPr>
        <w:t xml:space="preserve">ρ_stressed = ρ_normal + α × (1 - ρ_normal)</w:t>
      </w:r>
    </w:p>
    <w:p>
      <w:pPr>
        <w:spacing w:after="120" w:before="0"/>
      </w:pPr>
      <w:r>
        <w:rPr>
          <w:rFonts w:ascii="Arial" w:cs="Arial" w:eastAsia="Arial" w:hAnsi="Arial"/>
          <w:sz w:val="22"/>
          <w:szCs w:val="22"/>
        </w:rPr>
        <w:t xml:space="preserve">Where α is the severity-dependent correlation stress factor:</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c>
          <w:tcPr>
            <w:tcW w:type="dxa" w:w="2000"/>
            <w:tcBorders>
              <w:top w:val="single" w:color="B0B8C4" w:sz="1"/>
              <w:left w:val="single" w:color="B0B8C4" w:sz="1"/>
              <w:bottom w:val="single" w:color="B0B8C4" w:sz="1"/>
              <w:right w:val="single" w:color="B0B8C4"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α (Stress Factor)</w:t>
            </w:r>
          </w:p>
        </w:tc>
        <w:tc>
          <w:tcPr>
            <w:tcW w:type="dxa" w:w="2400"/>
            <w:tcBorders>
              <w:top w:val="single" w:color="B0B8C4" w:sz="1"/>
              <w:left w:val="single" w:color="B0B8C4" w:sz="1"/>
              <w:bottom w:val="single" w:color="B0B8C4" w:sz="1"/>
              <w:right w:val="single" w:color="B0B8C4"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Scenario Severity</w:t>
            </w:r>
          </w:p>
        </w:tc>
        <w:tc>
          <w:tcPr>
            <w:tcW w:type="dxa" w:w="4960"/>
            <w:tcBorders>
              <w:top w:val="single" w:color="B0B8C4" w:sz="1"/>
              <w:left w:val="single" w:color="B0B8C4" w:sz="1"/>
              <w:bottom w:val="single" w:color="B0B8C4" w:sz="1"/>
              <w:right w:val="single" w:color="B0B8C4"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Effect on ρ = 0.4 Pair</w:t>
            </w:r>
          </w:p>
        </w:tc>
      </w:tr>
      <w:tr>
        <w:tc>
          <w:tcPr>
            <w:tcW w:type="dxa" w:w="2000"/>
            <w:tcBorders>
              <w:top w:val="single" w:color="B0B8C4" w:sz="1"/>
              <w:left w:val="single" w:color="B0B8C4" w:sz="1"/>
              <w:bottom w:val="single" w:color="B0B8C4" w:sz="1"/>
              <w:right w:val="single" w:color="B0B8C4" w:sz="1"/>
            </w:tcBorders>
            <w:shd w:fill="EDF2F7" w:val="clear"/>
            <w:tcMar>
              <w:top w:type="dxa" w:w="60"/>
              <w:left w:type="dxa" w:w="100"/>
              <w:bottom w:type="dxa" w:w="60"/>
              <w:right w:type="dxa" w:w="100"/>
            </w:tcMar>
          </w:tcPr>
          <w:p>
            <w:r>
              <w:rPr>
                <w:rFonts w:ascii="Arial" w:cs="Arial" w:eastAsia="Arial" w:hAnsi="Arial"/>
                <w:b w:val="false"/>
                <w:bCs w:val="false"/>
                <w:color w:val="333333"/>
                <w:sz w:val="20"/>
                <w:szCs w:val="20"/>
              </w:rPr>
              <w:t xml:space="preserve">0.2</w:t>
            </w:r>
          </w:p>
        </w:tc>
        <w:tc>
          <w:tcPr>
            <w:tcW w:type="dxa" w:w="2400"/>
            <w:tcBorders>
              <w:top w:val="single" w:color="B0B8C4" w:sz="1"/>
              <w:left w:val="single" w:color="B0B8C4" w:sz="1"/>
              <w:bottom w:val="single" w:color="B0B8C4" w:sz="1"/>
              <w:right w:val="single" w:color="B0B8C4" w:sz="1"/>
            </w:tcBorders>
            <w:shd w:fill="EDF2F7" w:val="clear"/>
            <w:tcMar>
              <w:top w:type="dxa" w:w="60"/>
              <w:left w:type="dxa" w:w="100"/>
              <w:bottom w:type="dxa" w:w="60"/>
              <w:right w:type="dxa" w:w="100"/>
            </w:tcMar>
          </w:tcPr>
          <w:p>
            <w:r>
              <w:rPr>
                <w:rFonts w:ascii="Arial" w:cs="Arial" w:eastAsia="Arial" w:hAnsi="Arial"/>
                <w:b w:val="false"/>
                <w:bCs w:val="false"/>
                <w:color w:val="333333"/>
                <w:sz w:val="20"/>
                <w:szCs w:val="20"/>
              </w:rPr>
              <w:t xml:space="preserve">Moderate</w:t>
            </w:r>
          </w:p>
        </w:tc>
        <w:tc>
          <w:tcPr>
            <w:tcW w:type="dxa" w:w="4960"/>
            <w:tcBorders>
              <w:top w:val="single" w:color="B0B8C4" w:sz="1"/>
              <w:left w:val="single" w:color="B0B8C4" w:sz="1"/>
              <w:bottom w:val="single" w:color="B0B8C4" w:sz="1"/>
              <w:right w:val="single" w:color="B0B8C4" w:sz="1"/>
            </w:tcBorders>
            <w:shd w:fill="EDF2F7" w:val="clear"/>
            <w:tcMar>
              <w:top w:type="dxa" w:w="60"/>
              <w:left w:type="dxa" w:w="100"/>
              <w:bottom w:type="dxa" w:w="60"/>
              <w:right w:type="dxa" w:w="100"/>
            </w:tcMar>
          </w:tcPr>
          <w:p>
            <w:r>
              <w:rPr>
                <w:rFonts w:ascii="Arial" w:cs="Arial" w:eastAsia="Arial" w:hAnsi="Arial"/>
                <w:b w:val="false"/>
                <w:bCs w:val="false"/>
                <w:color w:val="333333"/>
                <w:sz w:val="20"/>
                <w:szCs w:val="20"/>
              </w:rPr>
              <w:t xml:space="preserve">ρ → 0.52 (correlation increases 30%)</w:t>
            </w:r>
          </w:p>
        </w:tc>
      </w:tr>
      <w:tr>
        <w:tc>
          <w:tcPr>
            <w:tcW w:type="dxa" w:w="20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0.4</w:t>
            </w:r>
          </w:p>
        </w:tc>
        <w:tc>
          <w:tcPr>
            <w:tcW w:type="dxa" w:w="24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Severe</w:t>
            </w:r>
          </w:p>
        </w:tc>
        <w:tc>
          <w:tcPr>
            <w:tcW w:type="dxa" w:w="496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ρ → 0.64 (correlation increases 60%)</w:t>
            </w:r>
          </w:p>
        </w:tc>
      </w:tr>
      <w:tr>
        <w:tc>
          <w:tcPr>
            <w:tcW w:type="dxa" w:w="2000"/>
            <w:tcBorders>
              <w:top w:val="single" w:color="B0B8C4" w:sz="1"/>
              <w:left w:val="single" w:color="B0B8C4" w:sz="1"/>
              <w:bottom w:val="single" w:color="B0B8C4" w:sz="1"/>
              <w:right w:val="single" w:color="B0B8C4" w:sz="1"/>
            </w:tcBorders>
            <w:shd w:fill="EDF2F7" w:val="clear"/>
            <w:tcMar>
              <w:top w:type="dxa" w:w="60"/>
              <w:left w:type="dxa" w:w="100"/>
              <w:bottom w:type="dxa" w:w="60"/>
              <w:right w:type="dxa" w:w="100"/>
            </w:tcMar>
          </w:tcPr>
          <w:p>
            <w:r>
              <w:rPr>
                <w:rFonts w:ascii="Arial" w:cs="Arial" w:eastAsia="Arial" w:hAnsi="Arial"/>
                <w:b w:val="false"/>
                <w:bCs w:val="false"/>
                <w:color w:val="333333"/>
                <w:sz w:val="20"/>
                <w:szCs w:val="20"/>
              </w:rPr>
              <w:t xml:space="preserve">0.6</w:t>
            </w:r>
          </w:p>
        </w:tc>
        <w:tc>
          <w:tcPr>
            <w:tcW w:type="dxa" w:w="2400"/>
            <w:tcBorders>
              <w:top w:val="single" w:color="B0B8C4" w:sz="1"/>
              <w:left w:val="single" w:color="B0B8C4" w:sz="1"/>
              <w:bottom w:val="single" w:color="B0B8C4" w:sz="1"/>
              <w:right w:val="single" w:color="B0B8C4" w:sz="1"/>
            </w:tcBorders>
            <w:shd w:fill="EDF2F7" w:val="clear"/>
            <w:tcMar>
              <w:top w:type="dxa" w:w="60"/>
              <w:left w:type="dxa" w:w="100"/>
              <w:bottom w:type="dxa" w:w="60"/>
              <w:right w:type="dxa" w:w="100"/>
            </w:tcMar>
          </w:tcPr>
          <w:p>
            <w:r>
              <w:rPr>
                <w:rFonts w:ascii="Arial" w:cs="Arial" w:eastAsia="Arial" w:hAnsi="Arial"/>
                <w:b w:val="false"/>
                <w:bCs w:val="false"/>
                <w:color w:val="333333"/>
                <w:sz w:val="20"/>
                <w:szCs w:val="20"/>
              </w:rPr>
              <w:t xml:space="preserve">Extreme</w:t>
            </w:r>
          </w:p>
        </w:tc>
        <w:tc>
          <w:tcPr>
            <w:tcW w:type="dxa" w:w="4960"/>
            <w:tcBorders>
              <w:top w:val="single" w:color="B0B8C4" w:sz="1"/>
              <w:left w:val="single" w:color="B0B8C4" w:sz="1"/>
              <w:bottom w:val="single" w:color="B0B8C4" w:sz="1"/>
              <w:right w:val="single" w:color="B0B8C4" w:sz="1"/>
            </w:tcBorders>
            <w:shd w:fill="EDF2F7" w:val="clear"/>
            <w:tcMar>
              <w:top w:type="dxa" w:w="60"/>
              <w:left w:type="dxa" w:w="100"/>
              <w:bottom w:type="dxa" w:w="60"/>
              <w:right w:type="dxa" w:w="100"/>
            </w:tcMar>
          </w:tcPr>
          <w:p>
            <w:r>
              <w:rPr>
                <w:rFonts w:ascii="Arial" w:cs="Arial" w:eastAsia="Arial" w:hAnsi="Arial"/>
                <w:b w:val="false"/>
                <w:bCs w:val="false"/>
                <w:color w:val="333333"/>
                <w:sz w:val="20"/>
                <w:szCs w:val="20"/>
              </w:rPr>
              <w:t xml:space="preserve">ρ → 0.76 (correlation nearly doubles)</w:t>
            </w:r>
          </w:p>
        </w:tc>
      </w:tr>
      <w:tr>
        <w:tc>
          <w:tcPr>
            <w:tcW w:type="dxa" w:w="20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0.8</w:t>
            </w:r>
          </w:p>
        </w:tc>
        <w:tc>
          <w:tcPr>
            <w:tcW w:type="dxa" w:w="24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Maximum stress</w:t>
            </w:r>
          </w:p>
        </w:tc>
        <w:tc>
          <w:tcPr>
            <w:tcW w:type="dxa" w:w="496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ρ → 0.88 (near-perfect correlation)</w:t>
            </w:r>
          </w:p>
        </w:tc>
      </w:tr>
    </w:tbl>
    <w:p>
      <w:pPr>
        <w:spacing w:after="80"/>
      </w:pPr>
    </w:p>
    <w:p>
      <w:pPr>
        <w:spacing w:after="120" w:before="0"/>
      </w:pPr>
      <w:r>
        <w:rPr>
          <w:rFonts w:ascii="Arial" w:cs="Arial" w:eastAsia="Arial" w:hAnsi="Arial"/>
          <w:sz w:val="22"/>
          <w:szCs w:val="22"/>
        </w:rPr>
        <w:t xml:space="preserve">Why this matters: Diversification benefits collapse. A portfolio with 10 weakly correlated positions (ρ = 0.3) behaves like 3-4 positions when ρ spikes to 0.8. Risk is concentrated, not diversified.</w:t>
      </w:r>
    </w:p>
    <w:p>
      <w:pPr>
        <w:spacing w:after="80"/>
      </w:pPr>
    </w:p>
    <w:p>
      <w:pPr>
        <w:pStyle w:val="Heading2"/>
      </w:pPr>
      <w:r>
        <w:t xml:space="preserve">21. Backtesting &amp; Coverage</w:t>
      </w:r>
    </w:p>
    <w:p>
      <w:pPr>
        <w:spacing w:after="120" w:before="0"/>
      </w:pPr>
      <w:r>
        <w:rPr>
          <w:rFonts w:ascii="Arial" w:cs="Arial" w:eastAsia="Arial" w:hAnsi="Arial"/>
          <w:sz w:val="22"/>
          <w:szCs w:val="22"/>
        </w:rPr>
        <w:t xml:space="preserve">After running a scenario, compare results to actual historical outcomes: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1200"/>
        <w:gridCol w:w="3760"/>
      </w:tblGrid>
      <w:tr>
        <w:tc>
          <w:tcPr>
            <w:tcW w:type="dxa" w:w="1600"/>
            <w:tcBorders>
              <w:top w:val="single" w:color="B0B8C4" w:sz="1"/>
              <w:left w:val="single" w:color="B0B8C4" w:sz="1"/>
              <w:bottom w:val="single" w:color="B0B8C4" w:sz="1"/>
              <w:right w:val="single" w:color="B0B8C4"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Metric</w:t>
            </w:r>
          </w:p>
        </w:tc>
        <w:tc>
          <w:tcPr>
            <w:tcW w:type="dxa" w:w="2800"/>
            <w:tcBorders>
              <w:top w:val="single" w:color="B0B8C4" w:sz="1"/>
              <w:left w:val="single" w:color="B0B8C4" w:sz="1"/>
              <w:bottom w:val="single" w:color="B0B8C4" w:sz="1"/>
              <w:right w:val="single" w:color="B0B8C4"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Formula</w:t>
            </w:r>
          </w:p>
        </w:tc>
        <w:tc>
          <w:tcPr>
            <w:tcW w:type="dxa" w:w="1200"/>
            <w:tcBorders>
              <w:top w:val="single" w:color="B0B8C4" w:sz="1"/>
              <w:left w:val="single" w:color="B0B8C4" w:sz="1"/>
              <w:bottom w:val="single" w:color="B0B8C4" w:sz="1"/>
              <w:right w:val="single" w:color="B0B8C4"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Target</w:t>
            </w:r>
          </w:p>
        </w:tc>
        <w:tc>
          <w:tcPr>
            <w:tcW w:type="dxa" w:w="3760"/>
            <w:tcBorders>
              <w:top w:val="single" w:color="B0B8C4" w:sz="1"/>
              <w:left w:val="single" w:color="B0B8C4" w:sz="1"/>
              <w:bottom w:val="single" w:color="B0B8C4" w:sz="1"/>
              <w:right w:val="single" w:color="B0B8C4"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What It Tells You</w:t>
            </w:r>
          </w:p>
        </w:tc>
      </w:tr>
      <w:tr>
        <w:tc>
          <w:tcPr>
            <w:tcW w:type="dxa" w:w="1600"/>
            <w:tcBorders>
              <w:top w:val="single" w:color="B0B8C4" w:sz="1"/>
              <w:left w:val="single" w:color="B0B8C4" w:sz="1"/>
              <w:bottom w:val="single" w:color="B0B8C4" w:sz="1"/>
              <w:right w:val="single" w:color="B0B8C4" w:sz="1"/>
            </w:tcBorders>
            <w:shd w:fill="EDF2F7" w:val="clear"/>
            <w:tcMar>
              <w:top w:type="dxa" w:w="60"/>
              <w:left w:type="dxa" w:w="100"/>
              <w:bottom w:type="dxa" w:w="60"/>
              <w:right w:type="dxa" w:w="100"/>
            </w:tcMar>
          </w:tcPr>
          <w:p>
            <w:r>
              <w:rPr>
                <w:rFonts w:ascii="Arial" w:cs="Arial" w:eastAsia="Arial" w:hAnsi="Arial"/>
                <w:b w:val="false"/>
                <w:bCs w:val="false"/>
                <w:color w:val="333333"/>
                <w:sz w:val="20"/>
                <w:szCs w:val="20"/>
              </w:rPr>
              <w:t xml:space="preserve">Coverage Ratio</w:t>
            </w:r>
          </w:p>
        </w:tc>
        <w:tc>
          <w:tcPr>
            <w:tcW w:type="dxa" w:w="2800"/>
            <w:tcBorders>
              <w:top w:val="single" w:color="B0B8C4" w:sz="1"/>
              <w:left w:val="single" w:color="B0B8C4" w:sz="1"/>
              <w:bottom w:val="single" w:color="B0B8C4" w:sz="1"/>
              <w:right w:val="single" w:color="B0B8C4" w:sz="1"/>
            </w:tcBorders>
            <w:shd w:fill="EDF2F7" w:val="clear"/>
            <w:tcMar>
              <w:top w:type="dxa" w:w="60"/>
              <w:left w:type="dxa" w:w="100"/>
              <w:bottom w:type="dxa" w:w="60"/>
              <w:right w:type="dxa" w:w="100"/>
            </w:tcMar>
          </w:tcPr>
          <w:p>
            <w:r>
              <w:rPr>
                <w:rFonts w:ascii="Arial" w:cs="Arial" w:eastAsia="Arial" w:hAnsi="Arial"/>
                <w:b w:val="false"/>
                <w:bCs w:val="false"/>
                <w:color w:val="333333"/>
                <w:sz w:val="20"/>
                <w:szCs w:val="20"/>
              </w:rPr>
              <w:t xml:space="preserve">% of actual tail losses captured by scenario</w:t>
            </w:r>
          </w:p>
        </w:tc>
        <w:tc>
          <w:tcPr>
            <w:tcW w:type="dxa" w:w="1200"/>
            <w:tcBorders>
              <w:top w:val="single" w:color="B0B8C4" w:sz="1"/>
              <w:left w:val="single" w:color="B0B8C4" w:sz="1"/>
              <w:bottom w:val="single" w:color="B0B8C4" w:sz="1"/>
              <w:right w:val="single" w:color="B0B8C4" w:sz="1"/>
            </w:tcBorders>
            <w:shd w:fill="EDF2F7" w:val="clear"/>
            <w:tcMar>
              <w:top w:type="dxa" w:w="60"/>
              <w:left w:type="dxa" w:w="100"/>
              <w:bottom w:type="dxa" w:w="60"/>
              <w:right w:type="dxa" w:w="100"/>
            </w:tcMar>
          </w:tcPr>
          <w:p>
            <w:r>
              <w:rPr>
                <w:rFonts w:ascii="Arial" w:cs="Arial" w:eastAsia="Arial" w:hAnsi="Arial"/>
                <w:b w:val="false"/>
                <w:bCs w:val="false"/>
                <w:color w:val="333333"/>
                <w:sz w:val="20"/>
                <w:szCs w:val="20"/>
              </w:rPr>
              <w:t xml:space="preserve">&gt; 80%</w:t>
            </w:r>
          </w:p>
        </w:tc>
        <w:tc>
          <w:tcPr>
            <w:tcW w:type="dxa" w:w="3760"/>
            <w:tcBorders>
              <w:top w:val="single" w:color="B0B8C4" w:sz="1"/>
              <w:left w:val="single" w:color="B0B8C4" w:sz="1"/>
              <w:bottom w:val="single" w:color="B0B8C4" w:sz="1"/>
              <w:right w:val="single" w:color="B0B8C4" w:sz="1"/>
            </w:tcBorders>
            <w:shd w:fill="EDF2F7" w:val="clear"/>
            <w:tcMar>
              <w:top w:type="dxa" w:w="60"/>
              <w:left w:type="dxa" w:w="100"/>
              <w:bottom w:type="dxa" w:w="60"/>
              <w:right w:type="dxa" w:w="100"/>
            </w:tcMar>
          </w:tcPr>
          <w:p>
            <w:r>
              <w:rPr>
                <w:rFonts w:ascii="Arial" w:cs="Arial" w:eastAsia="Arial" w:hAnsi="Arial"/>
                <w:b w:val="false"/>
                <w:bCs w:val="false"/>
                <w:color w:val="333333"/>
                <w:sz w:val="20"/>
                <w:szCs w:val="20"/>
              </w:rPr>
              <w:t xml:space="preserve">Is the scenario severe enough to cover real losses?</w:t>
            </w:r>
          </w:p>
        </w:tc>
      </w:tr>
      <w:tr>
        <w:tc>
          <w:tcPr>
            <w:tcW w:type="dxa" w:w="16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Exceedance Frequency</w:t>
            </w:r>
          </w:p>
        </w:tc>
        <w:tc>
          <w:tcPr>
            <w:tcW w:type="dxa" w:w="28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 of historical days where actual loss &gt; scenario loss</w:t>
            </w:r>
          </w:p>
        </w:tc>
        <w:tc>
          <w:tcPr>
            <w:tcW w:type="dxa" w:w="12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&lt; 5% (severe)</w:t>
            </w:r>
          </w:p>
        </w:tc>
        <w:tc>
          <w:tcPr>
            <w:tcW w:type="dxa" w:w="376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How often does reality exceed your scenario?</w:t>
            </w:r>
          </w:p>
        </w:tc>
      </w:tr>
      <w:tr>
        <w:tc>
          <w:tcPr>
            <w:tcW w:type="dxa" w:w="1600"/>
            <w:tcBorders>
              <w:top w:val="single" w:color="B0B8C4" w:sz="1"/>
              <w:left w:val="single" w:color="B0B8C4" w:sz="1"/>
              <w:bottom w:val="single" w:color="B0B8C4" w:sz="1"/>
              <w:right w:val="single" w:color="B0B8C4" w:sz="1"/>
            </w:tcBorders>
            <w:shd w:fill="EDF2F7" w:val="clear"/>
            <w:tcMar>
              <w:top w:type="dxa" w:w="60"/>
              <w:left w:type="dxa" w:w="100"/>
              <w:bottom w:type="dxa" w:w="60"/>
              <w:right w:type="dxa" w:w="100"/>
            </w:tcMar>
          </w:tcPr>
          <w:p>
            <w:r>
              <w:rPr>
                <w:rFonts w:ascii="Arial" w:cs="Arial" w:eastAsia="Arial" w:hAnsi="Arial"/>
                <w:b w:val="false"/>
                <w:bCs w:val="false"/>
                <w:color w:val="333333"/>
                <w:sz w:val="20"/>
                <w:szCs w:val="20"/>
              </w:rPr>
              <w:t xml:space="preserve">P&amp;L Rank</w:t>
            </w:r>
          </w:p>
        </w:tc>
        <w:tc>
          <w:tcPr>
            <w:tcW w:type="dxa" w:w="2800"/>
            <w:tcBorders>
              <w:top w:val="single" w:color="B0B8C4" w:sz="1"/>
              <w:left w:val="single" w:color="B0B8C4" w:sz="1"/>
              <w:bottom w:val="single" w:color="B0B8C4" w:sz="1"/>
              <w:right w:val="single" w:color="B0B8C4" w:sz="1"/>
            </w:tcBorders>
            <w:shd w:fill="EDF2F7" w:val="clear"/>
            <w:tcMar>
              <w:top w:type="dxa" w:w="60"/>
              <w:left w:type="dxa" w:w="100"/>
              <w:bottom w:type="dxa" w:w="60"/>
              <w:right w:type="dxa" w:w="100"/>
            </w:tcMar>
          </w:tcPr>
          <w:p>
            <w:r>
              <w:rPr>
                <w:rFonts w:ascii="Arial" w:cs="Arial" w:eastAsia="Arial" w:hAnsi="Arial"/>
                <w:b w:val="false"/>
                <w:bCs w:val="false"/>
                <w:color w:val="333333"/>
                <w:sz w:val="20"/>
                <w:szCs w:val="20"/>
              </w:rPr>
              <w:t xml:space="preserve">Where scenario P&amp;L falls in historical P&amp;L distribution</w:t>
            </w:r>
          </w:p>
        </w:tc>
        <w:tc>
          <w:tcPr>
            <w:tcW w:type="dxa" w:w="1200"/>
            <w:tcBorders>
              <w:top w:val="single" w:color="B0B8C4" w:sz="1"/>
              <w:left w:val="single" w:color="B0B8C4" w:sz="1"/>
              <w:bottom w:val="single" w:color="B0B8C4" w:sz="1"/>
              <w:right w:val="single" w:color="B0B8C4" w:sz="1"/>
            </w:tcBorders>
            <w:shd w:fill="EDF2F7" w:val="clear"/>
            <w:tcMar>
              <w:top w:type="dxa" w:w="60"/>
              <w:left w:type="dxa" w:w="100"/>
              <w:bottom w:type="dxa" w:w="60"/>
              <w:right w:type="dxa" w:w="100"/>
            </w:tcMar>
          </w:tcPr>
          <w:p>
            <w:r>
              <w:rPr>
                <w:rFonts w:ascii="Arial" w:cs="Arial" w:eastAsia="Arial" w:hAnsi="Arial"/>
                <w:b w:val="false"/>
                <w:bCs w:val="false"/>
                <w:color w:val="333333"/>
                <w:sz w:val="20"/>
                <w:szCs w:val="20"/>
              </w:rPr>
              <w:t xml:space="preserve">Worst 1-5%</w:t>
            </w:r>
          </w:p>
        </w:tc>
        <w:tc>
          <w:tcPr>
            <w:tcW w:type="dxa" w:w="3760"/>
            <w:tcBorders>
              <w:top w:val="single" w:color="B0B8C4" w:sz="1"/>
              <w:left w:val="single" w:color="B0B8C4" w:sz="1"/>
              <w:bottom w:val="single" w:color="B0B8C4" w:sz="1"/>
              <w:right w:val="single" w:color="B0B8C4" w:sz="1"/>
            </w:tcBorders>
            <w:shd w:fill="EDF2F7" w:val="clear"/>
            <w:tcMar>
              <w:top w:type="dxa" w:w="60"/>
              <w:left w:type="dxa" w:w="100"/>
              <w:bottom w:type="dxa" w:w="60"/>
              <w:right w:type="dxa" w:w="100"/>
            </w:tcMar>
          </w:tcPr>
          <w:p>
            <w:r>
              <w:rPr>
                <w:rFonts w:ascii="Arial" w:cs="Arial" w:eastAsia="Arial" w:hAnsi="Arial"/>
                <w:b w:val="false"/>
                <w:bCs w:val="false"/>
                <w:color w:val="333333"/>
                <w:sz w:val="20"/>
                <w:szCs w:val="20"/>
              </w:rPr>
              <w:t xml:space="preserve">Is severity consistent with stated probability?</w:t>
            </w:r>
          </w:p>
        </w:tc>
      </w:tr>
      <w:tr>
        <w:tc>
          <w:tcPr>
            <w:tcW w:type="dxa" w:w="16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Factor Coverage</w:t>
            </w:r>
          </w:p>
        </w:tc>
        <w:tc>
          <w:tcPr>
            <w:tcW w:type="dxa" w:w="28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 of material risk factors that received a non-zero shock</w:t>
            </w:r>
          </w:p>
        </w:tc>
        <w:tc>
          <w:tcPr>
            <w:tcW w:type="dxa" w:w="12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100%</w:t>
            </w:r>
          </w:p>
        </w:tc>
        <w:tc>
          <w:tcPr>
            <w:tcW w:type="dxa" w:w="376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Are there unshocked positions that could blow up?</w:t>
            </w:r>
          </w:p>
        </w:tc>
      </w:tr>
    </w:tbl>
    <w:p>
      <w:r>
        <w:br w:type="page"/>
      </w:r>
    </w:p>
    <w:p>
      <w:pPr>
        <w:pStyle w:val="Heading1"/>
      </w:pPr>
      <w:r>
        <w:t xml:space="preserve">PART V: ADVANCED QUANTITATIVE TOPICS</w:t>
      </w:r>
    </w:p>
    <w:p>
      <w:pPr>
        <w:spacing w:after="80"/>
      </w:pPr>
    </w:p>
    <w:p>
      <w:pPr>
        <w:pStyle w:val="Heading2"/>
      </w:pPr>
      <w:r>
        <w:t xml:space="preserve">22. PCA-Based Scenario Construction</w:t>
      </w:r>
    </w:p>
    <w:p>
      <w:pPr>
        <w:spacing w:after="120" w:before="0"/>
      </w:pPr>
      <w:r>
        <w:rPr>
          <w:rFonts w:ascii="Arial" w:cs="Arial" w:eastAsia="Arial" w:hAnsi="Arial"/>
          <w:sz w:val="22"/>
          <w:szCs w:val="22"/>
        </w:rPr>
        <w:t xml:space="preserve">Principal Component Analysis decomposes the covariance matrix of risk factor returns into orthogonal modes:</w:t>
      </w:r>
    </w:p>
    <w:p>
      <w:pPr>
        <w:spacing w:after="140" w:before="80"/>
        <w:jc w:val="center"/>
      </w:pPr>
      <w:r>
        <w:rPr>
          <w:rFonts w:ascii="Courier New" w:cs="Courier New" w:eastAsia="Courier New" w:hAnsi="Courier New"/>
          <w:b/>
          <w:bCs/>
          <w:color w:val="2C3E6B"/>
          <w:sz w:val="24"/>
          <w:szCs w:val="24"/>
        </w:rPr>
        <w:t xml:space="preserve">Σ = V Λ V′</w:t>
      </w:r>
    </w:p>
    <w:p>
      <w:pPr>
        <w:spacing w:after="120" w:before="0"/>
      </w:pPr>
      <w:r>
        <w:rPr>
          <w:rFonts w:ascii="Arial" w:cs="Arial" w:eastAsia="Arial" w:hAnsi="Arial"/>
          <w:sz w:val="22"/>
          <w:szCs w:val="22"/>
        </w:rPr>
        <w:t xml:space="preserve">Where V is the matrix of eigenvectors (loadings) and Λ is the diagonal matrix of eigenvalues (variances).</w:t>
      </w:r>
    </w:p>
    <w:p>
      <w:pPr>
        <w:spacing w:after="80"/>
      </w:pPr>
    </w:p>
    <w:p>
      <w:pPr>
        <w:spacing w:after="120" w:before="0"/>
      </w:pPr>
      <w:r>
        <w:rPr>
          <w:rFonts w:ascii="Arial" w:cs="Arial" w:eastAsia="Arial" w:hAnsi="Arial"/>
          <w:sz w:val="22"/>
          <w:szCs w:val="22"/>
        </w:rPr>
        <w:t xml:space="preserve">To construct a scenario using PCA:</w:t>
      </w:r>
    </w:p>
    <w:p>
      <w:pPr>
        <w:pStyle w:val="ListParagraph"/>
        <w:numPr>
          <w:ilvl w:val="0"/>
          <w:numId w:val="3"/>
        </w:numPr>
        <w:spacing w:after="60"/>
      </w:pPr>
      <w:r>
        <w:rPr>
          <w:rFonts w:ascii="Arial" w:cs="Arial" w:eastAsia="Arial" w:hAnsi="Arial"/>
          <w:sz w:val="22"/>
          <w:szCs w:val="22"/>
        </w:rPr>
        <w:t xml:space="preserve">Estimate covariance matrix from historical returns</w:t>
      </w:r>
    </w:p>
    <w:p>
      <w:pPr>
        <w:pStyle w:val="ListParagraph"/>
        <w:numPr>
          <w:ilvl w:val="0"/>
          <w:numId w:val="3"/>
        </w:numPr>
        <w:spacing w:after="60"/>
      </w:pPr>
      <w:r>
        <w:rPr>
          <w:rFonts w:ascii="Arial" w:cs="Arial" w:eastAsia="Arial" w:hAnsi="Arial"/>
          <w:sz w:val="22"/>
          <w:szCs w:val="22"/>
        </w:rPr>
        <w:t xml:space="preserve">Decompose into principal components</w:t>
      </w:r>
    </w:p>
    <w:p>
      <w:pPr>
        <w:pStyle w:val="ListParagraph"/>
        <w:numPr>
          <w:ilvl w:val="0"/>
          <w:numId w:val="3"/>
        </w:numPr>
        <w:spacing w:after="60"/>
      </w:pPr>
      <w:r>
        <w:rPr>
          <w:rFonts w:ascii="Arial" w:cs="Arial" w:eastAsia="Arial" w:hAnsi="Arial"/>
          <w:sz w:val="22"/>
          <w:szCs w:val="22"/>
        </w:rPr>
        <w:t xml:space="preserve">Specify shocks to the top 3-5 PCs (level, slope, curvature for rates)</w:t>
      </w:r>
    </w:p>
    <w:p>
      <w:pPr>
        <w:pStyle w:val="ListParagraph"/>
        <w:numPr>
          <w:ilvl w:val="0"/>
          <w:numId w:val="3"/>
        </w:numPr>
        <w:spacing w:after="60"/>
      </w:pPr>
      <w:r>
        <w:rPr>
          <w:rFonts w:ascii="Arial" w:cs="Arial" w:eastAsia="Arial" w:hAnsi="Arial"/>
          <w:sz w:val="22"/>
          <w:szCs w:val="22"/>
        </w:rPr>
        <w:t xml:space="preserve">Reconstruct factor shocks: Shock_vector = V × PC_shocks</w:t>
      </w:r>
    </w:p>
    <w:p>
      <w:pPr>
        <w:spacing w:after="80"/>
      </w:pPr>
    </w:p>
    <w:p>
      <w:pPr>
        <w:spacing w:after="120" w:before="0"/>
      </w:pPr>
      <w:r>
        <w:rPr>
          <w:rFonts w:ascii="Arial" w:cs="Arial" w:eastAsia="Arial" w:hAnsi="Arial"/>
          <w:sz w:val="22"/>
          <w:szCs w:val="22"/>
        </w:rPr>
        <w:t xml:space="preserve">Advantage: Guaranteed coherence — the shocks are, by construction, consistent with historical covariance patterns. You cannot create an incoherent scenario with PCA because the principal components capture the actual joint dynamics.</w:t>
      </w:r>
    </w:p>
    <w:p>
      <w:pPr>
        <w:spacing w:after="80"/>
      </w:pPr>
    </w:p>
    <w:p>
      <w:pPr>
        <w:spacing w:after="120" w:before="0"/>
      </w:pPr>
      <w:r>
        <w:rPr>
          <w:rFonts w:ascii="Arial" w:cs="Arial" w:eastAsia="Arial" w:hAnsi="Arial"/>
          <w:sz w:val="22"/>
          <w:szCs w:val="22"/>
        </w:rPr>
        <w:t xml:space="preserve">Disadvantage: Cannot create truly novel scenarios. If the future crisis looks nothing like the past, PCA will not generate it. This is why PCA is best combined with narrative overlay.</w:t>
      </w:r>
    </w:p>
    <w:p>
      <w:pPr>
        <w:spacing w:after="80"/>
      </w:pPr>
    </w:p>
    <w:p>
      <w:pPr>
        <w:pStyle w:val="Heading2"/>
      </w:pPr>
      <w:r>
        <w:t xml:space="preserve">23. Copulas &amp; Non-Linear Dependence</w:t>
      </w:r>
    </w:p>
    <w:p>
      <w:pPr>
        <w:spacing w:after="120" w:before="0"/>
      </w:pPr>
      <w:r>
        <w:rPr>
          <w:rFonts w:ascii="Arial" w:cs="Arial" w:eastAsia="Arial" w:hAnsi="Arial"/>
          <w:sz w:val="22"/>
          <w:szCs w:val="22"/>
        </w:rPr>
        <w:t xml:space="preserve">Linear correlation (ρ) only captures one aspect of co-movement. In stress, the dependence structure changes non-linearly: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4960"/>
      </w:tblGrid>
      <w:tr>
        <w:tc>
          <w:tcPr>
            <w:tcW w:type="dxa" w:w="1600"/>
            <w:tcBorders>
              <w:top w:val="single" w:color="B0B8C4" w:sz="1"/>
              <w:left w:val="single" w:color="B0B8C4" w:sz="1"/>
              <w:bottom w:val="single" w:color="B0B8C4" w:sz="1"/>
              <w:right w:val="single" w:color="B0B8C4"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Copula Type</w:t>
            </w:r>
          </w:p>
        </w:tc>
        <w:tc>
          <w:tcPr>
            <w:tcW w:type="dxa" w:w="2800"/>
            <w:tcBorders>
              <w:top w:val="single" w:color="B0B8C4" w:sz="1"/>
              <w:left w:val="single" w:color="B0B8C4" w:sz="1"/>
              <w:bottom w:val="single" w:color="B0B8C4" w:sz="1"/>
              <w:right w:val="single" w:color="B0B8C4"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Tail Behavior</w:t>
            </w:r>
          </w:p>
        </w:tc>
        <w:tc>
          <w:tcPr>
            <w:tcW w:type="dxa" w:w="4960"/>
            <w:tcBorders>
              <w:top w:val="single" w:color="B0B8C4" w:sz="1"/>
              <w:left w:val="single" w:color="B0B8C4" w:sz="1"/>
              <w:bottom w:val="single" w:color="B0B8C4" w:sz="1"/>
              <w:right w:val="single" w:color="B0B8C4"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Use Case</w:t>
            </w:r>
          </w:p>
        </w:tc>
      </w:tr>
      <w:tr>
        <w:tc>
          <w:tcPr>
            <w:tcW w:type="dxa" w:w="1600"/>
            <w:tcBorders>
              <w:top w:val="single" w:color="B0B8C4" w:sz="1"/>
              <w:left w:val="single" w:color="B0B8C4" w:sz="1"/>
              <w:bottom w:val="single" w:color="B0B8C4" w:sz="1"/>
              <w:right w:val="single" w:color="B0B8C4" w:sz="1"/>
            </w:tcBorders>
            <w:shd w:fill="EDF2F7" w:val="clear"/>
            <w:tcMar>
              <w:top w:type="dxa" w:w="60"/>
              <w:left w:type="dxa" w:w="100"/>
              <w:bottom w:type="dxa" w:w="60"/>
              <w:right w:type="dxa" w:w="100"/>
            </w:tcMar>
          </w:tcPr>
          <w:p>
            <w:r>
              <w:rPr>
                <w:rFonts w:ascii="Arial" w:cs="Arial" w:eastAsia="Arial" w:hAnsi="Arial"/>
                <w:b w:val="false"/>
                <w:bCs w:val="false"/>
                <w:color w:val="333333"/>
                <w:sz w:val="20"/>
                <w:szCs w:val="20"/>
              </w:rPr>
              <w:t xml:space="preserve">Gaussian</w:t>
            </w:r>
          </w:p>
        </w:tc>
        <w:tc>
          <w:tcPr>
            <w:tcW w:type="dxa" w:w="2800"/>
            <w:tcBorders>
              <w:top w:val="single" w:color="B0B8C4" w:sz="1"/>
              <w:left w:val="single" w:color="B0B8C4" w:sz="1"/>
              <w:bottom w:val="single" w:color="B0B8C4" w:sz="1"/>
              <w:right w:val="single" w:color="B0B8C4" w:sz="1"/>
            </w:tcBorders>
            <w:shd w:fill="EDF2F7" w:val="clear"/>
            <w:tcMar>
              <w:top w:type="dxa" w:w="60"/>
              <w:left w:type="dxa" w:w="100"/>
              <w:bottom w:type="dxa" w:w="60"/>
              <w:right w:type="dxa" w:w="100"/>
            </w:tcMar>
          </w:tcPr>
          <w:p>
            <w:r>
              <w:rPr>
                <w:rFonts w:ascii="Arial" w:cs="Arial" w:eastAsia="Arial" w:hAnsi="Arial"/>
                <w:b w:val="false"/>
                <w:bCs w:val="false"/>
                <w:color w:val="333333"/>
                <w:sz w:val="20"/>
                <w:szCs w:val="20"/>
              </w:rPr>
              <w:t xml:space="preserve">Symmetric, thin tails</w:t>
            </w:r>
          </w:p>
        </w:tc>
        <w:tc>
          <w:tcPr>
            <w:tcW w:type="dxa" w:w="4960"/>
            <w:tcBorders>
              <w:top w:val="single" w:color="B0B8C4" w:sz="1"/>
              <w:left w:val="single" w:color="B0B8C4" w:sz="1"/>
              <w:bottom w:val="single" w:color="B0B8C4" w:sz="1"/>
              <w:right w:val="single" w:color="B0B8C4" w:sz="1"/>
            </w:tcBorders>
            <w:shd w:fill="EDF2F7" w:val="clear"/>
            <w:tcMar>
              <w:top w:type="dxa" w:w="60"/>
              <w:left w:type="dxa" w:w="100"/>
              <w:bottom w:type="dxa" w:w="60"/>
              <w:right w:type="dxa" w:w="100"/>
            </w:tcMar>
          </w:tcPr>
          <w:p>
            <w:r>
              <w:rPr>
                <w:rFonts w:ascii="Arial" w:cs="Arial" w:eastAsia="Arial" w:hAnsi="Arial"/>
                <w:b w:val="false"/>
                <w:bCs w:val="false"/>
                <w:color w:val="333333"/>
                <w:sz w:val="20"/>
                <w:szCs w:val="20"/>
              </w:rPr>
              <w:t xml:space="preserve">Normal market conditions</w:t>
            </w:r>
          </w:p>
        </w:tc>
      </w:tr>
      <w:tr>
        <w:tc>
          <w:tcPr>
            <w:tcW w:type="dxa" w:w="16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Student-t</w:t>
            </w:r>
          </w:p>
        </w:tc>
        <w:tc>
          <w:tcPr>
            <w:tcW w:type="dxa" w:w="28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Heavier tails, symmetric</w:t>
            </w:r>
          </w:p>
        </w:tc>
        <w:tc>
          <w:tcPr>
            <w:tcW w:type="dxa" w:w="496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Moderate stress (fatter tails than Gaussian)</w:t>
            </w:r>
          </w:p>
        </w:tc>
      </w:tr>
      <w:tr>
        <w:tc>
          <w:tcPr>
            <w:tcW w:type="dxa" w:w="1600"/>
            <w:tcBorders>
              <w:top w:val="single" w:color="B0B8C4" w:sz="1"/>
              <w:left w:val="single" w:color="B0B8C4" w:sz="1"/>
              <w:bottom w:val="single" w:color="B0B8C4" w:sz="1"/>
              <w:right w:val="single" w:color="B0B8C4" w:sz="1"/>
            </w:tcBorders>
            <w:shd w:fill="EDF2F7" w:val="clear"/>
            <w:tcMar>
              <w:top w:type="dxa" w:w="60"/>
              <w:left w:type="dxa" w:w="100"/>
              <w:bottom w:type="dxa" w:w="60"/>
              <w:right w:type="dxa" w:w="100"/>
            </w:tcMar>
          </w:tcPr>
          <w:p>
            <w:r>
              <w:rPr>
                <w:rFonts w:ascii="Arial" w:cs="Arial" w:eastAsia="Arial" w:hAnsi="Arial"/>
                <w:b w:val="false"/>
                <w:bCs w:val="false"/>
                <w:color w:val="333333"/>
                <w:sz w:val="20"/>
                <w:szCs w:val="20"/>
              </w:rPr>
              <w:t xml:space="preserve">Clayton</w:t>
            </w:r>
          </w:p>
        </w:tc>
        <w:tc>
          <w:tcPr>
            <w:tcW w:type="dxa" w:w="2800"/>
            <w:tcBorders>
              <w:top w:val="single" w:color="B0B8C4" w:sz="1"/>
              <w:left w:val="single" w:color="B0B8C4" w:sz="1"/>
              <w:bottom w:val="single" w:color="B0B8C4" w:sz="1"/>
              <w:right w:val="single" w:color="B0B8C4" w:sz="1"/>
            </w:tcBorders>
            <w:shd w:fill="EDF2F7" w:val="clear"/>
            <w:tcMar>
              <w:top w:type="dxa" w:w="60"/>
              <w:left w:type="dxa" w:w="100"/>
              <w:bottom w:type="dxa" w:w="60"/>
              <w:right w:type="dxa" w:w="100"/>
            </w:tcMar>
          </w:tcPr>
          <w:p>
            <w:r>
              <w:rPr>
                <w:rFonts w:ascii="Arial" w:cs="Arial" w:eastAsia="Arial" w:hAnsi="Arial"/>
                <w:b w:val="false"/>
                <w:bCs w:val="false"/>
                <w:color w:val="333333"/>
                <w:sz w:val="20"/>
                <w:szCs w:val="20"/>
              </w:rPr>
              <w:t xml:space="preserve">Lower-tail dependence</w:t>
            </w:r>
          </w:p>
        </w:tc>
        <w:tc>
          <w:tcPr>
            <w:tcW w:type="dxa" w:w="4960"/>
            <w:tcBorders>
              <w:top w:val="single" w:color="B0B8C4" w:sz="1"/>
              <w:left w:val="single" w:color="B0B8C4" w:sz="1"/>
              <w:bottom w:val="single" w:color="B0B8C4" w:sz="1"/>
              <w:right w:val="single" w:color="B0B8C4" w:sz="1"/>
            </w:tcBorders>
            <w:shd w:fill="EDF2F7" w:val="clear"/>
            <w:tcMar>
              <w:top w:type="dxa" w:w="60"/>
              <w:left w:type="dxa" w:w="100"/>
              <w:bottom w:type="dxa" w:w="60"/>
              <w:right w:type="dxa" w:w="100"/>
            </w:tcMar>
          </w:tcPr>
          <w:p>
            <w:r>
              <w:rPr>
                <w:rFonts w:ascii="Arial" w:cs="Arial" w:eastAsia="Arial" w:hAnsi="Arial"/>
                <w:b w:val="false"/>
                <w:bCs w:val="false"/>
                <w:color w:val="333333"/>
                <w:sz w:val="20"/>
                <w:szCs w:val="20"/>
              </w:rPr>
              <w:t xml:space="preserve">Crash scenarios (assets crash together more than they rally together)</w:t>
            </w:r>
          </w:p>
        </w:tc>
      </w:tr>
      <w:tr>
        <w:tc>
          <w:tcPr>
            <w:tcW w:type="dxa" w:w="16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Gumbel</w:t>
            </w:r>
          </w:p>
        </w:tc>
        <w:tc>
          <w:tcPr>
            <w:tcW w:type="dxa" w:w="28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Upper-tail dependence</w:t>
            </w:r>
          </w:p>
        </w:tc>
        <w:tc>
          <w:tcPr>
            <w:tcW w:type="dxa" w:w="496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Not typical for financial stress</w:t>
            </w:r>
          </w:p>
        </w:tc>
      </w:tr>
      <w:tr>
        <w:tc>
          <w:tcPr>
            <w:tcW w:type="dxa" w:w="1600"/>
            <w:tcBorders>
              <w:top w:val="single" w:color="B0B8C4" w:sz="1"/>
              <w:left w:val="single" w:color="B0B8C4" w:sz="1"/>
              <w:bottom w:val="single" w:color="B0B8C4" w:sz="1"/>
              <w:right w:val="single" w:color="B0B8C4" w:sz="1"/>
            </w:tcBorders>
            <w:shd w:fill="EDF2F7" w:val="clear"/>
            <w:tcMar>
              <w:top w:type="dxa" w:w="60"/>
              <w:left w:type="dxa" w:w="100"/>
              <w:bottom w:type="dxa" w:w="60"/>
              <w:right w:type="dxa" w:w="100"/>
            </w:tcMar>
          </w:tcPr>
          <w:p>
            <w:r>
              <w:rPr>
                <w:rFonts w:ascii="Arial" w:cs="Arial" w:eastAsia="Arial" w:hAnsi="Arial"/>
                <w:b w:val="false"/>
                <w:bCs w:val="false"/>
                <w:color w:val="333333"/>
                <w:sz w:val="20"/>
                <w:szCs w:val="20"/>
              </w:rPr>
              <w:t xml:space="preserve">Frank</w:t>
            </w:r>
          </w:p>
        </w:tc>
        <w:tc>
          <w:tcPr>
            <w:tcW w:type="dxa" w:w="2800"/>
            <w:tcBorders>
              <w:top w:val="single" w:color="B0B8C4" w:sz="1"/>
              <w:left w:val="single" w:color="B0B8C4" w:sz="1"/>
              <w:bottom w:val="single" w:color="B0B8C4" w:sz="1"/>
              <w:right w:val="single" w:color="B0B8C4" w:sz="1"/>
            </w:tcBorders>
            <w:shd w:fill="EDF2F7" w:val="clear"/>
            <w:tcMar>
              <w:top w:type="dxa" w:w="60"/>
              <w:left w:type="dxa" w:w="100"/>
              <w:bottom w:type="dxa" w:w="60"/>
              <w:right w:type="dxa" w:w="100"/>
            </w:tcMar>
          </w:tcPr>
          <w:p>
            <w:r>
              <w:rPr>
                <w:rFonts w:ascii="Arial" w:cs="Arial" w:eastAsia="Arial" w:hAnsi="Arial"/>
                <w:b w:val="false"/>
                <w:bCs w:val="false"/>
                <w:color w:val="333333"/>
                <w:sz w:val="20"/>
                <w:szCs w:val="20"/>
              </w:rPr>
              <w:t xml:space="preserve">Symmetric, no tail dependence</w:t>
            </w:r>
          </w:p>
        </w:tc>
        <w:tc>
          <w:tcPr>
            <w:tcW w:type="dxa" w:w="4960"/>
            <w:tcBorders>
              <w:top w:val="single" w:color="B0B8C4" w:sz="1"/>
              <w:left w:val="single" w:color="B0B8C4" w:sz="1"/>
              <w:bottom w:val="single" w:color="B0B8C4" w:sz="1"/>
              <w:right w:val="single" w:color="B0B8C4" w:sz="1"/>
            </w:tcBorders>
            <w:shd w:fill="EDF2F7" w:val="clear"/>
            <w:tcMar>
              <w:top w:type="dxa" w:w="60"/>
              <w:left w:type="dxa" w:w="100"/>
              <w:bottom w:type="dxa" w:w="60"/>
              <w:right w:type="dxa" w:w="100"/>
            </w:tcMar>
          </w:tcPr>
          <w:p>
            <w:r>
              <w:rPr>
                <w:rFonts w:ascii="Arial" w:cs="Arial" w:eastAsia="Arial" w:hAnsi="Arial"/>
                <w:b w:val="false"/>
                <w:bCs w:val="false"/>
                <w:color w:val="333333"/>
                <w:sz w:val="20"/>
                <w:szCs w:val="20"/>
              </w:rPr>
              <w:t xml:space="preserve">Baseline comparison</w:t>
            </w:r>
          </w:p>
        </w:tc>
      </w:tr>
    </w:tbl>
    <w:p>
      <w:pPr>
        <w:spacing w:after="80"/>
      </w:pPr>
    </w:p>
    <w:p>
      <w:pPr>
        <w:spacing w:after="120" w:before="0"/>
      </w:pPr>
      <w:r>
        <w:rPr>
          <w:rFonts w:ascii="Arial" w:cs="Arial" w:eastAsia="Arial" w:hAnsi="Arial"/>
          <w:sz w:val="22"/>
          <w:szCs w:val="22"/>
        </w:rPr>
        <w:t xml:space="preserve">The key insight: Gaussian copulas (used in pre-2008 CDO models) systematically underestimate joint tail risk. This is why the GFC losses were “impossible” under those models. Use t-copulas or Clayton copulas for stress scenarios.</w:t>
      </w:r>
    </w:p>
    <w:p>
      <w:pPr>
        <w:spacing w:after="80"/>
      </w:pPr>
    </w:p>
    <w:p>
      <w:pPr>
        <w:pStyle w:val="Heading2"/>
      </w:pPr>
      <w:r>
        <w:t xml:space="preserve">24. Square-Root-of-Time and When It Fails</w:t>
      </w:r>
    </w:p>
    <w:p>
      <w:pPr>
        <w:spacing w:after="120" w:before="0"/>
      </w:pPr>
      <w:r>
        <w:rPr>
          <w:rFonts w:ascii="Arial" w:cs="Arial" w:eastAsia="Arial" w:hAnsi="Arial"/>
          <w:sz w:val="22"/>
          <w:szCs w:val="22"/>
        </w:rPr>
        <w:t xml:space="preserve">The common scaling rule for extending VaR from 1-day to n-day horizon:</w:t>
      </w:r>
    </w:p>
    <w:p>
      <w:pPr>
        <w:spacing w:after="140" w:before="80"/>
        <w:jc w:val="center"/>
      </w:pPr>
      <w:r>
        <w:rPr>
          <w:rFonts w:ascii="Courier New" w:cs="Courier New" w:eastAsia="Courier New" w:hAnsi="Courier New"/>
          <w:b/>
          <w:bCs/>
          <w:color w:val="2C3E6B"/>
          <w:sz w:val="24"/>
          <w:szCs w:val="24"/>
        </w:rPr>
        <w:t xml:space="preserve">VaR_n = VaR_1 × √n</w:t>
      </w:r>
    </w:p>
    <w:p>
      <w:pPr>
        <w:spacing w:after="80"/>
      </w:pPr>
    </w:p>
    <w:p>
      <w:pPr>
        <w:spacing w:after="120" w:before="0"/>
      </w:pPr>
      <w:r>
        <w:rPr>
          <w:rFonts w:ascii="Arial" w:cs="Arial" w:eastAsia="Arial" w:hAnsi="Arial"/>
          <w:sz w:val="22"/>
          <w:szCs w:val="22"/>
        </w:rPr>
        <w:t xml:space="preserve">This assumes returns are i.i.d. (independent and identically distributed). It fails in stress because: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B0B8C4" w:sz="1"/>
              <w:left w:val="single" w:color="B0B8C4" w:sz="1"/>
              <w:bottom w:val="single" w:color="B0B8C4" w:sz="1"/>
              <w:right w:val="single" w:color="B0B8C4"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Assumption</w:t>
            </w:r>
          </w:p>
        </w:tc>
        <w:tc>
          <w:tcPr>
            <w:tcW w:type="dxa" w:w="2800"/>
            <w:tcBorders>
              <w:top w:val="single" w:color="B0B8C4" w:sz="1"/>
              <w:left w:val="single" w:color="B0B8C4" w:sz="1"/>
              <w:bottom w:val="single" w:color="B0B8C4" w:sz="1"/>
              <w:right w:val="single" w:color="B0B8C4"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Reality in Stress</w:t>
            </w:r>
          </w:p>
        </w:tc>
        <w:tc>
          <w:tcPr>
            <w:tcW w:type="dxa" w:w="4360"/>
            <w:tcBorders>
              <w:top w:val="single" w:color="B0B8C4" w:sz="1"/>
              <w:left w:val="single" w:color="B0B8C4" w:sz="1"/>
              <w:bottom w:val="single" w:color="B0B8C4" w:sz="1"/>
              <w:right w:val="single" w:color="B0B8C4"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Consequence</w:t>
            </w:r>
          </w:p>
        </w:tc>
      </w:tr>
      <w:tr>
        <w:tc>
          <w:tcPr>
            <w:tcW w:type="dxa" w:w="2200"/>
            <w:tcBorders>
              <w:top w:val="single" w:color="B0B8C4" w:sz="1"/>
              <w:left w:val="single" w:color="B0B8C4" w:sz="1"/>
              <w:bottom w:val="single" w:color="B0B8C4" w:sz="1"/>
              <w:right w:val="single" w:color="B0B8C4" w:sz="1"/>
            </w:tcBorders>
            <w:shd w:fill="EDF2F7" w:val="clear"/>
            <w:tcMar>
              <w:top w:type="dxa" w:w="60"/>
              <w:left w:type="dxa" w:w="100"/>
              <w:bottom w:type="dxa" w:w="60"/>
              <w:right w:type="dxa" w:w="100"/>
            </w:tcMar>
          </w:tcPr>
          <w:p>
            <w:r>
              <w:rPr>
                <w:rFonts w:ascii="Arial" w:cs="Arial" w:eastAsia="Arial" w:hAnsi="Arial"/>
                <w:b w:val="false"/>
                <w:bCs w:val="false"/>
                <w:color w:val="333333"/>
                <w:sz w:val="20"/>
                <w:szCs w:val="20"/>
              </w:rPr>
              <w:t xml:space="preserve">Returns are independent</w:t>
            </w:r>
          </w:p>
        </w:tc>
        <w:tc>
          <w:tcPr>
            <w:tcW w:type="dxa" w:w="2800"/>
            <w:tcBorders>
              <w:top w:val="single" w:color="B0B8C4" w:sz="1"/>
              <w:left w:val="single" w:color="B0B8C4" w:sz="1"/>
              <w:bottom w:val="single" w:color="B0B8C4" w:sz="1"/>
              <w:right w:val="single" w:color="B0B8C4" w:sz="1"/>
            </w:tcBorders>
            <w:shd w:fill="EDF2F7" w:val="clear"/>
            <w:tcMar>
              <w:top w:type="dxa" w:w="60"/>
              <w:left w:type="dxa" w:w="100"/>
              <w:bottom w:type="dxa" w:w="60"/>
              <w:right w:type="dxa" w:w="100"/>
            </w:tcMar>
          </w:tcPr>
          <w:p>
            <w:r>
              <w:rPr>
                <w:rFonts w:ascii="Arial" w:cs="Arial" w:eastAsia="Arial" w:hAnsi="Arial"/>
                <w:b w:val="false"/>
                <w:bCs w:val="false"/>
                <w:color w:val="333333"/>
                <w:sz w:val="20"/>
                <w:szCs w:val="20"/>
              </w:rPr>
              <w:t xml:space="preserve">Volatility clusters (GARCH effects)</w:t>
            </w:r>
          </w:p>
        </w:tc>
        <w:tc>
          <w:tcPr>
            <w:tcW w:type="dxa" w:w="4360"/>
            <w:tcBorders>
              <w:top w:val="single" w:color="B0B8C4" w:sz="1"/>
              <w:left w:val="single" w:color="B0B8C4" w:sz="1"/>
              <w:bottom w:val="single" w:color="B0B8C4" w:sz="1"/>
              <w:right w:val="single" w:color="B0B8C4" w:sz="1"/>
            </w:tcBorders>
            <w:shd w:fill="EDF2F7" w:val="clear"/>
            <w:tcMar>
              <w:top w:type="dxa" w:w="60"/>
              <w:left w:type="dxa" w:w="100"/>
              <w:bottom w:type="dxa" w:w="60"/>
              <w:right w:type="dxa" w:w="100"/>
            </w:tcMar>
          </w:tcPr>
          <w:p>
            <w:r>
              <w:rPr>
                <w:rFonts w:ascii="Arial" w:cs="Arial" w:eastAsia="Arial" w:hAnsi="Arial"/>
                <w:b w:val="false"/>
                <w:bCs w:val="false"/>
                <w:color w:val="333333"/>
                <w:sz w:val="20"/>
                <w:szCs w:val="20"/>
              </w:rPr>
              <w:t xml:space="preserve">√t underestimates short-horizon risk in regime transitions</w:t>
            </w:r>
          </w:p>
        </w:tc>
      </w:tr>
      <w:tr>
        <w:tc>
          <w:tcPr>
            <w:tcW w:type="dxa" w:w="22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Returns are identically distributed</w:t>
            </w:r>
          </w:p>
        </w:tc>
        <w:tc>
          <w:tcPr>
            <w:tcW w:type="dxa" w:w="28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Fat tails, regime shifts</w:t>
            </w:r>
          </w:p>
        </w:tc>
        <w:tc>
          <w:tcPr>
            <w:tcW w:type="dxa" w:w="436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√t badly underestimates tail events</w:t>
            </w:r>
          </w:p>
        </w:tc>
      </w:tr>
      <w:tr>
        <w:tc>
          <w:tcPr>
            <w:tcW w:type="dxa" w:w="2200"/>
            <w:tcBorders>
              <w:top w:val="single" w:color="B0B8C4" w:sz="1"/>
              <w:left w:val="single" w:color="B0B8C4" w:sz="1"/>
              <w:bottom w:val="single" w:color="B0B8C4" w:sz="1"/>
              <w:right w:val="single" w:color="B0B8C4" w:sz="1"/>
            </w:tcBorders>
            <w:shd w:fill="EDF2F7" w:val="clear"/>
            <w:tcMar>
              <w:top w:type="dxa" w:w="60"/>
              <w:left w:type="dxa" w:w="100"/>
              <w:bottom w:type="dxa" w:w="60"/>
              <w:right w:type="dxa" w:w="100"/>
            </w:tcMar>
          </w:tcPr>
          <w:p>
            <w:r>
              <w:rPr>
                <w:rFonts w:ascii="Arial" w:cs="Arial" w:eastAsia="Arial" w:hAnsi="Arial"/>
                <w:b w:val="false"/>
                <w:bCs w:val="false"/>
                <w:color w:val="333333"/>
                <w:sz w:val="20"/>
                <w:szCs w:val="20"/>
              </w:rPr>
              <w:t xml:space="preserve">No serial correlation</w:t>
            </w:r>
          </w:p>
        </w:tc>
        <w:tc>
          <w:tcPr>
            <w:tcW w:type="dxa" w:w="2800"/>
            <w:tcBorders>
              <w:top w:val="single" w:color="B0B8C4" w:sz="1"/>
              <w:left w:val="single" w:color="B0B8C4" w:sz="1"/>
              <w:bottom w:val="single" w:color="B0B8C4" w:sz="1"/>
              <w:right w:val="single" w:color="B0B8C4" w:sz="1"/>
            </w:tcBorders>
            <w:shd w:fill="EDF2F7" w:val="clear"/>
            <w:tcMar>
              <w:top w:type="dxa" w:w="60"/>
              <w:left w:type="dxa" w:w="100"/>
              <w:bottom w:type="dxa" w:w="60"/>
              <w:right w:type="dxa" w:w="100"/>
            </w:tcMar>
          </w:tcPr>
          <w:p>
            <w:r>
              <w:rPr>
                <w:rFonts w:ascii="Arial" w:cs="Arial" w:eastAsia="Arial" w:hAnsi="Arial"/>
                <w:b w:val="false"/>
                <w:bCs w:val="false"/>
                <w:color w:val="333333"/>
                <w:sz w:val="20"/>
                <w:szCs w:val="20"/>
              </w:rPr>
              <w:t xml:space="preserve">Momentum in crashes (cascading liquidations)</w:t>
            </w:r>
          </w:p>
        </w:tc>
        <w:tc>
          <w:tcPr>
            <w:tcW w:type="dxa" w:w="4360"/>
            <w:tcBorders>
              <w:top w:val="single" w:color="B0B8C4" w:sz="1"/>
              <w:left w:val="single" w:color="B0B8C4" w:sz="1"/>
              <w:bottom w:val="single" w:color="B0B8C4" w:sz="1"/>
              <w:right w:val="single" w:color="B0B8C4" w:sz="1"/>
            </w:tcBorders>
            <w:shd w:fill="EDF2F7" w:val="clear"/>
            <w:tcMar>
              <w:top w:type="dxa" w:w="60"/>
              <w:left w:type="dxa" w:w="100"/>
              <w:bottom w:type="dxa" w:w="60"/>
              <w:right w:type="dxa" w:w="100"/>
            </w:tcMar>
          </w:tcPr>
          <w:p>
            <w:r>
              <w:rPr>
                <w:rFonts w:ascii="Arial" w:cs="Arial" w:eastAsia="Arial" w:hAnsi="Arial"/>
                <w:b w:val="false"/>
                <w:bCs w:val="false"/>
                <w:color w:val="333333"/>
                <w:sz w:val="20"/>
                <w:szCs w:val="20"/>
              </w:rPr>
              <w:t xml:space="preserve">√t underestimates multi-day crash severity</w:t>
            </w:r>
          </w:p>
        </w:tc>
      </w:tr>
      <w:tr>
        <w:tc>
          <w:tcPr>
            <w:tcW w:type="dxa" w:w="22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Constant correlation</w:t>
            </w:r>
          </w:p>
        </w:tc>
        <w:tc>
          <w:tcPr>
            <w:tcW w:type="dxa" w:w="28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Correlations spike to ~1.0 in crisis</w:t>
            </w:r>
          </w:p>
        </w:tc>
        <w:tc>
          <w:tcPr>
            <w:tcW w:type="dxa" w:w="436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√t misses the diversification collapse</w:t>
            </w:r>
          </w:p>
        </w:tc>
      </w:tr>
    </w:tbl>
    <w:p>
      <w:pPr>
        <w:spacing w:after="80"/>
      </w:pPr>
    </w:p>
    <w:p>
      <w:pPr>
        <w:spacing w:after="120" w:before="0"/>
      </w:pPr>
      <w:r>
        <w:rPr>
          <w:rFonts w:ascii="Arial" w:cs="Arial" w:eastAsia="Arial" w:hAnsi="Arial"/>
          <w:b/>
          <w:bCs/>
          <w:i/>
          <w:iCs/>
          <w:sz w:val="22"/>
          <w:szCs w:val="22"/>
        </w:rPr>
        <w:t xml:space="preserve">Rule: Do NOT use √t scaling for horizons beyond 10 days. For severe scenarios (60-day), use direct historical calibration from actual crisis episodes.</w:t>
      </w:r>
    </w:p>
    <w:p>
      <w:pPr>
        <w:spacing w:after="80"/>
      </w:pPr>
    </w:p>
    <w:p>
      <w:pPr>
        <w:pStyle w:val="Heading2"/>
      </w:pPr>
      <w:r>
        <w:t xml:space="preserve">25. VaR / ES Integration with Stress P&amp;L</w:t>
      </w:r>
    </w:p>
    <w:p>
      <w:pPr>
        <w:spacing w:after="120" w:before="0"/>
      </w:pPr>
      <w:r>
        <w:rPr>
          <w:rFonts w:ascii="Arial" w:cs="Arial" w:eastAsia="Arial" w:hAnsi="Arial"/>
          <w:sz w:val="22"/>
          <w:szCs w:val="22"/>
        </w:rPr>
        <w:t xml:space="preserve">Stress P&amp;L complements VaR/ES but serves a different purpose: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560"/>
      </w:tblGrid>
      <w:tr>
        <w:tc>
          <w:tcPr>
            <w:tcW w:type="dxa" w:w="1600"/>
            <w:tcBorders>
              <w:top w:val="single" w:color="B0B8C4" w:sz="1"/>
              <w:left w:val="single" w:color="B0B8C4" w:sz="1"/>
              <w:bottom w:val="single" w:color="B0B8C4" w:sz="1"/>
              <w:right w:val="single" w:color="B0B8C4"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Measure</w:t>
            </w:r>
          </w:p>
        </w:tc>
        <w:tc>
          <w:tcPr>
            <w:tcW w:type="dxa" w:w="3200"/>
            <w:tcBorders>
              <w:top w:val="single" w:color="B0B8C4" w:sz="1"/>
              <w:left w:val="single" w:color="B0B8C4" w:sz="1"/>
              <w:bottom w:val="single" w:color="B0B8C4" w:sz="1"/>
              <w:right w:val="single" w:color="B0B8C4"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Question It Answers</w:t>
            </w:r>
          </w:p>
        </w:tc>
        <w:tc>
          <w:tcPr>
            <w:tcW w:type="dxa" w:w="4560"/>
            <w:tcBorders>
              <w:top w:val="single" w:color="B0B8C4" w:sz="1"/>
              <w:left w:val="single" w:color="B0B8C4" w:sz="1"/>
              <w:bottom w:val="single" w:color="B0B8C4" w:sz="1"/>
              <w:right w:val="single" w:color="B0B8C4"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Calibration</w:t>
            </w:r>
          </w:p>
        </w:tc>
      </w:tr>
      <w:tr>
        <w:tc>
          <w:tcPr>
            <w:tcW w:type="dxa" w:w="1600"/>
            <w:tcBorders>
              <w:top w:val="single" w:color="B0B8C4" w:sz="1"/>
              <w:left w:val="single" w:color="B0B8C4" w:sz="1"/>
              <w:bottom w:val="single" w:color="B0B8C4" w:sz="1"/>
              <w:right w:val="single" w:color="B0B8C4" w:sz="1"/>
            </w:tcBorders>
            <w:shd w:fill="EDF2F7" w:val="clear"/>
            <w:tcMar>
              <w:top w:type="dxa" w:w="60"/>
              <w:left w:type="dxa" w:w="100"/>
              <w:bottom w:type="dxa" w:w="60"/>
              <w:right w:type="dxa" w:w="100"/>
            </w:tcMar>
          </w:tcPr>
          <w:p>
            <w:r>
              <w:rPr>
                <w:rFonts w:ascii="Arial" w:cs="Arial" w:eastAsia="Arial" w:hAnsi="Arial"/>
                <w:b w:val="false"/>
                <w:bCs w:val="false"/>
                <w:color w:val="333333"/>
                <w:sz w:val="20"/>
                <w:szCs w:val="20"/>
              </w:rPr>
              <w:t xml:space="preserve">VaR (99%)</w:t>
            </w:r>
          </w:p>
        </w:tc>
        <w:tc>
          <w:tcPr>
            <w:tcW w:type="dxa" w:w="3200"/>
            <w:tcBorders>
              <w:top w:val="single" w:color="B0B8C4" w:sz="1"/>
              <w:left w:val="single" w:color="B0B8C4" w:sz="1"/>
              <w:bottom w:val="single" w:color="B0B8C4" w:sz="1"/>
              <w:right w:val="single" w:color="B0B8C4" w:sz="1"/>
            </w:tcBorders>
            <w:shd w:fill="EDF2F7" w:val="clear"/>
            <w:tcMar>
              <w:top w:type="dxa" w:w="60"/>
              <w:left w:type="dxa" w:w="100"/>
              <w:bottom w:type="dxa" w:w="60"/>
              <w:right w:type="dxa" w:w="100"/>
            </w:tcMar>
          </w:tcPr>
          <w:p>
            <w:r>
              <w:rPr>
                <w:rFonts w:ascii="Arial" w:cs="Arial" w:eastAsia="Arial" w:hAnsi="Arial"/>
                <w:b w:val="false"/>
                <w:bCs w:val="false"/>
                <w:color w:val="333333"/>
                <w:sz w:val="20"/>
                <w:szCs w:val="20"/>
              </w:rPr>
              <w:t xml:space="preserve">"What is the most I lose on 99 out of 100 days?"</w:t>
            </w:r>
          </w:p>
        </w:tc>
        <w:tc>
          <w:tcPr>
            <w:tcW w:type="dxa" w:w="4560"/>
            <w:tcBorders>
              <w:top w:val="single" w:color="B0B8C4" w:sz="1"/>
              <w:left w:val="single" w:color="B0B8C4" w:sz="1"/>
              <w:bottom w:val="single" w:color="B0B8C4" w:sz="1"/>
              <w:right w:val="single" w:color="B0B8C4" w:sz="1"/>
            </w:tcBorders>
            <w:shd w:fill="EDF2F7" w:val="clear"/>
            <w:tcMar>
              <w:top w:type="dxa" w:w="60"/>
              <w:left w:type="dxa" w:w="100"/>
              <w:bottom w:type="dxa" w:w="60"/>
              <w:right w:type="dxa" w:w="100"/>
            </w:tcMar>
          </w:tcPr>
          <w:p>
            <w:r>
              <w:rPr>
                <w:rFonts w:ascii="Arial" w:cs="Arial" w:eastAsia="Arial" w:hAnsi="Arial"/>
                <w:b w:val="false"/>
                <w:bCs w:val="false"/>
                <w:color w:val="333333"/>
                <w:sz w:val="20"/>
                <w:szCs w:val="20"/>
              </w:rPr>
              <w:t xml:space="preserve">Statistical — historical or parametric distribution</w:t>
            </w:r>
          </w:p>
        </w:tc>
      </w:tr>
      <w:tr>
        <w:tc>
          <w:tcPr>
            <w:tcW w:type="dxa" w:w="16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ES (97.5%)</w:t>
            </w:r>
          </w:p>
        </w:tc>
        <w:tc>
          <w:tcPr>
            <w:tcW w:type="dxa" w:w="32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"If I exceed VaR, what is the average loss?"</w:t>
            </w:r>
          </w:p>
        </w:tc>
        <w:tc>
          <w:tcPr>
            <w:tcW w:type="dxa" w:w="456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Statistical — average of tail losses beyond VaR</w:t>
            </w:r>
          </w:p>
        </w:tc>
      </w:tr>
      <w:tr>
        <w:tc>
          <w:tcPr>
            <w:tcW w:type="dxa" w:w="1600"/>
            <w:tcBorders>
              <w:top w:val="single" w:color="B0B8C4" w:sz="1"/>
              <w:left w:val="single" w:color="B0B8C4" w:sz="1"/>
              <w:bottom w:val="single" w:color="B0B8C4" w:sz="1"/>
              <w:right w:val="single" w:color="B0B8C4" w:sz="1"/>
            </w:tcBorders>
            <w:shd w:fill="EDF2F7" w:val="clear"/>
            <w:tcMar>
              <w:top w:type="dxa" w:w="60"/>
              <w:left w:type="dxa" w:w="100"/>
              <w:bottom w:type="dxa" w:w="60"/>
              <w:right w:type="dxa" w:w="100"/>
            </w:tcMar>
          </w:tcPr>
          <w:p>
            <w:r>
              <w:rPr>
                <w:rFonts w:ascii="Arial" w:cs="Arial" w:eastAsia="Arial" w:hAnsi="Arial"/>
                <w:b w:val="false"/>
                <w:bCs w:val="false"/>
                <w:color w:val="333333"/>
                <w:sz w:val="20"/>
                <w:szCs w:val="20"/>
              </w:rPr>
              <w:t xml:space="preserve">Stress P&amp;L</w:t>
            </w:r>
          </w:p>
        </w:tc>
        <w:tc>
          <w:tcPr>
            <w:tcW w:type="dxa" w:w="3200"/>
            <w:tcBorders>
              <w:top w:val="single" w:color="B0B8C4" w:sz="1"/>
              <w:left w:val="single" w:color="B0B8C4" w:sz="1"/>
              <w:bottom w:val="single" w:color="B0B8C4" w:sz="1"/>
              <w:right w:val="single" w:color="B0B8C4" w:sz="1"/>
            </w:tcBorders>
            <w:shd w:fill="EDF2F7" w:val="clear"/>
            <w:tcMar>
              <w:top w:type="dxa" w:w="60"/>
              <w:left w:type="dxa" w:w="100"/>
              <w:bottom w:type="dxa" w:w="60"/>
              <w:right w:type="dxa" w:w="100"/>
            </w:tcMar>
          </w:tcPr>
          <w:p>
            <w:r>
              <w:rPr>
                <w:rFonts w:ascii="Arial" w:cs="Arial" w:eastAsia="Arial" w:hAnsi="Arial"/>
                <w:b w:val="false"/>
                <w:bCs w:val="false"/>
                <w:color w:val="333333"/>
                <w:sz w:val="20"/>
                <w:szCs w:val="20"/>
              </w:rPr>
              <w:t xml:space="preserve">"What happens in this specific narrative scenario?"</w:t>
            </w:r>
          </w:p>
        </w:tc>
        <w:tc>
          <w:tcPr>
            <w:tcW w:type="dxa" w:w="4560"/>
            <w:tcBorders>
              <w:top w:val="single" w:color="B0B8C4" w:sz="1"/>
              <w:left w:val="single" w:color="B0B8C4" w:sz="1"/>
              <w:bottom w:val="single" w:color="B0B8C4" w:sz="1"/>
              <w:right w:val="single" w:color="B0B8C4" w:sz="1"/>
            </w:tcBorders>
            <w:shd w:fill="EDF2F7" w:val="clear"/>
            <w:tcMar>
              <w:top w:type="dxa" w:w="60"/>
              <w:left w:type="dxa" w:w="100"/>
              <w:bottom w:type="dxa" w:w="60"/>
              <w:right w:type="dxa" w:w="100"/>
            </w:tcMar>
          </w:tcPr>
          <w:p>
            <w:r>
              <w:rPr>
                <w:rFonts w:ascii="Arial" w:cs="Arial" w:eastAsia="Arial" w:hAnsi="Arial"/>
                <w:b w:val="false"/>
                <w:bCs w:val="false"/>
                <w:color w:val="333333"/>
                <w:sz w:val="20"/>
                <w:szCs w:val="20"/>
              </w:rPr>
              <w:t xml:space="preserve">Scenario-based — expert-calibrated, narrative-driven</w:t>
            </w:r>
          </w:p>
        </w:tc>
      </w:tr>
    </w:tbl>
    <w:p>
      <w:pPr>
        <w:spacing w:after="80"/>
      </w:pPr>
    </w:p>
    <w:p>
      <w:pPr>
        <w:spacing w:after="120" w:before="0"/>
      </w:pPr>
      <w:r>
        <w:rPr>
          <w:rFonts w:ascii="Arial" w:cs="Arial" w:eastAsia="Arial" w:hAnsi="Arial"/>
          <w:sz w:val="22"/>
          <w:szCs w:val="22"/>
        </w:rPr>
        <w:t xml:space="preserve">The key relationship: Your severe stress P&amp;L should be roughly in the same neighborhood as your 99.9% VaR (adjusted for horizon). If stress P&amp;L is significantly less than VaR, your scenario may be insufficiently severe. If it is significantly more, your VaR model may be underestimating tail risk.</w:t>
      </w:r>
    </w:p>
    <w:p>
      <w:pPr>
        <w:spacing w:after="80"/>
      </w:pPr>
    </w:p>
    <w:p>
      <w:pPr>
        <w:pStyle w:val="Heading2"/>
      </w:pPr>
      <w:r>
        <w:t xml:space="preserve">26. Model Risk in Stress Testing</w:t>
      </w:r>
    </w:p>
    <w:p>
      <w:pPr>
        <w:spacing w:after="120" w:before="0"/>
      </w:pPr>
      <w:r>
        <w:rPr>
          <w:rFonts w:ascii="Arial" w:cs="Arial" w:eastAsia="Arial" w:hAnsi="Arial"/>
          <w:sz w:val="22"/>
          <w:szCs w:val="22"/>
        </w:rPr>
        <w:t xml:space="preserve">Every stress test has model risk at multiple levels: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B0B8C4" w:sz="1"/>
              <w:left w:val="single" w:color="B0B8C4" w:sz="1"/>
              <w:bottom w:val="single" w:color="B0B8C4" w:sz="1"/>
              <w:right w:val="single" w:color="B0B8C4"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Source of Model Risk</w:t>
            </w:r>
          </w:p>
        </w:tc>
        <w:tc>
          <w:tcPr>
            <w:tcW w:type="dxa" w:w="3000"/>
            <w:tcBorders>
              <w:top w:val="single" w:color="B0B8C4" w:sz="1"/>
              <w:left w:val="single" w:color="B0B8C4" w:sz="1"/>
              <w:bottom w:val="single" w:color="B0B8C4" w:sz="1"/>
              <w:right w:val="single" w:color="B0B8C4"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Impact</w:t>
            </w:r>
          </w:p>
        </w:tc>
        <w:tc>
          <w:tcPr>
            <w:tcW w:type="dxa" w:w="4360"/>
            <w:tcBorders>
              <w:top w:val="single" w:color="B0B8C4" w:sz="1"/>
              <w:left w:val="single" w:color="B0B8C4" w:sz="1"/>
              <w:bottom w:val="single" w:color="B0B8C4" w:sz="1"/>
              <w:right w:val="single" w:color="B0B8C4"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Mitigation</w:t>
            </w:r>
          </w:p>
        </w:tc>
      </w:tr>
      <w:tr>
        <w:tc>
          <w:tcPr>
            <w:tcW w:type="dxa" w:w="2000"/>
            <w:tcBorders>
              <w:top w:val="single" w:color="B0B8C4" w:sz="1"/>
              <w:left w:val="single" w:color="B0B8C4" w:sz="1"/>
              <w:bottom w:val="single" w:color="B0B8C4" w:sz="1"/>
              <w:right w:val="single" w:color="B0B8C4" w:sz="1"/>
            </w:tcBorders>
            <w:shd w:fill="EDF2F7" w:val="clear"/>
            <w:tcMar>
              <w:top w:type="dxa" w:w="60"/>
              <w:left w:type="dxa" w:w="100"/>
              <w:bottom w:type="dxa" w:w="60"/>
              <w:right w:type="dxa" w:w="100"/>
            </w:tcMar>
          </w:tcPr>
          <w:p>
            <w:r>
              <w:rPr>
                <w:rFonts w:ascii="Arial" w:cs="Arial" w:eastAsia="Arial" w:hAnsi="Arial"/>
                <w:b w:val="false"/>
                <w:bCs w:val="false"/>
                <w:color w:val="333333"/>
                <w:sz w:val="20"/>
                <w:szCs w:val="20"/>
              </w:rPr>
              <w:t xml:space="preserve">Beta estimation error</w:t>
            </w:r>
          </w:p>
        </w:tc>
        <w:tc>
          <w:tcPr>
            <w:tcW w:type="dxa" w:w="3000"/>
            <w:tcBorders>
              <w:top w:val="single" w:color="B0B8C4" w:sz="1"/>
              <w:left w:val="single" w:color="B0B8C4" w:sz="1"/>
              <w:bottom w:val="single" w:color="B0B8C4" w:sz="1"/>
              <w:right w:val="single" w:color="B0B8C4" w:sz="1"/>
            </w:tcBorders>
            <w:shd w:fill="EDF2F7" w:val="clear"/>
            <w:tcMar>
              <w:top w:type="dxa" w:w="60"/>
              <w:left w:type="dxa" w:w="100"/>
              <w:bottom w:type="dxa" w:w="60"/>
              <w:right w:type="dxa" w:w="100"/>
            </w:tcMar>
          </w:tcPr>
          <w:p>
            <w:r>
              <w:rPr>
                <w:rFonts w:ascii="Arial" w:cs="Arial" w:eastAsia="Arial" w:hAnsi="Arial"/>
                <w:b w:val="false"/>
                <w:bCs w:val="false"/>
                <w:color w:val="333333"/>
                <w:sz w:val="20"/>
                <w:szCs w:val="20"/>
              </w:rPr>
              <w:t xml:space="preserve">Wrong propagation ratios → biased driver shocks</w:t>
            </w:r>
          </w:p>
        </w:tc>
        <w:tc>
          <w:tcPr>
            <w:tcW w:type="dxa" w:w="4360"/>
            <w:tcBorders>
              <w:top w:val="single" w:color="B0B8C4" w:sz="1"/>
              <w:left w:val="single" w:color="B0B8C4" w:sz="1"/>
              <w:bottom w:val="single" w:color="B0B8C4" w:sz="1"/>
              <w:right w:val="single" w:color="B0B8C4" w:sz="1"/>
            </w:tcBorders>
            <w:shd w:fill="EDF2F7" w:val="clear"/>
            <w:tcMar>
              <w:top w:type="dxa" w:w="60"/>
              <w:left w:type="dxa" w:w="100"/>
              <w:bottom w:type="dxa" w:w="60"/>
              <w:right w:type="dxa" w:w="100"/>
            </w:tcMar>
          </w:tcPr>
          <w:p>
            <w:r>
              <w:rPr>
                <w:rFonts w:ascii="Arial" w:cs="Arial" w:eastAsia="Arial" w:hAnsi="Arial"/>
                <w:b w:val="false"/>
                <w:bCs w:val="false"/>
                <w:color w:val="333333"/>
                <w:sz w:val="20"/>
                <w:szCs w:val="20"/>
              </w:rPr>
              <w:t xml:space="preserve">Use multiple estimation methods, shrinkage, governance</w:t>
            </w:r>
          </w:p>
        </w:tc>
      </w:tr>
      <w:tr>
        <w:tc>
          <w:tcPr>
            <w:tcW w:type="dxa" w:w="20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Greeks approximation</w:t>
            </w:r>
          </w:p>
        </w:tc>
        <w:tc>
          <w:tcPr>
            <w:tcW w:type="dxa" w:w="30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Misses non-linearity for large shocks</w:t>
            </w:r>
          </w:p>
        </w:tc>
        <w:tc>
          <w:tcPr>
            <w:tcW w:type="dxa" w:w="436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Full reval for non-linear books; compare both methods</w:t>
            </w:r>
          </w:p>
        </w:tc>
      </w:tr>
      <w:tr>
        <w:tc>
          <w:tcPr>
            <w:tcW w:type="dxa" w:w="2000"/>
            <w:tcBorders>
              <w:top w:val="single" w:color="B0B8C4" w:sz="1"/>
              <w:left w:val="single" w:color="B0B8C4" w:sz="1"/>
              <w:bottom w:val="single" w:color="B0B8C4" w:sz="1"/>
              <w:right w:val="single" w:color="B0B8C4" w:sz="1"/>
            </w:tcBorders>
            <w:shd w:fill="EDF2F7" w:val="clear"/>
            <w:tcMar>
              <w:top w:type="dxa" w:w="60"/>
              <w:left w:type="dxa" w:w="100"/>
              <w:bottom w:type="dxa" w:w="60"/>
              <w:right w:type="dxa" w:w="100"/>
            </w:tcMar>
          </w:tcPr>
          <w:p>
            <w:r>
              <w:rPr>
                <w:rFonts w:ascii="Arial" w:cs="Arial" w:eastAsia="Arial" w:hAnsi="Arial"/>
                <w:b w:val="false"/>
                <w:bCs w:val="false"/>
                <w:color w:val="333333"/>
                <w:sz w:val="20"/>
                <w:szCs w:val="20"/>
              </w:rPr>
              <w:t xml:space="preserve">Pricing model error</w:t>
            </w:r>
          </w:p>
        </w:tc>
        <w:tc>
          <w:tcPr>
            <w:tcW w:type="dxa" w:w="3000"/>
            <w:tcBorders>
              <w:top w:val="single" w:color="B0B8C4" w:sz="1"/>
              <w:left w:val="single" w:color="B0B8C4" w:sz="1"/>
              <w:bottom w:val="single" w:color="B0B8C4" w:sz="1"/>
              <w:right w:val="single" w:color="B0B8C4" w:sz="1"/>
            </w:tcBorders>
            <w:shd w:fill="EDF2F7" w:val="clear"/>
            <w:tcMar>
              <w:top w:type="dxa" w:w="60"/>
              <w:left w:type="dxa" w:w="100"/>
              <w:bottom w:type="dxa" w:w="60"/>
              <w:right w:type="dxa" w:w="100"/>
            </w:tcMar>
          </w:tcPr>
          <w:p>
            <w:r>
              <w:rPr>
                <w:rFonts w:ascii="Arial" w:cs="Arial" w:eastAsia="Arial" w:hAnsi="Arial"/>
                <w:b w:val="false"/>
                <w:bCs w:val="false"/>
                <w:color w:val="333333"/>
                <w:sz w:val="20"/>
                <w:szCs w:val="20"/>
              </w:rPr>
              <w:t xml:space="preserve">Wrong position valuation under stress</w:t>
            </w:r>
          </w:p>
        </w:tc>
        <w:tc>
          <w:tcPr>
            <w:tcW w:type="dxa" w:w="4360"/>
            <w:tcBorders>
              <w:top w:val="single" w:color="B0B8C4" w:sz="1"/>
              <w:left w:val="single" w:color="B0B8C4" w:sz="1"/>
              <w:bottom w:val="single" w:color="B0B8C4" w:sz="1"/>
              <w:right w:val="single" w:color="B0B8C4" w:sz="1"/>
            </w:tcBorders>
            <w:shd w:fill="EDF2F7" w:val="clear"/>
            <w:tcMar>
              <w:top w:type="dxa" w:w="60"/>
              <w:left w:type="dxa" w:w="100"/>
              <w:bottom w:type="dxa" w:w="60"/>
              <w:right w:type="dxa" w:w="100"/>
            </w:tcMar>
          </w:tcPr>
          <w:p>
            <w:r>
              <w:rPr>
                <w:rFonts w:ascii="Arial" w:cs="Arial" w:eastAsia="Arial" w:hAnsi="Arial"/>
                <w:b w:val="false"/>
                <w:bCs w:val="false"/>
                <w:color w:val="333333"/>
                <w:sz w:val="20"/>
                <w:szCs w:val="20"/>
              </w:rPr>
              <w:t xml:space="preserve">Benchmark against market prices where available</w:t>
            </w:r>
          </w:p>
        </w:tc>
      </w:tr>
      <w:tr>
        <w:tc>
          <w:tcPr>
            <w:tcW w:type="dxa" w:w="20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Correlation assumptions</w:t>
            </w:r>
          </w:p>
        </w:tc>
        <w:tc>
          <w:tcPr>
            <w:tcW w:type="dxa" w:w="30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Under/overestimates diversification benefit</w:t>
            </w:r>
          </w:p>
        </w:tc>
        <w:tc>
          <w:tcPr>
            <w:tcW w:type="dxa" w:w="436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Run scenarios with multiple correlation regimes</w:t>
            </w:r>
          </w:p>
        </w:tc>
      </w:tr>
      <w:tr>
        <w:tc>
          <w:tcPr>
            <w:tcW w:type="dxa" w:w="2000"/>
            <w:tcBorders>
              <w:top w:val="single" w:color="B0B8C4" w:sz="1"/>
              <w:left w:val="single" w:color="B0B8C4" w:sz="1"/>
              <w:bottom w:val="single" w:color="B0B8C4" w:sz="1"/>
              <w:right w:val="single" w:color="B0B8C4" w:sz="1"/>
            </w:tcBorders>
            <w:shd w:fill="EDF2F7" w:val="clear"/>
            <w:tcMar>
              <w:top w:type="dxa" w:w="60"/>
              <w:left w:type="dxa" w:w="100"/>
              <w:bottom w:type="dxa" w:w="60"/>
              <w:right w:type="dxa" w:w="100"/>
            </w:tcMar>
          </w:tcPr>
          <w:p>
            <w:r>
              <w:rPr>
                <w:rFonts w:ascii="Arial" w:cs="Arial" w:eastAsia="Arial" w:hAnsi="Arial"/>
                <w:b w:val="false"/>
                <w:bCs w:val="false"/>
                <w:color w:val="333333"/>
                <w:sz w:val="20"/>
                <w:szCs w:val="20"/>
              </w:rPr>
              <w:t xml:space="preserve">Missing risk factors</w:t>
            </w:r>
          </w:p>
        </w:tc>
        <w:tc>
          <w:tcPr>
            <w:tcW w:type="dxa" w:w="3000"/>
            <w:tcBorders>
              <w:top w:val="single" w:color="B0B8C4" w:sz="1"/>
              <w:left w:val="single" w:color="B0B8C4" w:sz="1"/>
              <w:bottom w:val="single" w:color="B0B8C4" w:sz="1"/>
              <w:right w:val="single" w:color="B0B8C4" w:sz="1"/>
            </w:tcBorders>
            <w:shd w:fill="EDF2F7" w:val="clear"/>
            <w:tcMar>
              <w:top w:type="dxa" w:w="60"/>
              <w:left w:type="dxa" w:w="100"/>
              <w:bottom w:type="dxa" w:w="60"/>
              <w:right w:type="dxa" w:w="100"/>
            </w:tcMar>
          </w:tcPr>
          <w:p>
            <w:r>
              <w:rPr>
                <w:rFonts w:ascii="Arial" w:cs="Arial" w:eastAsia="Arial" w:hAnsi="Arial"/>
                <w:b w:val="false"/>
                <w:bCs w:val="false"/>
                <w:color w:val="333333"/>
                <w:sz w:val="20"/>
                <w:szCs w:val="20"/>
              </w:rPr>
              <w:t xml:space="preserve">Unshocked positions create blind spots</w:t>
            </w:r>
          </w:p>
        </w:tc>
        <w:tc>
          <w:tcPr>
            <w:tcW w:type="dxa" w:w="4360"/>
            <w:tcBorders>
              <w:top w:val="single" w:color="B0B8C4" w:sz="1"/>
              <w:left w:val="single" w:color="B0B8C4" w:sz="1"/>
              <w:bottom w:val="single" w:color="B0B8C4" w:sz="1"/>
              <w:right w:val="single" w:color="B0B8C4" w:sz="1"/>
            </w:tcBorders>
            <w:shd w:fill="EDF2F7" w:val="clear"/>
            <w:tcMar>
              <w:top w:type="dxa" w:w="60"/>
              <w:left w:type="dxa" w:w="100"/>
              <w:bottom w:type="dxa" w:w="60"/>
              <w:right w:type="dxa" w:w="100"/>
            </w:tcMar>
          </w:tcPr>
          <w:p>
            <w:r>
              <w:rPr>
                <w:rFonts w:ascii="Arial" w:cs="Arial" w:eastAsia="Arial" w:hAnsi="Arial"/>
                <w:b w:val="false"/>
                <w:bCs w:val="false"/>
                <w:color w:val="333333"/>
                <w:sz w:val="20"/>
                <w:szCs w:val="20"/>
              </w:rPr>
              <w:t xml:space="preserve">100% driver coverage requirement; gap analysis</w:t>
            </w:r>
          </w:p>
        </w:tc>
      </w:tr>
      <w:tr>
        <w:tc>
          <w:tcPr>
            <w:tcW w:type="dxa" w:w="20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Interpolation error</w:t>
            </w:r>
          </w:p>
        </w:tc>
        <w:tc>
          <w:tcPr>
            <w:tcW w:type="dxa" w:w="30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Between tenor points, shocks are approximated</w:t>
            </w:r>
          </w:p>
        </w:tc>
        <w:tc>
          <w:tcPr>
            <w:tcW w:type="dxa" w:w="436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Use PCA for curve shocks; validate interpolation</w:t>
            </w:r>
          </w:p>
        </w:tc>
      </w:tr>
      <w:tr>
        <w:tc>
          <w:tcPr>
            <w:tcW w:type="dxa" w:w="2000"/>
            <w:tcBorders>
              <w:top w:val="single" w:color="B0B8C4" w:sz="1"/>
              <w:left w:val="single" w:color="B0B8C4" w:sz="1"/>
              <w:bottom w:val="single" w:color="B0B8C4" w:sz="1"/>
              <w:right w:val="single" w:color="B0B8C4" w:sz="1"/>
            </w:tcBorders>
            <w:shd w:fill="EDF2F7" w:val="clear"/>
            <w:tcMar>
              <w:top w:type="dxa" w:w="60"/>
              <w:left w:type="dxa" w:w="100"/>
              <w:bottom w:type="dxa" w:w="60"/>
              <w:right w:type="dxa" w:w="100"/>
            </w:tcMar>
          </w:tcPr>
          <w:p>
            <w:r>
              <w:rPr>
                <w:rFonts w:ascii="Arial" w:cs="Arial" w:eastAsia="Arial" w:hAnsi="Arial"/>
                <w:b w:val="false"/>
                <w:bCs w:val="false"/>
                <w:color w:val="333333"/>
                <w:sz w:val="20"/>
                <w:szCs w:val="20"/>
              </w:rPr>
              <w:t xml:space="preserve">Liquidity assumption</w:t>
            </w:r>
          </w:p>
        </w:tc>
        <w:tc>
          <w:tcPr>
            <w:tcW w:type="dxa" w:w="3000"/>
            <w:tcBorders>
              <w:top w:val="single" w:color="B0B8C4" w:sz="1"/>
              <w:left w:val="single" w:color="B0B8C4" w:sz="1"/>
              <w:bottom w:val="single" w:color="B0B8C4" w:sz="1"/>
              <w:right w:val="single" w:color="B0B8C4" w:sz="1"/>
            </w:tcBorders>
            <w:shd w:fill="EDF2F7" w:val="clear"/>
            <w:tcMar>
              <w:top w:type="dxa" w:w="60"/>
              <w:left w:type="dxa" w:w="100"/>
              <w:bottom w:type="dxa" w:w="60"/>
              <w:right w:type="dxa" w:w="100"/>
            </w:tcMar>
          </w:tcPr>
          <w:p>
            <w:r>
              <w:rPr>
                <w:rFonts w:ascii="Arial" w:cs="Arial" w:eastAsia="Arial" w:hAnsi="Arial"/>
                <w:b w:val="false"/>
                <w:bCs w:val="false"/>
                <w:color w:val="333333"/>
                <w:sz w:val="20"/>
                <w:szCs w:val="20"/>
              </w:rPr>
              <w:t xml:space="preserve">P&amp;L assumes mid-market pricing; reality is much worse</w:t>
            </w:r>
          </w:p>
        </w:tc>
        <w:tc>
          <w:tcPr>
            <w:tcW w:type="dxa" w:w="4360"/>
            <w:tcBorders>
              <w:top w:val="single" w:color="B0B8C4" w:sz="1"/>
              <w:left w:val="single" w:color="B0B8C4" w:sz="1"/>
              <w:bottom w:val="single" w:color="B0B8C4" w:sz="1"/>
              <w:right w:val="single" w:color="B0B8C4" w:sz="1"/>
            </w:tcBorders>
            <w:shd w:fill="EDF2F7" w:val="clear"/>
            <w:tcMar>
              <w:top w:type="dxa" w:w="60"/>
              <w:left w:type="dxa" w:w="100"/>
              <w:bottom w:type="dxa" w:w="60"/>
              <w:right w:type="dxa" w:w="100"/>
            </w:tcMar>
          </w:tcPr>
          <w:p>
            <w:r>
              <w:rPr>
                <w:rFonts w:ascii="Arial" w:cs="Arial" w:eastAsia="Arial" w:hAnsi="Arial"/>
                <w:b w:val="false"/>
                <w:bCs w:val="false"/>
                <w:color w:val="333333"/>
                <w:sz w:val="20"/>
                <w:szCs w:val="20"/>
              </w:rPr>
              <w:t xml:space="preserve">Add liquidity reserve / bid-ask widening overlay</w:t>
            </w:r>
          </w:p>
        </w:tc>
      </w:tr>
    </w:tbl>
    <w:p>
      <w:pPr>
        <w:spacing w:after="80"/>
      </w:pPr>
    </w:p>
    <w:p>
      <w:pPr>
        <w:spacing w:after="120" w:before="0"/>
      </w:pPr>
      <w:r>
        <w:rPr>
          <w:rFonts w:ascii="Arial" w:cs="Arial" w:eastAsia="Arial" w:hAnsi="Arial"/>
          <w:sz w:val="22"/>
          <w:szCs w:val="22"/>
        </w:rPr>
        <w:t xml:space="preserve">The SR 11-7 requirement: All models used in stress testing must undergo independent model validation, including sensitivity analysis, benchmarking, and backtesting. The stress testing framework itself is a model and must be validated.</w:t>
      </w:r>
    </w:p>
    <w:p>
      <w:pPr>
        <w:spacing w:after="80"/>
      </w:pPr>
    </w:p>
    <w:p>
      <w:pPr>
        <w:spacing w:after="80"/>
      </w:pPr>
    </w:p>
    <w:p>
      <w:pPr>
        <w:spacing w:before="600"/>
        <w:jc w:val="center"/>
      </w:pPr>
      <w:r>
        <w:rPr>
          <w:color w:val="3B6FA0"/>
          <w:sz w:val="28"/>
          <w:szCs w:val="28"/>
        </w:rPr>
        <w:t xml:space="preserve">────────────────────────────────────────</w:t>
      </w:r>
    </w:p>
    <w:p>
      <w:pPr>
        <w:spacing w:before="200" w:after="200"/>
        <w:jc w:val="center"/>
      </w:pPr>
      <w:r>
        <w:rPr>
          <w:rFonts w:ascii="Arial" w:cs="Arial" w:eastAsia="Arial" w:hAnsi="Arial"/>
          <w:b/>
          <w:bCs/>
          <w:color w:val="1B2A4A"/>
          <w:sz w:val="24"/>
          <w:szCs w:val="24"/>
        </w:rPr>
        <w:t xml:space="preserve">END OF DOCUMENT</w:t>
      </w:r>
    </w:p>
    <w:p>
      <w:pPr>
        <w:spacing w:after="100"/>
        <w:jc w:val="center"/>
      </w:pPr>
      <w:r>
        <w:rPr>
          <w:rFonts w:ascii="Arial" w:cs="Arial" w:eastAsia="Arial" w:hAnsi="Arial"/>
          <w:i/>
          <w:iCs/>
          <w:color w:val="666666"/>
          <w:sz w:val="20"/>
          <w:szCs w:val="20"/>
        </w:rPr>
        <w:t xml:space="preserve">This guide provides the complete quantitative engine behind stress P&amp;L: from first principles (Sensitivity × Shock) through every valuation method, propagation technique, aggregation framework, and coherence validation. Combined with the Driver-Level Taxonomy Guide, it forms the definitive reference for CIB stress testing.</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Stress P&amp;L — Quantitative Mechanics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C3E6B"/>
      <w:sz w:val="30"/>
      <w:szCs w:val="30"/>
    </w:rPr>
  </w:style>
  <w:style w:type="paragraph" w:styleId="Heading3">
    <w:name w:val="Heading 3"/>
    <w:basedOn w:val="Normal"/>
    <w:next w:val="Normal"/>
    <w:qFormat/>
    <w:pPr>
      <w:spacing w:before="200" w:after="120"/>
      <w:outlineLvl w:val="2"/>
    </w:pPr>
    <w:rPr>
      <w:rFonts w:ascii="Arial" w:cs="Arial" w:eastAsia="Arial" w:hAnsi="Arial"/>
      <w:b/>
      <w:bCs/>
      <w:color w:val="3B6FA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2026-02-05T22:39:22.065Z</dcterms:created>
  <dcterms:modified xsi:type="dcterms:W3CDTF">2026-02-05T22:39:22.066Z</dcterms:modified>
</cp:coreProperties>
</file>

<file path=docProps/custom.xml><?xml version="1.0" encoding="utf-8"?>
<Properties xmlns="http://schemas.openxmlformats.org/officeDocument/2006/custom-properties" xmlns:vt="http://schemas.openxmlformats.org/officeDocument/2006/docPropsVTypes"/>
</file>