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AI BUBBLE CORRECTION</w:t>
      </w:r>
    </w:p>
    <w:p>
      <w:pPr>
        <w:spacing w:after="100"/>
        <w:jc w:val="center"/>
      </w:pPr>
      <w:r>
        <w:rPr>
          <w:rFonts w:ascii="Arial" w:cs="Arial" w:eastAsia="Arial" w:hAnsi="Arial"/>
          <w:b/>
          <w:bCs/>
          <w:color w:val="1F4E79"/>
          <w:sz w:val="48"/>
          <w:szCs w:val="48"/>
        </w:rPr>
        <w:t xml:space="preserve">STRESS TESTING FRAMEWORK</w:t>
      </w:r>
    </w:p>
    <w:p>
      <w:pPr>
        <w:spacing w:before="400" w:after="200"/>
        <w:jc w:val="center"/>
      </w:pPr>
      <w:r>
        <w:rPr>
          <w:rFonts w:ascii="Arial" w:cs="Arial" w:eastAsia="Arial" w:hAnsi="Arial"/>
          <w:i/>
          <w:iCs/>
          <w:color w:val="404040"/>
          <w:sz w:val="28"/>
          <w:szCs w:val="28"/>
        </w:rPr>
        <w:t xml:space="preserve">Comprehensive Multi-Asset Scenario Analysis</w:t>
      </w:r>
    </w:p>
    <w:p>
      <w:pPr>
        <w:spacing w:before="200"/>
        <w:jc w:val="center"/>
      </w:pPr>
      <w:r>
        <w:rPr>
          <w:rFonts w:ascii="Arial" w:cs="Arial" w:eastAsia="Arial" w:hAnsi="Arial"/>
          <w:color w:val="404040"/>
          <w:sz w:val="24"/>
          <w:szCs w:val="24"/>
        </w:rPr>
        <w:t xml:space="preserve">Moderate &amp; Severe Scenario Specifications</w:t>
      </w:r>
    </w:p>
    <w:p>
      <w:pPr>
        <w:spacing w:before="800"/>
      </w:pPr>
    </w:p>
    <w:p>
      <w:pPr>
        <w:jc w:val="center"/>
      </w:pPr>
      <w:r>
        <w:rPr>
          <w:rFonts w:ascii="Arial" w:cs="Arial" w:eastAsia="Arial" w:hAnsi="Arial"/>
          <w:b/>
          <w:bCs/>
          <w:sz w:val="24"/>
          <w:szCs w:val="24"/>
        </w:rPr>
        <w:t xml:space="preserve">Market Risk Division</w:t>
      </w:r>
    </w:p>
    <w:p>
      <w:pPr>
        <w:jc w:val="center"/>
      </w:pPr>
      <w:r>
        <w:rPr>
          <w:rFonts w:ascii="Arial" w:cs="Arial" w:eastAsia="Arial" w:hAnsi="Arial"/>
          <w:sz w:val="22"/>
          <w:szCs w:val="22"/>
        </w:rPr>
        <w:t xml:space="preserve">Corporate &amp; Investment Banking</w:t>
      </w:r>
    </w:p>
    <w:p>
      <w:pPr>
        <w:spacing w:before="400"/>
        <w:jc w:val="center"/>
      </w:pPr>
      <w:r>
        <w:rPr>
          <w:rFonts w:ascii="Arial" w:cs="Arial" w:eastAsia="Arial" w:hAnsi="Arial"/>
          <w:sz w:val="22"/>
          <w:szCs w:val="22"/>
        </w:rPr>
        <w:t xml:space="preserve">November 2025</w:t>
      </w:r>
    </w:p>
    <w:p>
      <w:pPr>
        <w:spacing w:before="100"/>
        <w:jc w:val="center"/>
      </w:pPr>
      <w:r>
        <w:rPr>
          <w:rFonts w:ascii="Arial" w:cs="Arial" w:eastAsia="Arial" w:hAnsi="Arial"/>
          <w:b/>
          <w:bCs/>
          <w:color w:val="C00000"/>
          <w:sz w:val="20"/>
          <w:szCs w:val="20"/>
        </w:rPr>
        <w:t xml:space="preserve">Version 1.0 | 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before="120" w:after="120"/>
      </w:pPr>
      <w:r>
        <w:rPr>
          <w:rFonts w:ascii="Arial" w:cs="Arial" w:eastAsia="Arial" w:hAnsi="Arial"/>
          <w:sz w:val="22"/>
          <w:szCs w:val="22"/>
        </w:rPr>
        <w:t xml:space="preserve">This framework presents a comprehensive stress testing methodology for assessing portfolio vulnerabilities to an AI-driven market correction. With current market valuations at historically elevated levels—the Shiller CAPE ratio at approximately 39-40x approaching dot-com era peaks of 44x, and the S&amp;P 500 P/E ratio at 30x versus a historical average of 16x—systematic evaluation of downside scenarios is essential for prudent risk management.</w:t>
      </w:r>
    </w:p>
    <w:p>
      <w:pPr>
        <w:spacing w:before="120" w:after="120"/>
      </w:pPr>
      <w:r>
        <w:rPr>
          <w:rFonts w:ascii="Arial" w:cs="Arial" w:eastAsia="Arial" w:hAnsi="Arial"/>
          <w:sz w:val="22"/>
          <w:szCs w:val="22"/>
        </w:rPr>
        <w:t xml:space="preserve">The framework specifies two distinct scenarios calibrated to historical precedents:</w:t>
      </w:r>
    </w:p>
    <w:p>
      <w:pPr>
        <w:spacing w:before="200" w:after="100"/>
      </w:pPr>
      <w:r>
        <w:rPr>
          <w:rFonts w:ascii="Arial" w:cs="Arial" w:eastAsia="Arial" w:hAnsi="Arial"/>
          <w:b/>
          <w:bCs/>
          <w:sz w:val="22"/>
          <w:szCs w:val="22"/>
        </w:rPr>
        <w:t xml:space="preserve">Moderate Scenario: "AI Valuation Reset"</w:t>
      </w:r>
    </w:p>
    <w:p>
      <w:pPr>
        <w:pStyle w:val="ListParagraph"/>
        <w:numPr>
          <w:ilvl w:val="0"/>
          <w:numId w:val="2"/>
        </w:numPr>
        <w:spacing w:after="60"/>
      </w:pPr>
      <w:r>
        <w:rPr>
          <w:rFonts w:ascii="Arial" w:cs="Arial" w:eastAsia="Arial" w:hAnsi="Arial"/>
          <w:sz w:val="22"/>
          <w:szCs w:val="22"/>
        </w:rPr>
        <w:t xml:space="preserve">Duration: 10 trading days of acute stress</w:t>
      </w:r>
    </w:p>
    <w:p>
      <w:pPr>
        <w:pStyle w:val="ListParagraph"/>
        <w:numPr>
          <w:ilvl w:val="0"/>
          <w:numId w:val="2"/>
        </w:numPr>
        <w:spacing w:after="60"/>
      </w:pPr>
      <w:r>
        <w:rPr>
          <w:rFonts w:ascii="Arial" w:cs="Arial" w:eastAsia="Arial" w:hAnsi="Arial"/>
          <w:sz w:val="22"/>
          <w:szCs w:val="22"/>
        </w:rPr>
        <w:t xml:space="preserve">S&amp;P 500 Impact: -15% to -18% total return</w:t>
      </w:r>
    </w:p>
    <w:p>
      <w:pPr>
        <w:pStyle w:val="ListParagraph"/>
        <w:numPr>
          <w:ilvl w:val="0"/>
          <w:numId w:val="2"/>
        </w:numPr>
        <w:spacing w:after="60"/>
      </w:pPr>
      <w:r>
        <w:rPr>
          <w:rFonts w:ascii="Arial" w:cs="Arial" w:eastAsia="Arial" w:hAnsi="Arial"/>
          <w:sz w:val="22"/>
          <w:szCs w:val="22"/>
        </w:rPr>
        <w:t xml:space="preserve">VIX Peak: 45-55 (from current ~20)</w:t>
      </w:r>
    </w:p>
    <w:p>
      <w:pPr>
        <w:pStyle w:val="ListParagraph"/>
        <w:numPr>
          <w:ilvl w:val="0"/>
          <w:numId w:val="2"/>
        </w:numPr>
        <w:spacing w:after="60"/>
      </w:pPr>
      <w:r>
        <w:rPr>
          <w:rFonts w:ascii="Arial" w:cs="Arial" w:eastAsia="Arial" w:hAnsi="Arial"/>
          <w:sz w:val="22"/>
          <w:szCs w:val="22"/>
        </w:rPr>
        <w:t xml:space="preserve">Trigger: Multiple compression driven by AI monetization concerns and risk repricing</w:t>
      </w:r>
    </w:p>
    <w:p>
      <w:pPr>
        <w:spacing w:before="200" w:after="100"/>
      </w:pPr>
      <w:r>
        <w:rPr>
          <w:rFonts w:ascii="Arial" w:cs="Arial" w:eastAsia="Arial" w:hAnsi="Arial"/>
          <w:b/>
          <w:bCs/>
          <w:sz w:val="22"/>
          <w:szCs w:val="22"/>
        </w:rPr>
        <w:t xml:space="preserve">Severe Scenario: "AI Correction with Economic Contagion"</w:t>
      </w:r>
    </w:p>
    <w:p>
      <w:pPr>
        <w:pStyle w:val="ListParagraph"/>
        <w:numPr>
          <w:ilvl w:val="0"/>
          <w:numId w:val="2"/>
        </w:numPr>
        <w:spacing w:after="60"/>
      </w:pPr>
      <w:r>
        <w:rPr>
          <w:rFonts w:ascii="Arial" w:cs="Arial" w:eastAsia="Arial" w:hAnsi="Arial"/>
          <w:sz w:val="22"/>
          <w:szCs w:val="22"/>
        </w:rPr>
        <w:t xml:space="preserve">Duration: 60 trading days (~3 months) of sustained decline</w:t>
      </w:r>
    </w:p>
    <w:p>
      <w:pPr>
        <w:pStyle w:val="ListParagraph"/>
        <w:numPr>
          <w:ilvl w:val="0"/>
          <w:numId w:val="2"/>
        </w:numPr>
        <w:spacing w:after="60"/>
      </w:pPr>
      <w:r>
        <w:rPr>
          <w:rFonts w:ascii="Arial" w:cs="Arial" w:eastAsia="Arial" w:hAnsi="Arial"/>
          <w:sz w:val="22"/>
          <w:szCs w:val="22"/>
        </w:rPr>
        <w:t xml:space="preserve">S&amp;P 500 Impact: -32% to -38% total return</w:t>
      </w:r>
    </w:p>
    <w:p>
      <w:pPr>
        <w:pStyle w:val="ListParagraph"/>
        <w:numPr>
          <w:ilvl w:val="0"/>
          <w:numId w:val="2"/>
        </w:numPr>
        <w:spacing w:after="60"/>
      </w:pPr>
      <w:r>
        <w:rPr>
          <w:rFonts w:ascii="Arial" w:cs="Arial" w:eastAsia="Arial" w:hAnsi="Arial"/>
          <w:sz w:val="22"/>
          <w:szCs w:val="22"/>
        </w:rPr>
        <w:t xml:space="preserve">VIX Peak: 65-80</w:t>
      </w:r>
    </w:p>
    <w:p>
      <w:pPr>
        <w:pStyle w:val="ListParagraph"/>
        <w:numPr>
          <w:ilvl w:val="0"/>
          <w:numId w:val="2"/>
        </w:numPr>
        <w:spacing w:after="120"/>
      </w:pPr>
      <w:r>
        <w:rPr>
          <w:rFonts w:ascii="Arial" w:cs="Arial" w:eastAsia="Arial" w:hAnsi="Arial"/>
          <w:sz w:val="22"/>
          <w:szCs w:val="22"/>
        </w:rPr>
        <w:t xml:space="preserve">Trigger: Earnings deterioration cascades to credit cycle stress and economic contraction</w:t>
      </w:r>
    </w:p>
    <w:p>
      <w:pPr>
        <w:spacing w:before="120" w:after="120"/>
      </w:pPr>
      <w:r>
        <w:rPr>
          <w:rFonts w:ascii="Arial" w:cs="Arial" w:eastAsia="Arial" w:hAnsi="Arial"/>
          <w:sz w:val="22"/>
          <w:szCs w:val="22"/>
        </w:rPr>
        <w:t xml:space="preserve">Key differentiators of this framework include: (1) custom AI ETF construction with 25 constituents weighted by AI revenue exposure; (2) sector-specific credit spread overlays for semiconductors and software; (3) granular transmission mechanism mapping; and (4) calibration to multiple historical episodes including dot-com, GFC, and COVID-19.</w:t>
      </w:r>
    </w:p>
    <w:p>
      <w:r>
        <w:br w:type="page"/>
      </w:r>
    </w:p>
    <w:p>
      <w:pPr>
        <w:pStyle w:val="Heading1"/>
      </w:pPr>
      <w:r>
        <w:t xml:space="preserve">2. Current Market Context &amp; Rationale</w:t>
      </w:r>
    </w:p>
    <w:p>
      <w:pPr>
        <w:pStyle w:val="Heading2"/>
      </w:pPr>
      <w:r>
        <w:t xml:space="preserve">2.1 Valuation Environment</w:t>
      </w:r>
    </w:p>
    <w:p>
      <w:pPr>
        <w:spacing w:before="120" w:after="120"/>
      </w:pPr>
      <w:r>
        <w:rPr>
          <w:rFonts w:ascii="Arial" w:cs="Arial" w:eastAsia="Arial" w:hAnsi="Arial"/>
          <w:sz w:val="22"/>
          <w:szCs w:val="22"/>
        </w:rPr>
        <w:t xml:space="preserve">Current equity market valuations exhibit characteristics consistent with historical bubble periods, warranting systematic stress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00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Current</w:t>
            </w:r>
          </w:p>
        </w:tc>
        <w:tc>
          <w:tcPr>
            <w:tcW w:type="dxa" w:w="20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Historical Avg</w:t>
            </w:r>
          </w:p>
        </w:tc>
        <w:tc>
          <w:tcPr>
            <w:tcW w:type="dxa" w:w="20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Dot-Com Peak</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S&amp;P 500 Forward P/E</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30.1x</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16.0x</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27.2x</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Shiller CAPE Ratio</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39.0x</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16.0x</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44.2x</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Nasdaq P/E (TTM)</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42.5x</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25.0x</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175.0x</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Equity Risk Premium</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~4.5%</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~1.2%</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HY Credit Spread (OAS)</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~300 bps</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~450 bps</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~550 bps</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VIX Index</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~20</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~19</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~25</w:t>
            </w:r>
          </w:p>
        </w:tc>
      </w:tr>
    </w:tbl>
    <w:p>
      <w:pPr>
        <w:spacing w:before="60" w:after="200"/>
      </w:pPr>
      <w:r>
        <w:rPr>
          <w:rFonts w:ascii="Arial" w:cs="Arial" w:eastAsia="Arial" w:hAnsi="Arial"/>
          <w:sz w:val="22"/>
          <w:szCs w:val="22"/>
        </w:rPr>
        <w:t xml:space="preserve">Sources: Bloomberg, Federal Reserve, S&amp;P Global, Robert Shiller database. Data as of November 2025.</w:t>
      </w:r>
    </w:p>
    <w:p>
      <w:pPr>
        <w:pStyle w:val="Heading2"/>
      </w:pPr>
      <w:r>
        <w:t xml:space="preserve">2.2 AI Concentration Risk</w:t>
      </w:r>
    </w:p>
    <w:p>
      <w:pPr>
        <w:spacing w:before="120" w:after="120"/>
      </w:pPr>
      <w:r>
        <w:rPr>
          <w:rFonts w:ascii="Arial" w:cs="Arial" w:eastAsia="Arial" w:hAnsi="Arial"/>
          <w:sz w:val="22"/>
          <w:szCs w:val="22"/>
        </w:rPr>
        <w:t xml:space="preserve">The current market exhibits unprecedented concentration in AI-related equities. The "Magnificent 7" technology stocks represent approximately 30% of S&amp;P 500 market capitalization. Semiconductor and AI infrastructure spending has grown at 40%+ annually, creating elevated expectations embedded in valuations. Research from Goldman Sachs (2025) estimates that approximately $1 trillion in AI infrastructure investment is anticipated over the next several years, with uncertain return profiles.</w:t>
      </w:r>
    </w:p>
    <w:p>
      <w:pPr>
        <w:pStyle w:val="Heading2"/>
      </w:pPr>
      <w:r>
        <w:t xml:space="preserve">2.3 Scenario Trigger Thesis</w:t>
      </w:r>
    </w:p>
    <w:p>
      <w:pPr>
        <w:spacing w:before="120" w:after="120"/>
      </w:pPr>
      <w:r>
        <w:rPr>
          <w:rFonts w:ascii="Arial" w:cs="Arial" w:eastAsia="Arial" w:hAnsi="Arial"/>
          <w:sz w:val="22"/>
          <w:szCs w:val="22"/>
        </w:rPr>
        <w:t xml:space="preserve">The stress scenarios are predicated on the following potential catalysts:</w:t>
      </w:r>
    </w:p>
    <w:p>
      <w:pPr>
        <w:pStyle w:val="ListParagraph"/>
        <w:numPr>
          <w:ilvl w:val="0"/>
          <w:numId w:val="2"/>
        </w:numPr>
        <w:spacing w:after="60"/>
      </w:pPr>
      <w:r>
        <w:rPr>
          <w:rFonts w:ascii="Arial" w:cs="Arial" w:eastAsia="Arial" w:hAnsi="Arial"/>
          <w:sz w:val="22"/>
          <w:szCs w:val="22"/>
        </w:rPr>
        <w:t xml:space="preserve">AI monetization timeline extension—enterprises struggle to translate AI capabilities into revenue</w:t>
      </w:r>
    </w:p>
    <w:p>
      <w:pPr>
        <w:pStyle w:val="ListParagraph"/>
        <w:numPr>
          <w:ilvl w:val="0"/>
          <w:numId w:val="2"/>
        </w:numPr>
        <w:spacing w:after="60"/>
      </w:pPr>
      <w:r>
        <w:rPr>
          <w:rFonts w:ascii="Arial" w:cs="Arial" w:eastAsia="Arial" w:hAnsi="Arial"/>
          <w:sz w:val="22"/>
          <w:szCs w:val="22"/>
        </w:rPr>
        <w:t xml:space="preserve">Capex fatigue—hyperscalers signal reduced infrastructure investment due to unclear ROI</w:t>
      </w:r>
    </w:p>
    <w:p>
      <w:pPr>
        <w:pStyle w:val="ListParagraph"/>
        <w:numPr>
          <w:ilvl w:val="0"/>
          <w:numId w:val="2"/>
        </w:numPr>
        <w:spacing w:after="60"/>
      </w:pPr>
      <w:r>
        <w:rPr>
          <w:rFonts w:ascii="Arial" w:cs="Arial" w:eastAsia="Arial" w:hAnsi="Arial"/>
          <w:sz w:val="22"/>
          <w:szCs w:val="22"/>
        </w:rPr>
        <w:t xml:space="preserve">Regulatory intervention—antitrust actions or AI safety regulations constrain growth trajectories</w:t>
      </w:r>
    </w:p>
    <w:p>
      <w:pPr>
        <w:pStyle w:val="ListParagraph"/>
        <w:numPr>
          <w:ilvl w:val="0"/>
          <w:numId w:val="2"/>
        </w:numPr>
        <w:spacing w:after="120"/>
      </w:pPr>
      <w:r>
        <w:rPr>
          <w:rFonts w:ascii="Arial" w:cs="Arial" w:eastAsia="Arial" w:hAnsi="Arial"/>
          <w:sz w:val="22"/>
          <w:szCs w:val="22"/>
        </w:rPr>
        <w:t xml:space="preserve">Interest rate shock—persistent inflation forces Fed to maintain higher-for-longer stance, compressing multiples</w:t>
      </w:r>
    </w:p>
    <w:p>
      <w:r>
        <w:br w:type="page"/>
      </w:r>
    </w:p>
    <w:p>
      <w:pPr>
        <w:pStyle w:val="Heading1"/>
      </w:pPr>
      <w:r>
        <w:t xml:space="preserve">3. Macro-Economic Drivers &amp; Shocks</w:t>
      </w:r>
    </w:p>
    <w:p>
      <w:pPr>
        <w:pStyle w:val="Heading2"/>
      </w:pPr>
      <w:r>
        <w:t xml:space="preserve">3.1 GDP Growth Trajectory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GDP Metric</w:t>
            </w:r>
          </w:p>
        </w:tc>
        <w:tc>
          <w:tcPr>
            <w:tcW w:type="dxa" w:w="30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Scenario</w:t>
            </w:r>
          </w:p>
        </w:tc>
        <w:tc>
          <w:tcPr>
            <w:tcW w:type="dxa" w:w="30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Scenario</w:t>
            </w:r>
          </w:p>
        </w:tc>
      </w:tr>
      <w:tr>
        <w:tc>
          <w:tcPr>
            <w:tcW w:type="dxa" w:w="3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Q1 Impact</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-0.5% to -1.0% (annualized)</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 to -3.0% (annualized)</w:t>
            </w:r>
          </w:p>
        </w:tc>
      </w:tr>
      <w:tr>
        <w:tc>
          <w:tcPr>
            <w:tcW w:type="dxa" w:w="3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Peak-to-Trough Decline</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 cumulative</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-4.0% to -5.5% cumulative</w:t>
            </w:r>
          </w:p>
        </w:tc>
      </w:tr>
      <w:tr>
        <w:tc>
          <w:tcPr>
            <w:tcW w:type="dxa" w:w="3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Recovery Timeline</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2-3 quarters</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4-6 quarters</w:t>
            </w:r>
          </w:p>
        </w:tc>
      </w:tr>
      <w:tr>
        <w:tc>
          <w:tcPr>
            <w:tcW w:type="dxa" w:w="3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Recession Probability</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35-45%</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75-85%</w:t>
            </w:r>
          </w:p>
        </w:tc>
      </w:tr>
    </w:tbl>
    <w:p>
      <w:pPr>
        <w:spacing w:before="200"/>
      </w:pPr>
      <w:r>
        <w:rPr>
          <w:rFonts w:ascii="Arial" w:cs="Arial" w:eastAsia="Arial" w:hAnsi="Arial"/>
          <w:sz w:val="22"/>
          <w:szCs w:val="22"/>
        </w:rPr>
        <w:t xml:space="preserve">Rationale: Research by Stock and Watson (2012) demonstrates that equity wealth effects impact consumption at approximately 3-5 cents per dollar of wealth change. A 20-35% equity market decline would reduce household wealth by $8-15 trillion, creating meaningful demand destruction. The IMF (2024) estimates AI-related capital expenditure represents approximately 1.5% of GDP; a pullback would have direct GDP implications.</w:t>
      </w:r>
    </w:p>
    <w:p>
      <w:pPr>
        <w:pStyle w:val="Heading2"/>
      </w:pPr>
      <w:r>
        <w:t xml:space="preserve">3.2 Unemployment Rate Evolution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Employment Metric</w:t>
            </w:r>
          </w:p>
        </w:tc>
        <w:tc>
          <w:tcPr>
            <w:tcW w:type="dxa" w:w="30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Scenario</w:t>
            </w:r>
          </w:p>
        </w:tc>
        <w:tc>
          <w:tcPr>
            <w:tcW w:type="dxa" w:w="30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Scenario</w:t>
            </w:r>
          </w:p>
        </w:tc>
      </w:tr>
      <w:tr>
        <w:tc>
          <w:tcPr>
            <w:tcW w:type="dxa" w:w="3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Current Rate (Baseline)</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4.1%</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4.1%</w:t>
            </w:r>
          </w:p>
        </w:tc>
      </w:tr>
      <w:tr>
        <w:tc>
          <w:tcPr>
            <w:tcW w:type="dxa" w:w="3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Peak Unemployment</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4.8% - 5.2%</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6.5% - 7.5%</w:t>
            </w:r>
          </w:p>
        </w:tc>
      </w:tr>
      <w:tr>
        <w:tc>
          <w:tcPr>
            <w:tcW w:type="dxa" w:w="3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Tech Sector Layoffs</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50,000 - 100,000</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300,000 - 500,000</w:t>
            </w:r>
          </w:p>
        </w:tc>
      </w:tr>
      <w:tr>
        <w:tc>
          <w:tcPr>
            <w:tcW w:type="dxa" w:w="3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Initial Claims Peak</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275,000 - 325,000/week</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450,000 - 550,000/week</w:t>
            </w:r>
          </w:p>
        </w:tc>
      </w:tr>
    </w:tbl>
    <w:p>
      <w:pPr>
        <w:spacing w:before="200"/>
      </w:pPr>
      <w:r>
        <w:rPr>
          <w:rFonts w:ascii="Arial" w:cs="Arial" w:eastAsia="Arial" w:hAnsi="Arial"/>
          <w:sz w:val="22"/>
          <w:szCs w:val="22"/>
        </w:rPr>
        <w:t xml:space="preserve">Rationale: Okun's Law suggests a 2% GDP decline corresponds to approximately 1 percentage point increase in unemployment. Technology sector employment represents roughly 3% of total non-farm payrolls but contributes disproportionately to high-wage job growth.</w:t>
      </w:r>
    </w:p>
    <w:p>
      <w:pPr>
        <w:pStyle w:val="Heading2"/>
      </w:pPr>
      <w:r>
        <w:t xml:space="preserve">3.3 Inflation Dynamics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Inflation Metric</w:t>
            </w:r>
          </w:p>
        </w:tc>
        <w:tc>
          <w:tcPr>
            <w:tcW w:type="dxa" w:w="30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Scenario</w:t>
            </w:r>
          </w:p>
        </w:tc>
        <w:tc>
          <w:tcPr>
            <w:tcW w:type="dxa" w:w="30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Scenario</w:t>
            </w:r>
          </w:p>
        </w:tc>
      </w:tr>
      <w:tr>
        <w:tc>
          <w:tcPr>
            <w:tcW w:type="dxa" w:w="3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Core CPI (Y/Y)</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2.8% → 2.4%</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2.8% → 1.8%</w:t>
            </w:r>
          </w:p>
        </w:tc>
      </w:tr>
      <w:tr>
        <w:tc>
          <w:tcPr>
            <w:tcW w:type="dxa" w:w="3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Core PCE (Y/Y)</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2.7% → 2.3%</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2.7% → 1.6%</w:t>
            </w:r>
          </w:p>
        </w:tc>
      </w:tr>
      <w:tr>
        <w:tc>
          <w:tcPr>
            <w:tcW w:type="dxa" w:w="3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Services Inflation</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Moderate deceleration</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Sharp deceleration</w:t>
            </w:r>
          </w:p>
        </w:tc>
      </w:tr>
      <w:tr>
        <w:tc>
          <w:tcPr>
            <w:tcW w:type="dxa" w:w="3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Breakeven Inflation (10Y)</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2.1% → 1.9%</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2.1% → 1.5%</w:t>
            </w:r>
          </w:p>
        </w:tc>
      </w:tr>
    </w:tbl>
    <w:p>
      <w:pPr>
        <w:pStyle w:val="Heading2"/>
      </w:pPr>
      <w:r>
        <w:t xml:space="preserve">3.4 Federal Reserve Policy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Fed Policy</w:t>
            </w:r>
          </w:p>
        </w:tc>
        <w:tc>
          <w:tcPr>
            <w:tcW w:type="dxa" w:w="30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Scenario</w:t>
            </w:r>
          </w:p>
        </w:tc>
        <w:tc>
          <w:tcPr>
            <w:tcW w:type="dxa" w:w="30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Scenario</w:t>
            </w:r>
          </w:p>
        </w:tc>
      </w:tr>
      <w:tr>
        <w:tc>
          <w:tcPr>
            <w:tcW w:type="dxa" w:w="3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Fed Funds Rate Path</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Hold → -50bps cut</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-150bps to -200bps cuts</w:t>
            </w:r>
          </w:p>
        </w:tc>
      </w:tr>
      <w:tr>
        <w:tc>
          <w:tcPr>
            <w:tcW w:type="dxa" w:w="3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Terminal Rate</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4.25% - 4.50%</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2.75% - 3.25%</w:t>
            </w:r>
          </w:p>
        </w:tc>
      </w:tr>
      <w:tr>
        <w:tc>
          <w:tcPr>
            <w:tcW w:type="dxa" w:w="3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Balance Sheet Policy</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QT pause</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QT reversal, possible QE</w:t>
            </w:r>
          </w:p>
        </w:tc>
      </w:tr>
      <w:tr>
        <w:tc>
          <w:tcPr>
            <w:tcW w:type="dxa" w:w="3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Forward Guidance</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Data-dependent easing bias</w:t>
            </w:r>
          </w:p>
        </w:tc>
        <w:tc>
          <w:tcPr>
            <w:tcW w:type="dxa" w:w="30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Explicit easing commitment</w:t>
            </w:r>
          </w:p>
        </w:tc>
      </w:tr>
      <w:tr>
        <w:tc>
          <w:tcPr>
            <w:tcW w:type="dxa" w:w="3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Credit Facilities</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None activated</w:t>
            </w:r>
          </w:p>
        </w:tc>
        <w:tc>
          <w:tcPr>
            <w:tcW w:type="dxa" w:w="30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Corporate credit facilities</w:t>
            </w:r>
          </w:p>
        </w:tc>
      </w:tr>
    </w:tbl>
    <w:p>
      <w:pPr>
        <w:pStyle w:val="Heading2"/>
      </w:pPr>
      <w:r>
        <w:t xml:space="preserve">3.5 Interest Rate Shock Paths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Rate/Spread</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Current</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Fed Funds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4.50%-4.75%</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4.00%-4.25%</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2.75%-3.25%</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2Y Treasury</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4.35%</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3.75%</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2.50%</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5Y Treasury</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4.25%</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3.60%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2.40%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10Y Treasury</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4.40%</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3.80%</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2.80%</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30Y Treasury</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4.55%</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4.10%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3.20%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IG Spread (OAS)</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~100 bps</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+60-80 bps</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+150-200 bps</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HY Spread (OAS)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~300 bps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+200-250 bps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+450-550 bps</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VIX Index</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45-55</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65-80</w:t>
            </w:r>
          </w:p>
        </w:tc>
      </w:tr>
    </w:tbl>
    <w:p>
      <w:r>
        <w:br w:type="page"/>
      </w:r>
    </w:p>
    <w:p>
      <w:pPr>
        <w:pStyle w:val="Heading1"/>
      </w:pPr>
      <w:r>
        <w:t xml:space="preserve">4. Asset Class-Specific Shocks</w:t>
      </w:r>
    </w:p>
    <w:p>
      <w:pPr>
        <w:pStyle w:val="Heading2"/>
      </w:pPr>
      <w:r>
        <w:t xml:space="preserve">4.1 Equity Markets</w:t>
      </w:r>
    </w:p>
    <w:p>
      <w:pPr>
        <w:pStyle w:val="Heading3"/>
      </w:pPr>
      <w:r>
        <w:t xml:space="preserve">4.1.1 Broad Index Returns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60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Index</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(10 days)</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(60 days)</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S&amp;P 500</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-15% to -18%</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-32% to -38%</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Nasdaq Composite</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-22% to -26%</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-42% to -50%</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Russell 2000</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-18% to -22%</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-38% to -45%</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MSCI EAFE</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-12% to -15%</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-25% to -32%</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MSCI Emerging Markets</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-14% to -18%</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 to -38%</w:t>
            </w:r>
          </w:p>
        </w:tc>
      </w:tr>
    </w:tbl>
    <w:p>
      <w:pPr>
        <w:spacing w:before="200"/>
      </w:pPr>
      <w:r>
        <w:rPr>
          <w:rFonts w:ascii="Arial" w:cs="Arial" w:eastAsia="Arial" w:hAnsi="Arial"/>
          <w:sz w:val="22"/>
          <w:szCs w:val="22"/>
        </w:rPr>
        <w:t xml:space="preserve">Decomposition of S&amp;P 500 decline:</w:t>
      </w:r>
    </w:p>
    <w:p>
      <w:pPr>
        <w:pStyle w:val="ListParagraph"/>
        <w:numPr>
          <w:ilvl w:val="0"/>
          <w:numId w:val="2"/>
        </w:numPr>
        <w:spacing w:after="60"/>
      </w:pPr>
      <w:r>
        <w:rPr>
          <w:rFonts w:ascii="Arial" w:cs="Arial" w:eastAsia="Arial" w:hAnsi="Arial"/>
          <w:sz w:val="22"/>
          <w:szCs w:val="22"/>
        </w:rPr>
        <w:t xml:space="preserve">Moderate: ~80% multiple compression, ~20% earnings revision</w:t>
      </w:r>
    </w:p>
    <w:p>
      <w:pPr>
        <w:pStyle w:val="ListParagraph"/>
        <w:numPr>
          <w:ilvl w:val="0"/>
          <w:numId w:val="2"/>
        </w:numPr>
        <w:spacing w:after="120"/>
      </w:pPr>
      <w:r>
        <w:rPr>
          <w:rFonts w:ascii="Arial" w:cs="Arial" w:eastAsia="Arial" w:hAnsi="Arial"/>
          <w:sz w:val="22"/>
          <w:szCs w:val="22"/>
        </w:rPr>
        <w:t xml:space="preserve">Severe: ~55% multiple compression, ~45% earnings deterioration</w:t>
      </w:r>
    </w:p>
    <w:p>
      <w:pPr>
        <w:pStyle w:val="Heading3"/>
      </w:pPr>
      <w:r>
        <w:t xml:space="preserve">4.1.2 Sector-Level Equity Shocks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rPr>
          <w:tblHeader/>
        </w:trPr>
        <w:tc>
          <w:tcPr>
            <w:tcW w:type="dxa" w:w="2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Sector</w:t>
            </w:r>
          </w:p>
        </w:tc>
        <w:tc>
          <w:tcPr>
            <w:tcW w:type="dxa" w:w="21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w:t>
            </w:r>
          </w:p>
        </w:tc>
        <w:tc>
          <w:tcPr>
            <w:tcW w:type="dxa" w:w="21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w:t>
            </w:r>
          </w:p>
        </w:tc>
        <w:tc>
          <w:tcPr>
            <w:tcW w:type="dxa" w:w="236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Primary Driver</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Technology</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 to -30%</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-48% to -55%</w:t>
            </w:r>
          </w:p>
        </w:tc>
        <w:tc>
          <w:tcPr>
            <w:tcW w:type="dxa" w:w="2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Multiple + Earnings</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Communication Services</w:t>
            </w:r>
          </w:p>
        </w:tc>
        <w:tc>
          <w:tcPr>
            <w:tcW w:type="dxa" w:w="2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-20% to -24%</w:t>
            </w:r>
          </w:p>
        </w:tc>
        <w:tc>
          <w:tcPr>
            <w:tcW w:type="dxa" w:w="2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-40% to -48%</w:t>
            </w:r>
          </w:p>
        </w:tc>
        <w:tc>
          <w:tcPr>
            <w:tcW w:type="dxa" w:w="2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Multiple + Earnings</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Consumer Discretionary</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-18% to -22%</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-38% to -45%</w:t>
            </w:r>
          </w:p>
        </w:tc>
        <w:tc>
          <w:tcPr>
            <w:tcW w:type="dxa" w:w="2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Earnings</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Financials</w:t>
            </w:r>
          </w:p>
        </w:tc>
        <w:tc>
          <w:tcPr>
            <w:tcW w:type="dxa" w:w="2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 to -18%</w:t>
            </w:r>
          </w:p>
        </w:tc>
        <w:tc>
          <w:tcPr>
            <w:tcW w:type="dxa" w:w="2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-32% to -40%</w:t>
            </w:r>
          </w:p>
        </w:tc>
        <w:tc>
          <w:tcPr>
            <w:tcW w:type="dxa" w:w="2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Earnings + Credit</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Industrials</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-14% to -17%</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 to -36%</w:t>
            </w:r>
          </w:p>
        </w:tc>
        <w:tc>
          <w:tcPr>
            <w:tcW w:type="dxa" w:w="2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Earnings</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Healthcare</w:t>
            </w:r>
          </w:p>
        </w:tc>
        <w:tc>
          <w:tcPr>
            <w:tcW w:type="dxa" w:w="2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 to -13%</w:t>
            </w:r>
          </w:p>
        </w:tc>
        <w:tc>
          <w:tcPr>
            <w:tcW w:type="dxa" w:w="2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-22% to -28%</w:t>
            </w:r>
          </w:p>
        </w:tc>
        <w:tc>
          <w:tcPr>
            <w:tcW w:type="dxa" w:w="2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Multiple</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Consumer Staples</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-8% to -11%</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-18% to -24%</w:t>
            </w:r>
          </w:p>
        </w:tc>
        <w:tc>
          <w:tcPr>
            <w:tcW w:type="dxa" w:w="2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Multiple</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Energy</w:t>
            </w:r>
          </w:p>
        </w:tc>
        <w:tc>
          <w:tcPr>
            <w:tcW w:type="dxa" w:w="2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-12% to -16%</w:t>
            </w:r>
          </w:p>
        </w:tc>
        <w:tc>
          <w:tcPr>
            <w:tcW w:type="dxa" w:w="2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-28% to -35%</w:t>
            </w:r>
          </w:p>
        </w:tc>
        <w:tc>
          <w:tcPr>
            <w:tcW w:type="dxa" w:w="2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Commodity + Earnings</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Materials</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-14% to -17%</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-28% to -34%</w:t>
            </w:r>
          </w:p>
        </w:tc>
        <w:tc>
          <w:tcPr>
            <w:tcW w:type="dxa" w:w="2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Commodity + Earnings</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Utilities</w:t>
            </w:r>
          </w:p>
        </w:tc>
        <w:tc>
          <w:tcPr>
            <w:tcW w:type="dxa" w:w="2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 to -9%</w:t>
            </w:r>
          </w:p>
        </w:tc>
        <w:tc>
          <w:tcPr>
            <w:tcW w:type="dxa" w:w="2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 to -20%</w:t>
            </w:r>
          </w:p>
        </w:tc>
        <w:tc>
          <w:tcPr>
            <w:tcW w:type="dxa" w:w="2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Multiple</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Real Estate</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-12% to -15%</w:t>
            </w:r>
          </w:p>
        </w:tc>
        <w:tc>
          <w:tcPr>
            <w:tcW w:type="dxa" w:w="2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-28% to -35%</w:t>
            </w:r>
          </w:p>
        </w:tc>
        <w:tc>
          <w:tcPr>
            <w:tcW w:type="dxa" w:w="2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Multiple + Rates</w:t>
            </w:r>
          </w:p>
        </w:tc>
      </w:tr>
    </w:tbl>
    <w:p>
      <w:pPr>
        <w:pStyle w:val="Heading2"/>
      </w:pPr>
      <w:r>
        <w:t xml:space="preserve">4.2 Fixed Income Markets</w:t>
      </w:r>
    </w:p>
    <w:p>
      <w:pPr>
        <w:pStyle w:val="Heading3"/>
      </w:pPr>
      <w:r>
        <w:t xml:space="preserve">4.2.1 Treasury Curve Shifts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Maturity</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Current Yield</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Δ</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Δ</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2-Year</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4.35%</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-60 bps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-185 bps</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5-Year</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4.25%</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-65 bps</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-185 bps</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10-Year</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4.40%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-60 bps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-160 bps</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30-Year</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4.55%</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-45 bps</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-135 bps</w:t>
            </w:r>
          </w:p>
        </w:tc>
      </w:tr>
    </w:tbl>
    <w:p>
      <w:pPr>
        <w:spacing w:before="200"/>
      </w:pPr>
      <w:r>
        <w:rPr>
          <w:rFonts w:ascii="Arial" w:cs="Arial" w:eastAsia="Arial" w:hAnsi="Arial"/>
          <w:sz w:val="22"/>
          <w:szCs w:val="22"/>
        </w:rPr>
        <w:t xml:space="preserve">Curve dynamics: Bull steepening in Moderate scenario (front-end rallies more); Bull flattening in Severe scenario as long-end catches down to aggressive rate cut expectations.</w:t>
      </w:r>
    </w:p>
    <w:p>
      <w:pPr>
        <w:pStyle w:val="Heading3"/>
      </w:pPr>
      <w:r>
        <w:t xml:space="preserve">4.2.2 Credit Spread Widening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60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Credit Category</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Spread Δ</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Spread Δ</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Investment Grade (Broad)</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+60-80 bps</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+150-200 bps</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High Yield BB</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+120-150 bps</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+300-400 bps</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High Yield B</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+180-220 bps</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+450-550 bps</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High Yield CCC</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+350-450 bps</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+800-1000 bps</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Agency MBS (OAS)</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+15-25 bps</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+50-80 bps</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Non-Agency MBS</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+100-150 bps</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+300-400 bps</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Municipal (General Obligation)</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+20-30 bps</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+60-90 bps</w:t>
            </w:r>
          </w:p>
        </w:tc>
      </w:tr>
    </w:tbl>
    <w:p>
      <w:pPr>
        <w:pStyle w:val="Heading3"/>
      </w:pPr>
      <w:r>
        <w:t xml:space="preserve">4.2.3 Sector-Specific Credit Overlays</w:t>
      </w:r>
    </w:p>
    <w:p>
      <w:pPr>
        <w:spacing w:before="120" w:after="120"/>
      </w:pPr>
      <w:r>
        <w:rPr>
          <w:rFonts w:ascii="Arial" w:cs="Arial" w:eastAsia="Arial" w:hAnsi="Arial"/>
          <w:sz w:val="22"/>
          <w:szCs w:val="22"/>
        </w:rPr>
        <w:t xml:space="preserve">Technology sector credit spreads warrant differentiated treatment given direct AI exposure: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560"/>
        <w:gridCol w:w="1600"/>
      </w:tblGrid>
      <w:tr>
        <w:trPr>
          <w:tblHeader/>
        </w:trPr>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Sector (GICS)</w:t>
            </w:r>
          </w:p>
        </w:tc>
        <w:tc>
          <w:tcPr>
            <w:tcW w:type="dxa" w:w="1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IG Mod Δ</w:t>
            </w:r>
          </w:p>
        </w:tc>
        <w:tc>
          <w:tcPr>
            <w:tcW w:type="dxa" w:w="1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IG Sev Δ</w:t>
            </w:r>
          </w:p>
        </w:tc>
        <w:tc>
          <w:tcPr>
            <w:tcW w:type="dxa" w:w="156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HY Mod Δ</w:t>
            </w:r>
          </w:p>
        </w:tc>
        <w:tc>
          <w:tcPr>
            <w:tcW w:type="dxa" w:w="1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HY Sev Δ</w:t>
            </w:r>
          </w:p>
        </w:tc>
      </w:tr>
      <w:tr>
        <w:tc>
          <w:tcPr>
            <w:tcW w:type="dxa" w:w="26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Semiconductors (45301010, 45301020)</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+100-130 bps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+250-320 bps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+350-450 bps</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+700-900 bps</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Software (45103010, 45103020)</w:t>
            </w:r>
          </w:p>
        </w:tc>
        <w:tc>
          <w:tcPr>
            <w:tcW w:type="dxa" w:w="18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+90-120 bps</w:t>
            </w:r>
          </w:p>
        </w:tc>
        <w:tc>
          <w:tcPr>
            <w:tcW w:type="dxa" w:w="18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+220-280 bps</w:t>
            </w:r>
          </w:p>
        </w:tc>
        <w:tc>
          <w:tcPr>
            <w:tcW w:type="dxa" w:w="15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+300-400 bps</w:t>
            </w:r>
          </w:p>
        </w:tc>
        <w:tc>
          <w:tcPr>
            <w:tcW w:type="dxa" w:w="1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+600-800 bps</w:t>
            </w:r>
          </w:p>
        </w:tc>
      </w:tr>
      <w:tr>
        <w:tc>
          <w:tcPr>
            <w:tcW w:type="dxa" w:w="26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IT Services (45102010)</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+75-100 bps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+180-240 bps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+250-350 bps</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+500-700 bps</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Communications Equipment (45201020)</w:t>
            </w:r>
          </w:p>
        </w:tc>
        <w:tc>
          <w:tcPr>
            <w:tcW w:type="dxa" w:w="18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+85-115 bps</w:t>
            </w:r>
          </w:p>
        </w:tc>
        <w:tc>
          <w:tcPr>
            <w:tcW w:type="dxa" w:w="18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+200-260 bps</w:t>
            </w:r>
          </w:p>
        </w:tc>
        <w:tc>
          <w:tcPr>
            <w:tcW w:type="dxa" w:w="15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+280-380 bps</w:t>
            </w:r>
          </w:p>
        </w:tc>
        <w:tc>
          <w:tcPr>
            <w:tcW w:type="dxa" w:w="1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+550-750 bps</w:t>
            </w:r>
          </w:p>
        </w:tc>
      </w:tr>
    </w:tbl>
    <w:p>
      <w:pPr>
        <w:spacing w:before="200"/>
      </w:pPr>
      <w:r>
        <w:rPr>
          <w:rFonts w:ascii="Arial" w:cs="Arial" w:eastAsia="Arial" w:hAnsi="Arial"/>
          <w:sz w:val="22"/>
          <w:szCs w:val="22"/>
        </w:rPr>
        <w:t xml:space="preserve">Rationale for semiconductor/software differentiation: Semiconductor issuers face both demand destruction (AI infrastructure capex pullback) and supply chain vulnerabilities; software issuers face subscription revenue pressure but generally carry lower leverage and more recurring revenue. Historical beta of semiconductor credit to market stress is approximately 1.3x vs. broad IG.</w:t>
      </w:r>
    </w:p>
    <w:p>
      <w:pPr>
        <w:pStyle w:val="Heading2"/>
      </w:pPr>
      <w:r>
        <w:t xml:space="preserve">4.3 Alternative Asset Classes</w:t>
      </w:r>
    </w:p>
    <w:p>
      <w:pPr>
        <w:pStyle w:val="Heading3"/>
      </w:pPr>
      <w:r>
        <w:t xml:space="preserve">4.3.1 Private Equity &amp; Venture Capital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60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PE/VC Category</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Impact</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Impact</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Buyout Funds (Large Cap)</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-12% to -18% NAV</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 to -35% NAV</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Growth Equity</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-18% to -25% NAV</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-35% to -50% NAV</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VC - Seed Stage</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-15% to -25% NAV</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 to -50% NAV</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VC - Series A-C</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-25% to -35% NAV</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-45% to -60% NAV</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VC - Late Stage/Pre-IPO</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 to -45% NAV</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-55% to -70% NAV</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Exit Market Activity</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-40% vs. baseline</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-70% vs. baseline</w:t>
            </w:r>
          </w:p>
        </w:tc>
      </w:tr>
    </w:tbl>
    <w:p>
      <w:pPr>
        <w:pStyle w:val="Heading3"/>
      </w:pPr>
      <w:r>
        <w:t xml:space="preserve">4.3.2 Real Estate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60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Property Type</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Impact</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Impact</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Office (Urban Core)</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-8% to -12%</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 to -30%</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Office (Suburban)</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 to -10%</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 to -25%</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Retail (Regional Malls)</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-10% to -15%</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 to -35%</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Industrial/Logistics</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 to -8%</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-12% to -18%</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Multifamily</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 to -7%</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-10% to -16%</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Data Centers</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 to -22%</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 to -40%</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Residential (Single Family)</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 to -6%</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-8% to -14%</w:t>
            </w:r>
          </w:p>
        </w:tc>
      </w:tr>
    </w:tbl>
    <w:p>
      <w:pPr>
        <w:pStyle w:val="Heading3"/>
      </w:pPr>
      <w:r>
        <w:t xml:space="preserve">4.3.3 Commodities &amp; Digital Assets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60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Asset</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Impact</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Impact</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Gold (spot)</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 to +12%</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+15% to +25%</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WTI Crude Oil</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 to -22%</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 to -45%</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Copper</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-12% to -18%</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 to -35%</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Bitcoin</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-35% to -50%</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-60% to -75%</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Ethereum</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-40% to -55%</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-65% to -80%</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AI-Related Tokens</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-55% to -70%</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-80% to -90%</w:t>
            </w:r>
          </w:p>
        </w:tc>
      </w:tr>
    </w:tbl>
    <w:p>
      <w:r>
        <w:br w:type="page"/>
      </w:r>
    </w:p>
    <w:p>
      <w:pPr>
        <w:pStyle w:val="Heading1"/>
      </w:pPr>
      <w:r>
        <w:t xml:space="preserve">5. Custom AI ETF Construction</w:t>
      </w:r>
    </w:p>
    <w:p>
      <w:pPr>
        <w:pStyle w:val="Heading2"/>
      </w:pPr>
      <w:r>
        <w:t xml:space="preserve">5.1 Portfolio Composition</w:t>
      </w:r>
    </w:p>
    <w:p>
      <w:pPr>
        <w:spacing w:before="120" w:after="120"/>
      </w:pPr>
      <w:r>
        <w:rPr>
          <w:rFonts w:ascii="Arial" w:cs="Arial" w:eastAsia="Arial" w:hAnsi="Arial"/>
          <w:sz w:val="22"/>
          <w:szCs w:val="22"/>
        </w:rPr>
        <w:t xml:space="preserve">The following custom AI ETF is designed to quantify direct AI exposure across the technology value chain. Constituents are weighted by AI revenue exposure, market capitalization, and strategic positioning within the AI ecosystem.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950"/>
        <w:gridCol w:w="1100"/>
        <w:gridCol w:w="1100"/>
        <w:gridCol w:w="1200"/>
        <w:gridCol w:w="1200"/>
        <w:gridCol w:w="1410"/>
      </w:tblGrid>
      <w:tr>
        <w:trPr>
          <w:tblHeader/>
        </w:trPr>
        <w:tc>
          <w:tcPr>
            <w:tcW w:type="dxa" w:w="14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Ticker</w:t>
            </w:r>
          </w:p>
        </w:tc>
        <w:tc>
          <w:tcPr>
            <w:tcW w:type="dxa" w:w="195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Company</w:t>
            </w:r>
          </w:p>
        </w:tc>
        <w:tc>
          <w:tcPr>
            <w:tcW w:type="dxa" w:w="11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Weight</w:t>
            </w:r>
          </w:p>
        </w:tc>
        <w:tc>
          <w:tcPr>
            <w:tcW w:type="dxa" w:w="11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AI Rev %</w:t>
            </w:r>
          </w:p>
        </w:tc>
        <w:tc>
          <w:tcPr>
            <w:tcW w:type="dxa" w:w="1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Fwd P/E</w:t>
            </w:r>
          </w:p>
        </w:tc>
        <w:tc>
          <w:tcPr>
            <w:tcW w:type="dxa" w:w="1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 Shock</w:t>
            </w:r>
          </w:p>
        </w:tc>
        <w:tc>
          <w:tcPr>
            <w:tcW w:type="dxa" w:w="141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 Shock</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NVDA</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NVIDIA Corp</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12.0%</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85%</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-38%</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-62%</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AMD</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Advanced Micro Devices</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6.0%</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45%</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28x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-35%</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-58%</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AVGO</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Broadcom Inc</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5.5%</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24x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-32%</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-52%</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MRVL</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Marvell Technology</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55%</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32x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-36%</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-60%</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ARM</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Arm Holdings</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85x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-42%</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-68%</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MSFT</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Microsoft Corp</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10.0%</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32x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-28%</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-48%</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GOOGL</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Alphabet Inc</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8.0%</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22x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-26%</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AMZN</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Amazon.com Inc</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7.0%</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28%</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38x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-50%</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META</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Meta Platforms</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5.0%</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-28%</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-48%</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CRM</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Salesforce Inc</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4.0%</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28x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-25%</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-45%</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NOW</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ServiceNow Inc</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55x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-52%</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PLTR</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Palantir Technologies</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70%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120x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-45%</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-70%</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SNOW</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Snowflake Inc</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75x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-38%</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-62%</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DELL</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Dell Technologies</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25%</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14x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-22%</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-40%</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HPE</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Hewlett Packard Ent</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10x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-18%</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SMCI</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Super Micro Computer</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2.5%</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75%</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-40%</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-65%</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ORCL</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Oracle Corp</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4.0%</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18%</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22x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-38%</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IBM</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IBM Corp</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2.5%</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18x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-32%</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ADBE</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Adobe Inc</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22%</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28x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-26%</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ASML</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ASML Holding</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3.5%</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32x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-32%</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-55%</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AMAT</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Applied Materials</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2.5%</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-28%</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-48%</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LRCX</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Lam Research</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2.0%</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22x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-28%</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-48%</w:t>
            </w:r>
          </w:p>
        </w:tc>
      </w:tr>
      <w:tr>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MU</w:t>
            </w:r>
          </w:p>
        </w:tc>
        <w:tc>
          <w:tcPr>
            <w:tcW w:type="dxa" w:w="195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Micron Technology</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w:t>
            </w:r>
          </w:p>
        </w:tc>
        <w:tc>
          <w:tcPr>
            <w:tcW w:type="dxa" w:w="11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12x</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w:t>
            </w:r>
          </w:p>
        </w:tc>
        <w:tc>
          <w:tcPr>
            <w:tcW w:type="dxa" w:w="141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-52%</w:t>
            </w:r>
          </w:p>
        </w:tc>
      </w:tr>
      <w:tr>
        <w:tc>
          <w:tcPr>
            <w:tcW w:type="dxa" w:w="14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TSM</w:t>
            </w:r>
          </w:p>
        </w:tc>
        <w:tc>
          <w:tcPr>
            <w:tcW w:type="dxa" w:w="195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Taiwan Semiconductor</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5.0%</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55%</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22x</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w:t>
            </w:r>
          </w:p>
        </w:tc>
        <w:tc>
          <w:tcPr>
            <w:tcW w:type="dxa" w:w="141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-52%</w:t>
            </w:r>
          </w:p>
        </w:tc>
      </w:tr>
    </w:tbl>
    <w:p>
      <w:pPr>
        <w:pStyle w:val="Heading2"/>
      </w:pPr>
      <w:r>
        <w:t xml:space="preserve">5.2 Portfolio-Level Impact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Custom AI ETF Total Return</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-30.2%</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-52.8%</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S&amp;P 500 Comparison</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-16.5%</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-35.0%</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Relative Underperformance vs. S&amp;P 500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-13.7%</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-17.8%</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Nasdaq Composite Comparison</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-24.0%</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-46.0%</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AI ETF Beta to S&amp;P 500 (stressed)</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1.83</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1.51</w:t>
            </w:r>
          </w:p>
        </w:tc>
      </w:tr>
    </w:tbl>
    <w:p>
      <w:pPr>
        <w:spacing w:before="200"/>
      </w:pPr>
      <w:r>
        <w:rPr>
          <w:rFonts w:ascii="Arial" w:cs="Arial" w:eastAsia="Arial" w:hAnsi="Arial"/>
          <w:sz w:val="22"/>
          <w:szCs w:val="22"/>
        </w:rPr>
        <w:t xml:space="preserve">The AI ETF exhibits significantly higher beta during stress episodes due to: (1) concentration in high-valuation names with earnings sensitivity; (2) supply chain interconnectedness creating correlation spikes; (3) investor positioning crowding in momentum names; and (4) options market gamma effects amplifying moves in large-cap tech.</w:t>
      </w:r>
    </w:p>
    <w:p>
      <w:r>
        <w:br w:type="page"/>
      </w:r>
    </w:p>
    <w:p>
      <w:pPr>
        <w:pStyle w:val="Heading1"/>
      </w:pPr>
      <w:r>
        <w:t xml:space="preserve">6. Transmission Mechanisms &amp; Causality Chains</w:t>
      </w:r>
    </w:p>
    <w:p>
      <w:pPr>
        <w:pStyle w:val="Heading2"/>
      </w:pPr>
      <w:r>
        <w:t xml:space="preserve">6.1 Phase 1: Initial Trigger (Days 1-3)</w:t>
      </w:r>
    </w:p>
    <w:p>
      <w:pPr>
        <w:spacing w:before="120" w:after="120"/>
      </w:pPr>
      <w:r>
        <w:rPr>
          <w:rFonts w:ascii="Arial" w:cs="Arial" w:eastAsia="Arial" w:hAnsi="Arial"/>
          <w:sz w:val="22"/>
          <w:szCs w:val="22"/>
        </w:rPr>
        <w:t xml:space="preserve">The correction initiates with one or more catalysts affecting AI valuation narratives:</w:t>
      </w:r>
    </w:p>
    <w:p>
      <w:pPr>
        <w:pStyle w:val="ListParagraph"/>
        <w:numPr>
          <w:ilvl w:val="0"/>
          <w:numId w:val="2"/>
        </w:numPr>
        <w:spacing w:after="60"/>
      </w:pPr>
      <w:r>
        <w:rPr>
          <w:rFonts w:ascii="Arial" w:cs="Arial" w:eastAsia="Arial" w:hAnsi="Arial"/>
          <w:sz w:val="22"/>
          <w:szCs w:val="22"/>
        </w:rPr>
        <w:t xml:space="preserve">Primary trigger: Major hyperscaler announces reduced AI infrastructure capex guidance</w:t>
      </w:r>
    </w:p>
    <w:p>
      <w:pPr>
        <w:pStyle w:val="ListParagraph"/>
        <w:numPr>
          <w:ilvl w:val="0"/>
          <w:numId w:val="2"/>
        </w:numPr>
        <w:spacing w:after="60"/>
      </w:pPr>
      <w:r>
        <w:rPr>
          <w:rFonts w:ascii="Arial" w:cs="Arial" w:eastAsia="Arial" w:hAnsi="Arial"/>
          <w:sz w:val="22"/>
          <w:szCs w:val="22"/>
        </w:rPr>
        <w:t xml:space="preserve">Secondary triggers: Earnings miss from key AI semiconductor name; regulatory action on AI safety</w:t>
      </w:r>
    </w:p>
    <w:p>
      <w:pPr>
        <w:pStyle w:val="ListParagraph"/>
        <w:numPr>
          <w:ilvl w:val="0"/>
          <w:numId w:val="2"/>
        </w:numPr>
        <w:spacing w:after="120"/>
      </w:pPr>
      <w:r>
        <w:rPr>
          <w:rFonts w:ascii="Arial" w:cs="Arial" w:eastAsia="Arial" w:hAnsi="Arial"/>
          <w:sz w:val="22"/>
          <w:szCs w:val="22"/>
        </w:rPr>
        <w:t xml:space="preserve">Immediate market response: AI leaders decline 8-15% intraday; VIX spikes 40-60%</w:t>
      </w:r>
    </w:p>
    <w:p>
      <w:pPr>
        <w:pStyle w:val="Heading2"/>
      </w:pPr>
      <w:r>
        <w:t xml:space="preserve">6.2 Phase 2: Contagion &amp; Deleveraging (Days 3-10)</w:t>
      </w:r>
    </w:p>
    <w:p>
      <w:pPr>
        <w:spacing w:before="120" w:after="120"/>
      </w:pPr>
      <w:r>
        <w:rPr>
          <w:rFonts w:ascii="Arial" w:cs="Arial" w:eastAsia="Arial" w:hAnsi="Arial"/>
          <w:sz w:val="22"/>
          <w:szCs w:val="22"/>
        </w:rPr>
        <w:t xml:space="preserve">Second-order effects emerge as risk management protocols activate:</w:t>
      </w:r>
    </w:p>
    <w:p>
      <w:pPr>
        <w:pStyle w:val="ListParagraph"/>
        <w:numPr>
          <w:ilvl w:val="0"/>
          <w:numId w:val="2"/>
        </w:numPr>
        <w:spacing w:after="60"/>
      </w:pPr>
      <w:r>
        <w:rPr>
          <w:rFonts w:ascii="Arial" w:cs="Arial" w:eastAsia="Arial" w:hAnsi="Arial"/>
          <w:sz w:val="22"/>
          <w:szCs w:val="22"/>
        </w:rPr>
        <w:t xml:space="preserve">Margin calls: Prime brokers issue margin calls on leveraged long positions; hedge funds reduce gross exposure</w:t>
      </w:r>
    </w:p>
    <w:p>
      <w:pPr>
        <w:pStyle w:val="ListParagraph"/>
        <w:numPr>
          <w:ilvl w:val="0"/>
          <w:numId w:val="2"/>
        </w:numPr>
        <w:spacing w:after="60"/>
      </w:pPr>
      <w:r>
        <w:rPr>
          <w:rFonts w:ascii="Arial" w:cs="Arial" w:eastAsia="Arial" w:hAnsi="Arial"/>
          <w:sz w:val="22"/>
          <w:szCs w:val="22"/>
        </w:rPr>
        <w:t xml:space="preserve">Risk parity deleveraging: Volatility spike triggers mechanical selling across asset classes</w:t>
      </w:r>
    </w:p>
    <w:p>
      <w:pPr>
        <w:pStyle w:val="ListParagraph"/>
        <w:numPr>
          <w:ilvl w:val="0"/>
          <w:numId w:val="2"/>
        </w:numPr>
        <w:spacing w:after="60"/>
      </w:pPr>
      <w:r>
        <w:rPr>
          <w:rFonts w:ascii="Arial" w:cs="Arial" w:eastAsia="Arial" w:hAnsi="Arial"/>
          <w:sz w:val="22"/>
          <w:szCs w:val="22"/>
        </w:rPr>
        <w:t xml:space="preserve">Options hedging flows: Dealer gamma positioning amplifies moves; put buying creates negative gamma feedback</w:t>
      </w:r>
    </w:p>
    <w:p>
      <w:pPr>
        <w:pStyle w:val="ListParagraph"/>
        <w:numPr>
          <w:ilvl w:val="0"/>
          <w:numId w:val="2"/>
        </w:numPr>
        <w:spacing w:after="120"/>
      </w:pPr>
      <w:r>
        <w:rPr>
          <w:rFonts w:ascii="Arial" w:cs="Arial" w:eastAsia="Arial" w:hAnsi="Arial"/>
          <w:sz w:val="22"/>
          <w:szCs w:val="22"/>
        </w:rPr>
        <w:t xml:space="preserve">Correlation breakdown → convergence: Initial dispersion gives way to "sell everything" dynamics</w:t>
      </w:r>
    </w:p>
    <w:p>
      <w:pPr>
        <w:pStyle w:val="Heading2"/>
      </w:pPr>
      <w:r>
        <w:t xml:space="preserve">6.3 Phase 3: Credit Market Stress (Days 10-30, Severe Only)</w:t>
      </w:r>
    </w:p>
    <w:p>
      <w:pPr>
        <w:spacing w:before="120" w:after="120"/>
      </w:pPr>
      <w:r>
        <w:rPr>
          <w:rFonts w:ascii="Arial" w:cs="Arial" w:eastAsia="Arial" w:hAnsi="Arial"/>
          <w:sz w:val="22"/>
          <w:szCs w:val="22"/>
        </w:rPr>
        <w:t xml:space="preserve">Credit markets respond to equity stress with spread widening:</w:t>
      </w:r>
    </w:p>
    <w:p>
      <w:pPr>
        <w:pStyle w:val="ListParagraph"/>
        <w:numPr>
          <w:ilvl w:val="0"/>
          <w:numId w:val="2"/>
        </w:numPr>
        <w:spacing w:after="60"/>
      </w:pPr>
      <w:r>
        <w:rPr>
          <w:rFonts w:ascii="Arial" w:cs="Arial" w:eastAsia="Arial" w:hAnsi="Arial"/>
          <w:sz w:val="22"/>
          <w:szCs w:val="22"/>
        </w:rPr>
        <w:t xml:space="preserve">Primary market freeze: New issuance halts as investors demand higher spreads; pipeline deals pulled</w:t>
      </w:r>
    </w:p>
    <w:p>
      <w:pPr>
        <w:pStyle w:val="ListParagraph"/>
        <w:numPr>
          <w:ilvl w:val="0"/>
          <w:numId w:val="2"/>
        </w:numPr>
        <w:spacing w:after="60"/>
      </w:pPr>
      <w:r>
        <w:rPr>
          <w:rFonts w:ascii="Arial" w:cs="Arial" w:eastAsia="Arial" w:hAnsi="Arial"/>
          <w:sz w:val="22"/>
          <w:szCs w:val="22"/>
        </w:rPr>
        <w:t xml:space="preserve">Secondary market illiquidity: Bid-ask spreads widen 3-5x normal; dealer balance sheet constraints bind</w:t>
      </w:r>
    </w:p>
    <w:p>
      <w:pPr>
        <w:pStyle w:val="ListParagraph"/>
        <w:numPr>
          <w:ilvl w:val="0"/>
          <w:numId w:val="2"/>
        </w:numPr>
        <w:spacing w:after="60"/>
      </w:pPr>
      <w:r>
        <w:rPr>
          <w:rFonts w:ascii="Arial" w:cs="Arial" w:eastAsia="Arial" w:hAnsi="Arial"/>
          <w:sz w:val="22"/>
          <w:szCs w:val="22"/>
        </w:rPr>
        <w:t xml:space="preserve">ETF arbitrage breakdown: Credit ETF discounts to NAV reach 2-5% as authorized participants step back</w:t>
      </w:r>
    </w:p>
    <w:p>
      <w:pPr>
        <w:pStyle w:val="ListParagraph"/>
        <w:numPr>
          <w:ilvl w:val="0"/>
          <w:numId w:val="2"/>
        </w:numPr>
        <w:spacing w:after="120"/>
      </w:pPr>
      <w:r>
        <w:rPr>
          <w:rFonts w:ascii="Arial" w:cs="Arial" w:eastAsia="Arial" w:hAnsi="Arial"/>
          <w:sz w:val="22"/>
          <w:szCs w:val="22"/>
        </w:rPr>
        <w:t xml:space="preserve">Refinancing risk materialization: Lower-rated tech issuers face covenant breaches and maturity walls</w:t>
      </w:r>
    </w:p>
    <w:p>
      <w:pPr>
        <w:pStyle w:val="Heading2"/>
      </w:pPr>
      <w:r>
        <w:t xml:space="preserve">6.4 Phase 4: Economic Feedback (Days 30-60, Severe Only)</w:t>
      </w:r>
    </w:p>
    <w:p>
      <w:pPr>
        <w:spacing w:before="120" w:after="120"/>
      </w:pPr>
      <w:r>
        <w:rPr>
          <w:rFonts w:ascii="Arial" w:cs="Arial" w:eastAsia="Arial" w:hAnsi="Arial"/>
          <w:sz w:val="22"/>
          <w:szCs w:val="22"/>
        </w:rPr>
        <w:t xml:space="preserve">Market stress transmits to real economy:</w:t>
      </w:r>
    </w:p>
    <w:p>
      <w:pPr>
        <w:pStyle w:val="ListParagraph"/>
        <w:numPr>
          <w:ilvl w:val="0"/>
          <w:numId w:val="2"/>
        </w:numPr>
        <w:spacing w:after="60"/>
      </w:pPr>
      <w:r>
        <w:rPr>
          <w:rFonts w:ascii="Arial" w:cs="Arial" w:eastAsia="Arial" w:hAnsi="Arial"/>
          <w:sz w:val="22"/>
          <w:szCs w:val="22"/>
        </w:rPr>
        <w:t xml:space="preserve">Wealth effect contraction: Household net worth decline reduces consumption 3-5 cents per dollar</w:t>
      </w:r>
    </w:p>
    <w:p>
      <w:pPr>
        <w:pStyle w:val="ListParagraph"/>
        <w:numPr>
          <w:ilvl w:val="0"/>
          <w:numId w:val="2"/>
        </w:numPr>
        <w:spacing w:after="60"/>
      </w:pPr>
      <w:r>
        <w:rPr>
          <w:rFonts w:ascii="Arial" w:cs="Arial" w:eastAsia="Arial" w:hAnsi="Arial"/>
          <w:sz w:val="22"/>
          <w:szCs w:val="22"/>
        </w:rPr>
        <w:t xml:space="preserve">Capex retrenchment: Companies pause investment pending economic clarity; AI infrastructure spending deferred</w:t>
      </w:r>
    </w:p>
    <w:p>
      <w:pPr>
        <w:pStyle w:val="ListParagraph"/>
        <w:numPr>
          <w:ilvl w:val="0"/>
          <w:numId w:val="2"/>
        </w:numPr>
        <w:spacing w:after="60"/>
      </w:pPr>
      <w:r>
        <w:rPr>
          <w:rFonts w:ascii="Arial" w:cs="Arial" w:eastAsia="Arial" w:hAnsi="Arial"/>
          <w:sz w:val="22"/>
          <w:szCs w:val="22"/>
        </w:rPr>
        <w:t xml:space="preserve">Labor market softening: Tech layoffs begin; initial claims rise; consumer confidence plunges</w:t>
      </w:r>
    </w:p>
    <w:p>
      <w:pPr>
        <w:pStyle w:val="ListParagraph"/>
        <w:numPr>
          <w:ilvl w:val="0"/>
          <w:numId w:val="2"/>
        </w:numPr>
        <w:spacing w:after="120"/>
      </w:pPr>
      <w:r>
        <w:rPr>
          <w:rFonts w:ascii="Arial" w:cs="Arial" w:eastAsia="Arial" w:hAnsi="Arial"/>
          <w:sz w:val="22"/>
          <w:szCs w:val="22"/>
        </w:rPr>
        <w:t xml:space="preserve">Earnings revision cycle: Analysts cut S&amp;P 500 EPS estimates 10-15%; guidance lowered across sectors</w:t>
      </w:r>
    </w:p>
    <w:p>
      <w:pPr>
        <w:pStyle w:val="Heading2"/>
      </w:pPr>
      <w:r>
        <w:t xml:space="preserve">6.5 Feedback Loop Dynamics</w:t>
      </w:r>
    </w:p>
    <w:p>
      <w:pPr>
        <w:spacing w:before="120" w:after="120"/>
      </w:pPr>
      <w:r>
        <w:rPr>
          <w:rFonts w:ascii="Arial" w:cs="Arial" w:eastAsia="Arial" w:hAnsi="Arial"/>
          <w:sz w:val="22"/>
          <w:szCs w:val="22"/>
        </w:rPr>
        <w:t xml:space="preserve">Key feedback mechanisms that can amplify or dampen the correction:</w:t>
      </w:r>
    </w:p>
    <w:p>
      <w:pPr>
        <w:spacing w:before="200" w:after="100"/>
      </w:pPr>
      <w:r>
        <w:rPr>
          <w:rFonts w:ascii="Arial" w:cs="Arial" w:eastAsia="Arial" w:hAnsi="Arial"/>
          <w:b/>
          <w:bCs/>
          <w:sz w:val="22"/>
          <w:szCs w:val="22"/>
        </w:rPr>
        <w:t xml:space="preserve">Amplifying Feedback Loops:</w:t>
      </w:r>
    </w:p>
    <w:p>
      <w:pPr>
        <w:pStyle w:val="ListParagraph"/>
        <w:numPr>
          <w:ilvl w:val="0"/>
          <w:numId w:val="2"/>
        </w:numPr>
        <w:spacing w:after="60"/>
      </w:pPr>
      <w:r>
        <w:rPr>
          <w:rFonts w:ascii="Arial" w:cs="Arial" w:eastAsia="Arial" w:hAnsi="Arial"/>
          <w:sz w:val="22"/>
          <w:szCs w:val="22"/>
        </w:rPr>
        <w:t xml:space="preserve">Equity decline → Margin calls → Forced selling → Further decline</w:t>
      </w:r>
    </w:p>
    <w:p>
      <w:pPr>
        <w:pStyle w:val="ListParagraph"/>
        <w:numPr>
          <w:ilvl w:val="0"/>
          <w:numId w:val="2"/>
        </w:numPr>
        <w:spacing w:after="60"/>
      </w:pPr>
      <w:r>
        <w:rPr>
          <w:rFonts w:ascii="Arial" w:cs="Arial" w:eastAsia="Arial" w:hAnsi="Arial"/>
          <w:sz w:val="22"/>
          <w:szCs w:val="22"/>
        </w:rPr>
        <w:t xml:space="preserve">Credit spread widening → Higher borrowing costs → Earnings pressure → Credit spread widening</w:t>
      </w:r>
    </w:p>
    <w:p>
      <w:pPr>
        <w:pStyle w:val="ListParagraph"/>
        <w:numPr>
          <w:ilvl w:val="0"/>
          <w:numId w:val="2"/>
        </w:numPr>
        <w:spacing w:after="120"/>
      </w:pPr>
      <w:r>
        <w:rPr>
          <w:rFonts w:ascii="Arial" w:cs="Arial" w:eastAsia="Arial" w:hAnsi="Arial"/>
          <w:sz w:val="22"/>
          <w:szCs w:val="22"/>
        </w:rPr>
        <w:t xml:space="preserve">Volatility spike → Risk parity selling → Correlation spike → Further volatility</w:t>
      </w:r>
    </w:p>
    <w:p>
      <w:pPr>
        <w:spacing w:before="200" w:after="100"/>
      </w:pPr>
      <w:r>
        <w:rPr>
          <w:rFonts w:ascii="Arial" w:cs="Arial" w:eastAsia="Arial" w:hAnsi="Arial"/>
          <w:b/>
          <w:bCs/>
          <w:sz w:val="22"/>
          <w:szCs w:val="22"/>
        </w:rPr>
        <w:t xml:space="preserve">Dampening Feedback Loops:</w:t>
      </w:r>
    </w:p>
    <w:p>
      <w:pPr>
        <w:pStyle w:val="ListParagraph"/>
        <w:numPr>
          <w:ilvl w:val="0"/>
          <w:numId w:val="2"/>
        </w:numPr>
        <w:spacing w:after="60"/>
      </w:pPr>
      <w:r>
        <w:rPr>
          <w:rFonts w:ascii="Arial" w:cs="Arial" w:eastAsia="Arial" w:hAnsi="Arial"/>
          <w:sz w:val="22"/>
          <w:szCs w:val="22"/>
        </w:rPr>
        <w:t xml:space="preserve">Rate decline → Duration gains → Portfolio rebalancing into equities</w:t>
      </w:r>
    </w:p>
    <w:p>
      <w:pPr>
        <w:pStyle w:val="ListParagraph"/>
        <w:numPr>
          <w:ilvl w:val="0"/>
          <w:numId w:val="2"/>
        </w:numPr>
        <w:spacing w:after="60"/>
      </w:pPr>
      <w:r>
        <w:rPr>
          <w:rFonts w:ascii="Arial" w:cs="Arial" w:eastAsia="Arial" w:hAnsi="Arial"/>
          <w:sz w:val="22"/>
          <w:szCs w:val="22"/>
        </w:rPr>
        <w:t xml:space="preserve">Valuation compression → Value buying → Price support</w:t>
      </w:r>
    </w:p>
    <w:p>
      <w:pPr>
        <w:pStyle w:val="ListParagraph"/>
        <w:numPr>
          <w:ilvl w:val="0"/>
          <w:numId w:val="2"/>
        </w:numPr>
        <w:spacing w:after="120"/>
      </w:pPr>
      <w:r>
        <w:rPr>
          <w:rFonts w:ascii="Arial" w:cs="Arial" w:eastAsia="Arial" w:hAnsi="Arial"/>
          <w:sz w:val="22"/>
          <w:szCs w:val="22"/>
        </w:rPr>
        <w:t xml:space="preserve">Fed response → Rate cuts → Risk asset support</w:t>
      </w:r>
    </w:p>
    <w:p>
      <w:r>
        <w:br w:type="page"/>
      </w:r>
    </w:p>
    <w:p>
      <w:pPr>
        <w:pStyle w:val="Heading1"/>
      </w:pPr>
      <w:r>
        <w:t xml:space="preserve">7. Historical Precedents &amp; Calibration</w:t>
      </w:r>
    </w:p>
    <w:p>
      <w:pPr>
        <w:pStyle w:val="Heading2"/>
      </w:pPr>
      <w:r>
        <w:t xml:space="preserve">7.1 Dot-Com Bubble (2000-2002)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340"/>
        <w:gridCol w:w="2200"/>
        <w:gridCol w:w="2020"/>
      </w:tblGrid>
      <w:tr>
        <w:trPr>
          <w:tblHeader/>
        </w:trPr>
        <w:tc>
          <w:tcPr>
            <w:tcW w:type="dxa" w:w="2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Dot-Com</w:t>
            </w:r>
          </w:p>
        </w:tc>
        <w:tc>
          <w:tcPr>
            <w:tcW w:type="dxa" w:w="2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AI Moderate</w:t>
            </w:r>
          </w:p>
        </w:tc>
        <w:tc>
          <w:tcPr>
            <w:tcW w:type="dxa" w:w="202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AI Severe</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Peak CAPE Ratio</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44.2x</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39.0x (current)</w:t>
            </w:r>
          </w:p>
        </w:tc>
        <w:tc>
          <w:tcPr>
            <w:tcW w:type="dxa" w:w="20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39.0x (current)</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S&amp;P 500 Peak-to-Trough</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-49%</w:t>
            </w:r>
          </w:p>
        </w:tc>
        <w:tc>
          <w:tcPr>
            <w:tcW w:type="dxa" w:w="2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-16.5%</w:t>
            </w:r>
          </w:p>
        </w:tc>
        <w:tc>
          <w:tcPr>
            <w:tcW w:type="dxa" w:w="20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-35%</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Nasdaq Peak-to-Trough</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-78%</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-24%</w:t>
            </w:r>
          </w:p>
        </w:tc>
        <w:tc>
          <w:tcPr>
            <w:tcW w:type="dxa" w:w="20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-46%</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Duration to Trough</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 months</w:t>
            </w:r>
          </w:p>
        </w:tc>
        <w:tc>
          <w:tcPr>
            <w:tcW w:type="dxa" w:w="2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 days</w:t>
            </w:r>
          </w:p>
        </w:tc>
        <w:tc>
          <w:tcPr>
            <w:tcW w:type="dxa" w:w="20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60 days</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VIX Peak</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43</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45-55</w:t>
            </w:r>
          </w:p>
        </w:tc>
        <w:tc>
          <w:tcPr>
            <w:tcW w:type="dxa" w:w="20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65-80</w:t>
            </w:r>
          </w:p>
        </w:tc>
      </w:tr>
    </w:tbl>
    <w:p>
      <w:pPr>
        <w:spacing w:before="200"/>
      </w:pPr>
      <w:r>
        <w:rPr>
          <w:rFonts w:ascii="Arial" w:cs="Arial" w:eastAsia="Arial" w:hAnsi="Arial"/>
          <w:sz w:val="22"/>
          <w:szCs w:val="22"/>
        </w:rPr>
        <w:t xml:space="preserve">Key parallels: Elevated valuations driven by transformational technology narrative; concentration in growth stocks; retail investor participation. Key differences: Current corporate balance sheets stronger; Fed more experienced with crisis response; broader economy less leveraged to tech.</w:t>
      </w:r>
    </w:p>
    <w:p>
      <w:pPr>
        <w:pStyle w:val="Heading2"/>
      </w:pPr>
      <w:r>
        <w:t xml:space="preserve">7.2 Global Financial Crisis (2008-2009)</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340"/>
        <w:gridCol w:w="2200"/>
        <w:gridCol w:w="2020"/>
      </w:tblGrid>
      <w:tr>
        <w:trPr>
          <w:tblHeader/>
        </w:trPr>
        <w:tc>
          <w:tcPr>
            <w:tcW w:type="dxa" w:w="2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GFC</w:t>
            </w:r>
          </w:p>
        </w:tc>
        <w:tc>
          <w:tcPr>
            <w:tcW w:type="dxa" w:w="2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AI Moderate</w:t>
            </w:r>
          </w:p>
        </w:tc>
        <w:tc>
          <w:tcPr>
            <w:tcW w:type="dxa" w:w="202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AI Severe</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S&amp;P 500 Peak-to-Trough</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-57%</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-16.5%</w:t>
            </w:r>
          </w:p>
        </w:tc>
        <w:tc>
          <w:tcPr>
            <w:tcW w:type="dxa" w:w="20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HY Spread Peak</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2,200 bps</w:t>
            </w:r>
          </w:p>
        </w:tc>
        <w:tc>
          <w:tcPr>
            <w:tcW w:type="dxa" w:w="2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500-550 bps</w:t>
            </w:r>
          </w:p>
        </w:tc>
        <w:tc>
          <w:tcPr>
            <w:tcW w:type="dxa" w:w="20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750-850 bps</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GDP Contraction (Peak)</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-4.3% (Q4'08)</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-0.5% to -1%</w:t>
            </w:r>
          </w:p>
        </w:tc>
        <w:tc>
          <w:tcPr>
            <w:tcW w:type="dxa" w:w="20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 to -3%</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Unemployment Peak</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10.0%</w:t>
            </w:r>
          </w:p>
        </w:tc>
        <w:tc>
          <w:tcPr>
            <w:tcW w:type="dxa" w:w="2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5.0%</w:t>
            </w:r>
          </w:p>
        </w:tc>
        <w:tc>
          <w:tcPr>
            <w:tcW w:type="dxa" w:w="20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7.0%</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VIX Peak</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80.9</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45-55</w:t>
            </w:r>
          </w:p>
        </w:tc>
        <w:tc>
          <w:tcPr>
            <w:tcW w:type="dxa" w:w="20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65-80</w:t>
            </w:r>
          </w:p>
        </w:tc>
      </w:tr>
    </w:tbl>
    <w:p>
      <w:pPr>
        <w:spacing w:before="200"/>
      </w:pPr>
      <w:r>
        <w:rPr>
          <w:rFonts w:ascii="Arial" w:cs="Arial" w:eastAsia="Arial" w:hAnsi="Arial"/>
          <w:sz w:val="22"/>
          <w:szCs w:val="22"/>
        </w:rPr>
        <w:t xml:space="preserve">Key parallels: Credit market stress transmission; deleveraging dynamics; Fed policy response. Key differences: GFC was banking system crisis with systemic solvency concerns; current scenario is valuation correction without fundamental banking stress; household leverage significantly lower today.</w:t>
      </w:r>
    </w:p>
    <w:p>
      <w:pPr>
        <w:pStyle w:val="Heading2"/>
      </w:pPr>
      <w:r>
        <w:t xml:space="preserve">7.3 COVID-19 Drawdown (February-March 2020)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340"/>
        <w:gridCol w:w="2200"/>
        <w:gridCol w:w="2020"/>
      </w:tblGrid>
      <w:tr>
        <w:trPr>
          <w:tblHeader/>
        </w:trPr>
        <w:tc>
          <w:tcPr>
            <w:tcW w:type="dxa" w:w="2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COVID</w:t>
            </w:r>
          </w:p>
        </w:tc>
        <w:tc>
          <w:tcPr>
            <w:tcW w:type="dxa" w:w="2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AI Moderate</w:t>
            </w:r>
          </w:p>
        </w:tc>
        <w:tc>
          <w:tcPr>
            <w:tcW w:type="dxa" w:w="202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AI Severe</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S&amp;P 500 Peak-to-Trough</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-34%</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-16.5%</w:t>
            </w:r>
          </w:p>
        </w:tc>
        <w:tc>
          <w:tcPr>
            <w:tcW w:type="dxa" w:w="20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Duration Peak-to-Trough</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23 days</w:t>
            </w:r>
          </w:p>
        </w:tc>
        <w:tc>
          <w:tcPr>
            <w:tcW w:type="dxa" w:w="2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 days</w:t>
            </w:r>
          </w:p>
        </w:tc>
        <w:tc>
          <w:tcPr>
            <w:tcW w:type="dxa" w:w="20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60 days</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HY Spread Peak</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1,100 bps</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500-550 bps</w:t>
            </w:r>
          </w:p>
        </w:tc>
        <w:tc>
          <w:tcPr>
            <w:tcW w:type="dxa" w:w="20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750-850 bps</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VIX Peak</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82.7</w:t>
            </w:r>
          </w:p>
        </w:tc>
        <w:tc>
          <w:tcPr>
            <w:tcW w:type="dxa" w:w="2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45-55</w:t>
            </w:r>
          </w:p>
        </w:tc>
        <w:tc>
          <w:tcPr>
            <w:tcW w:type="dxa" w:w="20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65-80</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Recovery to New Highs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6 months</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3-6 months</w:t>
            </w:r>
          </w:p>
        </w:tc>
        <w:tc>
          <w:tcPr>
            <w:tcW w:type="dxa" w:w="20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12-24 months</w:t>
            </w:r>
          </w:p>
        </w:tc>
      </w:tr>
    </w:tbl>
    <w:p>
      <w:pPr>
        <w:spacing w:before="200"/>
      </w:pPr>
      <w:r>
        <w:rPr>
          <w:rFonts w:ascii="Arial" w:cs="Arial" w:eastAsia="Arial" w:hAnsi="Arial"/>
          <w:sz w:val="22"/>
          <w:szCs w:val="22"/>
        </w:rPr>
        <w:t xml:space="preserve">Key parallels: Velocity of decline; correlation spikes across assets; liquidity stress in credit markets. Key differences: COVID was exogenous shock with clear policy response path; AI correction is endogenous valuation event with less certain resolution; COVID V-shaped recovery unlikely in valuation correction scenario.</w:t>
      </w:r>
    </w:p>
    <w:p>
      <w:r>
        <w:br w:type="page"/>
      </w:r>
    </w:p>
    <w:p>
      <w:pPr>
        <w:pStyle w:val="Heading1"/>
      </w:pPr>
      <w:r>
        <w:t xml:space="preserve">8. Stress Testing Methodology</w:t>
      </w:r>
    </w:p>
    <w:p>
      <w:pPr>
        <w:pStyle w:val="Heading2"/>
      </w:pPr>
      <w:r>
        <w:t xml:space="preserve">8.1 Shock Application Framework</w:t>
      </w:r>
    </w:p>
    <w:p>
      <w:pPr>
        <w:spacing w:before="200" w:after="100"/>
      </w:pPr>
      <w:r>
        <w:rPr>
          <w:rFonts w:ascii="Arial" w:cs="Arial" w:eastAsia="Arial" w:hAnsi="Arial"/>
          <w:b/>
          <w:bCs/>
          <w:sz w:val="22"/>
          <w:szCs w:val="22"/>
        </w:rPr>
        <w:t xml:space="preserve">Moderate Scenario: Instantaneous Shock</w:t>
      </w:r>
    </w:p>
    <w:p>
      <w:pPr>
        <w:spacing w:before="120" w:after="120"/>
      </w:pPr>
      <w:r>
        <w:rPr>
          <w:rFonts w:ascii="Arial" w:cs="Arial" w:eastAsia="Arial" w:hAnsi="Arial"/>
          <w:sz w:val="22"/>
          <w:szCs w:val="22"/>
        </w:rPr>
        <w:t xml:space="preserve">Given the 10-day duration, shocks are applied as instantaneous level changes reflecting the compressed timeframe of acute market stress. This approach is consistent with historical episodes where the majority of drawdown occurs in the initial days of correction.</w:t>
      </w:r>
    </w:p>
    <w:p>
      <w:pPr>
        <w:spacing w:before="200" w:after="100"/>
      </w:pPr>
      <w:r>
        <w:rPr>
          <w:rFonts w:ascii="Arial" w:cs="Arial" w:eastAsia="Arial" w:hAnsi="Arial"/>
          <w:b/>
          <w:bCs/>
          <w:sz w:val="22"/>
          <w:szCs w:val="22"/>
        </w:rPr>
        <w:t xml:space="preserve">Severe Scenario: Progressive Shock Path</w:t>
      </w:r>
    </w:p>
    <w:p>
      <w:pPr>
        <w:spacing w:before="120" w:after="120"/>
      </w:pPr>
      <w:r>
        <w:rPr>
          <w:rFonts w:ascii="Arial" w:cs="Arial" w:eastAsia="Arial" w:hAnsi="Arial"/>
          <w:sz w:val="22"/>
          <w:szCs w:val="22"/>
        </w:rPr>
        <w:t xml:space="preserve">The 60-day scenario employs a progressive shock application with the following trajectory:</w:t>
      </w:r>
    </w:p>
    <w:p>
      <w:pPr>
        <w:pStyle w:val="ListParagraph"/>
        <w:numPr>
          <w:ilvl w:val="0"/>
          <w:numId w:val="2"/>
        </w:numPr>
        <w:spacing w:after="60"/>
      </w:pPr>
      <w:r>
        <w:rPr>
          <w:rFonts w:ascii="Arial" w:cs="Arial" w:eastAsia="Arial" w:hAnsi="Arial"/>
          <w:sz w:val="22"/>
          <w:szCs w:val="22"/>
        </w:rPr>
        <w:t xml:space="preserve">Days 1-10: 45% of total shock applied (acute phase)</w:t>
      </w:r>
    </w:p>
    <w:p>
      <w:pPr>
        <w:pStyle w:val="ListParagraph"/>
        <w:numPr>
          <w:ilvl w:val="0"/>
          <w:numId w:val="2"/>
        </w:numPr>
        <w:spacing w:after="60"/>
      </w:pPr>
      <w:r>
        <w:rPr>
          <w:rFonts w:ascii="Arial" w:cs="Arial" w:eastAsia="Arial" w:hAnsi="Arial"/>
          <w:sz w:val="22"/>
          <w:szCs w:val="22"/>
        </w:rPr>
        <w:t xml:space="preserve">Days 11-30: Additional 35% applied (contagion phase)</w:t>
      </w:r>
    </w:p>
    <w:p>
      <w:pPr>
        <w:pStyle w:val="ListParagraph"/>
        <w:numPr>
          <w:ilvl w:val="0"/>
          <w:numId w:val="2"/>
        </w:numPr>
        <w:spacing w:after="120"/>
      </w:pPr>
      <w:r>
        <w:rPr>
          <w:rFonts w:ascii="Arial" w:cs="Arial" w:eastAsia="Arial" w:hAnsi="Arial"/>
          <w:sz w:val="22"/>
          <w:szCs w:val="22"/>
        </w:rPr>
        <w:t xml:space="preserve">Days 31-60: Remaining 20% applied (economic feedback phase)</w:t>
      </w:r>
    </w:p>
    <w:p>
      <w:pPr>
        <w:pStyle w:val="Heading2"/>
      </w:pPr>
      <w:r>
        <w:t xml:space="preserve">8.2 Correlation Assumptions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Asset Pair</w:t>
            </w:r>
          </w:p>
        </w:tc>
        <w:tc>
          <w:tcPr>
            <w:tcW w:type="dxa" w:w="312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Normal Correlation</w:t>
            </w:r>
          </w:p>
        </w:tc>
        <w:tc>
          <w:tcPr>
            <w:tcW w:type="dxa" w:w="312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Stressed Correlation</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S&amp;P 500 / Nasdaq</w:t>
            </w:r>
          </w:p>
        </w:tc>
        <w:tc>
          <w:tcPr>
            <w:tcW w:type="dxa" w:w="31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0.92</w:t>
            </w:r>
          </w:p>
        </w:tc>
        <w:tc>
          <w:tcPr>
            <w:tcW w:type="dxa" w:w="31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0.97</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S&amp;P 500 / HY Credit</w:t>
            </w:r>
          </w:p>
        </w:tc>
        <w:tc>
          <w:tcPr>
            <w:tcW w:type="dxa" w:w="31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0.65</w:t>
            </w:r>
          </w:p>
        </w:tc>
        <w:tc>
          <w:tcPr>
            <w:tcW w:type="dxa" w:w="31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0.85</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S&amp;P 500 / Treasuries (10Y)</w:t>
            </w:r>
          </w:p>
        </w:tc>
        <w:tc>
          <w:tcPr>
            <w:tcW w:type="dxa" w:w="31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-0.20</w:t>
            </w:r>
          </w:p>
        </w:tc>
        <w:tc>
          <w:tcPr>
            <w:tcW w:type="dxa" w:w="31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-0.45</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S&amp;P 500 / Gold</w:t>
            </w:r>
          </w:p>
        </w:tc>
        <w:tc>
          <w:tcPr>
            <w:tcW w:type="dxa" w:w="31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-0.05</w:t>
            </w:r>
          </w:p>
        </w:tc>
        <w:tc>
          <w:tcPr>
            <w:tcW w:type="dxa" w:w="31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-0.25</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IG Credit / HY Credit</w:t>
            </w:r>
          </w:p>
        </w:tc>
        <w:tc>
          <w:tcPr>
            <w:tcW w:type="dxa" w:w="31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0.85</w:t>
            </w:r>
          </w:p>
        </w:tc>
        <w:tc>
          <w:tcPr>
            <w:tcW w:type="dxa" w:w="312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0.93</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US Equities / EM Equities</w:t>
            </w:r>
          </w:p>
        </w:tc>
        <w:tc>
          <w:tcPr>
            <w:tcW w:type="dxa" w:w="31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0.72</w:t>
            </w:r>
          </w:p>
        </w:tc>
        <w:tc>
          <w:tcPr>
            <w:tcW w:type="dxa" w:w="312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0.88</w:t>
            </w:r>
          </w:p>
        </w:tc>
      </w:tr>
    </w:tbl>
    <w:p>
      <w:pPr>
        <w:pStyle w:val="Heading2"/>
      </w:pPr>
      <w:r>
        <w:t xml:space="preserve">8.3 Distribution Assumptions</w:t>
      </w:r>
    </w:p>
    <w:p>
      <w:pPr>
        <w:spacing w:before="120" w:after="120"/>
      </w:pPr>
      <w:r>
        <w:rPr>
          <w:rFonts w:ascii="Arial" w:cs="Arial" w:eastAsia="Arial" w:hAnsi="Arial"/>
          <w:sz w:val="22"/>
          <w:szCs w:val="22"/>
        </w:rPr>
        <w:t xml:space="preserve">Return distributions during stress periods exhibit significant deviation from normality. The framework employs a regime-switching approach:</w:t>
      </w:r>
    </w:p>
    <w:p>
      <w:pPr>
        <w:pStyle w:val="ListParagraph"/>
        <w:numPr>
          <w:ilvl w:val="0"/>
          <w:numId w:val="2"/>
        </w:numPr>
        <w:spacing w:after="60"/>
      </w:pPr>
      <w:r>
        <w:rPr>
          <w:rFonts w:ascii="Arial" w:cs="Arial" w:eastAsia="Arial" w:hAnsi="Arial"/>
          <w:sz w:val="22"/>
          <w:szCs w:val="22"/>
        </w:rPr>
        <w:t xml:space="preserve">Normal regime: Gaussian returns with historical volatility</w:t>
      </w:r>
    </w:p>
    <w:p>
      <w:pPr>
        <w:pStyle w:val="ListParagraph"/>
        <w:numPr>
          <w:ilvl w:val="0"/>
          <w:numId w:val="2"/>
        </w:numPr>
        <w:spacing w:after="60"/>
      </w:pPr>
      <w:r>
        <w:rPr>
          <w:rFonts w:ascii="Arial" w:cs="Arial" w:eastAsia="Arial" w:hAnsi="Arial"/>
          <w:sz w:val="22"/>
          <w:szCs w:val="22"/>
        </w:rPr>
        <w:t xml:space="preserve">Stress regime: Student-t distribution with 4 degrees of freedom (fat tails)</w:t>
      </w:r>
    </w:p>
    <w:p>
      <w:pPr>
        <w:pStyle w:val="ListParagraph"/>
        <w:numPr>
          <w:ilvl w:val="0"/>
          <w:numId w:val="2"/>
        </w:numPr>
        <w:spacing w:after="120"/>
      </w:pPr>
      <w:r>
        <w:rPr>
          <w:rFonts w:ascii="Arial" w:cs="Arial" w:eastAsia="Arial" w:hAnsi="Arial"/>
          <w:sz w:val="22"/>
          <w:szCs w:val="22"/>
        </w:rPr>
        <w:t xml:space="preserve">Transition probability: Calibrated to historical stress frequency (~15% annual probability)</w:t>
      </w:r>
    </w:p>
    <w:p>
      <w:pPr>
        <w:pStyle w:val="Heading2"/>
      </w:pPr>
      <w:r>
        <w:t xml:space="preserve">8.4 Liquidity Adjustment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60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Asset Class</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 Haircut</w:t>
            </w:r>
          </w:p>
        </w:tc>
        <w:tc>
          <w:tcPr>
            <w:tcW w:type="dxa" w:w="26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 Haircut</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Large-Cap Equities</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0%</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0-2%</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Small-Cap Equities</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2-5%</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8-12%</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Investment Grade Credit</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1-3%</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5-8%</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High Yield Credit</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5-8%</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12-18%</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Private Equity</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10-15%</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20-30%</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Private Credit</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8-12%</w:t>
            </w:r>
          </w:p>
        </w:tc>
        <w:tc>
          <w:tcPr>
            <w:tcW w:type="dxa" w:w="26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15-25%</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Real Estate (Direct)</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5-10%</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15-25%</w:t>
            </w:r>
          </w:p>
        </w:tc>
      </w:tr>
    </w:tbl>
    <w:p>
      <w:r>
        <w:br w:type="page"/>
      </w:r>
    </w:p>
    <w:p>
      <w:pPr>
        <w:pStyle w:val="Heading1"/>
      </w:pPr>
      <w:r>
        <w:t xml:space="preserve">9. Implementation Guidance</w:t>
      </w:r>
    </w:p>
    <w:p>
      <w:pPr>
        <w:pStyle w:val="Heading2"/>
      </w:pPr>
      <w:r>
        <w:t xml:space="preserve">9.1 Portfolio Revaluation Example</w:t>
      </w:r>
    </w:p>
    <w:p>
      <w:pPr>
        <w:spacing w:before="120" w:after="120"/>
      </w:pPr>
      <w:r>
        <w:rPr>
          <w:rFonts w:ascii="Arial" w:cs="Arial" w:eastAsia="Arial" w:hAnsi="Arial"/>
          <w:sz w:val="22"/>
          <w:szCs w:val="22"/>
        </w:rPr>
        <w:t xml:space="preserve">The following example demonstrates shock application to a hypothetical $1B multi-asset portfolio: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200"/>
        <w:gridCol w:w="1200"/>
        <w:gridCol w:w="1760"/>
      </w:tblGrid>
      <w:tr>
        <w:trPr>
          <w:tblHeader/>
        </w:trPr>
        <w:tc>
          <w:tcPr>
            <w:tcW w:type="dxa" w:w="2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Asset Class</w:t>
            </w:r>
          </w:p>
        </w:tc>
        <w:tc>
          <w:tcPr>
            <w:tcW w:type="dxa" w:w="14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Weight</w:t>
            </w:r>
          </w:p>
        </w:tc>
        <w:tc>
          <w:tcPr>
            <w:tcW w:type="dxa" w:w="14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Value ($M)</w:t>
            </w:r>
          </w:p>
        </w:tc>
        <w:tc>
          <w:tcPr>
            <w:tcW w:type="dxa" w:w="1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 Δ</w:t>
            </w:r>
          </w:p>
        </w:tc>
        <w:tc>
          <w:tcPr>
            <w:tcW w:type="dxa" w:w="1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 Val</w:t>
            </w:r>
          </w:p>
        </w:tc>
        <w:tc>
          <w:tcPr>
            <w:tcW w:type="dxa" w:w="1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 Δ</w:t>
            </w:r>
          </w:p>
        </w:tc>
        <w:tc>
          <w:tcPr>
            <w:tcW w:type="dxa" w:w="176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 Val</w:t>
            </w:r>
          </w:p>
        </w:tc>
      </w:tr>
      <w:tr>
        <w:tc>
          <w:tcPr>
            <w:tcW w:type="dxa" w:w="2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US Large Cap Equity</w:t>
            </w:r>
          </w:p>
        </w:tc>
        <w:tc>
          <w:tcPr>
            <w:tcW w:type="dxa" w:w="14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w:t>
            </w:r>
          </w:p>
        </w:tc>
        <w:tc>
          <w:tcPr>
            <w:tcW w:type="dxa" w:w="14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-16.5%</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$292.3</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-35%</w:t>
            </w:r>
          </w:p>
        </w:tc>
        <w:tc>
          <w:tcPr>
            <w:tcW w:type="dxa" w:w="176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$227.5</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US Small Cap Equity</w:t>
            </w:r>
          </w:p>
        </w:tc>
        <w:tc>
          <w:tcPr>
            <w:tcW w:type="dxa" w:w="14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$80.0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-42%</w:t>
            </w:r>
          </w:p>
        </w:tc>
        <w:tc>
          <w:tcPr>
            <w:tcW w:type="dxa" w:w="17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$58.0</w:t>
            </w:r>
          </w:p>
        </w:tc>
      </w:tr>
      <w:tr>
        <w:tc>
          <w:tcPr>
            <w:tcW w:type="dxa" w:w="2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International Developed</w:t>
            </w:r>
          </w:p>
        </w:tc>
        <w:tc>
          <w:tcPr>
            <w:tcW w:type="dxa" w:w="14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$100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-13.5%</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$86.5</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-28.5%</w:t>
            </w:r>
          </w:p>
        </w:tc>
        <w:tc>
          <w:tcPr>
            <w:tcW w:type="dxa" w:w="176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$71.5</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Investment Grade Bonds</w:t>
            </w:r>
          </w:p>
        </w:tc>
        <w:tc>
          <w:tcPr>
            <w:tcW w:type="dxa" w:w="14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$200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$206.4</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+5.8%</w:t>
            </w:r>
          </w:p>
        </w:tc>
        <w:tc>
          <w:tcPr>
            <w:tcW w:type="dxa" w:w="17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$211.6</w:t>
            </w:r>
          </w:p>
        </w:tc>
      </w:tr>
      <w:tr>
        <w:tc>
          <w:tcPr>
            <w:tcW w:type="dxa" w:w="2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High Yield Bonds</w:t>
            </w:r>
          </w:p>
        </w:tc>
        <w:tc>
          <w:tcPr>
            <w:tcW w:type="dxa" w:w="14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-8.5%</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$45.8</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-18%</w:t>
            </w:r>
          </w:p>
        </w:tc>
        <w:tc>
          <w:tcPr>
            <w:tcW w:type="dxa" w:w="176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$41.0</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Private Equity</w:t>
            </w:r>
          </w:p>
        </w:tc>
        <w:tc>
          <w:tcPr>
            <w:tcW w:type="dxa" w:w="14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$100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$85.0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-30%</w:t>
            </w:r>
          </w:p>
        </w:tc>
        <w:tc>
          <w:tcPr>
            <w:tcW w:type="dxa" w:w="17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$70.0</w:t>
            </w:r>
          </w:p>
        </w:tc>
      </w:tr>
      <w:tr>
        <w:tc>
          <w:tcPr>
            <w:tcW w:type="dxa" w:w="2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Real Estate</w:t>
            </w:r>
          </w:p>
        </w:tc>
        <w:tc>
          <w:tcPr>
            <w:tcW w:type="dxa" w:w="14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$45.0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-22%</w:t>
            </w:r>
          </w:p>
        </w:tc>
        <w:tc>
          <w:tcPr>
            <w:tcW w:type="dxa" w:w="176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$39.0</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Cash/Short-Term</w:t>
            </w:r>
          </w:p>
        </w:tc>
        <w:tc>
          <w:tcPr>
            <w:tcW w:type="dxa" w:w="14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$50.0</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0%</w:t>
            </w:r>
          </w:p>
        </w:tc>
        <w:tc>
          <w:tcPr>
            <w:tcW w:type="dxa" w:w="17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$50.0</w:t>
            </w:r>
          </w:p>
        </w:tc>
      </w:tr>
      <w:tr>
        <w:tc>
          <w:tcPr>
            <w:tcW w:type="dxa" w:w="2200"/>
            <w:tcBorders>
              <w:top w:val="single" w:color="CCCCCC" w:sz="1"/>
              <w:left w:val="single" w:color="CCCCCC" w:sz="1"/>
              <w:bottom w:val="single" w:color="CCCCCC" w:sz="1"/>
              <w:right w:val="single" w:color="CCCCCC" w:sz="1"/>
            </w:tcBorders>
          </w:tcPr>
          <w:p>
            <w:pPr>
              <w:jc w:val="left"/>
            </w:pPr>
            <w:r>
              <w:rPr>
                <w:rFonts w:ascii="Arial" w:cs="Arial" w:eastAsia="Arial" w:hAnsi="Arial"/>
                <w:b/>
                <w:bCs/>
                <w:sz w:val="20"/>
                <w:szCs w:val="20"/>
              </w:rPr>
              <w:t xml:space="preserve">TOTAL PORTFOLIO</w:t>
            </w:r>
          </w:p>
        </w:tc>
        <w:tc>
          <w:tcPr>
            <w:tcW w:type="dxa" w:w="1400"/>
            <w:tcBorders>
              <w:top w:val="single" w:color="CCCCCC" w:sz="1"/>
              <w:left w:val="single" w:color="CCCCCC" w:sz="1"/>
              <w:bottom w:val="single" w:color="CCCCCC" w:sz="1"/>
              <w:right w:val="single" w:color="CCCCCC" w:sz="1"/>
            </w:tcBorders>
          </w:tcPr>
          <w:p>
            <w:pPr>
              <w:jc w:val="center"/>
            </w:pPr>
            <w:r>
              <w:rPr>
                <w:rFonts w:ascii="Arial" w:cs="Arial" w:eastAsia="Arial" w:hAnsi="Arial"/>
                <w:b/>
                <w:bCs/>
                <w:sz w:val="20"/>
                <w:szCs w:val="20"/>
              </w:rPr>
              <w:t xml:space="preserve">100%</w:t>
            </w:r>
          </w:p>
        </w:tc>
        <w:tc>
          <w:tcPr>
            <w:tcW w:type="dxa" w:w="1400"/>
            <w:tcBorders>
              <w:top w:val="single" w:color="CCCCCC" w:sz="1"/>
              <w:left w:val="single" w:color="CCCCCC" w:sz="1"/>
              <w:bottom w:val="single" w:color="CCCCCC" w:sz="1"/>
              <w:right w:val="single" w:color="CCCCCC" w:sz="1"/>
            </w:tcBorders>
          </w:tcPr>
          <w:p>
            <w:pPr>
              <w:jc w:val="center"/>
            </w:pPr>
            <w:r>
              <w:rPr>
                <w:rFonts w:ascii="Arial" w:cs="Arial" w:eastAsia="Arial" w:hAnsi="Arial"/>
                <w:b/>
                <w:bCs/>
                <w:sz w:val="20"/>
                <w:szCs w:val="20"/>
              </w:rPr>
              <w:t xml:space="preserve">$1,000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sz w:val="20"/>
                <w:szCs w:val="20"/>
              </w:rPr>
              <w:t xml:space="preserve">-10.9%</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sz w:val="20"/>
                <w:szCs w:val="20"/>
              </w:rPr>
              <w:t xml:space="preserve">$891.0</w:t>
            </w:r>
          </w:p>
        </w:tc>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b/>
                <w:bCs/>
                <w:sz w:val="20"/>
                <w:szCs w:val="20"/>
              </w:rPr>
              <w:t xml:space="preserve">-23.2%</w:t>
            </w:r>
          </w:p>
        </w:tc>
        <w:tc>
          <w:tcPr>
            <w:tcW w:type="dxa" w:w="1760"/>
            <w:tcBorders>
              <w:top w:val="single" w:color="CCCCCC" w:sz="1"/>
              <w:left w:val="single" w:color="CCCCCC" w:sz="1"/>
              <w:bottom w:val="single" w:color="CCCCCC" w:sz="1"/>
              <w:right w:val="single" w:color="CCCCCC" w:sz="1"/>
            </w:tcBorders>
          </w:tcPr>
          <w:p>
            <w:pPr>
              <w:jc w:val="center"/>
            </w:pPr>
            <w:r>
              <w:rPr>
                <w:rFonts w:ascii="Arial" w:cs="Arial" w:eastAsia="Arial" w:hAnsi="Arial"/>
                <w:b/>
                <w:bCs/>
                <w:sz w:val="20"/>
                <w:szCs w:val="20"/>
              </w:rPr>
              <w:t xml:space="preserve">$768.6</w:t>
            </w:r>
          </w:p>
        </w:tc>
      </w:tr>
    </w:tbl>
    <w:p>
      <w:pPr>
        <w:pStyle w:val="Heading2"/>
      </w:pPr>
      <w:r>
        <w:t xml:space="preserve">9.2 Risk Metric Calculations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Risk Metric</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Severe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Portfolio Loss ($M)</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$109.0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$231.4</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1-Day 99% VaR (pre-stress)</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$15.2M</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$15.2M</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1-Day 99% VaR (stressed)</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$38.5M</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$52.8M</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Expected Shortfall (99%)</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$48.2M</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$68.4M</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Maximum Drawdown</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-10.9%</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-23.2%</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Stress Loss / 1-Day VaR Multiple</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7.2x</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15.2x</w:t>
            </w:r>
          </w:p>
        </w:tc>
      </w:tr>
    </w:tbl>
    <w:p>
      <w:pPr>
        <w:pStyle w:val="Heading2"/>
      </w:pPr>
      <w:r>
        <w:t xml:space="preserve">9.3 Key Risk Indicators (KRIs)</w:t>
      </w:r>
    </w:p>
    <w:p>
      <w:pPr>
        <w:spacing w:before="120" w:after="120"/>
      </w:pPr>
      <w:r>
        <w:rPr>
          <w:rFonts w:ascii="Arial" w:cs="Arial" w:eastAsia="Arial" w:hAnsi="Arial"/>
          <w:sz w:val="22"/>
          <w:szCs w:val="22"/>
        </w:rPr>
        <w:t xml:space="preserve">The following indicators should be monitored for early warning signals of scenario realization: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80"/>
        <w:gridCol w:w="198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Indicator</w:t>
            </w:r>
          </w:p>
        </w:tc>
        <w:tc>
          <w:tcPr>
            <w:tcW w:type="dxa" w:w="20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Current</w:t>
            </w:r>
          </w:p>
        </w:tc>
        <w:tc>
          <w:tcPr>
            <w:tcW w:type="dxa" w:w="18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Watch Level</w:t>
            </w:r>
          </w:p>
        </w:tc>
        <w:tc>
          <w:tcPr>
            <w:tcW w:type="dxa" w:w="19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Alert Level</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VIX Index</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~20</w:t>
            </w:r>
          </w:p>
        </w:tc>
        <w:tc>
          <w:tcPr>
            <w:tcW w:type="dxa" w:w="18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&gt;28</w:t>
            </w:r>
          </w:p>
        </w:tc>
        <w:tc>
          <w:tcPr>
            <w:tcW w:type="dxa" w:w="19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&gt;35</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Nasdaq 100 vs. 20-Day MA</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+2%</w:t>
            </w:r>
          </w:p>
        </w:tc>
        <w:tc>
          <w:tcPr>
            <w:tcW w:type="dxa" w:w="18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&lt;-5%</w:t>
            </w:r>
          </w:p>
        </w:tc>
        <w:tc>
          <w:tcPr>
            <w:tcW w:type="dxa" w:w="19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&lt;-10%</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HY OAS Spread</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~300 bps</w:t>
            </w:r>
          </w:p>
        </w:tc>
        <w:tc>
          <w:tcPr>
            <w:tcW w:type="dxa" w:w="18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&gt;400 bps</w:t>
            </w:r>
          </w:p>
        </w:tc>
        <w:tc>
          <w:tcPr>
            <w:tcW w:type="dxa" w:w="19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&gt;500 bps</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NVDA 5-Day Return</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Varies</w:t>
            </w:r>
          </w:p>
        </w:tc>
        <w:tc>
          <w:tcPr>
            <w:tcW w:type="dxa" w:w="18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&lt;-15%</w:t>
            </w:r>
          </w:p>
        </w:tc>
        <w:tc>
          <w:tcPr>
            <w:tcW w:type="dxa" w:w="19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&lt;-25%</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2Y-10Y Treasury Spread</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 bps</w:t>
            </w:r>
          </w:p>
        </w:tc>
        <w:tc>
          <w:tcPr>
            <w:tcW w:type="dxa" w:w="18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&gt;+40 bps</w:t>
            </w:r>
          </w:p>
        </w:tc>
        <w:tc>
          <w:tcPr>
            <w:tcW w:type="dxa" w:w="19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&gt;+80 bps</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Put/Call Ratio (CBOE)</w:t>
            </w:r>
          </w:p>
        </w:tc>
        <w:tc>
          <w:tcPr>
            <w:tcW w:type="dxa" w:w="2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0.85</w:t>
            </w:r>
          </w:p>
        </w:tc>
        <w:tc>
          <w:tcPr>
            <w:tcW w:type="dxa" w:w="18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&gt;1.2</w:t>
            </w:r>
          </w:p>
        </w:tc>
        <w:tc>
          <w:tcPr>
            <w:tcW w:type="dxa" w:w="198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&gt;1.5</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CDX IG Spread</w:t>
            </w:r>
          </w:p>
        </w:tc>
        <w:tc>
          <w:tcPr>
            <w:tcW w:type="dxa" w:w="2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~55 bps</w:t>
            </w:r>
          </w:p>
        </w:tc>
        <w:tc>
          <w:tcPr>
            <w:tcW w:type="dxa" w:w="18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&gt;80 bps</w:t>
            </w:r>
          </w:p>
        </w:tc>
        <w:tc>
          <w:tcPr>
            <w:tcW w:type="dxa" w:w="198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&gt;110 bps</w:t>
            </w:r>
          </w:p>
        </w:tc>
      </w:tr>
    </w:tbl>
    <w:p>
      <w:r>
        <w:br w:type="page"/>
      </w:r>
    </w:p>
    <w:p>
      <w:pPr>
        <w:pStyle w:val="Heading1"/>
      </w:pPr>
      <w:r>
        <w:t xml:space="preserve">10. Limitations &amp; Key Uncertainties</w:t>
      </w:r>
    </w:p>
    <w:p>
      <w:pPr>
        <w:pStyle w:val="Heading2"/>
      </w:pPr>
      <w:r>
        <w:t xml:space="preserve">10.1 Framework Limitations</w:t>
      </w:r>
    </w:p>
    <w:p>
      <w:pPr>
        <w:pStyle w:val="ListParagraph"/>
        <w:numPr>
          <w:ilvl w:val="0"/>
          <w:numId w:val="2"/>
        </w:numPr>
        <w:spacing w:after="60"/>
      </w:pPr>
      <w:r>
        <w:rPr>
          <w:rFonts w:ascii="Arial" w:cs="Arial" w:eastAsia="Arial" w:hAnsi="Arial"/>
          <w:sz w:val="22"/>
          <w:szCs w:val="22"/>
        </w:rPr>
        <w:t xml:space="preserve">Historical calibration: Past correlations and relationships may not hold in novel stress regimes</w:t>
      </w:r>
    </w:p>
    <w:p>
      <w:pPr>
        <w:pStyle w:val="ListParagraph"/>
        <w:numPr>
          <w:ilvl w:val="0"/>
          <w:numId w:val="2"/>
        </w:numPr>
        <w:spacing w:after="60"/>
      </w:pPr>
      <w:r>
        <w:rPr>
          <w:rFonts w:ascii="Arial" w:cs="Arial" w:eastAsia="Arial" w:hAnsi="Arial"/>
          <w:sz w:val="22"/>
          <w:szCs w:val="22"/>
        </w:rPr>
        <w:t xml:space="preserve">Policy response uncertainty: Fed and fiscal policy responses could significantly alter scenario outcomes</w:t>
      </w:r>
    </w:p>
    <w:p>
      <w:pPr>
        <w:pStyle w:val="ListParagraph"/>
        <w:numPr>
          <w:ilvl w:val="0"/>
          <w:numId w:val="2"/>
        </w:numPr>
        <w:spacing w:after="60"/>
      </w:pPr>
      <w:r>
        <w:rPr>
          <w:rFonts w:ascii="Arial" w:cs="Arial" w:eastAsia="Arial" w:hAnsi="Arial"/>
          <w:sz w:val="22"/>
          <w:szCs w:val="22"/>
        </w:rPr>
        <w:t xml:space="preserve">Behavioral factors: Investor sentiment and herding behavior are difficult to model precisely</w:t>
      </w:r>
    </w:p>
    <w:p>
      <w:pPr>
        <w:pStyle w:val="ListParagraph"/>
        <w:numPr>
          <w:ilvl w:val="0"/>
          <w:numId w:val="2"/>
        </w:numPr>
        <w:spacing w:after="60"/>
      </w:pPr>
      <w:r>
        <w:rPr>
          <w:rFonts w:ascii="Arial" w:cs="Arial" w:eastAsia="Arial" w:hAnsi="Arial"/>
          <w:sz w:val="22"/>
          <w:szCs w:val="22"/>
        </w:rPr>
        <w:t xml:space="preserve">Liquidity assumptions: Actual liquidity conditions during stress may be worse than modeled</w:t>
      </w:r>
    </w:p>
    <w:p>
      <w:pPr>
        <w:pStyle w:val="ListParagraph"/>
        <w:numPr>
          <w:ilvl w:val="0"/>
          <w:numId w:val="2"/>
        </w:numPr>
        <w:spacing w:after="120"/>
      </w:pPr>
      <w:r>
        <w:rPr>
          <w:rFonts w:ascii="Arial" w:cs="Arial" w:eastAsia="Arial" w:hAnsi="Arial"/>
          <w:sz w:val="22"/>
          <w:szCs w:val="22"/>
        </w:rPr>
        <w:t xml:space="preserve">Interconnectedness: Second and third-order effects may create feedback loops not fully captured</w:t>
      </w:r>
    </w:p>
    <w:p>
      <w:pPr>
        <w:pStyle w:val="Heading2"/>
      </w:pPr>
      <w:r>
        <w:t xml:space="preserve">10.2 Sensitivity Analysis</w:t>
      </w:r>
    </w:p>
    <w:p>
      <w:pPr>
        <w:spacing w:before="120" w:after="120"/>
      </w:pPr>
      <w:r>
        <w:rPr>
          <w:rFonts w:ascii="Arial" w:cs="Arial" w:eastAsia="Arial" w:hAnsi="Arial"/>
          <w:sz w:val="22"/>
          <w:szCs w:val="22"/>
        </w:rPr>
        <w:t xml:space="preserve">Key assumptions should be stress tested within ±20% ranges: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Assumption</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-20% Sensitivity</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0"/>
                <w:szCs w:val="20"/>
              </w:rPr>
              <w:t xml:space="preserve">+20% Sensitivity</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Equity shock magnitude</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Portfolio loss: -18%</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Portfolio loss: +22%</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Credit spread widening</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HY return: +1.2%</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HY return: -1.5%</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sz w:val="20"/>
                <w:szCs w:val="20"/>
              </w:rPr>
              <w:t xml:space="preserve">Treasury rally magnitude</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Duration benefit: -15%</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sz w:val="20"/>
                <w:szCs w:val="20"/>
              </w:rPr>
              <w:t xml:space="preserve">Duration benefit: +18%</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sz w:val="20"/>
                <w:szCs w:val="20"/>
              </w:rPr>
              <w:t xml:space="preserve">Correlation assumptions</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Diversification: +8%</w:t>
            </w:r>
          </w:p>
        </w:tc>
        <w:tc>
          <w:tcPr>
            <w:tcW w:type="dxa" w:w="234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sz w:val="20"/>
                <w:szCs w:val="20"/>
              </w:rPr>
              <w:t xml:space="preserve">Diversification: -10%</w:t>
            </w:r>
          </w:p>
        </w:tc>
      </w:tr>
    </w:tbl>
    <w:p>
      <w:r>
        <w:br w:type="page"/>
      </w:r>
    </w:p>
    <w:p>
      <w:pPr>
        <w:pStyle w:val="Heading1"/>
      </w:pPr>
      <w:r>
        <w:t xml:space="preserve">11. References &amp; Citations</w:t>
      </w:r>
    </w:p>
    <w:p>
      <w:pPr>
        <w:pStyle w:val="Heading2"/>
      </w:pPr>
      <w:r>
        <w:t xml:space="preserve">11.1 Academic Research</w:t>
      </w:r>
    </w:p>
    <w:p>
      <w:pPr>
        <w:pStyle w:val="ListParagraph"/>
        <w:numPr>
          <w:ilvl w:val="0"/>
          <w:numId w:val="3"/>
        </w:numPr>
        <w:spacing w:after="60"/>
      </w:pPr>
      <w:r>
        <w:rPr>
          <w:rFonts w:ascii="Arial" w:cs="Arial" w:eastAsia="Arial" w:hAnsi="Arial"/>
          <w:sz w:val="20"/>
          <w:szCs w:val="20"/>
        </w:rPr>
        <w:t xml:space="preserve">Shiller, R.J. (2015). Irrational Exuberance, 3rd Edition. Princeton University Press.</w:t>
      </w:r>
    </w:p>
    <w:p>
      <w:pPr>
        <w:pStyle w:val="ListParagraph"/>
        <w:numPr>
          <w:ilvl w:val="0"/>
          <w:numId w:val="3"/>
        </w:numPr>
        <w:spacing w:after="60"/>
      </w:pPr>
      <w:r>
        <w:rPr>
          <w:rFonts w:ascii="Arial" w:cs="Arial" w:eastAsia="Arial" w:hAnsi="Arial"/>
          <w:sz w:val="20"/>
          <w:szCs w:val="20"/>
        </w:rPr>
        <w:t xml:space="preserve">Stock, J.H. &amp; Watson, M.W. (2012). "Disentangling the Channels of the 2007-2009 Recession." Brookings Papers on Economic Activity.</w:t>
      </w:r>
    </w:p>
    <w:p>
      <w:pPr>
        <w:pStyle w:val="ListParagraph"/>
        <w:numPr>
          <w:ilvl w:val="0"/>
          <w:numId w:val="3"/>
        </w:numPr>
        <w:spacing w:after="60"/>
      </w:pPr>
      <w:r>
        <w:rPr>
          <w:rFonts w:ascii="Arial" w:cs="Arial" w:eastAsia="Arial" w:hAnsi="Arial"/>
          <w:sz w:val="20"/>
          <w:szCs w:val="20"/>
        </w:rPr>
        <w:t xml:space="preserve">Adrian, T. &amp; Shin, H.S. (2014). "Procyclical Leverage and Value-at-Risk." Review of Financial Studies.</w:t>
      </w:r>
    </w:p>
    <w:p>
      <w:pPr>
        <w:pStyle w:val="ListParagraph"/>
        <w:numPr>
          <w:ilvl w:val="0"/>
          <w:numId w:val="3"/>
        </w:numPr>
        <w:spacing w:after="60"/>
      </w:pPr>
      <w:r>
        <w:rPr>
          <w:rFonts w:ascii="Arial" w:cs="Arial" w:eastAsia="Arial" w:hAnsi="Arial"/>
          <w:sz w:val="20"/>
          <w:szCs w:val="20"/>
        </w:rPr>
        <w:t xml:space="preserve">Brunnermeier, M.K. &amp; Pedersen, L.H. (2009). "Market Liquidity and Funding Liquidity." Review of Financial Studies.</w:t>
      </w:r>
    </w:p>
    <w:p>
      <w:pPr>
        <w:pStyle w:val="ListParagraph"/>
        <w:numPr>
          <w:ilvl w:val="0"/>
          <w:numId w:val="3"/>
        </w:numPr>
        <w:spacing w:after="120"/>
      </w:pPr>
      <w:r>
        <w:rPr>
          <w:rFonts w:ascii="Arial" w:cs="Arial" w:eastAsia="Arial" w:hAnsi="Arial"/>
          <w:sz w:val="20"/>
          <w:szCs w:val="20"/>
        </w:rPr>
        <w:t xml:space="preserve">Gennaioli, N. &amp; Shleifer, A. (2018). A Crisis of Beliefs: Investor Psychology and Financial Fragility. Princeton.</w:t>
      </w:r>
    </w:p>
    <w:p>
      <w:pPr>
        <w:pStyle w:val="Heading2"/>
      </w:pPr>
      <w:r>
        <w:t xml:space="preserve">11.2 Central Bank &amp; Regulatory Research</w:t>
      </w:r>
    </w:p>
    <w:p>
      <w:pPr>
        <w:pStyle w:val="ListParagraph"/>
        <w:numPr>
          <w:ilvl w:val="0"/>
          <w:numId w:val="3"/>
        </w:numPr>
        <w:spacing w:after="60"/>
      </w:pPr>
      <w:r>
        <w:rPr>
          <w:rFonts w:ascii="Arial" w:cs="Arial" w:eastAsia="Arial" w:hAnsi="Arial"/>
          <w:sz w:val="20"/>
          <w:szCs w:val="20"/>
        </w:rPr>
        <w:t xml:space="preserve">Federal Reserve Board. (2024). Financial Stability Report. November 2024.</w:t>
      </w:r>
    </w:p>
    <w:p>
      <w:pPr>
        <w:pStyle w:val="ListParagraph"/>
        <w:numPr>
          <w:ilvl w:val="0"/>
          <w:numId w:val="3"/>
        </w:numPr>
        <w:spacing w:after="60"/>
      </w:pPr>
      <w:r>
        <w:rPr>
          <w:rFonts w:ascii="Arial" w:cs="Arial" w:eastAsia="Arial" w:hAnsi="Arial"/>
          <w:sz w:val="20"/>
          <w:szCs w:val="20"/>
        </w:rPr>
        <w:t xml:space="preserve">Bank for International Settlements. (2024). "AI and Financial Stability." BIS Quarterly Review.</w:t>
      </w:r>
    </w:p>
    <w:p>
      <w:pPr>
        <w:pStyle w:val="ListParagraph"/>
        <w:numPr>
          <w:ilvl w:val="0"/>
          <w:numId w:val="3"/>
        </w:numPr>
        <w:spacing w:after="60"/>
      </w:pPr>
      <w:r>
        <w:rPr>
          <w:rFonts w:ascii="Arial" w:cs="Arial" w:eastAsia="Arial" w:hAnsi="Arial"/>
          <w:sz w:val="20"/>
          <w:szCs w:val="20"/>
        </w:rPr>
        <w:t xml:space="preserve">International Monetary Fund. (2024). Global Financial Stability Report. October 2024.</w:t>
      </w:r>
    </w:p>
    <w:p>
      <w:pPr>
        <w:pStyle w:val="ListParagraph"/>
        <w:numPr>
          <w:ilvl w:val="0"/>
          <w:numId w:val="3"/>
        </w:numPr>
        <w:spacing w:after="60"/>
      </w:pPr>
      <w:r>
        <w:rPr>
          <w:rFonts w:ascii="Arial" w:cs="Arial" w:eastAsia="Arial" w:hAnsi="Arial"/>
          <w:sz w:val="20"/>
          <w:szCs w:val="20"/>
        </w:rPr>
        <w:t xml:space="preserve">Federal Reserve Board. (2024). Comprehensive Capital Analysis and Review (CCAR) Framework.</w:t>
      </w:r>
    </w:p>
    <w:p>
      <w:pPr>
        <w:pStyle w:val="ListParagraph"/>
        <w:numPr>
          <w:ilvl w:val="0"/>
          <w:numId w:val="3"/>
        </w:numPr>
        <w:spacing w:after="120"/>
      </w:pPr>
      <w:r>
        <w:rPr>
          <w:rFonts w:ascii="Arial" w:cs="Arial" w:eastAsia="Arial" w:hAnsi="Arial"/>
          <w:sz w:val="20"/>
          <w:szCs w:val="20"/>
        </w:rPr>
        <w:t xml:space="preserve">OCC. (2024). Semiannual Risk Perspective. Fall 2024.</w:t>
      </w:r>
    </w:p>
    <w:p>
      <w:pPr>
        <w:pStyle w:val="Heading2"/>
      </w:pPr>
      <w:r>
        <w:t xml:space="preserve">11.3 Industry Research</w:t>
      </w:r>
    </w:p>
    <w:p>
      <w:pPr>
        <w:pStyle w:val="ListParagraph"/>
        <w:numPr>
          <w:ilvl w:val="0"/>
          <w:numId w:val="3"/>
        </w:numPr>
        <w:spacing w:after="60"/>
      </w:pPr>
      <w:r>
        <w:rPr>
          <w:rFonts w:ascii="Arial" w:cs="Arial" w:eastAsia="Arial" w:hAnsi="Arial"/>
          <w:sz w:val="20"/>
          <w:szCs w:val="20"/>
        </w:rPr>
        <w:t xml:space="preserve">Goldman Sachs. (2025). "The AI Capex Cycle: Implications for Markets." Global Strategy Research.</w:t>
      </w:r>
    </w:p>
    <w:p>
      <w:pPr>
        <w:pStyle w:val="ListParagraph"/>
        <w:numPr>
          <w:ilvl w:val="0"/>
          <w:numId w:val="3"/>
        </w:numPr>
        <w:spacing w:after="60"/>
      </w:pPr>
      <w:r>
        <w:rPr>
          <w:rFonts w:ascii="Arial" w:cs="Arial" w:eastAsia="Arial" w:hAnsi="Arial"/>
          <w:sz w:val="20"/>
          <w:szCs w:val="20"/>
        </w:rPr>
        <w:t xml:space="preserve">J.P. Morgan. (2024). "Credit Cycle Monitor." Fixed Income Research.</w:t>
      </w:r>
    </w:p>
    <w:p>
      <w:pPr>
        <w:pStyle w:val="ListParagraph"/>
        <w:numPr>
          <w:ilvl w:val="0"/>
          <w:numId w:val="3"/>
        </w:numPr>
        <w:spacing w:after="60"/>
      </w:pPr>
      <w:r>
        <w:rPr>
          <w:rFonts w:ascii="Arial" w:cs="Arial" w:eastAsia="Arial" w:hAnsi="Arial"/>
          <w:sz w:val="20"/>
          <w:szCs w:val="20"/>
        </w:rPr>
        <w:t xml:space="preserve">Morgan Stanley. (2024). "Volatility Regime Framework." Quantitative and Derivatives Strategy.</w:t>
      </w:r>
    </w:p>
    <w:p>
      <w:pPr>
        <w:pStyle w:val="ListParagraph"/>
        <w:numPr>
          <w:ilvl w:val="0"/>
          <w:numId w:val="3"/>
        </w:numPr>
        <w:spacing w:after="60"/>
      </w:pPr>
      <w:r>
        <w:rPr>
          <w:rFonts w:ascii="Arial" w:cs="Arial" w:eastAsia="Arial" w:hAnsi="Arial"/>
          <w:sz w:val="20"/>
          <w:szCs w:val="20"/>
        </w:rPr>
        <w:t xml:space="preserve">BlackRock. (2024). "Stress Testing Multi-Asset Portfolios." Risk &amp; Quantitative Analysis.</w:t>
      </w:r>
    </w:p>
    <w:p>
      <w:pPr>
        <w:pStyle w:val="ListParagraph"/>
        <w:numPr>
          <w:ilvl w:val="0"/>
          <w:numId w:val="3"/>
        </w:numPr>
        <w:spacing w:after="120"/>
      </w:pPr>
      <w:r>
        <w:rPr>
          <w:rFonts w:ascii="Arial" w:cs="Arial" w:eastAsia="Arial" w:hAnsi="Arial"/>
          <w:sz w:val="20"/>
          <w:szCs w:val="20"/>
        </w:rPr>
        <w:t xml:space="preserve">Moody's Analytics. (2024). "Default Rate Forecasts Under Stress Scenarios." Credit Research.</w:t>
      </w:r>
    </w:p>
    <w:p>
      <w:pPr>
        <w:pStyle w:val="Heading2"/>
      </w:pPr>
      <w:r>
        <w:t xml:space="preserve">11.4 Data Sources</w:t>
      </w:r>
    </w:p>
    <w:p>
      <w:pPr>
        <w:pStyle w:val="ListParagraph"/>
        <w:numPr>
          <w:ilvl w:val="0"/>
          <w:numId w:val="3"/>
        </w:numPr>
        <w:spacing w:after="60"/>
      </w:pPr>
      <w:r>
        <w:rPr>
          <w:rFonts w:ascii="Arial" w:cs="Arial" w:eastAsia="Arial" w:hAnsi="Arial"/>
          <w:sz w:val="20"/>
          <w:szCs w:val="20"/>
        </w:rPr>
        <w:t xml:space="preserve">Bloomberg L.P. - Market data, indices, credit spreads</w:t>
      </w:r>
    </w:p>
    <w:p>
      <w:pPr>
        <w:pStyle w:val="ListParagraph"/>
        <w:numPr>
          <w:ilvl w:val="0"/>
          <w:numId w:val="3"/>
        </w:numPr>
        <w:spacing w:after="60"/>
      </w:pPr>
      <w:r>
        <w:rPr>
          <w:rFonts w:ascii="Arial" w:cs="Arial" w:eastAsia="Arial" w:hAnsi="Arial"/>
          <w:sz w:val="20"/>
          <w:szCs w:val="20"/>
        </w:rPr>
        <w:t xml:space="preserve">Federal Reserve Economic Data (FRED) - Macroeconomic indicators</w:t>
      </w:r>
    </w:p>
    <w:p>
      <w:pPr>
        <w:pStyle w:val="ListParagraph"/>
        <w:numPr>
          <w:ilvl w:val="0"/>
          <w:numId w:val="3"/>
        </w:numPr>
        <w:spacing w:after="60"/>
      </w:pPr>
      <w:r>
        <w:rPr>
          <w:rFonts w:ascii="Arial" w:cs="Arial" w:eastAsia="Arial" w:hAnsi="Arial"/>
          <w:sz w:val="20"/>
          <w:szCs w:val="20"/>
        </w:rPr>
        <w:t xml:space="preserve">ICE BofA Indices - Credit spread data</w:t>
      </w:r>
    </w:p>
    <w:p>
      <w:pPr>
        <w:pStyle w:val="ListParagraph"/>
        <w:numPr>
          <w:ilvl w:val="0"/>
          <w:numId w:val="3"/>
        </w:numPr>
        <w:spacing w:after="60"/>
      </w:pPr>
      <w:r>
        <w:rPr>
          <w:rFonts w:ascii="Arial" w:cs="Arial" w:eastAsia="Arial" w:hAnsi="Arial"/>
          <w:sz w:val="20"/>
          <w:szCs w:val="20"/>
        </w:rPr>
        <w:t xml:space="preserve">CBOE - Volatility indices and options data</w:t>
      </w:r>
    </w:p>
    <w:p>
      <w:pPr>
        <w:pStyle w:val="ListParagraph"/>
        <w:numPr>
          <w:ilvl w:val="0"/>
          <w:numId w:val="3"/>
        </w:numPr>
        <w:spacing w:after="60"/>
      </w:pPr>
      <w:r>
        <w:rPr>
          <w:rFonts w:ascii="Arial" w:cs="Arial" w:eastAsia="Arial" w:hAnsi="Arial"/>
          <w:sz w:val="20"/>
          <w:szCs w:val="20"/>
        </w:rPr>
        <w:t xml:space="preserve">Robert Shiller Database - CAPE ratio historical data</w:t>
      </w:r>
    </w:p>
    <w:p>
      <w:pPr>
        <w:pStyle w:val="ListParagraph"/>
        <w:numPr>
          <w:ilvl w:val="0"/>
          <w:numId w:val="3"/>
        </w:numPr>
        <w:spacing w:after="120"/>
      </w:pPr>
      <w:r>
        <w:rPr>
          <w:rFonts w:ascii="Arial" w:cs="Arial" w:eastAsia="Arial" w:hAnsi="Arial"/>
          <w:sz w:val="20"/>
          <w:szCs w:val="20"/>
        </w:rPr>
        <w:t xml:space="preserve">S&amp;P Global - Sector and industry classifications (GICS)</w:t>
      </w:r>
    </w:p>
    <w:p>
      <w:pPr>
        <w:spacing w:before="400"/>
      </w:pPr>
    </w:p>
    <w:p>
      <w:pPr>
        <w:jc w:val="center"/>
      </w:pPr>
      <w:r>
        <w:rPr>
          <w:rFonts w:ascii="Arial" w:cs="Arial" w:eastAsia="Arial" w:hAnsi="Arial"/>
          <w:i/>
          <w:iCs/>
          <w:color w:val="808080"/>
          <w:sz w:val="22"/>
          <w:szCs w:val="22"/>
        </w:rPr>
        <w:t xml:space="preserve">— End of Document —</w:t>
      </w:r>
    </w:p>
    <w:p>
      <w:pPr>
        <w:spacing w:before="200"/>
        <w:jc w:val="center"/>
      </w:pPr>
      <w:r>
        <w:rPr>
          <w:rFonts w:ascii="Arial" w:cs="Arial" w:eastAsia="Arial" w:hAnsi="Arial"/>
          <w:color w:val="808080"/>
          <w:sz w:val="18"/>
          <w:szCs w:val="18"/>
        </w:rPr>
        <w:t xml:space="preserve">This framework is intended for internal risk management purposes only.</w:t>
      </w:r>
    </w:p>
    <w:p>
      <w:pPr>
        <w:jc w:val="center"/>
      </w:pPr>
      <w:r>
        <w:rPr>
          <w:rFonts w:ascii="Arial" w:cs="Arial" w:eastAsia="Arial" w:hAnsi="Arial"/>
          <w:color w:val="808080"/>
          <w:sz w:val="18"/>
          <w:szCs w:val="18"/>
        </w:rPr>
        <w:t xml:space="preserve">Please direct questions to the Market Risk Division.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AI Bubble Correction Stress Testing Framework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2025-11-25T16:11:15.946Z</dcterms:created>
  <dcterms:modified xsi:type="dcterms:W3CDTF">2025-11-25T16:11:15.947Z</dcterms:modified>
</cp:coreProperties>
</file>

<file path=docProps/custom.xml><?xml version="1.0" encoding="utf-8"?>
<Properties xmlns="http://schemas.openxmlformats.org/officeDocument/2006/custom-properties" xmlns:vt="http://schemas.openxmlformats.org/officeDocument/2006/docPropsVTypes"/>
</file>